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152400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3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160" w:hanging="685"/>
        <w:spacing w:after="0" w:line="248"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May 4, 2019</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90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line="204" w:lineRule="exact"/>
              <w:rPr>
                <w:sz w:val="20"/>
                <w:szCs w:val="20"/>
                <w:color w:val="auto"/>
              </w:rPr>
            </w:pPr>
            <w:r>
              <w:rPr>
                <w:rFonts w:ascii="Arial" w:cs="Arial" w:eastAsia="Arial" w:hAnsi="Arial"/>
                <w:sz w:val="18"/>
                <w:szCs w:val="18"/>
                <w:b w:val="1"/>
                <w:bCs w:val="1"/>
                <w:color w:val="auto"/>
                <w:w w:val="82"/>
              </w:rPr>
              <w:t>to</w:t>
            </w:r>
          </w:p>
        </w:tc>
      </w:tr>
      <w:tr>
        <w:trPr>
          <w:trHeight w:val="250"/>
        </w:trPr>
        <w:tc>
          <w:tcPr>
            <w:tcW w:w="2900" w:type="dxa"/>
            <w:vAlign w:val="bottom"/>
            <w:gridSpan w:val="3"/>
          </w:tcPr>
          <w:p>
            <w:pPr>
              <w:ind w:left="740"/>
              <w:spacing w:after="0"/>
              <w:rPr>
                <w:sz w:val="20"/>
                <w:szCs w:val="20"/>
                <w:color w:val="auto"/>
              </w:rPr>
            </w:pPr>
            <w:r>
              <w:rPr>
                <w:rFonts w:ascii="Arial" w:cs="Arial" w:eastAsia="Arial" w:hAnsi="Arial"/>
                <w:sz w:val="18"/>
                <w:szCs w:val="18"/>
                <w:b w:val="1"/>
                <w:bCs w:val="1"/>
                <w:color w:val="auto"/>
                <w:w w:val="89"/>
              </w:rPr>
              <w:t>Commission File No. 1-7819</w:t>
            </w:r>
          </w:p>
        </w:tc>
        <w:tc>
          <w:tcPr>
            <w:tcW w:w="16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4443095</wp:posOffset>
            </wp:positionH>
            <wp:positionV relativeFrom="paragraph">
              <wp:posOffset>-170815</wp:posOffset>
            </wp:positionV>
            <wp:extent cx="342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-302895</wp:posOffset>
            </wp:positionV>
            <wp:extent cx="1758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58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tcPr>
          <w:p>
            <w:pPr>
              <w:jc w:val="center"/>
              <w:ind w:left="76"/>
              <w:spacing w:after="0"/>
              <w:rPr>
                <w:sz w:val="20"/>
                <w:szCs w:val="20"/>
                <w:color w:val="auto"/>
              </w:rPr>
            </w:pPr>
            <w:r>
              <w:rPr>
                <w:rFonts w:ascii="Arial" w:cs="Arial" w:eastAsia="Arial" w:hAnsi="Arial"/>
                <w:sz w:val="18"/>
                <w:szCs w:val="18"/>
                <w:b w:val="1"/>
                <w:bCs w:val="1"/>
                <w:color w:val="auto"/>
                <w:w w:val="91"/>
              </w:rPr>
              <w:t>04-2348234</w:t>
            </w:r>
          </w:p>
        </w:tc>
        <w:tc>
          <w:tcPr>
            <w:tcW w:w="0" w:type="dxa"/>
            <w:vAlign w:val="bottom"/>
          </w:tcPr>
          <w:p>
            <w:pPr>
              <w:spacing w:after="0"/>
              <w:rPr>
                <w:sz w:val="1"/>
                <w:szCs w:val="1"/>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jc w:val="center"/>
              <w:ind w:left="56"/>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390"/>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One Technology Way, Norwood, MA</w:t>
            </w: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jc w:val="center"/>
              <w:ind w:left="76"/>
              <w:spacing w:after="0"/>
              <w:rPr>
                <w:sz w:val="20"/>
                <w:szCs w:val="20"/>
                <w:color w:val="auto"/>
              </w:rPr>
            </w:pPr>
            <w:r>
              <w:rPr>
                <w:rFonts w:ascii="Arial" w:cs="Arial" w:eastAsia="Arial" w:hAnsi="Arial"/>
                <w:sz w:val="18"/>
                <w:szCs w:val="18"/>
                <w:b w:val="1"/>
                <w:bCs w:val="1"/>
                <w:color w:val="auto"/>
                <w:w w:val="91"/>
              </w:rPr>
              <w:t>02062-9106</w:t>
            </w:r>
          </w:p>
        </w:tc>
        <w:tc>
          <w:tcPr>
            <w:tcW w:w="0" w:type="dxa"/>
            <w:vAlign w:val="bottom"/>
          </w:tcPr>
          <w:p>
            <w:pPr>
              <w:spacing w:after="0"/>
              <w:rPr>
                <w:sz w:val="1"/>
                <w:szCs w:val="1"/>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980" w:type="dxa"/>
            <w:vAlign w:val="bottom"/>
            <w:gridSpan w:val="2"/>
            <w:vMerge w:val="restart"/>
          </w:tcPr>
          <w:p>
            <w:pPr>
              <w:jc w:val="center"/>
              <w:ind w:left="139"/>
              <w:spacing w:after="0"/>
              <w:rPr>
                <w:sz w:val="20"/>
                <w:szCs w:val="20"/>
                <w:color w:val="auto"/>
              </w:rPr>
            </w:pPr>
            <w:r>
              <w:rPr>
                <w:rFonts w:ascii="Arial" w:cs="Arial" w:eastAsia="Arial" w:hAnsi="Arial"/>
                <w:sz w:val="18"/>
                <w:szCs w:val="18"/>
                <w:b w:val="1"/>
                <w:bCs w:val="1"/>
                <w:color w:val="auto"/>
                <w:w w:val="90"/>
              </w:rPr>
              <w:t>(781) 329-4700</w:t>
            </w:r>
          </w:p>
        </w:tc>
        <w:tc>
          <w:tcPr>
            <w:tcW w:w="280" w:type="dxa"/>
            <w:vAlign w:val="bottom"/>
          </w:tcPr>
          <w:p>
            <w:pPr>
              <w:spacing w:after="0"/>
              <w:rPr>
                <w:sz w:val="18"/>
                <w:szCs w:val="18"/>
                <w:color w:val="auto"/>
              </w:rPr>
            </w:pPr>
          </w:p>
        </w:tc>
        <w:tc>
          <w:tcPr>
            <w:tcW w:w="3480" w:type="dxa"/>
            <w:vAlign w:val="bottom"/>
          </w:tcPr>
          <w:p>
            <w:pPr>
              <w:jc w:val="center"/>
              <w:ind w:left="76"/>
              <w:spacing w:after="0"/>
              <w:rPr>
                <w:sz w:val="20"/>
                <w:szCs w:val="20"/>
                <w:color w:val="auto"/>
              </w:rPr>
            </w:pPr>
            <w:r>
              <w:rPr>
                <w:rFonts w:ascii="Arial" w:cs="Arial" w:eastAsia="Arial" w:hAnsi="Arial"/>
                <w:sz w:val="14"/>
                <w:szCs w:val="14"/>
                <w:i w:val="1"/>
                <w:iCs w:val="1"/>
                <w:color w:val="auto"/>
                <w:w w:val="96"/>
              </w:rPr>
              <w:t>(Zip Code)</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3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40" w:type="dxa"/>
            <w:vAlign w:val="bottom"/>
            <w:gridSpan w:val="5"/>
          </w:tcPr>
          <w:p>
            <w:pPr>
              <w:jc w:val="center"/>
              <w:ind w:left="57"/>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c>
          <w:tcPr>
            <w:tcW w:w="0" w:type="dxa"/>
            <w:vAlign w:val="bottom"/>
          </w:tcPr>
          <w:p>
            <w:pPr>
              <w:spacing w:after="0"/>
              <w:rPr>
                <w:sz w:val="1"/>
                <w:szCs w:val="1"/>
                <w:color w:val="auto"/>
              </w:rPr>
            </w:pPr>
          </w:p>
        </w:tc>
      </w:tr>
      <w:tr>
        <w:trPr>
          <w:trHeight w:val="255"/>
        </w:trPr>
        <w:tc>
          <w:tcPr>
            <w:tcW w:w="3900" w:type="dxa"/>
            <w:vAlign w:val="bottom"/>
            <w:gridSpan w:val="2"/>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69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 w:type="dxa"/>
            <w:vAlign w:val="bottom"/>
          </w:tcPr>
          <w:p>
            <w:pPr>
              <w:spacing w:after="0"/>
              <w:rPr>
                <w:sz w:val="24"/>
                <w:szCs w:val="24"/>
                <w:color w:val="auto"/>
              </w:rPr>
            </w:pPr>
          </w:p>
        </w:tc>
        <w:tc>
          <w:tcPr>
            <w:tcW w:w="3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Trading Symbol(s)</w:t>
            </w:r>
          </w:p>
        </w:tc>
        <w:tc>
          <w:tcPr>
            <w:tcW w:w="3480" w:type="dxa"/>
            <w:vAlign w:val="bottom"/>
          </w:tcPr>
          <w:p>
            <w:pPr>
              <w:jc w:val="center"/>
              <w:ind w:left="56"/>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0"/>
        </w:trPr>
        <w:tc>
          <w:tcPr>
            <w:tcW w:w="3700" w:type="dxa"/>
            <w:vAlign w:val="bottom"/>
          </w:tcPr>
          <w:p>
            <w:pPr>
              <w:jc w:val="center"/>
              <w:spacing w:after="0"/>
              <w:rPr>
                <w:sz w:val="20"/>
                <w:szCs w:val="20"/>
                <w:color w:val="auto"/>
              </w:rPr>
            </w:pPr>
            <w:r>
              <w:rPr>
                <w:rFonts w:ascii="Arial" w:cs="Arial" w:eastAsia="Arial" w:hAnsi="Arial"/>
                <w:sz w:val="18"/>
                <w:szCs w:val="18"/>
                <w:color w:val="auto"/>
                <w:w w:val="89"/>
              </w:rPr>
              <w:t>Common Stock $0.16 2/3 par value per share</w:t>
            </w:r>
          </w:p>
        </w:tc>
        <w:tc>
          <w:tcPr>
            <w:tcW w:w="200" w:type="dxa"/>
            <w:vAlign w:val="bottom"/>
          </w:tcPr>
          <w:p>
            <w:pPr>
              <w:spacing w:after="0"/>
              <w:rPr>
                <w:sz w:val="23"/>
                <w:szCs w:val="23"/>
                <w:color w:val="auto"/>
              </w:rPr>
            </w:pPr>
          </w:p>
        </w:tc>
        <w:tc>
          <w:tcPr>
            <w:tcW w:w="3060" w:type="dxa"/>
            <w:vAlign w:val="bottom"/>
            <w:gridSpan w:val="2"/>
          </w:tcPr>
          <w:p>
            <w:pPr>
              <w:jc w:val="center"/>
              <w:ind w:right="260"/>
              <w:spacing w:after="0"/>
              <w:rPr>
                <w:sz w:val="20"/>
                <w:szCs w:val="20"/>
                <w:color w:val="auto"/>
              </w:rPr>
            </w:pPr>
            <w:r>
              <w:rPr>
                <w:rFonts w:ascii="Arial" w:cs="Arial" w:eastAsia="Arial" w:hAnsi="Arial"/>
                <w:sz w:val="18"/>
                <w:szCs w:val="18"/>
                <w:color w:val="auto"/>
              </w:rPr>
              <w:t>ADI</w:t>
            </w:r>
          </w:p>
        </w:tc>
        <w:tc>
          <w:tcPr>
            <w:tcW w:w="3480" w:type="dxa"/>
            <w:vAlign w:val="bottom"/>
          </w:tcPr>
          <w:p>
            <w:pPr>
              <w:jc w:val="center"/>
              <w:ind w:left="76"/>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60" w:firstLine="432"/>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3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440"/>
              <w:spacing w:after="0"/>
              <w:rPr>
                <w:sz w:val="20"/>
                <w:szCs w:val="20"/>
                <w:color w:val="auto"/>
              </w:rPr>
            </w:pPr>
            <w:r>
              <w:rPr>
                <w:rFonts w:ascii="Arial" w:cs="Arial" w:eastAsia="Arial" w:hAnsi="Arial"/>
                <w:sz w:val="18"/>
                <w:szCs w:val="18"/>
                <w:color w:val="auto"/>
              </w:rPr>
              <w:t>o</w:t>
            </w:r>
          </w:p>
        </w:tc>
        <w:tc>
          <w:tcPr>
            <w:tcW w:w="514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4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22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440" w:right="136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4, 2019 there were 369,761,227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0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0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80"/>
          </w:cols>
          <w:pgMar w:left="240" w:top="1017"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6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2019</w:t>
            </w:r>
          </w:p>
        </w:tc>
        <w:tc>
          <w:tcPr>
            <w:tcW w:w="140" w:type="dxa"/>
            <w:vAlign w:val="bottom"/>
          </w:tcPr>
          <w:p>
            <w:pPr>
              <w:spacing w:after="0"/>
              <w:rPr>
                <w:sz w:val="22"/>
                <w:szCs w:val="22"/>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May 5, 2018 (2)</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2019</w:t>
            </w:r>
          </w:p>
        </w:tc>
        <w:tc>
          <w:tcPr>
            <w:tcW w:w="14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auto"/>
                <w:w w:val="95"/>
              </w:rPr>
              <w:t>May 5, 2018 (2)</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1,526,602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1,563,502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3,067,703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3,130,372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sales (1)</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492,510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491,112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993,955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986,299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2,073,748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2,144,073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Research and development (1)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285,846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578,069</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Selling, marketing, general and administrative (1)</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163,128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172,146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330,470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349,054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214,148</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Special charges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58,407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564,397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1,199,678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469,695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502,554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925,521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944,395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59,701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118,429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132,822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128,923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408,397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440,125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808,343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815,472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121,904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367,937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400,328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722,943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693,568</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to compute earnings per common share – basic</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369,685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to compute earnings per common share –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373,342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374,778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372,912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374,430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(1) Includes stock-based compensation expense as follows: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200"/>
              <w:spacing w:after="0"/>
              <w:rPr>
                <w:sz w:val="20"/>
                <w:szCs w:val="20"/>
                <w:color w:val="auto"/>
              </w:rPr>
            </w:pPr>
            <w:r>
              <w:rPr>
                <w:rFonts w:ascii="Arial" w:cs="Arial" w:eastAsia="Arial" w:hAnsi="Arial"/>
                <w:sz w:val="18"/>
                <w:szCs w:val="18"/>
                <w:color w:val="auto"/>
              </w:rPr>
              <w:t>Cost of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10,473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41,746</w:t>
            </w:r>
          </w:p>
        </w:tc>
        <w:tc>
          <w:tcPr>
            <w:tcW w:w="0" w:type="dxa"/>
            <w:vAlign w:val="bottom"/>
          </w:tcPr>
          <w:p>
            <w:pPr>
              <w:spacing w:after="0"/>
              <w:rPr>
                <w:sz w:val="1"/>
                <w:szCs w:val="1"/>
                <w:color w:val="auto"/>
              </w:rPr>
            </w:pPr>
          </w:p>
        </w:tc>
      </w:tr>
      <w:tr>
        <w:trPr>
          <w:trHeight w:val="243"/>
        </w:trPr>
        <w:tc>
          <w:tcPr>
            <w:tcW w:w="6060" w:type="dxa"/>
            <w:vAlign w:val="bottom"/>
          </w:tcPr>
          <w:p>
            <w:pPr>
              <w:ind w:left="1200"/>
              <w:spacing w:after="0"/>
              <w:rPr>
                <w:sz w:val="20"/>
                <w:szCs w:val="20"/>
                <w:color w:val="auto"/>
              </w:rPr>
            </w:pPr>
            <w:r>
              <w:rPr>
                <w:rFonts w:ascii="Arial" w:cs="Arial" w:eastAsia="Arial" w:hAnsi="Arial"/>
                <w:sz w:val="18"/>
                <w:szCs w:val="18"/>
                <w:color w:val="auto"/>
              </w:rPr>
              <w:t>Selling, marketing, general and administrative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15,273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13,076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27,029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20" w:firstLine="8"/>
        <w:spacing w:after="0" w:line="27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2019</w:t>
            </w:r>
          </w:p>
        </w:tc>
        <w:tc>
          <w:tcPr>
            <w:tcW w:w="140" w:type="dxa"/>
            <w:vAlign w:val="bottom"/>
          </w:tcPr>
          <w:p>
            <w:pPr>
              <w:spacing w:after="0"/>
              <w:rPr>
                <w:sz w:val="22"/>
                <w:szCs w:val="22"/>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May 5, 2018 (1)</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2019</w:t>
            </w:r>
          </w:p>
        </w:tc>
        <w:tc>
          <w:tcPr>
            <w:tcW w:w="140" w:type="dxa"/>
            <w:vAlign w:val="bottom"/>
          </w:tcPr>
          <w:p>
            <w:pPr>
              <w:spacing w:after="0"/>
              <w:rPr>
                <w:sz w:val="22"/>
                <w:szCs w:val="22"/>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May 5, 2018 (1)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367,937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400,328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722,943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693,568</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fair value of available-for-sale securities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Change in fair value of derivative instruments designated as cash flow hedges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taxes of $3,802, $771, $10,183 and $1,323,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1,737</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4"/>
              </w:rPr>
              <w:t>Changes in pension plans including transition obligation, net actuarial loss and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w w:val="97"/>
              </w:rPr>
              <w:t>foreign currency translation adjustments (net of taxes of $63, $99, $126 and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$202, respectively)</w:t>
            </w: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8,348</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349,937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391,674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685,362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701,916</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420" w:firstLine="8"/>
        <w:spacing w:after="0" w:line="275" w:lineRule="auto"/>
        <w:tabs>
          <w:tab w:leader="none" w:pos="23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87" w:right="239" w:bottom="1440" w:gutter="0" w:footer="0" w:header="0"/>
        </w:sectPr>
      </w:pPr>
    </w:p>
    <w:bookmarkStart w:id="3" w:name="page4"/>
    <w:bookmarkEnd w:id="3"/>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4, 2019</w:t>
            </w:r>
          </w:p>
        </w:tc>
        <w:tc>
          <w:tcPr>
            <w:tcW w:w="16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November 3, 2018 (1)</w:t>
            </w:r>
          </w:p>
        </w:tc>
        <w:tc>
          <w:tcPr>
            <w:tcW w:w="0" w:type="dxa"/>
            <w:vAlign w:val="bottom"/>
          </w:tcPr>
          <w:p>
            <w:pPr>
              <w:spacing w:after="0"/>
              <w:rPr>
                <w:sz w:val="1"/>
                <w:szCs w:val="1"/>
                <w:color w:val="auto"/>
              </w:rPr>
            </w:pPr>
          </w:p>
        </w:tc>
      </w:tr>
      <w:tr>
        <w:trPr>
          <w:trHeight w:val="236"/>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713,601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816,591</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685,978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639,717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(2)</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608,085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586,760</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Prepaid income tax</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3,196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65,862</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2,080,489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2,112,126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at Cost</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Land and buildings</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903,378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873,186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2,560,573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2,478,032</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Office equipment</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82,706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76,233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Leasehold improvements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147,253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100,374</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3,693,910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3,527,825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2,482,443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2,373,497</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Net property, plant and equipment</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1,211,467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1,154,328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Deferred compensation plan investments</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42,661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39,853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28,730</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12,250,370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12,252,604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4,489,182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4,778,192</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1,610,109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9,665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62,868</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other assets</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18,484,369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17,171,912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21,776,325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20,438,366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208,243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260,919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124,356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93,722</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Debt, current</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374,165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67,000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658,271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630,107</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1,365,035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1,051,748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5,612,365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6,265,674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2,228,822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990,409</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Deferred compensation plan liability</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42,661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39,846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710,179</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137,470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112,337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8,669,032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8,118,445</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3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$0.16 2/3 par value, 1,200,000,000 shares authorized, 369,761,227 shares outstanding</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(370,159,553 on November 3, 2018)</w:t>
            </w:r>
          </w:p>
        </w:tc>
        <w:tc>
          <w:tcPr>
            <w:tcW w:w="3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61,694</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Capital in excess of par value</w:t>
            </w:r>
          </w:p>
        </w:tc>
        <w:tc>
          <w:tcPr>
            <w:tcW w:w="3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5,117,202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5,282,222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6,659,449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5,982,697</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(96,021)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(58,440)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11,742,258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11,268,173</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21,776,325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20,438,366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right="40" w:hanging="328"/>
        <w:spacing w:after="0" w:line="27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Balances have been restated to reflect the full retrospective adoption of Accounting Standards Update (ASU)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(ASU 2014-09). See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in the Notes to Condensed Consolidated Financial Statements.</w:t>
      </w:r>
    </w:p>
    <w:p>
      <w:pPr>
        <w:spacing w:after="0" w:line="11"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$6,982 and $7,128 related to stock-based compensation at May 4, 2019 and November 3, 2018,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accompanying notes.</w:t>
      </w:r>
    </w:p>
    <w:p>
      <w:pPr>
        <w:sectPr>
          <w:pgSz w:w="11900" w:h="16876" w:orient="portrait"/>
          <w:cols w:equalWidth="0" w:num="1">
            <w:col w:w="11420"/>
          </w:cols>
          <w:pgMar w:left="240" w:top="773"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76" w:orient="portrait"/>
          <w:cols w:equalWidth="0" w:num="1">
            <w:col w:w="11420"/>
          </w:cols>
          <w:pgMar w:left="240" w:top="773" w:right="2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9"/>
          </w:tcPr>
          <w:p>
            <w:pPr>
              <w:jc w:val="center"/>
              <w:ind w:left="55"/>
              <w:spacing w:after="0"/>
              <w:rPr>
                <w:sz w:val="20"/>
                <w:szCs w:val="20"/>
                <w:color w:val="auto"/>
              </w:rPr>
            </w:pPr>
            <w:r>
              <w:rPr>
                <w:rFonts w:ascii="Arial" w:cs="Arial" w:eastAsia="Arial" w:hAnsi="Arial"/>
                <w:sz w:val="14"/>
                <w:szCs w:val="14"/>
                <w:b w:val="1"/>
                <w:bCs w:val="1"/>
                <w:color w:val="auto"/>
                <w:w w:val="95"/>
              </w:rPr>
              <w:t>Three Months Ended May 4, 2019</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FEBRUARY 2, 2019</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368,314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5,111,058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6,491,013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(78,021)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367,937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 - $0.54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67,283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MAY 4, 2019</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369,761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5,117,202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6,659,449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(96,021)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center"/>
              <w:ind w:right="780"/>
              <w:spacing w:after="0"/>
              <w:rPr>
                <w:sz w:val="20"/>
                <w:szCs w:val="20"/>
                <w:color w:val="auto"/>
              </w:rPr>
            </w:pPr>
            <w:r>
              <w:rPr>
                <w:rFonts w:ascii="Arial" w:cs="Arial" w:eastAsia="Arial" w:hAnsi="Arial"/>
                <w:sz w:val="14"/>
                <w:szCs w:val="14"/>
                <w:b w:val="1"/>
                <w:bCs w:val="1"/>
                <w:color w:val="auto"/>
                <w:w w:val="94"/>
              </w:rPr>
              <w:t>Six Months Ended May 4, 2019</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NOVEMBER 3, 2018 (1)</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370,160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61,694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w w:val="99"/>
              </w:rPr>
              <w:t>5,282,222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5,982,697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(58,440)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Accounting Standards Update 2016-16 (see Note 1)</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722,943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 - $1.02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86,383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(37,581)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MAY 4, 2019</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369,761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5,117,202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6,659,449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(96,021)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60" w:right="400" w:hanging="252"/>
        <w:spacing w:after="0" w:line="275"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9"/>
          </w:tcPr>
          <w:p>
            <w:pPr>
              <w:jc w:val="center"/>
              <w:ind w:left="55"/>
              <w:spacing w:after="0"/>
              <w:rPr>
                <w:sz w:val="20"/>
                <w:szCs w:val="20"/>
                <w:color w:val="auto"/>
              </w:rPr>
            </w:pPr>
            <w:r>
              <w:rPr>
                <w:rFonts w:ascii="Arial" w:cs="Arial" w:eastAsia="Arial" w:hAnsi="Arial"/>
                <w:sz w:val="14"/>
                <w:szCs w:val="14"/>
                <w:b w:val="1"/>
                <w:bCs w:val="1"/>
                <w:color w:val="auto"/>
                <w:w w:val="95"/>
              </w:rPr>
              <w:t>Three Months Ended May 5, 2018</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FEBRUARY 3, 2018 (1)</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61,635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5,318,109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5,305,545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(44,357)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400,328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 - $0.48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27,524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MAY 5, 2018</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370,897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61,817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5,362,608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5,527,591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center"/>
              <w:ind w:right="780"/>
              <w:spacing w:after="0"/>
              <w:rPr>
                <w:sz w:val="20"/>
                <w:szCs w:val="20"/>
                <w:color w:val="auto"/>
              </w:rPr>
            </w:pPr>
            <w:r>
              <w:rPr>
                <w:rFonts w:ascii="Arial" w:cs="Arial" w:eastAsia="Arial" w:hAnsi="Arial"/>
                <w:sz w:val="14"/>
                <w:szCs w:val="14"/>
                <w:b w:val="1"/>
                <w:bCs w:val="1"/>
                <w:color w:val="auto"/>
                <w:w w:val="94"/>
              </w:rPr>
              <w:t>Six Months Ended May 5, 2018</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28, 2017 (1)</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368,636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61,441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5,250,519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5,179,024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(61,359)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693,568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 - $0.93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65,128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MAY 5, 2018</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370,897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61,817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5,362,608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5,527,591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260" w:right="400" w:hanging="252"/>
        <w:spacing w:after="0" w:line="275"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4, 2019</w:t>
            </w:r>
          </w:p>
        </w:tc>
        <w:tc>
          <w:tcPr>
            <w:tcW w:w="260" w:type="dxa"/>
            <w:vAlign w:val="bottom"/>
          </w:tcPr>
          <w:p>
            <w:pPr>
              <w:spacing w:after="0"/>
              <w:rPr>
                <w:sz w:val="22"/>
                <w:szCs w:val="22"/>
                <w:color w:val="auto"/>
              </w:rPr>
            </w:pPr>
          </w:p>
        </w:tc>
        <w:tc>
          <w:tcPr>
            <w:tcW w:w="1540" w:type="dxa"/>
            <w:vAlign w:val="bottom"/>
          </w:tcPr>
          <w:p>
            <w:pPr>
              <w:jc w:val="right"/>
              <w:ind w:right="339"/>
              <w:spacing w:after="0"/>
              <w:rPr>
                <w:sz w:val="20"/>
                <w:szCs w:val="20"/>
                <w:color w:val="auto"/>
              </w:rPr>
            </w:pPr>
            <w:r>
              <w:rPr>
                <w:rFonts w:ascii="Arial" w:cs="Arial" w:eastAsia="Arial" w:hAnsi="Arial"/>
                <w:sz w:val="14"/>
                <w:szCs w:val="14"/>
                <w:b w:val="1"/>
                <w:bCs w:val="1"/>
                <w:color w:val="auto"/>
              </w:rPr>
              <w:t>May 5, 2018 (1)</w:t>
            </w:r>
          </w:p>
        </w:tc>
      </w:tr>
      <w:tr>
        <w:trPr>
          <w:trHeight w:val="210"/>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60"/>
        </w:trPr>
        <w:tc>
          <w:tcPr>
            <w:tcW w:w="76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722,943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693,568</w:t>
            </w: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117,435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113,004</w:t>
            </w: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284,525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285,004</w:t>
            </w: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76,622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76,816</w:t>
            </w: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portion of special charge</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(21,843)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(705,640)</w:t>
            </w: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non-cash activity</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10,104</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(159,829)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634,326</w:t>
            </w: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319,706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413,614</w:t>
            </w: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1,042,649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1,107,182</w:t>
            </w: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(166,202)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(117,122)</w:t>
            </w: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(52,339)</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Changes in other assets</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(170,787)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(170,490)</w:t>
            </w: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60"/>
        </w:trPr>
        <w:tc>
          <w:tcPr>
            <w:tcW w:w="7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debt</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743,778</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Proceeds from revolver</w:t>
            </w:r>
          </w:p>
        </w:tc>
        <w:tc>
          <w:tcPr>
            <w:tcW w:w="34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revolver</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Debt repayments</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(1,620,000)</w:t>
            </w: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 payments to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(377,217)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(345,001)</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(328,615)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(29,908)</w:t>
            </w: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employee stock plans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86,907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65,557</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Contingent consideration payment</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33"/>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other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7,945</w:t>
            </w: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Net cash used for financing activities</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(975,069)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(1,178,171)</w:t>
            </w: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(102,990)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(241,321)</w:t>
            </w: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816,591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1,047,838</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713,601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806,517</w:t>
            </w:r>
          </w:p>
        </w:tc>
      </w:tr>
      <w:tr>
        <w:trPr>
          <w:trHeight w:val="33"/>
        </w:trPr>
        <w:tc>
          <w:tcPr>
            <w:tcW w:w="7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420" w:firstLine="8"/>
        <w:spacing w:after="0" w:line="275" w:lineRule="auto"/>
        <w:tabs>
          <w:tab w:leader="none" w:pos="23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AND SIX MONTHS ENDED MAY 4,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3, 2018 (fiscal 2018) and related notes. The results of operations for the interim periods shown in this report are not necessarily indicative of the results that may be expected for the fiscal year ending November 2, 2019 (fiscal 2019) or any future period.</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2019 is a 52-week fiscal year and fiscal 2018 was a 53-week fiscal year. The additional week in fiscal 2018 was included in the first quarter ended February 3, 2018. Therefore, the first six months of fiscal 2019 included one less week of operations as compared to the first six months of fiscal 2018. Certain amounts reported in previous periods have been reclassified to conform to the fiscal 2019 presentation.</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As further discussed in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13,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the Company adopted the Financial Accounting Standards Board (FASB)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in the first quarter of fiscal 2019. The two permitted transition methods under the new standard are the full retrospective method, in which case the standard would be applied to each prior reporting period presented and the cumulative effect of applying the standard would be recognized at the earliest period showing, or the modified retrospective method, in which case the cumulative effect of applying the standard would be recognized as of the date of initial application. The Company adopted ASU 2014-09 using the full retrospective method and applied the practical expedient, in which the Company is not required to disclose the amount of consideration allocated to any remaining performance obligations or an explanation of when the Company expects to recognize that amount as revenue for all reporting periods presented before the date of the initial application.</w:t>
      </w:r>
    </w:p>
    <w:p>
      <w:pPr>
        <w:spacing w:after="0" w:line="1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As a result of the adoption of ASU 2014-09, the Company changed its accounting policy for revenue recognition and recognizes revenue from product sales to its customers and distributors when title passes, which is generally upon shipment. Prior to the adoption of ASU 2014-09, revenue and the related cost of sales on shipments to certain distributors were deferred until the distributor resold the products to their end customers. See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in these Notes to Condensed Consolidated Financial Statements for the details of the Company’s revenue recognition policies. The adoption of ASU 2014-09 impacted the Company’s condensed consolidated statements of income and balance sheets but did not impact its condensed consolidated statements of cash flows, with the exceptions of net income and reclassifications within adjustments to reconcile net income to cash provided by operations, and did not impact the condensed consolidated statement of shareholders' equity, with the exceptions of retained earnings and net income. As shown in the tables below, pursuant to the guidance in ASU 2014-09, the Company restated its historical financial results to be consistent with the standard. Accordingly, the amounts for all periods presented in this Form 10-Q reflect the impact of ASU 2014-09.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5"/>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Statement of Income</w:t>
            </w:r>
          </w:p>
        </w:tc>
        <w:tc>
          <w:tcPr>
            <w:tcW w:w="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5"/>
              </w:rPr>
              <w:t>Three Months Ended May 5, 2018</w:t>
            </w:r>
          </w:p>
        </w:tc>
        <w:tc>
          <w:tcPr>
            <w:tcW w:w="1500" w:type="dxa"/>
            <w:vAlign w:val="bottom"/>
            <w:tcBorders>
              <w:bottom w:val="single" w:sz="8" w:color="auto"/>
            </w:tcBorders>
          </w:tcPr>
          <w:p>
            <w:pPr>
              <w:spacing w:after="0"/>
              <w:rPr>
                <w:sz w:val="22"/>
                <w:szCs w:val="22"/>
                <w:color w:val="auto"/>
              </w:rPr>
            </w:pPr>
          </w:p>
        </w:tc>
      </w:tr>
      <w:tr>
        <w:trPr>
          <w:trHeight w:val="264"/>
        </w:trPr>
        <w:tc>
          <w:tcPr>
            <w:tcW w:w="50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As Reported</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Impact of Adoption</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1,513,053</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1,563,502</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479,241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11,871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491,112</w:t>
            </w:r>
          </w:p>
        </w:tc>
      </w:tr>
      <w:tr>
        <w:trPr>
          <w:trHeight w:val="27"/>
        </w:trPr>
        <w:tc>
          <w:tcPr>
            <w:tcW w:w="5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1,033,812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1,072,390</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289,472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289,472</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172,146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172,146</w:t>
            </w:r>
          </w:p>
        </w:tc>
      </w:tr>
      <w:tr>
        <w:trPr>
          <w:trHeight w:val="27"/>
        </w:trPr>
        <w:tc>
          <w:tcPr>
            <w:tcW w:w="5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107,129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107,129</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Special charges</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1,089</w:t>
            </w:r>
          </w:p>
        </w:tc>
      </w:tr>
      <w:tr>
        <w:trPr>
          <w:trHeight w:val="27"/>
        </w:trPr>
        <w:tc>
          <w:tcPr>
            <w:tcW w:w="5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569,836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569,836</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463,976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38,578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502,554</w:t>
            </w:r>
          </w:p>
        </w:tc>
      </w:tr>
      <w:tr>
        <w:trPr>
          <w:trHeight w:val="27"/>
        </w:trPr>
        <w:tc>
          <w:tcPr>
            <w:tcW w:w="5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 (income):</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64,792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64,792</w:t>
            </w:r>
          </w:p>
        </w:tc>
      </w:tr>
      <w:tr>
        <w:trPr>
          <w:trHeight w:val="27"/>
        </w:trPr>
        <w:tc>
          <w:tcPr>
            <w:tcW w:w="5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7"/>
        </w:trPr>
        <w:tc>
          <w:tcPr>
            <w:tcW w:w="5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62,429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62,429</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401,547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38,578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440,125</w:t>
            </w:r>
          </w:p>
        </w:tc>
      </w:tr>
      <w:tr>
        <w:trPr>
          <w:trHeight w:val="27"/>
        </w:trPr>
        <w:tc>
          <w:tcPr>
            <w:tcW w:w="5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39,797</w:t>
            </w:r>
          </w:p>
        </w:tc>
      </w:tr>
      <w:tr>
        <w:trPr>
          <w:trHeight w:val="297"/>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379,831</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20,497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400,328</w:t>
            </w:r>
          </w:p>
        </w:tc>
      </w:tr>
      <w:tr>
        <w:trPr>
          <w:trHeight w:val="23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to compute earnings per common share – basic</w:t>
            </w:r>
          </w:p>
        </w:tc>
        <w:tc>
          <w:tcPr>
            <w:tcW w:w="6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370,384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370,384</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Shares used to compute earnings per common share – diluted</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374,778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374,778</w:t>
            </w:r>
          </w:p>
        </w:tc>
      </w:tr>
      <w:tr>
        <w:trPr>
          <w:trHeight w:val="27"/>
        </w:trPr>
        <w:tc>
          <w:tcPr>
            <w:tcW w:w="5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9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1.01</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702"/>
        </w:trPr>
        <w:tc>
          <w:tcPr>
            <w:tcW w:w="5060" w:type="dxa"/>
            <w:vAlign w:val="bottom"/>
          </w:tcPr>
          <w:p>
            <w:pPr>
              <w:spacing w:after="0"/>
              <w:rPr>
                <w:sz w:val="24"/>
                <w:szCs w:val="24"/>
                <w:color w:val="auto"/>
              </w:rPr>
            </w:pP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 of Income</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Six Months Ended May 5, 2018</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r>
      <w:tr>
        <w:trPr>
          <w:trHeight w:val="264"/>
        </w:trPr>
        <w:tc>
          <w:tcPr>
            <w:tcW w:w="56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Impact of Adoption</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3,031,677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3,130,372</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962,675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23,624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986,299</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2,069,002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2,144,073</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578,069</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w:t>
            </w: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349,054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349,054</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214,148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58,407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58,407</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1,199,678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869,324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75,071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944,395</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132,822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132,822</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105</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128,923</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740,401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75,071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815,472</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121,904</w:t>
            </w:r>
          </w:p>
        </w:tc>
      </w:tr>
      <w:tr>
        <w:trPr>
          <w:trHeight w:val="29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648,003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45,565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693,568</w:t>
            </w: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369,685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369,685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3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374,430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374,430</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1.84</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on the Company's previously reported condensed consolidated balance sheet line items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November 3, 2018</w:t>
            </w: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Impact of Adoption</w:t>
            </w:r>
          </w:p>
        </w:tc>
        <w:tc>
          <w:tcPr>
            <w:tcW w:w="360" w:type="dxa"/>
            <w:vAlign w:val="bottom"/>
          </w:tcPr>
          <w:p>
            <w:pPr>
              <w:spacing w:after="0"/>
              <w:rPr>
                <w:sz w:val="22"/>
                <w:szCs w:val="22"/>
                <w:color w:val="auto"/>
              </w:rPr>
            </w:pPr>
          </w:p>
        </w:tc>
        <w:tc>
          <w:tcPr>
            <w:tcW w:w="1580" w:type="dxa"/>
            <w:vAlign w:val="bottom"/>
          </w:tcPr>
          <w:p>
            <w:pPr>
              <w:jc w:val="right"/>
              <w:ind w:right="493"/>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9,665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on shipments to distributors,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487,417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(487,417)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630,107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927,065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63,344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990,409</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5,703,064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279,633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5,982,697</w:t>
            </w:r>
          </w:p>
        </w:tc>
      </w:tr>
      <w:tr>
        <w:trPr>
          <w:trHeight w:val="27"/>
        </w:trPr>
        <w:tc>
          <w:tcPr>
            <w:tcW w:w="5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In addition, in the first quarter of fiscal 2019, the Company adopted ASU 2016-16,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2016-16) using the modified retrospective method with a cumulative-effect adjustment directly to retained earnings. ASU 2016-16 requires an entity to recognize the income tax consequences of an intra-entity transfer of an asset, other than inventory, when the transfer occurs. The adoption of ASU 2016-16 resulted in the following cumulative-effect increase in the Company's deferred tax assets, deferred tax liabilities and retained earnings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November 4, 2018</w:t>
            </w: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06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Beginning Balance November</w:t>
            </w:r>
          </w:p>
        </w:tc>
        <w:tc>
          <w:tcPr>
            <w:tcW w:w="120" w:type="dxa"/>
            <w:vAlign w:val="bottom"/>
          </w:tcPr>
          <w:p>
            <w:pPr>
              <w:spacing w:after="0"/>
              <w:rPr>
                <w:sz w:val="13"/>
                <w:szCs w:val="13"/>
                <w:color w:val="auto"/>
              </w:rPr>
            </w:pPr>
          </w:p>
        </w:tc>
        <w:tc>
          <w:tcPr>
            <w:tcW w:w="19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Impact of Adoption of ASU</w:t>
            </w:r>
          </w:p>
        </w:tc>
        <w:tc>
          <w:tcPr>
            <w:tcW w:w="140" w:type="dxa"/>
            <w:vAlign w:val="bottom"/>
          </w:tcPr>
          <w:p>
            <w:pPr>
              <w:spacing w:after="0"/>
              <w:rPr>
                <w:sz w:val="13"/>
                <w:szCs w:val="13"/>
                <w:color w:val="auto"/>
              </w:rPr>
            </w:pPr>
          </w:p>
        </w:tc>
        <w:tc>
          <w:tcPr>
            <w:tcW w:w="18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Balance November 4, 2018</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3, 2018 as Adjusted</w:t>
            </w:r>
          </w:p>
        </w:tc>
        <w:tc>
          <w:tcPr>
            <w:tcW w:w="120" w:type="dxa"/>
            <w:vAlign w:val="bottom"/>
          </w:tcPr>
          <w:p>
            <w:pPr>
              <w:spacing w:after="0"/>
              <w:rPr>
                <w:sz w:val="16"/>
                <w:szCs w:val="16"/>
                <w:color w:val="auto"/>
              </w:rPr>
            </w:pPr>
          </w:p>
        </w:tc>
        <w:tc>
          <w:tcPr>
            <w:tcW w:w="182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2016-16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1,655,129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1,664,794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990,409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9"/>
              <w:spacing w:after="0"/>
              <w:rPr>
                <w:sz w:val="20"/>
                <w:szCs w:val="20"/>
                <w:color w:val="auto"/>
              </w:rPr>
            </w:pPr>
            <w:r>
              <w:rPr>
                <w:rFonts w:ascii="Arial" w:cs="Arial" w:eastAsia="Arial" w:hAnsi="Arial"/>
                <w:sz w:val="18"/>
                <w:szCs w:val="18"/>
                <w:color w:val="auto"/>
              </w:rPr>
              <w:t>1,324,103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2,314,512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5,982,697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331,026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6,313,723</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these Notes to Condensed Consolidated Financial Statements for more information on the adoption of ASU 2016-16.</w:t>
      </w:r>
    </w:p>
    <w:p>
      <w:pPr>
        <w:sectPr>
          <w:pgSz w:w="11900" w:h="16838" w:orient="portrait"/>
          <w:cols w:equalWidth="0" w:num="1">
            <w:col w:w="11420"/>
          </w:cols>
          <w:pgMar w:left="240" w:top="90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90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 Revenue Recognition</w:t>
      </w:r>
    </w:p>
    <w:p>
      <w:pPr>
        <w:spacing w:after="0" w:line="17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i w:val="1"/>
          <w:iCs w:val="1"/>
          <w:color w:val="auto"/>
        </w:rPr>
        <w:t xml:space="preserve">Revenue Recognition Policy: </w:t>
      </w:r>
      <w:r>
        <w:rPr>
          <w:rFonts w:ascii="Arial" w:cs="Arial" w:eastAsia="Arial" w:hAnsi="Arial"/>
          <w:sz w:val="17"/>
          <w:szCs w:val="17"/>
          <w:color w:val="auto"/>
        </w:rPr>
        <w:t>In May 2014, the FASB issued ASU 2014-09,</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to achieve a consistent application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revenue recognition, resulting in a single revenue model to be applied by reporting companies under U.S. generally accepted accounting principles. Under the new model, recognition of revenue occurs when a customer obtains control of promised goods or services in an amount that reflects the consideration to which the providing entity expects to be entitled in exchange for those goods or services. As a result of the adoption of ASU 2014-09, at the beginning of the first quarter of fiscal 2019, the Company revised its revenue recognition policy. The Company now recognizes revenue upon transfer of control of promised products or services to customers in an amount that reflects the consideration the Company expects to receive in exchange for those products or services. Under ASU 2014-09, the Company recognizes revenue when all of the following criteria are met: (1) the Company has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the Company's shipping terms permit the Company to recognize revenue at point of shipment or delivery. Certain shipping terms require the goods to be through customs or be received by the customer before title passes. In those instances, the Company defers the revenue recognized until title has passed. Shipping costs are charged to cost of sales as incurred. Sales taxes are excluded from revenue.</w:t>
      </w:r>
    </w:p>
    <w:p>
      <w:pPr>
        <w:spacing w:after="0" w:line="12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Substantially all of the Company’s contracts with customers contain a single performance obligation, the sale of mixed-signal integrated circuit (IC)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As allowed under ASU 2014-09, the Company has opted to not disclose the amount of unsatisfied performance obligations as these contracts have original expected durations of less than one year. The Company generally offers a twelve-month warranty for its products. The Company’s warranty policy provides for replacement of defective products. Specific accruals are recorded for known product warranty issues.</w:t>
      </w:r>
    </w:p>
    <w:p>
      <w:pPr>
        <w:spacing w:after="0" w:line="138"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i w:val="1"/>
          <w:iCs w:val="1"/>
          <w:color w:val="auto"/>
        </w:rPr>
        <w:t xml:space="preserve">Transaction Price: </w:t>
      </w:r>
      <w:r>
        <w:rPr>
          <w:rFonts w:ascii="Arial" w:cs="Arial" w:eastAsia="Arial" w:hAnsi="Arial"/>
          <w:sz w:val="17"/>
          <w:szCs w:val="17"/>
          <w:color w:val="auto"/>
        </w:rPr>
        <w:t>The transaction price reflects the Company’s expectations about the consideration it will be entitled to receive from the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and may 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the Company will receive is unknown as of the end of a reporting period. Such consideration primarily includes sales made to distributors under agreements that allow certain rights of return, referred to as stock rotation, and credits issued to the distributor due to price protection. Stock rotation allows distributors limited levels of returns in order to reduce the amounts of slow-moving, discontinued or obsolete product from their inventory.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A refund liability for distributor credits covering variable consideration are made based on the Company's estimate of historical experience rates as well as considering economic conditions and contractual terms. To date, actual distributor claims activity has been materially consistent with the provisions the Company has made based on its historical estimates.</w:t>
      </w:r>
    </w:p>
    <w:p>
      <w:pPr>
        <w:spacing w:after="0" w:line="12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Accounts receivable represents the Company’s unconditional right to receive consideration from its customers. Payments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due within 30 to 45 days of invoicing and do not include a significant financing component. To date, there have been no material impairment losses on accounts receivable. There were no material contract assets or contract liabilities recorded on the condensed consolidated balance sheet in any of the periods presented.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 Stock-Based Compensation and Shareholders' Equity</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 summary of the Company’s stock option activity as of May 4, 2019 and changes during the three- and six-month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May 4, 2019</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500" w:type="dxa"/>
            <w:vAlign w:val="bottom"/>
            <w:gridSpan w:val="3"/>
            <w:vMerge w:val="continue"/>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16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Term in Years</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0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February 2, 2019</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6,741</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$60.03</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413</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$108.08</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$52.60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$75.43</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May 4, 2019</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5,822</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$64.99</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$302,503</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Options exercisable at May 4, 2019</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00" w:type="dxa"/>
            <w:vAlign w:val="bottom"/>
            <w:tcBorders>
              <w:bottom w:val="single" w:sz="8" w:color="CCEEFF"/>
            </w:tcBorders>
            <w:gridSpan w:val="3"/>
            <w:vMerge w:val="continue"/>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3,443</w:t>
            </w:r>
          </w:p>
        </w:tc>
        <w:tc>
          <w:tcPr>
            <w:tcW w:w="16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$54.70</w:t>
            </w: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$214,319</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vested or expected to vest at May 4, 2019 (1)</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5,626</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$64.30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$296,225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Six Months Ended May 4, 2019</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58"/>
        </w:trPr>
        <w:tc>
          <w:tcPr>
            <w:tcW w:w="7820" w:type="dxa"/>
            <w:vAlign w:val="bottom"/>
            <w:gridSpan w:val="3"/>
            <w:vMerge w:val="continue"/>
          </w:tcPr>
          <w:p>
            <w:pPr>
              <w:spacing w:after="0"/>
              <w:rPr>
                <w:sz w:val="13"/>
                <w:szCs w:val="13"/>
                <w:color w:val="auto"/>
              </w:rPr>
            </w:pPr>
          </w:p>
        </w:tc>
        <w:tc>
          <w:tcPr>
            <w:tcW w:w="1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November 3, 2018</w:t>
            </w:r>
          </w:p>
        </w:tc>
        <w:tc>
          <w:tcPr>
            <w:tcW w:w="1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7,297</w:t>
            </w:r>
          </w:p>
        </w:tc>
        <w:tc>
          <w:tcPr>
            <w:tcW w:w="1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56"/>
              <w:spacing w:after="0"/>
              <w:rPr>
                <w:sz w:val="20"/>
                <w:szCs w:val="20"/>
                <w:color w:val="auto"/>
              </w:rPr>
            </w:pPr>
            <w:r>
              <w:rPr>
                <w:rFonts w:ascii="Arial" w:cs="Arial" w:eastAsia="Arial" w:hAnsi="Arial"/>
                <w:sz w:val="18"/>
                <w:szCs w:val="18"/>
                <w:color w:val="auto"/>
              </w:rPr>
              <w:t>439</w:t>
            </w:r>
          </w:p>
        </w:tc>
        <w:tc>
          <w:tcPr>
            <w:tcW w:w="1780" w:type="dxa"/>
            <w:vAlign w:val="bottom"/>
            <w:gridSpan w:val="2"/>
          </w:tcPr>
          <w:p>
            <w:pPr>
              <w:jc w:val="right"/>
              <w:ind w:right="48"/>
              <w:spacing w:after="0"/>
              <w:rPr>
                <w:sz w:val="20"/>
                <w:szCs w:val="20"/>
                <w:color w:val="auto"/>
              </w:rPr>
            </w:pPr>
            <w:r>
              <w:rPr>
                <w:rFonts w:ascii="Arial" w:cs="Arial" w:eastAsia="Arial" w:hAnsi="Arial"/>
                <w:sz w:val="18"/>
                <w:szCs w:val="18"/>
                <w:color w:val="auto"/>
              </w:rPr>
              <w:t>$107.08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(103)</w:t>
            </w:r>
          </w:p>
        </w:tc>
        <w:tc>
          <w:tcPr>
            <w:tcW w:w="1780" w:type="dxa"/>
            <w:vAlign w:val="bottom"/>
            <w:gridSpan w:val="2"/>
          </w:tcPr>
          <w:p>
            <w:pPr>
              <w:jc w:val="right"/>
              <w:ind w:right="48"/>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57"/>
        </w:trPr>
        <w:tc>
          <w:tcPr>
            <w:tcW w:w="7820" w:type="dxa"/>
            <w:vAlign w:val="bottom"/>
            <w:gridSpan w:val="3"/>
          </w:tcPr>
          <w:p>
            <w:pPr>
              <w:ind w:left="40"/>
              <w:spacing w:after="0"/>
              <w:rPr>
                <w:sz w:val="20"/>
                <w:szCs w:val="20"/>
                <w:color w:val="auto"/>
              </w:rPr>
            </w:pPr>
            <w:r>
              <w:rPr>
                <w:rFonts w:ascii="Arial" w:cs="Arial" w:eastAsia="Arial" w:hAnsi="Arial"/>
                <w:sz w:val="18"/>
                <w:szCs w:val="18"/>
                <w:b w:val="1"/>
                <w:bCs w:val="1"/>
                <w:color w:val="auto"/>
              </w:rPr>
              <w:t>Options outstanding at May 4, 2019</w:t>
            </w:r>
          </w:p>
        </w:tc>
        <w:tc>
          <w:tcPr>
            <w:tcW w:w="17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5,822</w:t>
            </w:r>
          </w:p>
        </w:tc>
        <w:tc>
          <w:tcPr>
            <w:tcW w:w="1780" w:type="dxa"/>
            <w:vAlign w:val="bottom"/>
            <w:gridSpan w:val="2"/>
          </w:tcPr>
          <w:p>
            <w:pPr>
              <w:jc w:val="right"/>
              <w:ind w:right="48"/>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0" w:right="120" w:firstLine="405"/>
        <w:spacing w:after="0" w:line="286" w:lineRule="auto"/>
        <w:rPr>
          <w:sz w:val="20"/>
          <w:szCs w:val="20"/>
          <w:color w:val="auto"/>
        </w:rPr>
      </w:pPr>
      <w:r>
        <w:rPr>
          <w:rFonts w:ascii="Arial" w:cs="Arial" w:eastAsia="Arial" w:hAnsi="Arial"/>
          <w:sz w:val="17"/>
          <w:szCs w:val="17"/>
          <w:color w:val="auto"/>
        </w:rPr>
        <w:t>During the three- and six-month periods ended May 4, 2019, the total intrinsic value of options exercised (i.e., the difference between the market price at exercise and the price paid by the employee to exercise the options) was $72.6 million and $99.7 million, respectively, and the total amount of proceeds received by the Company from the exercise of these options was $67.7 million and $86.9 million, respectively.</w:t>
      </w:r>
    </w:p>
    <w:p>
      <w:pPr>
        <w:spacing w:after="0" w:line="111" w:lineRule="exact"/>
        <w:rPr>
          <w:sz w:val="20"/>
          <w:szCs w:val="20"/>
          <w:color w:val="auto"/>
        </w:rPr>
      </w:pPr>
    </w:p>
    <w:p>
      <w:pPr>
        <w:ind w:left="60" w:right="120" w:firstLine="405"/>
        <w:spacing w:after="0" w:line="286" w:lineRule="auto"/>
        <w:rPr>
          <w:sz w:val="20"/>
          <w:szCs w:val="20"/>
          <w:color w:val="auto"/>
        </w:rPr>
      </w:pPr>
      <w:r>
        <w:rPr>
          <w:rFonts w:ascii="Arial" w:cs="Arial" w:eastAsia="Arial" w:hAnsi="Arial"/>
          <w:sz w:val="17"/>
          <w:szCs w:val="17"/>
          <w:color w:val="auto"/>
        </w:rPr>
        <w:t>During the three- and six-month periods ended May 5, 2018, the total intrinsic value of options exercised (i.e., the difference between the market price at exercise and the price paid by the employee to exercise the options) was $28.7 million and $82.5 million, respectively, and the total amount of proceeds received by the Company from the exercise of these options was $27.7 million and $65.6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2" w:name="page13"/>
    <w:bookmarkEnd w:id="12"/>
    <w:p>
      <w:pPr>
        <w:ind w:left="60" w:right="80" w:firstLine="405"/>
        <w:spacing w:after="0" w:line="277" w:lineRule="auto"/>
        <w:rPr>
          <w:sz w:val="20"/>
          <w:szCs w:val="20"/>
          <w:color w:val="auto"/>
        </w:rPr>
      </w:pPr>
      <w:r>
        <w:rPr>
          <w:rFonts w:ascii="Arial" w:cs="Arial" w:eastAsia="Arial" w:hAnsi="Arial"/>
          <w:sz w:val="18"/>
          <w:szCs w:val="18"/>
          <w:color w:val="auto"/>
        </w:rPr>
        <w:t>A summary of the Company’s restricted stock unit/award activity as of May 4, 2019 and changes during the three- and six-month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Units/Awards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May 4, 2019</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units/awards outstanding at February 2, 2019</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4,985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Units/Awards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1,144</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(77)</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units/awards outstanding at May 4, 2019</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4,978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Units/Awards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Six Months Ended May 4, 2019</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units/awards outstanding at November 3, 2018</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5,289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Units/Awards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1,200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(180)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units/awards outstanding at May 4, 2019</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4,978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May 4, 2019, there was $395.6 million of total unrecognized compensation cost related to unvested stock-based awards comprised of stock options and restricted stock units/awards. That cost is expected to be recognized over a weighted-average period of 1.6 years. The total grant-date fair value of shares that vested during the three- and six-month periods ended May 4, 2019 was approximately $87.1 million and $106.4 million, respectively. The total grant-date fair value of shares that vested during the three- and six-month periods ended May 5, 2018 was approximately $64.1 million and $84.5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71"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As of May 4, 2019, the Company had repurchased a total of approximately 152.0 million shares of its common stock for approximately $5.8 billion under the Company's share repurchase program. As of May 4, 2019, an additional $2.3 billion remains available for repurchase of shares under the current authorized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Accumulated Other Comprehensive Income (Loss)</w:t>
      </w:r>
    </w:p>
    <w:p>
      <w:pPr>
        <w:spacing w:after="0" w:line="17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provides the changes in accumulated other comprehensive income (loss) (OCI) by component and the related tax effects during the first six months of fiscal 2019.</w:t>
      </w:r>
    </w:p>
    <w:p>
      <w:pPr>
        <w:spacing w:after="0" w:line="117"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7"/>
                <w:szCs w:val="17"/>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Unrealized holding</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gains (losses) on</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holding gains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available for sale</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(losses) on</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adjustment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securities</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derivatives</w:t>
            </w:r>
          </w:p>
        </w:tc>
        <w:tc>
          <w:tcPr>
            <w:tcW w:w="14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November 3, 2018</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vMerge w:val="continue"/>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(58,440)</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(53,345)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out of other comprehensive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0" w:type="dxa"/>
            <w:vAlign w:val="bottom"/>
          </w:tcPr>
          <w:p>
            <w:pPr>
              <w:spacing w:after="0"/>
              <w:rPr>
                <w:sz w:val="1"/>
                <w:szCs w:val="1"/>
                <w:color w:val="auto"/>
              </w:rPr>
            </w:pPr>
          </w:p>
        </w:tc>
      </w:tr>
      <w:tr>
        <w:trPr>
          <w:trHeight w:val="257"/>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May 4,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(96,021)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12</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3" w:name="page14"/>
    <w:bookmarkEnd w:id="13"/>
    <w:p>
      <w:pPr>
        <w:ind w:right="140" w:firstLine="405"/>
        <w:spacing w:after="0" w:line="277" w:lineRule="auto"/>
        <w:rPr>
          <w:sz w:val="20"/>
          <w:szCs w:val="20"/>
          <w:color w:val="auto"/>
        </w:rPr>
      </w:pPr>
      <w:r>
        <w:rPr>
          <w:rFonts w:ascii="Arial" w:cs="Arial" w:eastAsia="Arial" w:hAnsi="Arial"/>
          <w:sz w:val="18"/>
          <w:szCs w:val="18"/>
          <w:color w:val="auto"/>
        </w:rPr>
        <w:t>The amounts reclassified out of accumulated OCI into the Condensed Consolidated Statement of Income with presentation location during each period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w w:val="95"/>
              </w:rPr>
              <w:t>Comprehensive Income Component</w:t>
            </w:r>
          </w:p>
        </w:tc>
        <w:tc>
          <w:tcPr>
            <w:tcW w:w="22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4, 2019</w:t>
            </w:r>
          </w:p>
        </w:tc>
        <w:tc>
          <w:tcPr>
            <w:tcW w:w="2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5, 2018</w:t>
            </w:r>
          </w:p>
        </w:tc>
        <w:tc>
          <w:tcPr>
            <w:tcW w:w="22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2019</w:t>
            </w:r>
          </w:p>
        </w:tc>
        <w:tc>
          <w:tcPr>
            <w:tcW w:w="220" w:type="dxa"/>
            <w:vAlign w:val="bottom"/>
          </w:tcPr>
          <w:p>
            <w:pPr>
              <w:spacing w:after="0"/>
              <w:rPr>
                <w:sz w:val="22"/>
                <w:szCs w:val="22"/>
                <w:color w:val="auto"/>
              </w:rPr>
            </w:pPr>
          </w:p>
        </w:tc>
        <w:tc>
          <w:tcPr>
            <w:tcW w:w="1160" w:type="dxa"/>
            <w:vAlign w:val="bottom"/>
          </w:tcPr>
          <w:p>
            <w:pPr>
              <w:jc w:val="right"/>
              <w:ind w:right="231"/>
              <w:spacing w:after="0"/>
              <w:rPr>
                <w:sz w:val="20"/>
                <w:szCs w:val="20"/>
                <w:color w:val="auto"/>
              </w:rPr>
            </w:pPr>
            <w:r>
              <w:rPr>
                <w:rFonts w:ascii="Arial" w:cs="Arial" w:eastAsia="Arial" w:hAnsi="Arial"/>
                <w:sz w:val="14"/>
                <w:szCs w:val="14"/>
                <w:b w:val="1"/>
                <w:bCs w:val="1"/>
                <w:color w:val="auto"/>
              </w:rPr>
              <w:t>May 5, 2018</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50"/>
        </w:trPr>
        <w:tc>
          <w:tcPr>
            <w:tcW w:w="4500" w:type="dxa"/>
            <w:vAlign w:val="bottom"/>
            <w:tcBorders>
              <w:top w:val="single" w:sz="8" w:color="auto"/>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Unrealized holding losses (gains) on derivatives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20"/>
              <w:spacing w:after="0"/>
              <w:rPr>
                <w:sz w:val="20"/>
                <w:szCs w:val="20"/>
                <w:color w:val="auto"/>
              </w:rPr>
            </w:pPr>
            <w:r>
              <w:rPr>
                <w:rFonts w:ascii="Arial" w:cs="Arial" w:eastAsia="Arial" w:hAnsi="Arial"/>
                <w:sz w:val="18"/>
                <w:szCs w:val="18"/>
                <w:color w:val="auto"/>
              </w:rPr>
              <w:t>Currency forwards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(1,865)</w:t>
            </w:r>
          </w:p>
        </w:tc>
        <w:tc>
          <w:tcPr>
            <w:tcW w:w="260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w w:val="99"/>
              </w:rPr>
              <w:t>Selling, marketing, general and</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(1,756)</w:t>
            </w:r>
          </w:p>
        </w:tc>
        <w:tc>
          <w:tcPr>
            <w:tcW w:w="2600" w:type="dxa"/>
            <w:vAlign w:val="bottom"/>
          </w:tcPr>
          <w:p>
            <w:pPr>
              <w:ind w:left="1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rate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(5,247)</w:t>
            </w:r>
          </w:p>
        </w:tc>
        <w:tc>
          <w:tcPr>
            <w:tcW w:w="2600" w:type="dxa"/>
            <w:vAlign w:val="bottom"/>
          </w:tcPr>
          <w:p>
            <w:pPr>
              <w:ind w:left="1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(4,772)</w:t>
            </w:r>
          </w:p>
        </w:tc>
        <w:tc>
          <w:tcPr>
            <w:tcW w:w="2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Amortization of pension components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Transition obligation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3000" w:type="dxa"/>
            <w:vAlign w:val="bottom"/>
          </w:tcPr>
          <w:p>
            <w:pPr>
              <w:ind w:left="260"/>
              <w:spacing w:after="0"/>
              <w:rPr>
                <w:sz w:val="20"/>
                <w:szCs w:val="20"/>
                <w:color w:val="auto"/>
              </w:rPr>
            </w:pPr>
            <w:r>
              <w:rPr>
                <w:rFonts w:ascii="Arial" w:cs="Arial" w:eastAsia="Arial" w:hAnsi="Arial"/>
                <w:sz w:val="18"/>
                <w:szCs w:val="18"/>
                <w:color w:val="auto"/>
              </w:rPr>
              <w:t>Prior service credit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600" w:type="dxa"/>
            <w:vAlign w:val="bottom"/>
          </w:tcPr>
          <w:p>
            <w:pPr>
              <w:ind w:left="1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losses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837</w:t>
            </w:r>
          </w:p>
        </w:tc>
        <w:tc>
          <w:tcPr>
            <w:tcW w:w="2600" w:type="dxa"/>
            <w:vAlign w:val="bottom"/>
          </w:tcPr>
          <w:p>
            <w:pPr>
              <w:ind w:left="1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635</w:t>
            </w:r>
          </w:p>
        </w:tc>
        <w:tc>
          <w:tcPr>
            <w:tcW w:w="2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311"/>
        </w:trPr>
        <w:tc>
          <w:tcPr>
            <w:tcW w:w="3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Total amounts reclassified out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0"/>
              <w:spacing w:after="0"/>
              <w:rPr>
                <w:sz w:val="20"/>
                <w:szCs w:val="20"/>
                <w:color w:val="auto"/>
              </w:rPr>
            </w:pPr>
            <w:r>
              <w:rPr>
                <w:rFonts w:ascii="Arial" w:cs="Arial" w:eastAsia="Arial" w:hAnsi="Arial"/>
                <w:sz w:val="18"/>
                <w:szCs w:val="18"/>
                <w:color w:val="auto"/>
              </w:rPr>
              <w:t>accumulated other comprehensive</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(4,137)</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income (loss), net of tax</w:t>
            </w:r>
          </w:p>
        </w:tc>
        <w:tc>
          <w:tcPr>
            <w:tcW w:w="2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8890</wp:posOffset>
            </wp:positionV>
            <wp:extent cx="3696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-130175</wp:posOffset>
            </wp:positionV>
            <wp:extent cx="3696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ind w:left="660" w:right="600" w:hanging="4"/>
        <w:spacing w:after="0" w:line="255" w:lineRule="auto"/>
        <w:tabs>
          <w:tab w:leader="none" w:pos="9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amortization of pension components is included in the computation of net periodic pension cost. For further information see Note 11, </w:t>
      </w:r>
      <w:r>
        <w:rPr>
          <w:rFonts w:ascii="Arial" w:cs="Arial" w:eastAsia="Arial" w:hAnsi="Arial"/>
          <w:sz w:val="18"/>
          <w:szCs w:val="18"/>
          <w:i w:val="1"/>
          <w:iCs w:val="1"/>
          <w:color w:val="auto"/>
        </w:rPr>
        <w:t>Retirement Plans</w:t>
      </w:r>
      <w:r>
        <w:rPr>
          <w:rFonts w:ascii="Arial" w:cs="Arial" w:eastAsia="Arial" w:hAnsi="Arial"/>
          <w:sz w:val="18"/>
          <w:szCs w:val="18"/>
          <w:color w:val="auto"/>
        </w:rPr>
        <w:t>, in the Notes to Consolidated Financial Statements in Item 8 of the Annual Report on Form 10-K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 2018.</w:t>
      </w:r>
    </w:p>
    <w:p>
      <w:pPr>
        <w:spacing w:after="0" w:line="136"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Company estimates $2.3 million, net of tax, of losses of forward foreign currency derivative instruments included in OCI will be reclassified into earnings within the next 12 months. There was no material ineffectiveness recorded within OCI related to designated forward foreign currency derivative instruments in the three- and six-month periods ended May 4, 2019 and May 5, 2018.</w:t>
      </w:r>
    </w:p>
    <w:p>
      <w:pPr>
        <w:spacing w:after="0" w:line="12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As of May 4, 2019, the Company held 10 investment securities, 1 of which was in an unrealized loss position with immaterial gross unrealized losses and an aggregate fair value of $25.0 million. As of November 3, 2018, the Company held 15 investment securities, 15 of which were in an unrealized loss position with immaterial gross unrealized losses and an aggregate fair value of $205.0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May 4, 2019 and November 3, 2018.</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expense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Unvested restricted stock awards that entitle recipients to voting and nonforfeitable dividend rights from the date of grant are considered participating securities and the two-class method is used for purposes of calculating earnings per share. Under the two-class method, a portion of net income is allocated to these participating securities and therefore is excluded from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ind w:right="560"/>
        <w:spacing w:after="0" w:line="277" w:lineRule="auto"/>
        <w:rPr>
          <w:sz w:val="20"/>
          <w:szCs w:val="20"/>
          <w:color w:val="auto"/>
        </w:rPr>
      </w:pPr>
      <w:r>
        <w:rPr>
          <w:rFonts w:ascii="Arial" w:cs="Arial" w:eastAsia="Arial" w:hAnsi="Arial"/>
          <w:sz w:val="18"/>
          <w:szCs w:val="18"/>
          <w:color w:val="auto"/>
        </w:rPr>
        <w:t>calculation of earnings per share allocated to common stock, as shown in the table below. The difference between the income allocated to participating securities under the basic and diluted two-class methods is not material.</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2019</w:t>
            </w:r>
          </w:p>
        </w:tc>
        <w:tc>
          <w:tcPr>
            <w:tcW w:w="140" w:type="dxa"/>
            <w:vAlign w:val="bottom"/>
          </w:tcPr>
          <w:p>
            <w:pPr>
              <w:spacing w:after="0"/>
              <w:rPr>
                <w:sz w:val="22"/>
                <w:szCs w:val="22"/>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May 5, 2018 (1)</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2019</w:t>
            </w:r>
          </w:p>
        </w:tc>
        <w:tc>
          <w:tcPr>
            <w:tcW w:w="140" w:type="dxa"/>
            <w:vAlign w:val="bottom"/>
          </w:tcPr>
          <w:p>
            <w:pPr>
              <w:spacing w:after="0"/>
              <w:rPr>
                <w:sz w:val="22"/>
                <w:szCs w:val="22"/>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May 5, 2018 (1)</w:t>
            </w:r>
          </w:p>
        </w:tc>
        <w:tc>
          <w:tcPr>
            <w:tcW w:w="0" w:type="dxa"/>
            <w:vAlign w:val="bottom"/>
          </w:tcPr>
          <w:p>
            <w:pPr>
              <w:spacing w:after="0"/>
              <w:rPr>
                <w:sz w:val="1"/>
                <w:szCs w:val="1"/>
                <w:color w:val="auto"/>
              </w:rPr>
            </w:pPr>
          </w:p>
        </w:tc>
      </w:tr>
      <w:tr>
        <w:trPr>
          <w:trHeight w:val="324"/>
        </w:trPr>
        <w:tc>
          <w:tcPr>
            <w:tcW w:w="606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367,937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400,328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722,943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693,568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allocated to participating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367,029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398,796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721,011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690,741</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369,246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370,384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368,974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369,685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Earnings per common share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shares: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369,246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370,384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368,974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369,685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common and common equivalent shares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373,342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374,778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372,912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374,430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Earnings per common share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shares related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share-based awards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340" w:firstLine="8"/>
        <w:spacing w:after="0" w:line="26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these Notes to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7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12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is a roll-forward from November 3, 2018 to May 4, 2019 of the employee separation and exit cost accruals established related to these 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Closure of Manufacturing</w:t>
            </w: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Reduction of Operating</w:t>
            </w:r>
          </w:p>
        </w:tc>
        <w:tc>
          <w:tcPr>
            <w:tcW w:w="140" w:type="dxa"/>
            <w:vAlign w:val="bottom"/>
          </w:tcPr>
          <w:p>
            <w:pPr>
              <w:spacing w:after="0"/>
              <w:rPr>
                <w:sz w:val="14"/>
                <w:szCs w:val="14"/>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Early Retirement Action</w:t>
            </w:r>
          </w:p>
        </w:tc>
        <w:tc>
          <w:tcPr>
            <w:tcW w:w="180" w:type="dxa"/>
            <w:vAlign w:val="bottom"/>
          </w:tcPr>
          <w:p>
            <w:pPr>
              <w:spacing w:after="0"/>
              <w:rPr>
                <w:sz w:val="14"/>
                <w:szCs w:val="14"/>
                <w:color w:val="auto"/>
              </w:rPr>
            </w:pPr>
          </w:p>
        </w:tc>
        <w:tc>
          <w:tcPr>
            <w:tcW w:w="1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Repositioning Action</w:t>
            </w:r>
          </w:p>
        </w:tc>
        <w:tc>
          <w:tcPr>
            <w:tcW w:w="0" w:type="dxa"/>
            <w:vAlign w:val="bottom"/>
          </w:tcPr>
          <w:p>
            <w:pPr>
              <w:spacing w:after="0"/>
              <w:rPr>
                <w:sz w:val="1"/>
                <w:szCs w:val="1"/>
                <w:color w:val="auto"/>
              </w:rPr>
            </w:pPr>
          </w:p>
        </w:tc>
      </w:tr>
      <w:tr>
        <w:trPr>
          <w:trHeight w:val="158"/>
        </w:trPr>
        <w:tc>
          <w:tcPr>
            <w:tcW w:w="37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Facilities</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Costs Action</w:t>
            </w:r>
          </w:p>
        </w:tc>
        <w:tc>
          <w:tcPr>
            <w:tcW w:w="14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November 3,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First quarter fiscal 2019 special charges</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 and other payments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Non-cash impairment charge</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February 2,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44,087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Second quarter fiscal 2019 special charges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Severance and other payments</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May 4,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48,662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 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15,013</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48,662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46"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Repositioning Action</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During the first and second quarters of fiscal 2019, the Company recorded special charges of $20.7 million and $3.6 million, respectively, as a result of organizational initiatives to reposition the Company's global workforce skill set to align with the Company's long-term strategic plan. Approximately $19.8 million of the total charges for the first and second quarters of fiscal 2019 were for severance and fringe benefit costs in accordance with either the Company's ongoing benefit plan or statutory requirements for 140 engineering and selling, marketing, general and administrative (SMG&amp;A) employees. As of May 4, 2019, the Company still employed 68 of the 140 employees included in this action. These employees must continue to be employed by the Company until their employment is involuntarily terminated in order to receive the severance benefits. The remaining $4.4 million of the charges related to the write off of acquired intellectual property during the first quarter of fiscal 2019 due to the Company's decision to discontinue certain product development strategies.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Manufacturing Facilities</w:t>
      </w:r>
    </w:p>
    <w:p>
      <w:pPr>
        <w:spacing w:after="0" w:line="9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Company recorded special charges of $48.7 million on a cumulative basis through May 4, 2019 as a result of its decision to consolidate certain wafer and test facility operations acquired as part of the acquisition of Linear Technology Corporation (Linear). Over the next two to four years, the Company plans to close its Hillview wafer fabrication facility located in Milpitas, California and its Singapore test facility.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in addition to its outsourced assembly and test partners. The special charges include severance and fringe benefit costs, in accordance with the Company's ongoing benefit plan or statutory requirements at foreign locations, and one-time termination benefits for 1,249 manufacturing, engineering and SMG&amp;A employees.</w:t>
      </w:r>
    </w:p>
    <w:p>
      <w:pPr>
        <w:spacing w:after="0" w:line="4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Employees included in this action must continue to be employed by the Company until their employment is terminated in order to receive the severance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75"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Company designs, develops, manufactures and markets a broad range of integrated circuits (ICs). The Company operates and tracks its results in one reportable segment based on the aggregation of eight operating segments. The Chief Executive Officer has been identified as the Company's Chief Operating Decision Maker.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table summarizes revenue by end market for the three- and six-month periods ended May 4, 2019 and May 5, 2018.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5"/>
              </w:rPr>
              <w:t>May 5, 2018</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Revenue (1)</w:t>
            </w:r>
          </w:p>
        </w:tc>
        <w:tc>
          <w:tcPr>
            <w:tcW w:w="100" w:type="dxa"/>
            <w:vAlign w:val="bottom"/>
            <w:vMerge w:val="restart"/>
          </w:tcPr>
          <w:p>
            <w:pPr>
              <w:spacing w:after="0"/>
              <w:rPr>
                <w:sz w:val="13"/>
                <w:szCs w:val="13"/>
                <w:color w:val="auto"/>
              </w:rPr>
            </w:pPr>
          </w:p>
        </w:tc>
        <w:tc>
          <w:tcPr>
            <w:tcW w:w="400" w:type="dxa"/>
            <w:vAlign w:val="bottom"/>
            <w:vMerge w:val="restart"/>
          </w:tcPr>
          <w:p>
            <w:pPr>
              <w:spacing w:after="0"/>
              <w:rPr>
                <w:sz w:val="13"/>
                <w:szCs w:val="13"/>
                <w:color w:val="auto"/>
              </w:rPr>
            </w:pPr>
          </w:p>
        </w:tc>
        <w:tc>
          <w:tcPr>
            <w:tcW w:w="1040" w:type="dxa"/>
            <w:vAlign w:val="bottom"/>
          </w:tcPr>
          <w:p>
            <w:pPr>
              <w:jc w:val="center"/>
              <w:ind w:right="29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763,455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810,732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249,765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250,919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153,745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359,637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ind w:right="4"/>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274,774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1,526,602</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1,563,502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Six Months Ended</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5"/>
              </w:rPr>
              <w:t>May 5, 2018</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Revenue (1)</w:t>
            </w:r>
          </w:p>
        </w:tc>
        <w:tc>
          <w:tcPr>
            <w:tcW w:w="100" w:type="dxa"/>
            <w:vAlign w:val="bottom"/>
            <w:vMerge w:val="restart"/>
          </w:tcPr>
          <w:p>
            <w:pPr>
              <w:spacing w:after="0"/>
              <w:rPr>
                <w:sz w:val="13"/>
                <w:szCs w:val="13"/>
                <w:color w:val="auto"/>
              </w:rPr>
            </w:pPr>
          </w:p>
        </w:tc>
        <w:tc>
          <w:tcPr>
            <w:tcW w:w="400" w:type="dxa"/>
            <w:vAlign w:val="bottom"/>
            <w:vMerge w:val="restart"/>
          </w:tcPr>
          <w:p>
            <w:pPr>
              <w:spacing w:after="0"/>
              <w:rPr>
                <w:sz w:val="13"/>
                <w:szCs w:val="13"/>
                <w:color w:val="auto"/>
              </w:rPr>
            </w:pPr>
          </w:p>
        </w:tc>
        <w:tc>
          <w:tcPr>
            <w:tcW w:w="1040" w:type="dxa"/>
            <w:vAlign w:val="bottom"/>
          </w:tcPr>
          <w:p>
            <w:pPr>
              <w:jc w:val="center"/>
              <w:ind w:right="29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1,488,077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1,590,445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511,319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515,791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362,966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491,711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705,341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580" w:type="dxa"/>
            <w:vAlign w:val="bottom"/>
            <w:gridSpan w:val="2"/>
          </w:tcPr>
          <w:p>
            <w:pPr>
              <w:jc w:val="right"/>
              <w:ind w:right="4"/>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532,425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3,067,703</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3,130,372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63" w:lineRule="exact"/>
        <w:rPr>
          <w:sz w:val="20"/>
          <w:szCs w:val="20"/>
          <w:color w:val="auto"/>
        </w:rPr>
      </w:pPr>
    </w:p>
    <w:p>
      <w:pPr>
        <w:ind w:left="40" w:right="320" w:hanging="5"/>
        <w:spacing w:after="0" w:line="277" w:lineRule="auto"/>
        <w:tabs>
          <w:tab w:leader="none" w:pos="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these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90"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 The following tables summarize revenue by channel for the three- and six-month periods ended May 4, 2019 and May 5,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6"/>
          </w:tcPr>
          <w:p>
            <w:pPr>
              <w:ind w:left="88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May 4, 2019</w:t>
            </w:r>
          </w:p>
        </w:tc>
        <w:tc>
          <w:tcPr>
            <w:tcW w:w="1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May 5, 2018</w:t>
            </w:r>
          </w:p>
        </w:tc>
        <w:tc>
          <w:tcPr>
            <w:tcW w:w="1480" w:type="dxa"/>
            <w:vAlign w:val="bottom"/>
            <w:tcBorders>
              <w:bottom w:val="single" w:sz="8" w:color="auto"/>
            </w:tcBorders>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6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6"/>
              </w:rPr>
              <w:t>Channel</w:t>
            </w:r>
          </w:p>
        </w:tc>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ind w:left="260"/>
              <w:spacing w:after="0"/>
              <w:rPr>
                <w:sz w:val="20"/>
                <w:szCs w:val="20"/>
                <w:color w:val="auto"/>
              </w:rPr>
            </w:pPr>
            <w:r>
              <w:rPr>
                <w:rFonts w:ascii="Arial" w:cs="Arial" w:eastAsia="Arial" w:hAnsi="Arial"/>
                <w:sz w:val="14"/>
                <w:szCs w:val="14"/>
                <w:b w:val="1"/>
                <w:bCs w:val="1"/>
                <w:color w:val="auto"/>
              </w:rPr>
              <w:t>Revenue</w:t>
            </w: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Revenue*</w:t>
            </w:r>
          </w:p>
        </w:tc>
        <w:tc>
          <w:tcPr>
            <w:tcW w:w="540" w:type="dxa"/>
            <w:vAlign w:val="bottom"/>
          </w:tcPr>
          <w:p>
            <w:pPr>
              <w:spacing w:after="0"/>
              <w:rPr>
                <w:sz w:val="17"/>
                <w:szCs w:val="17"/>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Revenue (1)</w:t>
            </w:r>
          </w:p>
        </w:tc>
        <w:tc>
          <w:tcPr>
            <w:tcW w:w="1480" w:type="dxa"/>
            <w:vAlign w:val="bottom"/>
          </w:tcPr>
          <w:p>
            <w:pPr>
              <w:jc w:val="right"/>
              <w:ind w:right="394"/>
              <w:spacing w:after="0"/>
              <w:rPr>
                <w:sz w:val="20"/>
                <w:szCs w:val="20"/>
                <w:color w:val="auto"/>
              </w:rPr>
            </w:pPr>
            <w:r>
              <w:rPr>
                <w:rFonts w:ascii="Arial" w:cs="Arial" w:eastAsia="Arial" w:hAnsi="Arial"/>
                <w:sz w:val="14"/>
                <w:szCs w:val="14"/>
                <w:b w:val="1"/>
                <w:bCs w:val="1"/>
                <w:color w:val="auto"/>
              </w:rPr>
              <w:t>% of Revenue*</w:t>
            </w:r>
          </w:p>
        </w:tc>
      </w:tr>
      <w:tr>
        <w:trPr>
          <w:trHeight w:val="48"/>
        </w:trPr>
        <w:tc>
          <w:tcPr>
            <w:tcW w:w="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0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871,510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869,277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0" w:type="dxa"/>
            <w:vAlign w:val="bottom"/>
          </w:tcPr>
          <w:p>
            <w:pPr>
              <w:spacing w:after="0"/>
              <w:rPr>
                <w:sz w:val="21"/>
                <w:szCs w:val="21"/>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638,277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675,188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19,037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1,526,602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1,563,502</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May 4, 2019</w:t>
            </w:r>
          </w:p>
        </w:tc>
        <w:tc>
          <w:tcPr>
            <w:tcW w:w="1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May 5, 2018</w:t>
            </w:r>
          </w:p>
        </w:tc>
        <w:tc>
          <w:tcPr>
            <w:tcW w:w="1480" w:type="dxa"/>
            <w:vAlign w:val="bottom"/>
            <w:tcBorders>
              <w:bottom w:val="single" w:sz="8" w:color="auto"/>
            </w:tcBorders>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6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6"/>
              </w:rPr>
              <w:t>Channel</w:t>
            </w:r>
          </w:p>
        </w:tc>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ind w:left="260"/>
              <w:spacing w:after="0"/>
              <w:rPr>
                <w:sz w:val="20"/>
                <w:szCs w:val="20"/>
                <w:color w:val="auto"/>
              </w:rPr>
            </w:pPr>
            <w:r>
              <w:rPr>
                <w:rFonts w:ascii="Arial" w:cs="Arial" w:eastAsia="Arial" w:hAnsi="Arial"/>
                <w:sz w:val="14"/>
                <w:szCs w:val="14"/>
                <w:b w:val="1"/>
                <w:bCs w:val="1"/>
                <w:color w:val="auto"/>
              </w:rPr>
              <w:t>Revenue</w:t>
            </w: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Revenue*</w:t>
            </w:r>
          </w:p>
        </w:tc>
        <w:tc>
          <w:tcPr>
            <w:tcW w:w="540" w:type="dxa"/>
            <w:vAlign w:val="bottom"/>
          </w:tcPr>
          <w:p>
            <w:pPr>
              <w:spacing w:after="0"/>
              <w:rPr>
                <w:sz w:val="17"/>
                <w:szCs w:val="17"/>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Revenue (1)</w:t>
            </w:r>
          </w:p>
        </w:tc>
        <w:tc>
          <w:tcPr>
            <w:tcW w:w="1480" w:type="dxa"/>
            <w:vAlign w:val="bottom"/>
          </w:tcPr>
          <w:p>
            <w:pPr>
              <w:jc w:val="right"/>
              <w:ind w:right="394"/>
              <w:spacing w:after="0"/>
              <w:rPr>
                <w:sz w:val="20"/>
                <w:szCs w:val="20"/>
                <w:color w:val="auto"/>
              </w:rPr>
            </w:pPr>
            <w:r>
              <w:rPr>
                <w:rFonts w:ascii="Arial" w:cs="Arial" w:eastAsia="Arial" w:hAnsi="Arial"/>
                <w:sz w:val="14"/>
                <w:szCs w:val="14"/>
                <w:b w:val="1"/>
                <w:bCs w:val="1"/>
                <w:color w:val="auto"/>
              </w:rPr>
              <w:t>% of Revenue*</w:t>
            </w:r>
          </w:p>
        </w:tc>
      </w:tr>
      <w:tr>
        <w:trPr>
          <w:trHeight w:val="48"/>
        </w:trPr>
        <w:tc>
          <w:tcPr>
            <w:tcW w:w="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0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1,700,753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1,734,289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0" w:type="dxa"/>
            <w:vAlign w:val="bottom"/>
          </w:tcPr>
          <w:p>
            <w:pPr>
              <w:spacing w:after="0"/>
              <w:rPr>
                <w:sz w:val="21"/>
                <w:szCs w:val="21"/>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1,333,766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1,348,591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47,492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3,067,703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3,130,372</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63" w:lineRule="exact"/>
        <w:rPr>
          <w:sz w:val="20"/>
          <w:szCs w:val="20"/>
          <w:color w:val="auto"/>
        </w:rPr>
      </w:pPr>
    </w:p>
    <w:p>
      <w:pPr>
        <w:ind w:left="40" w:right="320" w:hanging="5"/>
        <w:spacing w:after="0" w:line="277"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these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 Fair Value</w:t>
      </w:r>
    </w:p>
    <w:p>
      <w:pPr>
        <w:spacing w:after="0" w:line="17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tables below, set forth by level, presents the Company’s financial assets and liabilities, excluding accrued interest components that were accounted for at fair value on a recurring basis as of May 4, 2019 and November 3, 2018. The tables exclude cash on hand and assets and liabilities that are measured at historical cost or any basis other than fair value. As of May 4, 2019 and November 3, 2018, the Company held $233.6 million and $217.6 million, respectively, of cash and held-to-maturity investments that were excluded from the tables below.</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equivalents: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Government and institutional money market funds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Corporate obligations (1)</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assets:</w:t>
      </w:r>
    </w:p>
    <w:p>
      <w:pPr>
        <w:spacing w:after="0" w:line="67" w:lineRule="exact"/>
        <w:rPr>
          <w:sz w:val="20"/>
          <w:szCs w:val="20"/>
          <w:color w:val="auto"/>
        </w:rPr>
      </w:pPr>
    </w:p>
    <w:p>
      <w:pPr>
        <w:ind w:left="40" w:right="2020" w:firstLine="351"/>
        <w:spacing w:after="0" w:line="367" w:lineRule="auto"/>
        <w:rPr>
          <w:sz w:val="20"/>
          <w:szCs w:val="20"/>
          <w:color w:val="auto"/>
        </w:rPr>
      </w:pPr>
      <w:r>
        <w:rPr>
          <w:rFonts w:ascii="Arial" w:cs="Arial" w:eastAsia="Arial" w:hAnsi="Arial"/>
          <w:sz w:val="16"/>
          <w:szCs w:val="16"/>
          <w:color w:val="auto"/>
        </w:rPr>
        <w:t xml:space="preserve">Deferred compensation investments </w:t>
      </w:r>
      <w:r>
        <w:rPr>
          <w:rFonts w:ascii="Arial" w:cs="Arial" w:eastAsia="Arial" w:hAnsi="Arial"/>
          <w:sz w:val="16"/>
          <w:szCs w:val="16"/>
          <w:b w:val="1"/>
          <w:bCs w:val="1"/>
          <w:color w:val="auto"/>
        </w:rPr>
        <w:t>Total assets measured at fair value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Forward foreign currency exchange contracts (2)</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rate derivatives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liabilities measured at fair value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May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Quoted Prices in Active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Significant Other</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342900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370,220</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370,220</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109,819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109,819</w:t>
            </w:r>
          </w:p>
        </w:tc>
      </w:tr>
      <w:tr>
        <w:trPr>
          <w:trHeight w:val="540"/>
        </w:trPr>
        <w:tc>
          <w:tcPr>
            <w:tcW w:w="6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43,720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43,720</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413,940</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109,819</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523,759</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94"/>
        </w:trPr>
        <w:tc>
          <w:tcPr>
            <w:tcW w:w="6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3,542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3,542</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51,644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51,644</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55,186</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55,186</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-1440180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-1097280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-736600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1013" w:right="239" w:bottom="1440" w:gutter="0" w:footer="0" w:header="0"/>
          <w:type w:val="continuous"/>
        </w:sectPr>
      </w:pPr>
    </w:p>
    <w:p>
      <w:pPr>
        <w:spacing w:after="0" w:line="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May 4, 2019 was $109.8 million.</w:t>
      </w:r>
    </w:p>
    <w:p>
      <w:pPr>
        <w:spacing w:after="0" w:line="23" w:lineRule="exact"/>
        <w:rPr>
          <w:rFonts w:ascii="Arial" w:cs="Arial" w:eastAsia="Arial" w:hAnsi="Arial"/>
          <w:sz w:val="18"/>
          <w:szCs w:val="18"/>
          <w:color w:val="auto"/>
        </w:rPr>
      </w:pPr>
    </w:p>
    <w:p>
      <w:pPr>
        <w:ind w:left="660" w:right="540" w:hanging="328"/>
        <w:spacing w:after="0" w:line="29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13" w:right="239" w:bottom="144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equivalents: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Government and institutional money market funds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Corporate obligations (1)</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assets: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compensation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rate derivatives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 measured at fair value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Forward foreign currency exchange contracts (2)</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liabilities measured at fair value</w:t>
      </w:r>
    </w:p>
    <w:p>
      <w:pPr>
        <w:spacing w:after="0" w:line="20" w:lineRule="exact"/>
        <w:rPr>
          <w:sz w:val="20"/>
          <w:szCs w:val="20"/>
          <w:color w:val="auto"/>
        </w:rPr>
      </w:pPr>
      <w:r>
        <w:rPr>
          <w:sz w:val="20"/>
          <w:szCs w:val="20"/>
          <w:color w:val="auto"/>
        </w:rPr>
        <w:br w:type="column"/>
      </w:r>
    </w:p>
    <w:p>
      <w:pPr>
        <w:ind w:left="2320"/>
        <w:spacing w:after="0"/>
        <w:rPr>
          <w:sz w:val="20"/>
          <w:szCs w:val="20"/>
          <w:color w:val="auto"/>
        </w:rPr>
      </w:pPr>
      <w:r>
        <w:rPr>
          <w:rFonts w:ascii="Arial" w:cs="Arial" w:eastAsia="Arial" w:hAnsi="Arial"/>
          <w:sz w:val="14"/>
          <w:szCs w:val="14"/>
          <w:b w:val="1"/>
          <w:bCs w:val="1"/>
          <w:color w:val="auto"/>
        </w:rPr>
        <w:t>November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3926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Quoted Prices in Active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Significant Other</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342900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394,076</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394,076</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204,886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204,886</w:t>
            </w:r>
          </w:p>
        </w:tc>
      </w:tr>
      <w:tr>
        <w:trPr>
          <w:trHeight w:val="540"/>
        </w:trPr>
        <w:tc>
          <w:tcPr>
            <w:tcW w:w="6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41,001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41,001</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1,436</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435,077</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206,322</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641,399</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94"/>
        </w:trPr>
        <w:tc>
          <w:tcPr>
            <w:tcW w:w="6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7,150</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7,150</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-1440180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-1097280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-753745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738" w:right="239" w:bottom="1440" w:gutter="0" w:footer="0" w:header="0"/>
        </w:sectPr>
      </w:pPr>
    </w:p>
    <w:p>
      <w:pPr>
        <w:spacing w:after="0" w:line="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3, 2018 was $205.0 million.</w:t>
      </w:r>
    </w:p>
    <w:p>
      <w:pPr>
        <w:spacing w:after="0" w:line="23" w:lineRule="exact"/>
        <w:rPr>
          <w:rFonts w:ascii="Arial" w:cs="Arial" w:eastAsia="Arial" w:hAnsi="Arial"/>
          <w:sz w:val="18"/>
          <w:szCs w:val="18"/>
          <w:color w:val="auto"/>
        </w:rPr>
      </w:pPr>
    </w:p>
    <w:p>
      <w:pPr>
        <w:ind w:left="660" w:right="540" w:hanging="328"/>
        <w:spacing w:after="0" w:line="29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market rates.</w:t>
      </w:r>
    </w:p>
    <w:p>
      <w:pPr>
        <w:spacing w:after="0" w:line="11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the interest rate derivatives is estimated using a discounted cash flow analysis based on the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derivative.</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3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 xml:space="preserve">The table below presents the estimated fair value of certain financial instruments not recorded at fair value on a recurring basis. The carrying amounts of the term loans approximate fair value. The term loans are classified as Level 2 measurements according to the fair value hierarchy. The fair values of the senior unsecured notes are obtained from broker prices and are classified as Level 1 measurements according to the fair value hierarchy. See Note 10, </w:t>
      </w:r>
      <w:r>
        <w:rPr>
          <w:rFonts w:ascii="Arial" w:cs="Arial" w:eastAsia="Arial" w:hAnsi="Arial"/>
          <w:sz w:val="17"/>
          <w:szCs w:val="17"/>
          <w:i w:val="1"/>
          <w:iCs w:val="1"/>
          <w:color w:val="auto"/>
        </w:rPr>
        <w:t>Debt,</w:t>
      </w:r>
      <w:r>
        <w:rPr>
          <w:rFonts w:ascii="Arial" w:cs="Arial" w:eastAsia="Arial" w:hAnsi="Arial"/>
          <w:sz w:val="17"/>
          <w:szCs w:val="17"/>
          <w:color w:val="auto"/>
        </w:rPr>
        <w:t xml:space="preserve"> in these Notes to Condensed Consolidated Financial Statements for further discussion related to outstanding debt.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38"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4, 2019</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November 3, 2018</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Principal Amount</w:t>
            </w:r>
          </w:p>
        </w:tc>
        <w:tc>
          <w:tcPr>
            <w:tcW w:w="400" w:type="dxa"/>
            <w:vAlign w:val="bottom"/>
          </w:tcPr>
          <w:p>
            <w:pPr>
              <w:spacing w:after="0"/>
              <w:rPr>
                <w:sz w:val="13"/>
                <w:szCs w:val="13"/>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Principal Amount</w:t>
            </w:r>
          </w:p>
        </w:tc>
        <w:tc>
          <w:tcPr>
            <w:tcW w:w="300" w:type="dxa"/>
            <w:vAlign w:val="bottom"/>
          </w:tcPr>
          <w:p>
            <w:pPr>
              <w:spacing w:after="0"/>
              <w:rPr>
                <w:sz w:val="13"/>
                <w:szCs w:val="13"/>
                <w:color w:val="auto"/>
              </w:rPr>
            </w:pPr>
          </w:p>
        </w:tc>
        <w:tc>
          <w:tcPr>
            <w:tcW w:w="130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4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3-Year term loan, due March 2020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5-Year term loan, due March 2022</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2.85%</w:t>
            </w: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March 2020</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298,147</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2.90%</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450,564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444,568</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2.50%</w:t>
            </w: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386,375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2.875% Senior unsecured notes, due June 2023</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495,695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479,189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3.125% Senior unsecured notes, due December 2023</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529,120</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3.90%</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874,714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829,611</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3.50%</w:t>
            </w: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848,027</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4.50%</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251,900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232,627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5.30%</w:t>
            </w: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407,984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6,025,000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6,104,878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6,375,000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6,230,648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7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Foreign Exchange Exposure Management </w:t>
      </w:r>
      <w:r>
        <w:rPr>
          <w:rFonts w:ascii="Arial" w:cs="Arial" w:eastAsia="Arial" w:hAnsi="Arial"/>
          <w:sz w:val="17"/>
          <w:szCs w:val="17"/>
          <w:color w:val="auto"/>
        </w:rPr>
        <w:t>— The Company enters into forward foreign currency exchange contracts to offset certain operational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qualitatively evaluated for effectiveness quarterly.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gain or loss on the derivative reported as a component of accumulated OCI in shareholders’ equity and reclassified into earnings in the same period during which the hedged transaction affects earnings.</w:t>
      </w:r>
    </w:p>
    <w:p>
      <w:pPr>
        <w:spacing w:after="0" w:line="1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May 4, 2019 and November 3, 2018 was $197.4 million and $194.4 million, respectively. The fair values of forward foreign currency derivative instruments designated as hedging instruments in the Company’s condensed consolidated balance sheets as of May 4, 2019 and November 3, 2018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4100" w:type="dxa"/>
            <w:vAlign w:val="bottom"/>
            <w:tcBorders>
              <w:bottom w:val="single" w:sz="8" w:color="CCEEFF"/>
            </w:tcBorders>
          </w:tcPr>
          <w:p>
            <w:pPr>
              <w:spacing w:after="0"/>
              <w:rPr>
                <w:sz w:val="22"/>
                <w:szCs w:val="22"/>
                <w:color w:val="auto"/>
              </w:rPr>
            </w:pPr>
          </w:p>
        </w:tc>
        <w:tc>
          <w:tcPr>
            <w:tcW w:w="38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5"/>
              </w:rPr>
              <w:t>November 3, 2018</w:t>
            </w:r>
          </w:p>
        </w:tc>
      </w:tr>
      <w:tr>
        <w:trPr>
          <w:trHeight w:val="243"/>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6,934</w:t>
            </w:r>
          </w:p>
        </w:tc>
      </w:tr>
      <w:tr>
        <w:trPr>
          <w:trHeight w:val="27"/>
        </w:trPr>
        <w:tc>
          <w:tcPr>
            <w:tcW w:w="41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May 4, 2019 and November 3, 2018, the total notional amount of these undesignated hedges was $80.6 million and $40.6 million, respectively. The fair value of these hedging instruments in the Company’s condensed consolidated balance sheets was immaterial as of May 4, 2019 and November 3, 2018.</w:t>
      </w:r>
    </w:p>
    <w:p>
      <w:pPr>
        <w:spacing w:after="0" w:line="119" w:lineRule="exact"/>
        <w:rPr>
          <w:sz w:val="20"/>
          <w:szCs w:val="20"/>
          <w:color w:val="auto"/>
        </w:rPr>
      </w:pPr>
    </w:p>
    <w:p>
      <w:pPr>
        <w:ind w:right="420" w:firstLine="405"/>
        <w:spacing w:after="0" w:line="312" w:lineRule="auto"/>
        <w:rPr>
          <w:sz w:val="20"/>
          <w:szCs w:val="20"/>
          <w:color w:val="auto"/>
        </w:rPr>
      </w:pPr>
      <w:r>
        <w:rPr>
          <w:rFonts w:ascii="Arial" w:cs="Arial" w:eastAsia="Arial" w:hAnsi="Arial"/>
          <w:sz w:val="16"/>
          <w:szCs w:val="16"/>
          <w:color w:val="auto"/>
        </w:rPr>
        <w:t>All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 on a net basis. As of May 4, 2019 and November 3, 2018, none of the netting arrangements involved collateral.</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27" w:right="239" w:bottom="1440" w:gutter="0" w:footer="0" w:header="0"/>
        </w:sectPr>
      </w:pPr>
    </w:p>
    <w:bookmarkStart w:id="20" w:name="page21"/>
    <w:bookmarkEnd w:id="20"/>
    <w:p>
      <w:pPr>
        <w:ind w:right="180"/>
        <w:spacing w:after="0" w:line="277" w:lineRule="auto"/>
        <w:rPr>
          <w:sz w:val="20"/>
          <w:szCs w:val="20"/>
          <w:color w:val="auto"/>
        </w:rPr>
      </w:pPr>
      <w:r>
        <w:rPr>
          <w:rFonts w:ascii="Arial" w:cs="Arial" w:eastAsia="Arial" w:hAnsi="Arial"/>
          <w:sz w:val="18"/>
          <w:szCs w:val="18"/>
          <w:color w:val="auto"/>
        </w:rPr>
        <w:t>The following table presents the gross amounts of the Company's derivative assets and liabilities and the net amounts recorded in the Company's condensed consolidated balance sheet: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4, 2019</w:t>
            </w:r>
          </w:p>
        </w:tc>
        <w:tc>
          <w:tcPr>
            <w:tcW w:w="1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November 3, 2018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Gross amount of recognized liabilities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(8,054)</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recognized assets offset in the condensed consolidated balance sheet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liabilities presented in the condensed consolidated balance sheet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(7,150)</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The Company's current and future debt may be subject to interest rate risk. The Company utilizes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to alter interest rate exposure in an attempt to reduce the effects of these changes. In the first quarter of fiscal 2019, the Company entered into an interest rate swap agreement which locked in the interest rate for up to $1.0 billion in future debt issuances. The interest rate swap agreement was designated and qualified as a cash flow hedge. The fair value of this hedge was $51.6 million as of May 4, 2019 and is included within accrued liabilities in the Company's condensed consolidated balance sheets.</w:t>
      </w:r>
    </w:p>
    <w:p>
      <w:pPr>
        <w:spacing w:after="0" w:line="13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May 4, 2019 and November 3, 2018,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2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Company records the fair value of its derivative financial instruments in its condensed consolidated financial statements in other current assets, other assets, accrued liabilities and other non-current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in the same line item on the condensed consolidated statement of income as the impact of the hedged transaction when the underlying contract matures and, for interest rate exposure derivatives, over the term of the corresponding debt instrument. Changes in the fair values of derivatives not qualifying for hedge accounting are reported in earnings as they occur.</w:t>
      </w:r>
    </w:p>
    <w:p>
      <w:pPr>
        <w:spacing w:after="0" w:line="13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accumulated other comprehensive income into the condensed consolidated statement of income related to forward foreign currency exchange contracts, see Note 4, </w:t>
      </w:r>
      <w:r>
        <w:rPr>
          <w:rFonts w:ascii="Arial" w:cs="Arial" w:eastAsia="Arial" w:hAnsi="Arial"/>
          <w:sz w:val="18"/>
          <w:szCs w:val="18"/>
          <w:i w:val="1"/>
          <w:iCs w:val="1"/>
          <w:color w:val="auto"/>
        </w:rPr>
        <w:t>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(Loss), </w:t>
      </w:r>
      <w:r>
        <w:rPr>
          <w:rFonts w:ascii="Arial" w:cs="Arial" w:eastAsia="Arial" w:hAnsi="Arial"/>
          <w:sz w:val="18"/>
          <w:szCs w:val="18"/>
          <w:color w:val="auto"/>
        </w:rPr>
        <w:t>in these Notes to Condensed Consolidated Financial Statements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13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has a senior unsecured revolving credit facility with certain institutional lenders that expires on July 10, 2020. The agreement for such revolving credit facility (the Credit Agreement) provides that the Company may borrow up to $1.0 billion. In December 2018, the Company borrowed $75.0 million under this revolving credit facility and utilized the proceeds for the repayment of existing indebtedness and working capital requirements. The Company repaid the $75 million plus interest of $0.2 million in January 2019. The Company may borrow under this revolving credit facility in the future and use the proceeds for repayment of existing indebtedness, stock repurchases, acquisitions, capital expenditures, working capital and other lawful corporate purposes.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six-month period ended May 4, 2019, the Company made additional principal payments of $350.0 million on its 3-year unsecured term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amounts were not contractually due under the terms of the loan.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 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May 4, 2019 and November 3,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4, 2019</w:t>
            </w:r>
          </w:p>
        </w:tc>
        <w:tc>
          <w:tcPr>
            <w:tcW w:w="280" w:type="dxa"/>
            <w:vAlign w:val="bottom"/>
          </w:tcPr>
          <w:p>
            <w:pPr>
              <w:spacing w:after="0"/>
              <w:rPr>
                <w:sz w:val="16"/>
                <w:szCs w:val="16"/>
                <w:color w:val="auto"/>
              </w:rPr>
            </w:pPr>
          </w:p>
        </w:tc>
        <w:tc>
          <w:tcPr>
            <w:tcW w:w="1660" w:type="dxa"/>
            <w:vAlign w:val="bottom"/>
          </w:tcPr>
          <w:p>
            <w:pPr>
              <w:jc w:val="right"/>
              <w:ind w:right="334"/>
              <w:spacing w:after="0"/>
              <w:rPr>
                <w:sz w:val="20"/>
                <w:szCs w:val="20"/>
                <w:color w:val="auto"/>
              </w:rPr>
            </w:pPr>
            <w:r>
              <w:rPr>
                <w:rFonts w:ascii="Arial" w:cs="Arial" w:eastAsia="Arial" w:hAnsi="Arial"/>
                <w:sz w:val="14"/>
                <w:szCs w:val="14"/>
                <w:b w:val="1"/>
                <w:bCs w:val="1"/>
                <w:color w:val="auto"/>
              </w:rPr>
              <w:t>November 3,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400,724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375,908</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180,341</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608,085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586,760</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Tax Cuts and Jobs Act of 2017 (Tax Legislation), enacted in December 2017, contains significant changes to U.S. tax law, including lowering the U.S. corporate income tax rate to 21.0%, implementing a territorial tax system, and imposing a one-time tax on deemed repatriated earnings of foreign subsidiaries.</w:t>
      </w:r>
    </w:p>
    <w:p>
      <w:pPr>
        <w:spacing w:after="0" w:line="12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Tax Legislation reduced the U.S. statutory tax rate from 35.0% to 21.0%, effective January 1, 2018, which resulted in a blended statutory income tax rate for the Company of 23.4% for fiscal 2018. For fiscal 2019, the Company’s U.S. statutory income tax rate was reduced to the statutory income tax rate of 21.0%.</w:t>
      </w:r>
    </w:p>
    <w:p>
      <w:pPr>
        <w:spacing w:after="0" w:line="12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 fiscal 2018, the Company recorded a provisional tax benefit of $637.0 million for the re-measurement of deferred tax assets and liabilities based on the rates to which they are expected to reverse in the future, which is generally 21.0%.</w:t>
      </w:r>
    </w:p>
    <w:p>
      <w:pPr>
        <w:spacing w:after="0" w:line="116"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Tax Legislation also implemented a territorial tax system. As part of transitioning to the territorial tax system, the Tax Legislation included a one-time transition tax based on the Company's total post-1986 undistributed foreign earnings and profits that were previously deferred from U.S. income tax. In fiscal 2018, the Company recorded a provisional tax expense amount for the one-time transition tax of $691.0 million, which is comprised of the $755.0 million transition tax liability less a deferred tax liability of $64.0 million that was recorded in prior years. In the first quarter of fiscal 2019, the Company adjusted its provisional net charge by recording an additional tax benefit of $7.5 million for a change to its estimate for the transition tax due to the finalization of the aggregate foreign cash positions.</w:t>
      </w:r>
    </w:p>
    <w:p>
      <w:pPr>
        <w:spacing w:after="0" w:line="139"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The Tax Legislation subjects U.S. corporations to tax on its global intangible low-taxed income (GILTI). Under U.S. GAAP, an accounting policy election can be made to either treat taxes due on the GILTI inclusion as a current period expense or to recognize deferred taxes for temporary basis differences expected to reverse as GILTI in future years. The Company elected the deferral method and recorded the corresponding GILTI deferred tax assets and liabilities on its consolidated balance sheet.</w:t>
      </w:r>
    </w:p>
    <w:p>
      <w:pPr>
        <w:spacing w:after="0" w:line="146" w:lineRule="exact"/>
        <w:rPr>
          <w:sz w:val="20"/>
          <w:szCs w:val="20"/>
          <w:color w:val="auto"/>
        </w:rPr>
      </w:pPr>
    </w:p>
    <w:p>
      <w:pPr>
        <w:ind w:right="40" w:firstLine="392"/>
        <w:spacing w:after="0" w:line="292" w:lineRule="auto"/>
        <w:rPr>
          <w:sz w:val="20"/>
          <w:szCs w:val="20"/>
          <w:color w:val="auto"/>
        </w:rPr>
      </w:pPr>
      <w:r>
        <w:rPr>
          <w:rFonts w:ascii="Arial" w:cs="Arial" w:eastAsia="Arial" w:hAnsi="Arial"/>
          <w:sz w:val="17"/>
          <w:szCs w:val="17"/>
          <w:color w:val="auto"/>
        </w:rPr>
        <w:t>The Company completed its accounting for the income tax effects of the Tax Legislation during the first quarter of 2019, in accordance with the U.S. Securities and Exchange Commission Staff Accounting Bulletin No. 118. As of May 4, 2019, the U.S. Treasury Department and the Internal Revenue Service (IRS) are still in the process of issuing various regulations relating to the Tax Legislation. Furthermore, there is a possibility that Congress could enact technical corrections to the Tax Legislation in the future. Accordingly, future adjustments to the financial statements may be necessary as the regulations are issued and when the Company files its fiscal 2018 tax returns with the IRS and foreign tax authorities.</w:t>
      </w:r>
    </w:p>
    <w:p>
      <w:pPr>
        <w:spacing w:after="0" w:line="161"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(ASU 2016-16). ASU 2016-16 requires an entity to recognize the income tax consequences of an intra-entity transfer of an asset, other than inventory, when the transfer occurs. ASU 2016-16 is effective for fiscal years beginning after December 15, 2017, and interim periods within those fiscal years. The Company adopted ASU 2016-16 in the first quarter of fiscal 2019 using the modified retrospective method with a cumulative-effect adjustment directly to retained earnings. The Company adopted the guidance effective as of November 4, 2018.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and an increase in long-term deferred tax liabilities of $1.3 billion.</w:t>
      </w:r>
    </w:p>
    <w:p>
      <w:pPr>
        <w:spacing w:after="0" w:line="192" w:lineRule="exact"/>
        <w:rPr>
          <w:sz w:val="20"/>
          <w:szCs w:val="20"/>
          <w:color w:val="auto"/>
        </w:rPr>
      </w:pPr>
    </w:p>
    <w:p>
      <w:pPr>
        <w:ind w:right="120" w:firstLine="392"/>
        <w:spacing w:after="0" w:line="264" w:lineRule="auto"/>
        <w:rPr>
          <w:sz w:val="20"/>
          <w:szCs w:val="20"/>
          <w:color w:val="auto"/>
        </w:rPr>
      </w:pPr>
      <w:r>
        <w:rPr>
          <w:rFonts w:ascii="Arial" w:cs="Arial" w:eastAsia="Arial" w:hAnsi="Arial"/>
          <w:sz w:val="18"/>
          <w:szCs w:val="18"/>
          <w:color w:val="auto"/>
        </w:rPr>
        <w:t>The Company has numerous income tax audits ongoing at any time throughout the world, including an Internal Revenue Service audit for Linear’s pre-acquisition fiscal years 2015, 2016 and 2017, various U.S. state and local tax audits, and international audits including the transfer pricing audit in Ireland discussed below.</w:t>
      </w:r>
    </w:p>
    <w:p>
      <w:pPr>
        <w:spacing w:after="0" w:line="12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Except for the Linear pre-acquisition audit, the Company’s U.S. federal tax returns prior to fiscal year 2015 are no longer subject to examination.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ind w:firstLine="392"/>
        <w:spacing w:after="0" w:line="289" w:lineRule="auto"/>
        <w:rPr>
          <w:sz w:val="20"/>
          <w:szCs w:val="20"/>
          <w:color w:val="auto"/>
        </w:rPr>
      </w:pPr>
      <w:r>
        <w:rPr>
          <w:rFonts w:ascii="Arial" w:cs="Arial" w:eastAsia="Arial" w:hAnsi="Arial"/>
          <w:sz w:val="16"/>
          <w:szCs w:val="16"/>
          <w:color w:val="auto"/>
        </w:rPr>
        <w:t>The Company’s Ireland tax returns prior to fiscal 2013 are no longer subject to examination. During the fourth quarter of fiscal 2018, the Company’s Irish tax resident subsidiary received an assessment for fiscal 2013 of approximately €43.0 million, or $48.2 million (as of May 4, 2019), from the Irish Revenue Commissioners (Irish Revenue).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fiscal 2013 or any other periods. The Company intends to vigorously defend its originally filed tax return position and is currently preparing for an appeal with the Irish Tax Appeals Commission, which is the normal process for the resolution of differences between Irish Revenue and taxpayers. If Irish Revenue were ultimately to prevail with respect to its assessment for fiscal 2013, such assessment and any potential impact related to years subsequent to 2013 could have a material unfavorable impact on the Company's income tax expense and net earnings in future periods. Irish Revenue has also commenced a transfer pricing audit of fiscal 2014 through 2017.</w:t>
      </w:r>
    </w:p>
    <w:p>
      <w:pPr>
        <w:spacing w:after="0" w:line="113" w:lineRule="exact"/>
        <w:rPr>
          <w:sz w:val="20"/>
          <w:szCs w:val="20"/>
          <w:color w:val="auto"/>
        </w:rPr>
      </w:pPr>
    </w:p>
    <w:p>
      <w:pPr>
        <w:ind w:firstLine="392"/>
        <w:spacing w:after="0" w:line="286" w:lineRule="auto"/>
        <w:rPr>
          <w:sz w:val="20"/>
          <w:szCs w:val="20"/>
          <w:color w:val="auto"/>
        </w:rPr>
      </w:pPr>
      <w:r>
        <w:rPr>
          <w:rFonts w:ascii="Arial" w:cs="Arial" w:eastAsia="Arial" w:hAnsi="Arial"/>
          <w:sz w:val="17"/>
          <w:szCs w:val="17"/>
          <w:color w:val="auto"/>
        </w:rPr>
        <w:t>Although the Company believes that its estimates of income taxes payable are reasonable, no assurance can be given that the Company will prevail in the matters raised or that the outcome of one or all of these matters will not be different than that which is reflected in the historical income tax provisions and accruals. The Company believes such differences would not have a material impact on the Company’s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 xml:space="preserve">In May 2014, the FASB issued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issued several amendments and updates to the new revenue standard, including guidance related to when an entity should recognize revenue gross as a principal or net as an agent and how an entity should identify performance obligations. The Company adopted ASU 2014-09 in the first quarter of fiscal 2019 using the full retrospective method and restated prior periods. As a result of the adoption of ASU 2014-09 the Company changed its accounting policy for revenue recognition.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and Note 2, </w:t>
      </w:r>
      <w:r>
        <w:rPr>
          <w:rFonts w:ascii="Arial" w:cs="Arial" w:eastAsia="Arial" w:hAnsi="Arial"/>
          <w:sz w:val="16"/>
          <w:szCs w:val="16"/>
          <w:i w:val="1"/>
          <w:iCs w:val="1"/>
          <w:color w:val="auto"/>
        </w:rPr>
        <w:t>Revenue Recognition</w:t>
      </w:r>
      <w:r>
        <w:rPr>
          <w:rFonts w:ascii="Arial" w:cs="Arial" w:eastAsia="Arial" w:hAnsi="Arial"/>
          <w:sz w:val="16"/>
          <w:szCs w:val="16"/>
          <w:color w:val="auto"/>
        </w:rPr>
        <w:t>, in these Notes to Condensed Consolidated Financial Statements for details of the impact of ASU 2014-09 on the Company's financial statements.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2016-16)</w:t>
      </w:r>
      <w:r>
        <w:rPr>
          <w:rFonts w:ascii="Arial" w:cs="Arial" w:eastAsia="Arial" w:hAnsi="Arial"/>
          <w:sz w:val="17"/>
          <w:szCs w:val="17"/>
          <w:i w:val="1"/>
          <w:iCs w:val="1"/>
          <w:color w:val="auto"/>
        </w:rPr>
        <w:t>.</w:t>
      </w:r>
      <w:r>
        <w:rPr>
          <w:rFonts w:ascii="Arial" w:cs="Arial" w:eastAsia="Arial" w:hAnsi="Arial"/>
          <w:sz w:val="17"/>
          <w:szCs w:val="17"/>
          <w:color w:val="auto"/>
        </w:rPr>
        <w:t xml:space="preserve"> ASU 2016-16 requires an entity to recognize the income tax consequences of an intra-entity transfer of an asset, other than inventory, when the transfer occurs. ASU 2016-16 is effective for fiscal years beginning after December 15, 2017, and interim periods within those fiscal years. The Company adopted ASU 2016-16 in the first quarter of fiscal 2019 using the modified retrospective method with a cumulative-effect adjustment directly to retained earnings.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and an increase in long-term deferred tax liabilities of $1.3 billion.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auto"/>
        </w:rPr>
        <w:t>The following standards were adopted during the first quarter of fiscal 2019 and did not have a material impact on the Company's financial position and results of operations:</w:t>
      </w:r>
    </w:p>
    <w:p>
      <w:pPr>
        <w:spacing w:after="0" w:line="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ASU 2016-01, </w:t>
      </w:r>
      <w:r>
        <w:rPr>
          <w:rFonts w:ascii="Arial" w:cs="Arial" w:eastAsia="Arial" w:hAnsi="Arial"/>
          <w:sz w:val="17"/>
          <w:szCs w:val="17"/>
          <w:i w:val="1"/>
          <w:iCs w:val="1"/>
          <w:color w:val="auto"/>
        </w:rPr>
        <w:t>Financial Instruments-Overall (Subtopic 825-10): Recognition and Measurement of Financial Assets and Financial Liabilities</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ASU 2017-09, </w:t>
      </w:r>
      <w:r>
        <w:rPr>
          <w:rFonts w:ascii="Arial" w:cs="Arial" w:eastAsia="Arial" w:hAnsi="Arial"/>
          <w:sz w:val="18"/>
          <w:szCs w:val="18"/>
          <w:i w:val="1"/>
          <w:iCs w:val="1"/>
          <w:color w:val="auto"/>
        </w:rPr>
        <w:t>Compensation-Stock Compensation (Topic 718): Scope of Modification Accounting.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ASU 2017-07, </w:t>
      </w:r>
      <w:r>
        <w:rPr>
          <w:rFonts w:ascii="Arial" w:cs="Arial" w:eastAsia="Arial" w:hAnsi="Arial"/>
          <w:sz w:val="18"/>
          <w:szCs w:val="18"/>
          <w:i w:val="1"/>
          <w:iCs w:val="1"/>
          <w:color w:val="auto"/>
        </w:rPr>
        <w:t>Improving the Presentation of Net Period Pension Cost and Net Period Postretirement Benefit Cost.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46" w:right="259" w:bottom="1440" w:gutter="0" w:footer="0" w:header="0"/>
        </w:sectPr>
      </w:pPr>
    </w:p>
    <w:bookmarkStart w:id="23" w:name="page24"/>
    <w:bookmarkEnd w:id="23"/>
    <w:p>
      <w:pPr>
        <w:jc w:val="right"/>
        <w:ind w:right="9300"/>
        <w:spacing w:after="0"/>
        <w:rPr>
          <w:sz w:val="20"/>
          <w:szCs w:val="20"/>
          <w:color w:val="auto"/>
        </w:rPr>
      </w:pPr>
      <w:r>
        <w:rPr>
          <w:rFonts w:ascii="Arial" w:cs="Arial" w:eastAsia="Arial" w:hAnsi="Arial"/>
          <w:sz w:val="16"/>
          <w:szCs w:val="16"/>
          <w:i w:val="1"/>
          <w:iCs w:val="1"/>
          <w:color w:val="auto"/>
        </w:rPr>
        <w:t>Standards to Be Implemented</w:t>
      </w:r>
    </w:p>
    <w:p>
      <w:pPr>
        <w:spacing w:after="0" w:line="194" w:lineRule="exact"/>
        <w:rPr>
          <w:sz w:val="20"/>
          <w:szCs w:val="20"/>
          <w:color w:val="auto"/>
        </w:rPr>
      </w:pPr>
    </w:p>
    <w:p>
      <w:pPr>
        <w:jc w:val="right"/>
        <w:ind w:right="930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from Accumulated Other Comprehensive Income </w:t>
      </w:r>
      <w:r>
        <w:rPr>
          <w:rFonts w:ascii="Arial" w:cs="Arial" w:eastAsia="Arial" w:hAnsi="Arial"/>
          <w:sz w:val="16"/>
          <w:szCs w:val="16"/>
          <w:color w:val="auto"/>
        </w:rPr>
        <w:t>(ASU 2018-02). ASU 2018-02 allows for reclassification of stranded tax effects resulting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Tax Legislation from accumulated other comprehensive income to retained earnings. ASU 2018-02 is effective for fiscal years beginning after December 15, 2018, with early adoption permitted. ASU 2018-02 is effective for the Company in the first quarter of the fiscal year ending October 31, 2020 (fiscal 2020). The Company is currently evaluating the adoption date and the impact, if any, adoption will have on its financial position and results of operations.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In January 2018, the FASB issued ASU 2018-01, </w:t>
      </w:r>
      <w:r>
        <w:rPr>
          <w:rFonts w:ascii="Arial" w:cs="Arial" w:eastAsia="Arial" w:hAnsi="Arial"/>
          <w:sz w:val="16"/>
          <w:szCs w:val="16"/>
          <w:i w:val="1"/>
          <w:iCs w:val="1"/>
          <w:color w:val="auto"/>
        </w:rPr>
        <w:t>Leases (Topic 842): Land Easement Practical Expedient for Transition to Topic 842</w:t>
      </w:r>
      <w:r>
        <w:rPr>
          <w:rFonts w:ascii="Arial" w:cs="Arial" w:eastAsia="Arial" w:hAnsi="Arial"/>
          <w:sz w:val="16"/>
          <w:szCs w:val="16"/>
          <w:color w:val="auto"/>
        </w:rPr>
        <w:t xml:space="preserve"> (ASU 2018-01). ASU 2018-01 permits an entity to elect an optional transition practical expedient to not evaluate land easements that exist or expired before the entity’s adoption of Topic 842 and that were not previously accounted for as leases under Topic 840. In July 2018, the FASB issued ASU 2018-11, </w:t>
      </w:r>
      <w:r>
        <w:rPr>
          <w:rFonts w:ascii="Arial" w:cs="Arial" w:eastAsia="Arial" w:hAnsi="Arial"/>
          <w:sz w:val="16"/>
          <w:szCs w:val="16"/>
          <w:i w:val="1"/>
          <w:iCs w:val="1"/>
          <w:color w:val="auto"/>
        </w:rPr>
        <w:t>Leases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Targeted Improvements (Topic 842) </w:t>
      </w:r>
      <w:r>
        <w:rPr>
          <w:rFonts w:ascii="Arial" w:cs="Arial" w:eastAsia="Arial" w:hAnsi="Arial"/>
          <w:sz w:val="16"/>
          <w:szCs w:val="16"/>
          <w:color w:val="auto"/>
        </w:rPr>
        <w:t>(ASU 2018-11), which provides for an additional transition method that allows companies to apply the new lease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adoption date, eliminating the requirement to apply the standard to the earliest period presented in the financial statements.</w:t>
      </w:r>
    </w:p>
    <w:p>
      <w:pPr>
        <w:spacing w:after="0" w:line="32"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ASU 2016-02, ASU 2018-01 and ASU 2018-11 are effective for financial statements issued for fiscal years beginning after December 15, 2018, and interim periods within those fiscal years. ASU 2016-02 and ASU 2018-01 are effective for the Company in the first quarter of fiscal 2020. The Company is currently evaluating the impact adoption will have on its financial position and results of operations and expects that there will be an increase in assets and liabilities on the Consolidated Balance Sheets at adoption due to the recognition of right-of-use assets and related lease liabilities. The Company does not expect the adoption of ASU 2016-02, ASU 2018-01 and ASU 2018-11 to have a material impact on its results of operations.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Retirement Benefits</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Framework-Changes to the Disclosure Requirements for Defined Benefit Plans </w:t>
      </w:r>
      <w:r>
        <w:rPr>
          <w:rFonts w:ascii="Arial" w:cs="Arial" w:eastAsia="Arial" w:hAnsi="Arial"/>
          <w:sz w:val="17"/>
          <w:szCs w:val="17"/>
          <w:color w:val="auto"/>
        </w:rPr>
        <w:t>(ASU 2018-14), which modifies the disclosure requirements for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pension plans and other post-retirement plans. ASU 2018-14 is effective for fiscal years ending after December 15, 2020, with early adoption permitted. ASU 2018-14 is effective for the Company in the first quarter of the fiscal year ending October 30, 2021 (fiscal 2021). The Company is currently evaluating the adoption date. The adoption of ASU 2018-14 will modify the Company's disclosures for defined benefit plans and other post-retirement plans but is not expected to impact its financial position or results of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ASU 2016-13 requires a financial asset (or group of financial assets) measured at amortized cost basis to be presented at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and for interim periods within those fiscal years. ASU 2016-13 is effective for the Company in the first quarter of fiscal 2021. The Company is currently evaluating the adoption date and the impact, if any, adoption will have on its financial position and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7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On May 21, 2019, the Board of Directors of the Company declared a cash dividend of $0.54 per outstanding share of common stock. The dividend will be paid on June 11, 2019 to all shareholders of record at the close of business on May 31, 2019 and is expected to total approximately $199.7 million.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3, 2018 (fiscal 2018).</w:t>
      </w:r>
    </w:p>
    <w:p>
      <w:pPr>
        <w:spacing w:after="0" w:line="11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the effect of new accounting pronouncements; our ability to successfully integrate acquired businesses and technologies, including the integration of the acquired business, operations and employees of Linear Technology Corporation (Linear); and other characterizations of future events or circumstances are forward-looking statements. Readers are cautioned that these forward-looking statements are only predictions and are inherently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4, 2019</w:t>
            </w:r>
          </w:p>
        </w:tc>
        <w:tc>
          <w:tcPr>
            <w:tcW w:w="26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5, 2018 (1)</w:t>
            </w:r>
          </w:p>
        </w:tc>
        <w:tc>
          <w:tcPr>
            <w:tcW w:w="26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1,526,602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1,563,502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367,937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400,328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521"/>
        </w:trPr>
        <w:tc>
          <w:tcPr>
            <w:tcW w:w="4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4"/>
        </w:trPr>
        <w:tc>
          <w:tcPr>
            <w:tcW w:w="4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4, 2019</w:t>
            </w:r>
          </w:p>
        </w:tc>
        <w:tc>
          <w:tcPr>
            <w:tcW w:w="26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5, 2018 (1)</w:t>
            </w:r>
          </w:p>
        </w:tc>
        <w:tc>
          <w:tcPr>
            <w:tcW w:w="26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3,067,703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3,130,372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722,943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693,568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29,375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4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ind w:right="20" w:firstLine="8"/>
        <w:spacing w:after="0" w:line="255"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(ASU 2014-09).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in the Notes to Condensed Consolidated Financial Statements in Part I, Item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p>
    <w:p>
      <w:pPr>
        <w:spacing w:after="0" w:line="13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fiscal year ending November 2, 2019 (fiscal 2019) is a 52-week year and the fiscal year ended November 3, 2018 (fiscal 2018) was a 53-week year. The additional week in fiscal 2018 was included in the first quarter ended February 3, 2018. Therefore, the first six months of fiscal 2019 included one less week of operations as compared to the first six months of fiscal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following tables summarize revenue by end market for the three- and six-month periods ended May 4, 2019 and May 5, 2018.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May 4, 2019</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May 5, 2018</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2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Revenue (1)</w:t>
            </w:r>
          </w:p>
        </w:tc>
        <w:tc>
          <w:tcPr>
            <w:tcW w:w="120" w:type="dxa"/>
            <w:vAlign w:val="bottom"/>
            <w:vMerge w:val="restart"/>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763,455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810,732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249,765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60" w:type="dxa"/>
            <w:vAlign w:val="bottom"/>
            <w:gridSpan w:val="2"/>
          </w:tcPr>
          <w:p>
            <w:pPr>
              <w:ind w:left="9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250,919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153,745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227,077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359,637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480" w:type="dxa"/>
            <w:vAlign w:val="bottom"/>
            <w:gridSpan w:val="2"/>
          </w:tcPr>
          <w:p>
            <w:pPr>
              <w:jc w:val="right"/>
              <w:ind w:right="4"/>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274,774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1,526,602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1,563,502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May 4, 2019</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May 5, 2018</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2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Revenue (1)</w:t>
            </w:r>
          </w:p>
        </w:tc>
        <w:tc>
          <w:tcPr>
            <w:tcW w:w="120" w:type="dxa"/>
            <w:vAlign w:val="bottom"/>
            <w:vMerge w:val="restart"/>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1,488,077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1,590,445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511,319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515,791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362,966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491,711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705,341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1480" w:type="dxa"/>
            <w:vAlign w:val="bottom"/>
            <w:gridSpan w:val="2"/>
          </w:tcPr>
          <w:p>
            <w:pPr>
              <w:jc w:val="right"/>
              <w:ind w:right="4"/>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532,425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3,067,703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3,130,372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63" w:lineRule="exact"/>
        <w:rPr>
          <w:sz w:val="20"/>
          <w:szCs w:val="20"/>
          <w:color w:val="auto"/>
        </w:rPr>
      </w:pPr>
    </w:p>
    <w:p>
      <w:pPr>
        <w:ind w:left="40" w:right="660" w:hanging="5"/>
        <w:spacing w:after="0" w:line="277" w:lineRule="auto"/>
        <w:tabs>
          <w:tab w:leader="none" w:pos="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95"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auto"/>
        </w:rPr>
        <w:t>I</w:t>
      </w:r>
      <w:r>
        <w:rPr>
          <w:rFonts w:ascii="Arial" w:cs="Arial" w:eastAsia="Arial" w:hAnsi="Arial"/>
          <w:sz w:val="16"/>
          <w:szCs w:val="16"/>
          <w:color w:val="auto"/>
        </w:rPr>
        <w:t>ndustrial end market revenues decreased in the three-month period ended May 4, 2019, as compared to the same period of the prior fiscal year, primarily as a</w:t>
      </w:r>
      <w:r>
        <w:rPr>
          <w:rFonts w:ascii="Arial" w:cs="Arial" w:eastAsia="Arial" w:hAnsi="Arial"/>
          <w:sz w:val="18"/>
          <w:szCs w:val="18"/>
          <w:color w:val="auto"/>
        </w:rPr>
        <w:t xml:space="preserve"> </w:t>
      </w:r>
      <w:r>
        <w:rPr>
          <w:rFonts w:ascii="Arial" w:cs="Arial" w:eastAsia="Arial" w:hAnsi="Arial"/>
          <w:sz w:val="16"/>
          <w:szCs w:val="16"/>
          <w:color w:val="auto"/>
        </w:rPr>
        <w:t>result of a decrease in demand for products sold into the automation and memory test sectors of this end market, partially offset by an increase in demand for products sold into the aerospace and defense sector of this end market. Consumer end market revenues decreased in the three-month period ended May 4, 2019, as compared to the same period of the prior fiscal year as a result of decreased demand for products used in portable consumer applications. Communications end market revenue increased in the three-month period ended May 4, 2019, as compared to the same period of the prior fiscal year, primarily as a result of an increase in demand for our products sold into the wireless sector and to a lesser extent wireline sector of this end market.</w:t>
      </w:r>
    </w:p>
    <w:p>
      <w:pPr>
        <w:spacing w:after="0" w:line="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Industrial end market revenues decreased in the six-month period ended May 4, 2019, as compared to the same period of the prior fiscal year, as a result of one less week of operations in the first six months of fiscal 2019, as compared to the first six months of fiscal 2018, and a decrease in demand for products sold into the automation and memory test sectors of this end market, partially offset by an increase in demand for products sold into the aerospace and defense sector of this end market. Consumer end market revenues decreased in the six-month period ended May 4, 2019, as compared to the same period of the prior fiscal year as a result of decreased demand for products used in portable consumer applications and one less week of operations in the first six months of fiscal 2019 as compared to the first six months of fiscal 2018. Communications end market revenue increased in the six-month period ended May 4, 2019, as compared to the same period of the prior fiscal year, as a result of an increase in demand for our products sold into the wireless sector and to a lesser extent wireline sector of this end market, partially offset by one less week of operations in the first six months of fiscal 2019 as compared to the first six months of fiscal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ind w:right="40" w:firstLine="405"/>
        <w:spacing w:after="0" w:line="279" w:lineRule="auto"/>
        <w:rPr>
          <w:sz w:val="20"/>
          <w:szCs w:val="20"/>
          <w:color w:val="auto"/>
        </w:rPr>
      </w:pPr>
      <w:r>
        <w:rPr>
          <w:rFonts w:ascii="Arial" w:cs="Arial" w:eastAsia="Arial" w:hAnsi="Arial"/>
          <w:sz w:val="17"/>
          <w:szCs w:val="17"/>
          <w:color w:val="auto"/>
        </w:rPr>
        <w:t>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 The following table summarizes revenue by channel for the three- and six-month periods ended May 4, 2019 and May 5,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6"/>
          </w:tcPr>
          <w:p>
            <w:pPr>
              <w:jc w:val="center"/>
              <w:ind w:right="82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tcBorders>
              <w:bottom w:val="single" w:sz="8" w:color="auto"/>
            </w:tcBorders>
          </w:tcPr>
          <w:p>
            <w:pPr>
              <w:spacing w:after="0"/>
              <w:rPr>
                <w:sz w:val="16"/>
                <w:szCs w:val="16"/>
                <w:color w:val="auto"/>
              </w:rPr>
            </w:pPr>
          </w:p>
        </w:tc>
      </w:tr>
      <w:tr>
        <w:trPr>
          <w:trHeight w:val="264"/>
        </w:trPr>
        <w:tc>
          <w:tcPr>
            <w:tcW w:w="3720" w:type="dxa"/>
            <w:vAlign w:val="bottom"/>
          </w:tcPr>
          <w:p>
            <w:pPr>
              <w:spacing w:after="0"/>
              <w:rPr>
                <w:sz w:val="22"/>
                <w:szCs w:val="22"/>
                <w:color w:val="auto"/>
              </w:rPr>
            </w:pPr>
          </w:p>
        </w:tc>
        <w:tc>
          <w:tcPr>
            <w:tcW w:w="232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w w:val="97"/>
              </w:rPr>
              <w:t>May 4, 2019</w:t>
            </w:r>
          </w:p>
        </w:tc>
        <w:tc>
          <w:tcPr>
            <w:tcW w:w="1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May 5, 2018</w:t>
            </w:r>
          </w:p>
        </w:tc>
        <w:tc>
          <w:tcPr>
            <w:tcW w:w="1460" w:type="dxa"/>
            <w:vAlign w:val="bottom"/>
            <w:tcBorders>
              <w:bottom w:val="single" w:sz="8" w:color="auto"/>
            </w:tcBorders>
          </w:tcPr>
          <w:p>
            <w:pPr>
              <w:spacing w:after="0"/>
              <w:rPr>
                <w:sz w:val="22"/>
                <w:szCs w:val="22"/>
                <w:color w:val="auto"/>
              </w:rPr>
            </w:pPr>
          </w:p>
        </w:tc>
      </w:tr>
      <w:tr>
        <w:trPr>
          <w:trHeight w:val="264"/>
        </w:trPr>
        <w:tc>
          <w:tcPr>
            <w:tcW w:w="3720" w:type="dxa"/>
            <w:vAlign w:val="bottom"/>
          </w:tcPr>
          <w:p>
            <w:pPr>
              <w:spacing w:after="0"/>
              <w:rPr>
                <w:sz w:val="22"/>
                <w:szCs w:val="22"/>
                <w:color w:val="auto"/>
              </w:rPr>
            </w:pPr>
          </w:p>
        </w:tc>
        <w:tc>
          <w:tcPr>
            <w:tcW w:w="2320" w:type="dxa"/>
            <w:vAlign w:val="bottom"/>
            <w:gridSpan w:val="3"/>
          </w:tcPr>
          <w:p>
            <w:pPr>
              <w:ind w:left="640"/>
              <w:spacing w:after="0"/>
              <w:rPr>
                <w:sz w:val="20"/>
                <w:szCs w:val="20"/>
                <w:color w:val="auto"/>
              </w:rPr>
            </w:pPr>
            <w:r>
              <w:rPr>
                <w:rFonts w:ascii="Arial" w:cs="Arial" w:eastAsia="Arial" w:hAnsi="Arial"/>
                <w:sz w:val="14"/>
                <w:szCs w:val="14"/>
                <w:b w:val="1"/>
                <w:bCs w:val="1"/>
                <w:color w:val="auto"/>
              </w:rPr>
              <w:t>Revenue</w:t>
            </w:r>
          </w:p>
        </w:tc>
        <w:tc>
          <w:tcPr>
            <w:tcW w:w="2120" w:type="dxa"/>
            <w:vAlign w:val="bottom"/>
            <w:gridSpan w:val="3"/>
          </w:tcPr>
          <w:p>
            <w:pPr>
              <w:ind w:left="60"/>
              <w:spacing w:after="0"/>
              <w:rPr>
                <w:sz w:val="20"/>
                <w:szCs w:val="20"/>
                <w:color w:val="auto"/>
              </w:rPr>
            </w:pPr>
            <w:r>
              <w:rPr>
                <w:rFonts w:ascii="Arial" w:cs="Arial" w:eastAsia="Arial" w:hAnsi="Arial"/>
                <w:sz w:val="14"/>
                <w:szCs w:val="14"/>
                <w:b w:val="1"/>
                <w:bCs w:val="1"/>
                <w:color w:val="auto"/>
              </w:rPr>
              <w:t>% of Revenue*</w:t>
            </w: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Revenue (1)</w:t>
            </w: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w w:val="98"/>
              </w:rPr>
              <w:t>% of Revenue*</w:t>
            </w:r>
          </w:p>
        </w:tc>
      </w:tr>
      <w:tr>
        <w:trPr>
          <w:trHeight w:val="25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Distributors</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871,510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869,277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customers</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638,277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675,188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Other</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16,815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19,037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7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1,526,602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1,563,502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7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75"/>
        </w:trPr>
        <w:tc>
          <w:tcPr>
            <w:tcW w:w="37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ind w:left="896"/>
              <w:spacing w:after="0"/>
              <w:rPr>
                <w:sz w:val="20"/>
                <w:szCs w:val="20"/>
                <w:color w:val="auto"/>
              </w:rPr>
            </w:pPr>
            <w:r>
              <w:rPr>
                <w:rFonts w:ascii="Arial" w:cs="Arial" w:eastAsia="Arial" w:hAnsi="Arial"/>
                <w:sz w:val="14"/>
                <w:szCs w:val="14"/>
                <w:b w:val="1"/>
                <w:bCs w:val="1"/>
                <w:color w:val="auto"/>
                <w:w w:val="93"/>
              </w:rPr>
              <w:t>Six Months Ended</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3720" w:type="dxa"/>
            <w:vAlign w:val="bottom"/>
          </w:tcPr>
          <w:p>
            <w:pPr>
              <w:spacing w:after="0"/>
              <w:rPr>
                <w:sz w:val="22"/>
                <w:szCs w:val="22"/>
                <w:color w:val="auto"/>
              </w:rPr>
            </w:pPr>
          </w:p>
        </w:tc>
        <w:tc>
          <w:tcPr>
            <w:tcW w:w="232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w w:val="97"/>
              </w:rPr>
              <w:t>May 4, 2019</w:t>
            </w:r>
          </w:p>
        </w:tc>
        <w:tc>
          <w:tcPr>
            <w:tcW w:w="1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May 5, 2018</w:t>
            </w:r>
          </w:p>
        </w:tc>
        <w:tc>
          <w:tcPr>
            <w:tcW w:w="1460" w:type="dxa"/>
            <w:vAlign w:val="bottom"/>
            <w:tcBorders>
              <w:bottom w:val="single" w:sz="8" w:color="auto"/>
            </w:tcBorders>
          </w:tcPr>
          <w:p>
            <w:pPr>
              <w:spacing w:after="0"/>
              <w:rPr>
                <w:sz w:val="22"/>
                <w:szCs w:val="22"/>
                <w:color w:val="auto"/>
              </w:rPr>
            </w:pPr>
          </w:p>
        </w:tc>
      </w:tr>
      <w:tr>
        <w:trPr>
          <w:trHeight w:val="264"/>
        </w:trPr>
        <w:tc>
          <w:tcPr>
            <w:tcW w:w="3720" w:type="dxa"/>
            <w:vAlign w:val="bottom"/>
          </w:tcPr>
          <w:p>
            <w:pPr>
              <w:spacing w:after="0"/>
              <w:rPr>
                <w:sz w:val="22"/>
                <w:szCs w:val="22"/>
                <w:color w:val="auto"/>
              </w:rPr>
            </w:pPr>
          </w:p>
        </w:tc>
        <w:tc>
          <w:tcPr>
            <w:tcW w:w="2320" w:type="dxa"/>
            <w:vAlign w:val="bottom"/>
            <w:gridSpan w:val="3"/>
          </w:tcPr>
          <w:p>
            <w:pPr>
              <w:ind w:left="640"/>
              <w:spacing w:after="0"/>
              <w:rPr>
                <w:sz w:val="20"/>
                <w:szCs w:val="20"/>
                <w:color w:val="auto"/>
              </w:rPr>
            </w:pPr>
            <w:r>
              <w:rPr>
                <w:rFonts w:ascii="Arial" w:cs="Arial" w:eastAsia="Arial" w:hAnsi="Arial"/>
                <w:sz w:val="14"/>
                <w:szCs w:val="14"/>
                <w:b w:val="1"/>
                <w:bCs w:val="1"/>
                <w:color w:val="auto"/>
              </w:rPr>
              <w:t>Revenue</w:t>
            </w:r>
          </w:p>
        </w:tc>
        <w:tc>
          <w:tcPr>
            <w:tcW w:w="2120" w:type="dxa"/>
            <w:vAlign w:val="bottom"/>
            <w:gridSpan w:val="3"/>
          </w:tcPr>
          <w:p>
            <w:pPr>
              <w:ind w:left="60"/>
              <w:spacing w:after="0"/>
              <w:rPr>
                <w:sz w:val="20"/>
                <w:szCs w:val="20"/>
                <w:color w:val="auto"/>
              </w:rPr>
            </w:pPr>
            <w:r>
              <w:rPr>
                <w:rFonts w:ascii="Arial" w:cs="Arial" w:eastAsia="Arial" w:hAnsi="Arial"/>
                <w:sz w:val="14"/>
                <w:szCs w:val="14"/>
                <w:b w:val="1"/>
                <w:bCs w:val="1"/>
                <w:color w:val="auto"/>
              </w:rPr>
              <w:t>% of Revenue*</w:t>
            </w: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Revenue (1)</w:t>
            </w: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w w:val="98"/>
              </w:rPr>
              <w:t>% of Revenue*</w:t>
            </w:r>
          </w:p>
        </w:tc>
      </w:tr>
      <w:tr>
        <w:trPr>
          <w:trHeight w:val="25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Distributors</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1,700,753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1,734,289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customers</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1,333,766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1,348,591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Other</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33,184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47,492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7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3,067,703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3,130,372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7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25" w:lineRule="exact"/>
        <w:rPr>
          <w:sz w:val="20"/>
          <w:szCs w:val="20"/>
          <w:color w:val="auto"/>
        </w:rPr>
      </w:pPr>
    </w:p>
    <w:p>
      <w:pPr>
        <w:ind w:left="40" w:right="460" w:hanging="5"/>
        <w:spacing w:after="0" w:line="277" w:lineRule="auto"/>
        <w:tabs>
          <w:tab w:leader="none" w:pos="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13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May 5, 2018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May 4, 2019</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May 5, 2018 (1)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1,034,092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   1,072,390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(38,298)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  $</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2,073,748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   2,144,073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320" w:type="dxa"/>
            <w:vAlign w:val="bottom"/>
          </w:tcPr>
          <w:p>
            <w:pPr>
              <w:ind w:left="40"/>
              <w:spacing w:after="0"/>
              <w:rPr>
                <w:sz w:val="20"/>
                <w:szCs w:val="20"/>
                <w:color w:val="auto"/>
              </w:rPr>
            </w:pPr>
            <w:r>
              <w:rPr>
                <w:rFonts w:ascii="Arial" w:cs="Arial" w:eastAsia="Arial" w:hAnsi="Arial"/>
                <w:sz w:val="18"/>
                <w:szCs w:val="18"/>
                <w:color w:val="auto"/>
                <w:w w:val="97"/>
              </w:rPr>
              <w:t>Gross margin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75" w:lineRule="exact"/>
        <w:rPr>
          <w:sz w:val="20"/>
          <w:szCs w:val="20"/>
          <w:color w:val="auto"/>
        </w:rPr>
      </w:pPr>
    </w:p>
    <w:p>
      <w:pPr>
        <w:ind w:right="50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Gross margin percentage decreased by 90 basis points in the three- and six-month periods ended May 4, 2019, as compared to the same periods of the prior fiscal year, primarily as a result of lower internal utilization of our wafer fabrication facilities and a higher concentration of our revenue from lower margin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13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May 5, 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May 5, 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285,846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289,472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  $</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573,228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578,069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R&amp;D expenses as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380" w:type="dxa"/>
            <w:vAlign w:val="bottom"/>
          </w:tcPr>
          <w:p>
            <w:pPr>
              <w:ind w:left="40"/>
              <w:spacing w:after="0"/>
              <w:rPr>
                <w:sz w:val="20"/>
                <w:szCs w:val="20"/>
                <w:color w:val="auto"/>
              </w:rPr>
            </w:pPr>
            <w:r>
              <w:rPr>
                <w:rFonts w:ascii="Arial" w:cs="Arial" w:eastAsia="Arial" w:hAnsi="Arial"/>
                <w:sz w:val="18"/>
                <w:szCs w:val="18"/>
                <w:color w:val="auto"/>
              </w:rPr>
              <w:t>a % of revenue</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5"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R&amp;D expenses remained relatively flat in the three-month period ended May 4, 2019, as compared to the same period of the prior fiscal year as decreases in variable compensation expense were partially offset by increases in operational spending and R&amp;D employee and related benefit expenses.</w:t>
      </w:r>
    </w:p>
    <w:p>
      <w:pPr>
        <w:spacing w:after="0" w:line="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R&amp;D expenses remained relatively flat in the six-month period ended May 4, 2019, as compared to the same period of the prior fiscal year as decreases in variable compensation expense and one less week of operations in the first six months of fiscal 2019 as compared to the first six months of fiscal 2018 were partially offset by increases in operational spending and R&amp;D employee and related benefit expenses.</w:t>
      </w:r>
    </w:p>
    <w:p>
      <w:pPr>
        <w:spacing w:after="0" w:line="12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4, 2019</w:t>
            </w:r>
          </w:p>
        </w:tc>
        <w:tc>
          <w:tcPr>
            <w:tcW w:w="20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5, 2018</w:t>
            </w:r>
          </w:p>
        </w:tc>
        <w:tc>
          <w:tcPr>
            <w:tcW w:w="18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2019</w:t>
            </w:r>
          </w:p>
        </w:tc>
        <w:tc>
          <w:tcPr>
            <w:tcW w:w="20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5, 2018</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15"/>
        </w:trPr>
        <w:tc>
          <w:tcPr>
            <w:tcW w:w="1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7"/>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163,128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172,146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  $</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330,470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349,054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(18,584)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360" w:type="dxa"/>
            <w:vAlign w:val="bottom"/>
          </w:tcPr>
          <w:p>
            <w:pPr>
              <w:ind w:left="40"/>
              <w:spacing w:after="0"/>
              <w:rPr>
                <w:sz w:val="20"/>
                <w:szCs w:val="20"/>
                <w:color w:val="auto"/>
              </w:rPr>
            </w:pPr>
            <w:r>
              <w:rPr>
                <w:rFonts w:ascii="Arial" w:cs="Arial" w:eastAsia="Arial" w:hAnsi="Arial"/>
                <w:sz w:val="18"/>
                <w:szCs w:val="18"/>
                <w:color w:val="auto"/>
              </w:rPr>
              <w:t>SMG&amp;A</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360" w:type="dxa"/>
            <w:vAlign w:val="bottom"/>
          </w:tcPr>
          <w:p>
            <w:pPr>
              <w:ind w:left="40"/>
              <w:spacing w:after="0"/>
              <w:rPr>
                <w:sz w:val="20"/>
                <w:szCs w:val="20"/>
                <w:color w:val="auto"/>
              </w:rPr>
            </w:pPr>
            <w:r>
              <w:rPr>
                <w:rFonts w:ascii="Arial" w:cs="Arial" w:eastAsia="Arial" w:hAnsi="Arial"/>
                <w:sz w:val="18"/>
                <w:szCs w:val="18"/>
                <w:color w:val="auto"/>
                <w:w w:val="94"/>
              </w:rPr>
              <w:t>expenses as a %</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360" w:type="dxa"/>
            <w:vAlign w:val="bottom"/>
          </w:tcPr>
          <w:p>
            <w:pPr>
              <w:ind w:left="40"/>
              <w:spacing w:after="0"/>
              <w:rPr>
                <w:sz w:val="20"/>
                <w:szCs w:val="20"/>
                <w:color w:val="auto"/>
              </w:rPr>
            </w:pPr>
            <w:r>
              <w:rPr>
                <w:rFonts w:ascii="Arial" w:cs="Arial" w:eastAsia="Arial" w:hAnsi="Arial"/>
                <w:sz w:val="18"/>
                <w:szCs w:val="18"/>
                <w:color w:val="auto"/>
              </w:rPr>
              <w:t>of revenue</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SMG&amp;A expenses decreased in the three month period ended May 4, 2019, as compared to the same period of the prior fiscal year, primarily as a result of decreases in variable compensation expense and acquisition-related costs, partially offset by increases in operational spending and SMG&amp;A employee and related benefit expenses.</w:t>
      </w:r>
    </w:p>
    <w:p>
      <w:pPr>
        <w:spacing w:after="0" w:line="127"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SMG&amp;A expenses decreased in the six-month period ended May 4, 2019, as compared to the same period of the prior fiscal year, primarily as a result of decreases in variable compensation expense, acquisition-related costs and one less week of operations in the first six months of fiscal 2019 as compared to the first six months of fiscal 2018, partially offset by increases in operational spending and SMG&amp;A employee and related benefit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spacing w:after="0" w:line="12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During the first and second quarters of fiscal 2019, we recorded special charges of $20.7 million and $3.6 million, respectively, as a result of organizational initiatives to reposition our global workforce skill set to align with our long-term strategic plan. Approximately $19.8 million of the charges for the first and second quarters of fiscal 2019 was for severance and fringe benefit costs in accordance with either our ongoing benefit plan or statutory requirements for 140 engineering and SMG&amp;A employees. As of May 4, 2019, we still employed 68 of the 140 employees included in this action. These employees must continue to be employed by us until their employment is involuntarily terminated in order to receive the severance benefits. The remaining $4.4 million of the charge related to the write off of acquired intellectual property during the first quarter of fiscal 2019 due to our discontinuance of certain product development strategies. We do not expect this action to result in any annual savings.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ind w:right="60" w:firstLine="405"/>
        <w:spacing w:after="0" w:line="257" w:lineRule="auto"/>
        <w:rPr>
          <w:sz w:val="20"/>
          <w:szCs w:val="20"/>
          <w:color w:val="auto"/>
        </w:rPr>
      </w:pPr>
      <w:r>
        <w:rPr>
          <w:rFonts w:ascii="Arial" w:cs="Arial" w:eastAsia="Arial" w:hAnsi="Arial"/>
          <w:sz w:val="18"/>
          <w:szCs w:val="18"/>
          <w:color w:val="auto"/>
        </w:rPr>
        <w:t>We recorded special charges of $48.7 million on a cumulative basis through May 4, 2019 as a result of our decision to consolidate certain wafer and test facility operations acquired as part of the acquisition of Linear Technology Corporation (Linear) of which $5.7 million was recorded in the first six months of fiscal 2019 related to one-time termination benefits for employees included in this action. These one-time termination benefits are being recognized over the future service period required for employees to earn these benefits. Employees included in this action must continue to be employed by us until their employment is terminated by us in order to receive the severance benefits.</w:t>
      </w:r>
    </w:p>
    <w:p>
      <w:pPr>
        <w:spacing w:after="0" w:line="5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Special Charges</w:t>
      </w:r>
      <w:r>
        <w:rPr>
          <w:rFonts w:ascii="Arial" w:cs="Arial" w:eastAsia="Arial" w:hAnsi="Arial"/>
          <w:sz w:val="18"/>
          <w:szCs w:val="18"/>
          <w:color w:val="auto"/>
        </w:rPr>
        <w:t>, of the Notes to Condensed Consolidated Financial Statements in Part I, Item 1 in this Quarterly Report on Form 10-Q for further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13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May 5,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May 5,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Operating income $</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469,695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502,554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  $</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925,521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944,395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as a % of revenue</w:t>
            </w:r>
          </w:p>
        </w:tc>
        <w:tc>
          <w:tcPr>
            <w:tcW w:w="108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The year-over-year decrease in operating income in the three-month period ended May 4, 2019 was primarily the result of a $38.3 million decrease in gross margin and a $7.1 million increase in special charges, partially offset by a $9.0 million decrease in SMG&amp;A expenses and a $3.6 million decrease in R&amp;D expenses, as more fully described above under the headings </w:t>
      </w:r>
      <w:r>
        <w:rPr>
          <w:rFonts w:ascii="Arial" w:cs="Arial" w:eastAsia="Arial" w:hAnsi="Arial"/>
          <w:sz w:val="18"/>
          <w:szCs w:val="18"/>
          <w:i w:val="1"/>
          <w:iCs w:val="1"/>
          <w:color w:val="auto"/>
        </w:rPr>
        <w:t>Gross Margin, Special Charges, Selling, Marketing, General and Administrative (SMG&amp;A)</w:t>
      </w:r>
      <w:r>
        <w:rPr>
          <w:rFonts w:ascii="Arial" w:cs="Arial" w:eastAsia="Arial" w:hAnsi="Arial"/>
          <w:sz w:val="18"/>
          <w:szCs w:val="18"/>
          <w:color w:val="auto"/>
        </w:rPr>
        <w:t xml:space="preserve"> </w:t>
      </w:r>
      <w:r>
        <w:rPr>
          <w:rFonts w:ascii="Arial" w:cs="Arial" w:eastAsia="Arial" w:hAnsi="Arial"/>
          <w:sz w:val="18"/>
          <w:szCs w:val="18"/>
          <w:i w:val="1"/>
          <w:iCs w:val="1"/>
          <w:color w:val="auto"/>
        </w:rPr>
        <w:t>and Research and Development (R&amp;D).</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The year-over-year decrease in operating income in the six-month period ended May 4, 2019 was primarily the result of a $70.3 million decrease in gross margin, partially offset by a $28.5 million decrease in special charges, a $18.6 million decrease in SMG&amp;A expenses and a $4.8 million decrease in R&amp;D expenses as more fully described above under the headings </w:t>
      </w:r>
      <w:r>
        <w:rPr>
          <w:rFonts w:ascii="Arial" w:cs="Arial" w:eastAsia="Arial" w:hAnsi="Arial"/>
          <w:sz w:val="18"/>
          <w:szCs w:val="18"/>
          <w:i w:val="1"/>
          <w:iCs w:val="1"/>
          <w:color w:val="auto"/>
        </w:rPr>
        <w:t>Gross Margin, Special Charges, Selling, Marketing, General and Administrative (SMG&amp;A),</w:t>
      </w:r>
      <w:r>
        <w:rPr>
          <w:rFonts w:ascii="Arial" w:cs="Arial" w:eastAsia="Arial" w:hAnsi="Arial"/>
          <w:sz w:val="18"/>
          <w:szCs w:val="18"/>
          <w:color w:val="auto"/>
        </w:rPr>
        <w:t xml:space="preserve"> </w:t>
      </w:r>
      <w:r>
        <w:rPr>
          <w:rFonts w:ascii="Arial" w:cs="Arial" w:eastAsia="Arial" w:hAnsi="Arial"/>
          <w:sz w:val="18"/>
          <w:szCs w:val="18"/>
          <w:i w:val="1"/>
          <w:iCs w:val="1"/>
          <w:color w:val="auto"/>
        </w:rPr>
        <w:t>and Research and Development (R&amp;D).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5, 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5,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59,701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(1,612)</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4,260</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nonoperating expense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61,298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62,429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117,178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128,923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(11,745)</w:t>
            </w:r>
          </w:p>
        </w:tc>
      </w:tr>
    </w:tbl>
    <w:p>
      <w:pPr>
        <w:spacing w:after="0" w:line="229" w:lineRule="exact"/>
        <w:rPr>
          <w:sz w:val="20"/>
          <w:szCs w:val="20"/>
          <w:color w:val="auto"/>
        </w:rPr>
      </w:pPr>
    </w:p>
    <w:p>
      <w:pPr>
        <w:jc w:val="both"/>
        <w:ind w:right="180" w:firstLine="392"/>
        <w:spacing w:after="0" w:line="312" w:lineRule="auto"/>
        <w:rPr>
          <w:sz w:val="20"/>
          <w:szCs w:val="20"/>
          <w:color w:val="auto"/>
        </w:rPr>
      </w:pPr>
      <w:r>
        <w:rPr>
          <w:rFonts w:ascii="Arial" w:cs="Arial" w:eastAsia="Arial" w:hAnsi="Arial"/>
          <w:sz w:val="16"/>
          <w:szCs w:val="16"/>
          <w:color w:val="auto"/>
        </w:rPr>
        <w:t>The year-over-year decrease in nonoperating expense in the three- and six-month periods ended May 4, 2019 was primarily the result of a decrease in interest expense including lower amortized finance fees, which were accelerated as a result of principal repayments related to our 3-year term loan, partially offset by an increase in other, net expenses, primarily resulting from the impairment of an investment recognized in the second quarter of fiscal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May 4, 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May 5, 2018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May 5, 2018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40,460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39,797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85,400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121,904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right="50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1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income tax rate can also be impacted each year by discrete factors or events.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65" w:right="239" w:bottom="1440" w:gutter="0" w:footer="0" w:header="0"/>
        </w:sectPr>
      </w:pPr>
    </w:p>
    <w:bookmarkStart w:id="29" w:name="page30"/>
    <w:bookmarkEnd w:id="29"/>
    <w:p>
      <w:pPr>
        <w:ind w:right="60" w:firstLine="432"/>
        <w:spacing w:after="0" w:line="288" w:lineRule="auto"/>
        <w:rPr>
          <w:sz w:val="20"/>
          <w:szCs w:val="20"/>
          <w:color w:val="auto"/>
        </w:rPr>
      </w:pPr>
      <w:r>
        <w:rPr>
          <w:rFonts w:ascii="Arial" w:cs="Arial" w:eastAsia="Arial" w:hAnsi="Arial"/>
          <w:sz w:val="16"/>
          <w:szCs w:val="16"/>
          <w:color w:val="auto"/>
        </w:rPr>
        <w:t>The tax rate for the three- and six-month periods ended May 4, 2019 was below the U.S. statutory tax rate of 21% due to lower statutory tax rates applicable to our operations in the foreign jurisdictions in which we earn income and as a result of the foreign derived intangible income deduction (FDII), partially offset by the global intangible low-tax income (GILTI) tax. The tax rate for the six-month period also includes the effects of recording deferred tax benefits relating to a one-time set up of our GILTI deferred method election of $5.1 million along with the completion of our accounting for the transition tax which yielded a $7.5 million tax benefit. Our tax rate for the six-month period ended May 5, 2018 was below our then blended U.S. federal statutory tax rate of 23.4%, resulting from the passage of the Tax Cuts and Jobs Act of 2017 (Tax Legislation), primarily due to lower statutory tax rates applicable to our operations in the foreign jurisdictions in which we earn income. Additionally, our effective tax rate for the six-month period ended May 5, 2018 also included a provisional estimate for a discrete tax benefit of $639.7 million from remeasuring our U.S. deferred tax liabilities at the lower 21% statutory tax rate. It also included a provisional estimate of the discrete tax charge of $687.1 million from the Tax Legislation’s one-time transition tax associated with our undistributed foreign earnings, comprised of a $751.1 million transitional tax less a deferred tax liability of $64.0 million recorded in prior years.</w:t>
      </w:r>
    </w:p>
    <w:p>
      <w:pPr>
        <w:spacing w:after="0" w:line="115" w:lineRule="exact"/>
        <w:rPr>
          <w:sz w:val="20"/>
          <w:szCs w:val="20"/>
          <w:color w:val="auto"/>
        </w:rPr>
      </w:pPr>
    </w:p>
    <w:p>
      <w:pPr>
        <w:ind w:right="200" w:firstLine="392"/>
        <w:spacing w:after="0" w:line="264" w:lineRule="auto"/>
        <w:rPr>
          <w:sz w:val="20"/>
          <w:szCs w:val="20"/>
          <w:color w:val="auto"/>
        </w:rPr>
      </w:pPr>
      <w:r>
        <w:rPr>
          <w:rFonts w:ascii="Arial" w:cs="Arial" w:eastAsia="Arial" w:hAnsi="Arial"/>
          <w:sz w:val="18"/>
          <w:szCs w:val="18"/>
          <w:color w:val="auto"/>
        </w:rPr>
        <w:t>Additionally, we recorded discrete benefits for excess tax benefits from share-based payments of $16.5 million and $20.8 million in the three- and six-month periods ended May 4, 2019, compared to $8.2 million and $18.2 million in the three- and six-month periods ended May 5, 2018. The full year tax benefit from share-based payments was $26.2 million in fiscal 2018.</w:t>
      </w:r>
    </w:p>
    <w:p>
      <w:pPr>
        <w:spacing w:after="0" w:line="127" w:lineRule="exact"/>
        <w:rPr>
          <w:sz w:val="20"/>
          <w:szCs w:val="20"/>
          <w:color w:val="auto"/>
        </w:rPr>
      </w:pPr>
    </w:p>
    <w:p>
      <w:pPr>
        <w:ind w:right="180" w:firstLine="392"/>
        <w:spacing w:after="0" w:line="302" w:lineRule="auto"/>
        <w:rPr>
          <w:sz w:val="20"/>
          <w:szCs w:val="20"/>
          <w:color w:val="auto"/>
        </w:rPr>
      </w:pPr>
      <w:r>
        <w:rPr>
          <w:rFonts w:ascii="Arial" w:cs="Arial" w:eastAsia="Arial" w:hAnsi="Arial"/>
          <w:sz w:val="16"/>
          <w:szCs w:val="16"/>
          <w:color w:val="auto"/>
        </w:rPr>
        <w:t>Non-U.S. jurisdictions accounted for a significant portion of our total revenues for the six-month periods ended May 4, 2019 and May 5, 2018. This revenue generated outside of the U.S. results in a material portion of our pretax income being taxed outside the U.S. For the six-month period ended May 4, 2019 this pretax income was primarily in Ireland and Singapore, at tax rates ranging from 12.5% to 17% in these jurisdictions. For the six-month period ended May 5, 2018 this pretax income was primarily in Bermuda, Ireland and Singapore, at tax rates ranging from 0% to 12.5% in these jurisdictions.</w:t>
      </w:r>
    </w:p>
    <w:p>
      <w:pPr>
        <w:spacing w:after="0" w:line="10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13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4, 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5"/>
              </w:rPr>
              <w:t>May 5, 2018 (1)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4, 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7"/>
              </w:rPr>
              <w:t>May 5, 2018 (1)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367,937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400,328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  $</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722,943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693,568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29,375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1360" w:type="dxa"/>
            <w:vAlign w:val="bottom"/>
          </w:tcPr>
          <w:p>
            <w:pPr>
              <w:ind w:left="40"/>
              <w:spacing w:after="0"/>
              <w:rPr>
                <w:sz w:val="20"/>
                <w:szCs w:val="20"/>
                <w:color w:val="auto"/>
              </w:rPr>
            </w:pPr>
            <w:r>
              <w:rPr>
                <w:rFonts w:ascii="Arial" w:cs="Arial" w:eastAsia="Arial" w:hAnsi="Arial"/>
                <w:sz w:val="18"/>
                <w:szCs w:val="18"/>
                <w:color w:val="auto"/>
                <w:w w:val="99"/>
              </w:rPr>
              <w:t>Net Income as a</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13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
        </w:trPr>
        <w:tc>
          <w:tcPr>
            <w:tcW w:w="1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0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1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Net income decreased in the three-month period ended May 4, 2019, as compared to the same period of the prior fiscal year, as a result of a $32.9 million decrease in operating income and a $0.7 million increase in provision for income taxes, partially offset by a $1.1 million decrease in nonoperating expense.</w:t>
      </w:r>
    </w:p>
    <w:p>
      <w:pPr>
        <w:spacing w:after="0" w:line="127"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Net income increased in the six-month period ended May 4, 2019 as compared to the same period of the prior fiscal year, as a result of a $36.5 million decrease in provision for income taxes and a $11.7 million decrease in nonoperating expense, partially offset by a $18.9 million decrease in operating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At May 4, 2019, our principal source of liquidity was $713.6 million of cash and cash equivalents, of which approximately $267.7 million was held in the United States. The balance of our cash and cash equivalents was held outside the United States in various foreign subsidiaries. We continue to assert our intent to reinvest substantially all of our foreign earnings indefinitely. As we intend to reinvest substantially all of our foreign earnings indefinitely, certain cash held outside the United States may not be available for repatriation as dividends to the United States in the future. If such funds are needed for U.S. operations, we would be required to accrue and pay foreign withholding taxes and U.S. state income taxes to the extent not already subject to taxation.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ind w:right="120" w:firstLine="432"/>
        <w:spacing w:after="0" w:line="264"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4, 2019</w:t>
            </w:r>
          </w:p>
        </w:tc>
        <w:tc>
          <w:tcPr>
            <w:tcW w:w="260" w:type="dxa"/>
            <w:vAlign w:val="bottom"/>
          </w:tcPr>
          <w:p>
            <w:pPr>
              <w:spacing w:after="0"/>
              <w:rPr>
                <w:sz w:val="22"/>
                <w:szCs w:val="22"/>
                <w:color w:val="auto"/>
              </w:rPr>
            </w:pPr>
          </w:p>
        </w:tc>
        <w:tc>
          <w:tcPr>
            <w:tcW w:w="1520" w:type="dxa"/>
            <w:vAlign w:val="bottom"/>
          </w:tcPr>
          <w:p>
            <w:pPr>
              <w:jc w:val="right"/>
              <w:ind w:right="334"/>
              <w:spacing w:after="0"/>
              <w:rPr>
                <w:sz w:val="20"/>
                <w:szCs w:val="20"/>
                <w:color w:val="auto"/>
              </w:rPr>
            </w:pPr>
            <w:r>
              <w:rPr>
                <w:rFonts w:ascii="Arial" w:cs="Arial" w:eastAsia="Arial" w:hAnsi="Arial"/>
                <w:sz w:val="14"/>
                <w:szCs w:val="14"/>
                <w:b w:val="1"/>
                <w:bCs w:val="1"/>
                <w:color w:val="auto"/>
              </w:rPr>
              <w:t>May 5, 2018 (1)</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1,042,649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1,107,182</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cash provided by operations as a % of revenue</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(170,787)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(170,490)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(975,069)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(1,178,171)</w:t>
            </w:r>
          </w:p>
        </w:tc>
      </w:tr>
    </w:tbl>
    <w:p>
      <w:pPr>
        <w:spacing w:after="0" w:line="175" w:lineRule="exact"/>
        <w:rPr>
          <w:sz w:val="20"/>
          <w:szCs w:val="20"/>
          <w:color w:val="auto"/>
        </w:rPr>
      </w:pPr>
    </w:p>
    <w:p>
      <w:pPr>
        <w:ind w:right="50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At May 4, 2019, cash and cash equivalents totaled $713.6 million. The following changes contributed to the net change in cash and cash equivalents in the six-month period ended May 4, 2019 as compared to the same period in fiscal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provided by operating activities is net income adjusted for certain non-cash items and changes in assets and liabilities.</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decrease in cash provided by operating activities during the six-month period ended May 4, 2019, as compared to the same period of the prior fiscal year, was primarily the result of changes in working capital partially offset by higher net income and a reduction in non-cash items primarily related to deferred income tax adjustments related to the Tax Legislation.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Investing cash flows consist primarily of capital expenditures and cash used for acquisitions. Cash used for investing activities during the six-month period ended May 4, 2019, as compared to the same period of the prior fiscal year, remained flat, as increased capital spending was offset by decreased payments for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Financing cash flows consist primarily of payments of dividends to stockholders, repurchases of common stock, issuance and repayment of long-term debt, and proceeds from the sale of shares of common stock pursuant to employee equity incentive plans. The increase in cash related to financing activities during the six-month period ended May 4, 2019, as compared to the same period of the prior fiscal year, was primarily due to a decrease in repayments on our 3-year unsecured term loan, partially offset by less net proceeds from debt issuances and increases in stock repurchases and dividend payments.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4, 2019</w:t>
            </w: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 2018</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46,261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3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21,325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3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175" w:lineRule="exact"/>
        <w:rPr>
          <w:sz w:val="20"/>
          <w:szCs w:val="20"/>
          <w:color w:val="auto"/>
        </w:rPr>
      </w:pPr>
    </w:p>
    <w:p>
      <w:pPr>
        <w:ind w:right="120" w:firstLine="8"/>
        <w:spacing w:after="0" w:line="312" w:lineRule="auto"/>
        <w:tabs>
          <w:tab w:leader="none" w:pos="1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We use the average of the current quarter and prior quarter ending net accounts receivable and ending inventory balances in our calculation of days sales outstanding and days cost of sales in inventory, respectively. Fiscal 2018 amounts have been restated to reflect the full retrospective adoption of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 in Part I, Item 1 of this Quarterly Report on Form 10-Q.</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accounts receivable in dollars was primarily the result of normal variations in the timing of collections and billings.</w:t>
      </w:r>
    </w:p>
    <w:p>
      <w:pPr>
        <w:spacing w:after="0" w:line="171"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Inventory in dollars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jc w:val="both"/>
        <w:ind w:right="140" w:firstLine="432"/>
        <w:spacing w:after="0" w:line="264" w:lineRule="auto"/>
        <w:rPr>
          <w:sz w:val="20"/>
          <w:szCs w:val="20"/>
          <w:color w:val="auto"/>
        </w:rPr>
      </w:pPr>
      <w:r>
        <w:rPr>
          <w:rFonts w:ascii="Arial" w:cs="Arial" w:eastAsia="Arial" w:hAnsi="Arial"/>
          <w:sz w:val="18"/>
          <w:szCs w:val="18"/>
          <w:color w:val="auto"/>
        </w:rPr>
        <w:t>Current liabilities increased to $1.4 billion at May 4, 2019 from $1.1 billion at the end of fiscal 2018. The increase was primarily due to an increase of $307.2 million in the current portion of our debt, an increase in income taxes payable of $30.6 million, partially offset by a decrease in accounts payable of $52.7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As of May 4, 2019, we had $6.0 billion of carrying value outstanding on our long-term debt. The difference in the carrying value of the debt and the principal is due to the unamortized discount and issuance fees on these instruments that will accrete to the face value over the term of the debt. Our debt obligations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b w:val="1"/>
                <w:bCs w:val="1"/>
                <w:color w:val="auto"/>
              </w:rPr>
              <w:t>Principal Amount</w:t>
            </w:r>
          </w:p>
        </w:tc>
      </w:tr>
      <w:tr>
        <w:trPr>
          <w:trHeight w:val="234"/>
        </w:trPr>
        <w:tc>
          <w:tcPr>
            <w:tcW w:w="5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87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3-Year term loan, due March 2020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5-Year term loan, due March 2022</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1,350,000</w:t>
            </w:r>
          </w:p>
        </w:tc>
      </w:tr>
      <w:tr>
        <w:trPr>
          <w:trHeight w:val="27"/>
        </w:trPr>
        <w:tc>
          <w:tcPr>
            <w:tcW w:w="5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2.85%</w:t>
            </w: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March 2020</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2.90%</w:t>
            </w:r>
          </w:p>
        </w:tc>
        <w:tc>
          <w:tcPr>
            <w:tcW w:w="8180" w:type="dxa"/>
            <w:vAlign w:val="bottom"/>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450,000</w:t>
            </w:r>
          </w:p>
        </w:tc>
      </w:tr>
      <w:tr>
        <w:trPr>
          <w:trHeight w:val="27"/>
        </w:trPr>
        <w:tc>
          <w:tcPr>
            <w:tcW w:w="5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2.50%</w:t>
            </w: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2.875% Senior unsecured notes, due June 2023</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87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3.125% Senior unsecured notes, due December 2023</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3.90%</w:t>
            </w:r>
          </w:p>
        </w:tc>
        <w:tc>
          <w:tcPr>
            <w:tcW w:w="8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850,000</w:t>
            </w:r>
          </w:p>
        </w:tc>
      </w:tr>
      <w:tr>
        <w:trPr>
          <w:trHeight w:val="27"/>
        </w:trPr>
        <w:tc>
          <w:tcPr>
            <w:tcW w:w="5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3.50%</w:t>
            </w: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4.50%</w:t>
            </w:r>
          </w:p>
        </w:tc>
        <w:tc>
          <w:tcPr>
            <w:tcW w:w="8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5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5.30%</w:t>
            </w: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6,025,000</w:t>
            </w:r>
          </w:p>
        </w:tc>
      </w:tr>
    </w:tbl>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May 4, 2019, we were in compliance with these covenants.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have a senior unsecured revolving credit facility with certain institutional lenders that expires on July 10, 2020. The agreement for such revolving credit facility (Credit Agreement) provides that we may borrow up to $1.0 billion. In December 2018 we borrowed $75.0 million under this revolving credit facility and utilized the proceeds for the repayment of existing indebtedness and working capital requirements. We repaid the $75 million plus interest of $0.2 million in January 2019. We may borrow under this revolving credit facility in the future and use the proceeds for repayment of existing indebtedness, stock repurchases, acquisitions, capital expenditures, working capital and other lawful corporate purposes. The terms of the Credit Agreement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4.5 to 1.0. The debt covenant is being reduced over time to 3.0 to 1.0, which began in May 2018. As of May 4, 2019, we were compliant with these covenants.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common stock repurchase program has been in place since August 2004. In the aggregate, our Board of Directors has authorized us to repurchase $8.2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May 4, 2019, we had repurchased a total of approximately 152.0 million shares of our common stock for approximately $5.8 billion under this program. As of May 4, 2019, an additional $2.3 billion remains available for repurchase under the current authorized program. The repurchased shares are held as authorized but unissued shares of common stock. We also, from time to time, repurchase shares in settlement of employee tax withholding obligations due upon the vesting of restricted stock units/awards or the exercise of stock options.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46"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additions to property, plant and equipment were $166.2 million in the first six months of fiscal 2019 and were funded with a combination of cash on hand and cash generated from operations. We expect capital expenditures for fiscal 2019 to be approximately 5% of fiscal 2019 revenue. These capital expenditures will be funded with a combination of cash on hand and cash generated from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jc w:val="both"/>
        <w:ind w:right="440" w:firstLine="432"/>
        <w:spacing w:after="0" w:line="302" w:lineRule="auto"/>
        <w:rPr>
          <w:sz w:val="20"/>
          <w:szCs w:val="20"/>
          <w:color w:val="auto"/>
        </w:rPr>
      </w:pPr>
      <w:r>
        <w:rPr>
          <w:rFonts w:ascii="Arial" w:cs="Arial" w:eastAsia="Arial" w:hAnsi="Arial"/>
          <w:sz w:val="16"/>
          <w:szCs w:val="16"/>
          <w:color w:val="auto"/>
        </w:rPr>
        <w:t>On May 21, 2019, our Board of Directors declared a cash dividend of $0.54 per outstanding share of common stock. The dividend will be paid on June 11, 2019 to all shareholders of record at the close of business on May 31, 2019 and is expected to total approximately $199.7 million. We currently expect quarterly dividends to continue at $0.54 per share, although they remain subject to determination and declaration by our Board of Directors. The payment of future dividends, if any, will be based on several factors, including our financial performance, outlook and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There have not been any material changes during the six-month period ended May 4, 2019 to the amounts presented in the table summarizing our contractual obligations included in our Annual Report on Form 10-K for the fiscal year ended November 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our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has issued several amendments and updates to the new revenue standard, including guidance related to when an entity should recognize revenue gross as a principal or net as an agent and how an entity should identify performance obligations. We adopted ASU 2014-09 in the first quarter of fiscal 2019, using the full retrospective method and restated prior periods. As a result of the adoption of ASU 2014-09, we changed our accounting policy for revenue recognition. See Note 1,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and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in the Notes to our Condensed Consolidated Financial Statements in Part I, Item 1 of this Quarterly Report on Form 10-Q for details of the impact of ASU 2014-09 on our financial statements.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2016-16)</w:t>
      </w:r>
      <w:r>
        <w:rPr>
          <w:rFonts w:ascii="Arial" w:cs="Arial" w:eastAsia="Arial" w:hAnsi="Arial"/>
          <w:sz w:val="17"/>
          <w:szCs w:val="17"/>
          <w:i w:val="1"/>
          <w:iCs w:val="1"/>
          <w:color w:val="auto"/>
        </w:rPr>
        <w:t>.</w:t>
      </w:r>
      <w:r>
        <w:rPr>
          <w:rFonts w:ascii="Arial" w:cs="Arial" w:eastAsia="Arial" w:hAnsi="Arial"/>
          <w:sz w:val="17"/>
          <w:szCs w:val="17"/>
          <w:color w:val="auto"/>
        </w:rPr>
        <w:t xml:space="preserve"> ASU 2016-16 requires an entity to recognize the income tax consequences of an intra-entity transfer of an asset, other than inventory, when the transfer occurs. ASU 2016-16 is effective for fiscal years beginning after December 15, 2017, and interim periods within those fiscal years. We adopted ASU 2016-16 in the first quarter of fiscal 2019 using the modified retrospective method with a cumulative-effect adjustment directly to retained earnings. The adoption of ASU 2016-16 resulted in a cumulative-effect increase in our deferred tax assets of approximately $1.7 billion and an increase to our deferred tax liabilities of $1.3 billion.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 xml:space="preserve">Except for the accounting policy for revenue recognition that was updated as a result of adopting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(ASU 2014-09), there were no other material changes in the six-month period ended May 4, 2019 to the information provided under the heading</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Accounting Policies and Estimates” in the section entitled "Management's Discussion and Analysis of Financial Condition and Results of Operations" of our Annual Report on Form 10-K for the fiscal year ended November 3, 2018.</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46" w:right="259" w:bottom="1440" w:gutter="0" w:footer="0" w:header="0"/>
        </w:sectPr>
      </w:pPr>
    </w:p>
    <w:bookmarkStart w:id="33" w:name="page34"/>
    <w:bookmarkEnd w:id="33"/>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Exposure</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Based on the $1.4 billion of floating rate debt outstanding as of May 4, 2019, our annual interest expense would change by approximately $14.3 million for each 100 basis point increase in interest rates.</w:t>
      </w:r>
    </w:p>
    <w:p>
      <w:pPr>
        <w:spacing w:after="0" w:line="116" w:lineRule="exact"/>
        <w:rPr>
          <w:sz w:val="20"/>
          <w:szCs w:val="20"/>
          <w:color w:val="auto"/>
        </w:rPr>
      </w:pPr>
    </w:p>
    <w:p>
      <w:pPr>
        <w:ind w:right="580" w:firstLine="405"/>
        <w:spacing w:after="0" w:line="342" w:lineRule="auto"/>
        <w:rPr>
          <w:sz w:val="20"/>
          <w:szCs w:val="20"/>
          <w:color w:val="auto"/>
        </w:rPr>
      </w:pPr>
      <w:r>
        <w:rPr>
          <w:rFonts w:ascii="Arial" w:cs="Arial" w:eastAsia="Arial" w:hAnsi="Arial"/>
          <w:sz w:val="16"/>
          <w:szCs w:val="16"/>
          <w:color w:val="auto"/>
        </w:rPr>
        <w:t>There were no other material changes in the six-month period ended May 4, 2019 to the information provided under Item 7A. “Quantitative and Qualitative Disclosures about Market Risk,” set forth in our Annual Report on Form 10-K for the fiscal year ended November 3, 2018.</w:t>
      </w:r>
    </w:p>
    <w:p>
      <w:pPr>
        <w:spacing w:after="0" w:line="28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May 4, 2019.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4, 2019, our Chief Executive Officer and Chief Financial Officer concluded that, as of such date, our disclosure controls and procedures were effective at the reasonable assurance level.</w:t>
      </w:r>
    </w:p>
    <w:p>
      <w:pPr>
        <w:spacing w:after="0" w:line="44" w:lineRule="exact"/>
        <w:rPr>
          <w:rFonts w:ascii="Arial" w:cs="Arial" w:eastAsia="Arial" w:hAnsi="Arial"/>
          <w:sz w:val="17"/>
          <w:szCs w:val="17"/>
          <w:color w:val="auto"/>
        </w:rPr>
      </w:pPr>
    </w:p>
    <w:p>
      <w:pPr>
        <w:ind w:right="80" w:firstLine="8"/>
        <w:spacing w:after="0" w:line="26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May 4, 2019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742"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November 3, 2018.</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9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Continuing uncertainty regarding the stability of global credit and financial markets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 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9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customer demand for our products and/or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customer order patterns and seasonality;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103" w:lineRule="exact"/>
        <w:rPr>
          <w:rFonts w:ascii="Arial" w:cs="Arial" w:eastAsia="Arial" w:hAnsi="Arial"/>
          <w:sz w:val="18"/>
          <w:szCs w:val="18"/>
          <w:color w:val="auto"/>
        </w:rPr>
      </w:pPr>
    </w:p>
    <w:p>
      <w:pPr>
        <w:ind w:left="660" w:right="120" w:hanging="328"/>
        <w:spacing w:after="0" w:line="3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issued, threatened or retaliatory government sanctions, trade barriers or economic restrictions, changes in law, regulations or other restrictions, including executive orders, changes in import and export regulations, export classifications or changes in duties and tariffs, particularly with respect to China;</w:t>
      </w: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40" w:hanging="328"/>
        <w:spacing w:after="0" w:line="3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0" w:right="259" w:bottom="1440" w:gutter="0" w:footer="0" w:header="0"/>
        </w:sectPr>
      </w:pPr>
    </w:p>
    <w:bookmarkStart w:id="35" w:name="page36"/>
    <w:bookmarkEnd w:id="35"/>
    <w:p>
      <w:pPr>
        <w:ind w:left="660" w:right="200" w:hanging="328"/>
        <w:spacing w:after="0" w:line="3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103" w:lineRule="exact"/>
        <w:rPr>
          <w:rFonts w:ascii="Arial" w:cs="Arial" w:eastAsia="Arial" w:hAnsi="Arial"/>
          <w:sz w:val="18"/>
          <w:szCs w:val="18"/>
          <w:color w:val="auto"/>
        </w:rPr>
      </w:pPr>
    </w:p>
    <w:p>
      <w:pPr>
        <w:ind w:left="660" w:right="480" w:hanging="328"/>
        <w:spacing w:after="0" w:line="3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significant litigation-related costs or product warranty and/or indemnity claims, including those not covered by our suppliers or insurers;</w:t>
      </w:r>
    </w:p>
    <w:p>
      <w:pPr>
        <w:spacing w:after="0" w:line="126" w:lineRule="exact"/>
        <w:rPr>
          <w:rFonts w:ascii="Arial" w:cs="Arial" w:eastAsia="Arial" w:hAnsi="Arial"/>
          <w:sz w:val="16"/>
          <w:szCs w:val="16"/>
          <w:color w:val="auto"/>
        </w:rPr>
      </w:pPr>
    </w:p>
    <w:p>
      <w:pPr>
        <w:ind w:left="660" w:right="200" w:hanging="328"/>
        <w:spacing w:after="0" w:line="3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103" w:lineRule="exact"/>
        <w:rPr>
          <w:rFonts w:ascii="Arial" w:cs="Arial" w:eastAsia="Arial" w:hAnsi="Arial"/>
          <w:sz w:val="18"/>
          <w:szCs w:val="18"/>
          <w:color w:val="auto"/>
        </w:rPr>
      </w:pPr>
    </w:p>
    <w:p>
      <w:pPr>
        <w:ind w:left="660" w:right="60" w:hanging="328"/>
        <w:spacing w:after="0" w:line="37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Our acquisition of Linear Technology Corporation (Linear) and the integration of its business, operations and employees with our own may be more difficult, costly or time consuming than expected, and the anticipated benefits and cost savings of the acquisition may not be fully realized, which could adversely impact our business operations, financial condition and results of operations.</w:t>
      </w:r>
    </w:p>
    <w:p>
      <w:pPr>
        <w:spacing w:after="0" w:line="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completed the acquisition of Linear, which we refer to as the Acquisition, on March 10, 2017. The success of the Acquisition, including the achievement of anticipated benefits and cost savings of the Acquisition, is subject to a number of uncertainties and will depend, in part, on our ability to successfully combine and integrate Linear's business into our business in an efficient and effective manner. Potential difficulties the combined company may encounter in the integration process include the following:</w:t>
      </w:r>
    </w:p>
    <w:p>
      <w:pPr>
        <w:spacing w:after="0" w:line="106" w:lineRule="exact"/>
        <w:rPr>
          <w:sz w:val="20"/>
          <w:szCs w:val="20"/>
          <w:color w:val="auto"/>
        </w:rPr>
      </w:pPr>
    </w:p>
    <w:p>
      <w:pPr>
        <w:ind w:left="660" w:right="6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successfully integrate Linear's business into our own in a manner that permits the combined company to achieve the cost savings and operating synergies anticipated to result from the Acquisition, which could result in the anticipated benefits of the Acquisition not being realized partly or wholly in the time frame currently anticipated or at all;</w:t>
      </w:r>
    </w:p>
    <w:p>
      <w:pPr>
        <w:ind w:left="660" w:right="6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integrating personnel, IT systems and corporate, finance and administrative infrastructures of the two companies while maintaining focus on providing consistent, high quality products and services;</w:t>
      </w: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coordinating and integrating our internal operations, compensation and benefits programs, policies and procedures, and corporate structures;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servicing the substantial debt that we have incurred in connection with the Acquisition.</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of these factors could result in the combined company failing to realize the anticipated benefits of the Acquisition, on the expected timeline or at all, and could adversely impact our business operations,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38"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90"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Our effective tax rate reflects the applicable tax rate in effect in the various tax jurisdictions around the world where our income is earned. Our effective tax rate for the first six months of the fiscal year ending November 2, 2019 was below our U.S. federal statutory rate of 21%. It was also below our blended U.S. federal statutory tax rate of 23.4% for the fiscal year ended November 3, 2018.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4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we are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reverse engineer,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5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patents are granted, enforcement may not be available or achieved under the circumstances. If our patents and mask works do not adequately protect our technology, our competitors may be able to offer products similar to ours. Our competitors may also be able to develop similar technology independently or design around our patents.</w:t>
      </w:r>
    </w:p>
    <w:p>
      <w:pPr>
        <w:spacing w:after="0" w:line="5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3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65" w:right="239" w:bottom="1440" w:gutter="0" w:footer="0" w:header="0"/>
        </w:sectPr>
      </w:pPr>
    </w:p>
    <w:bookmarkStart w:id="37" w:name="page38"/>
    <w:bookmarkEnd w:id="37"/>
    <w:p>
      <w:pPr>
        <w:spacing w:after="0" w:line="272" w:lineRule="auto"/>
        <w:rPr>
          <w:sz w:val="20"/>
          <w:szCs w:val="20"/>
          <w:color w:val="auto"/>
        </w:rPr>
      </w:pPr>
      <w:r>
        <w:rPr>
          <w:rFonts w:ascii="Arial" w:cs="Arial" w:eastAsia="Arial" w:hAnsi="Arial"/>
          <w:sz w:val="17"/>
          <w:szCs w:val="17"/>
          <w:color w:val="auto"/>
        </w:rPr>
        <w:t>and certain of our products caused by viruses, illegal break-ins or hacking, sabotage, or acts of vandalism by third parties or our employees or contractors. Our security measures or those of our third party service providers may not detect or prevent security breaches, defects, bugs or errors. In addition, we provide our confidential and proprietary information to our strategic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Long-term contracts are not typical for us, and incorrect forecasts or reductions, cancellations or delays in orders for our products could adversely affect our operating results.</w:t>
      </w:r>
    </w:p>
    <w:p>
      <w:pPr>
        <w:spacing w:after="0" w:line="3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which may fluctuate significantly on a quarterly or annual basis.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orders or forecasts for products that meet the customer’s unique requirements and that are canceled or unrealized orders would, in addition, result in an inventory of unsaleable products, causing potential inventory write-offs, and we may be unable to recover all of our costs incurred or committed.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3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future success significantly depends on our continued ability to execute our business strategy, continue to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 In addition, our growth is dependent on our ability to generate new design opportunities and win competitive bid selection processes. Failure to obtain or maintain a particular design win may prevent us from obtaining or maintaining design wins in subsequent generations of a particular product and could also weaken our position in future competitive selection processes. Our growth is also dependent on our ability to identify and penetrate new markets where we have limited experience and competition is intense. Some of our customers in new markets are less established, which could subject us to increased credit risk. There can be no assurance that the markets we serve and/or target based on our business strategy will grow in the future, that our existing and new products will meet the requirements of these markets, that our products, or the products in which our products are used, will achieve customer acceptance in these markets, that competitors will not force price reductions or take market share from us, or that we can achieve or maintain adequate gross margins or profits in these markets. Additionally, developing markets, such as the Industry 4.0, autonomous driving, artificial intelligence and 5G, require significant investments, resources and technological advancements in order to compete effectively and there can be no assurance that we will achieve success in these markets. Furthermore, a decline in demand in one or several of our end-user markets could have a material adverse effect on the demand for our products and our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65" w:right="259" w:bottom="1440" w:gutter="0" w:footer="0" w:header="0"/>
        </w:sectPr>
      </w:pPr>
    </w:p>
    <w:bookmarkStart w:id="38" w:name="page39"/>
    <w:bookmarkEnd w:id="38"/>
    <w:p>
      <w:pPr>
        <w:ind w:right="120"/>
        <w:spacing w:after="0" w:line="270" w:lineRule="auto"/>
        <w:rPr>
          <w:sz w:val="20"/>
          <w:szCs w:val="20"/>
          <w:color w:val="auto"/>
        </w:rPr>
      </w:pPr>
      <w:r>
        <w:rPr>
          <w:rFonts w:ascii="Arial" w:cs="Arial" w:eastAsia="Arial" w:hAnsi="Arial"/>
          <w:sz w:val="17"/>
          <w:szCs w:val="17"/>
          <w:color w:val="auto"/>
        </w:rPr>
        <w:t>competitors also include emerging companies selling specialized products in markets we serve and entities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3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rely, and plan to continue to rely, on third-party suppliers, assembly and test subcontractors, freight carriers and wafer fabricators (collectively, suppliers) to supply most of our products that can be manufactured using industry-standard processes. This reliance involves several risks, including reduced control over availability, capacity utilization, delivery schedules, manufacturing yields, and costs. We currently source approximately half of our wafer requirements annually from third-party wafer fabrication foundries, such as Taiwan Semiconductor Manufacturing Company (TSMC), Global Foundries, Vanguard, and others.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additional or replacement suppliers or manufacturing processes are not available, we may also experience delays in product development or shipment which could, in turn, result in the temporary or permanent loss of customers.</w:t>
      </w: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1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term loans and senior unsecured notes.</w:t>
      </w:r>
    </w:p>
    <w:p>
      <w:pPr>
        <w:spacing w:after="0" w:line="3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ability to make payments of principal and interest on our indebtedness when due, including the significant indebtedness that we incurred in connection with the Acquisition,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9"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attracting foreign withholding and state and local income taxes;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65" w:right="259" w:bottom="1440" w:gutter="0" w:footer="0" w:header="0"/>
        </w:sectPr>
      </w:pPr>
    </w:p>
    <w:bookmarkStart w:id="39" w:name="page40"/>
    <w:bookmarkEnd w:id="39"/>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reduce or delay planned capital expenditures or operating expenditures.</w:t>
      </w:r>
    </w:p>
    <w:p>
      <w:pPr>
        <w:spacing w:after="0" w:line="13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4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significant existing indebtedness could also have the effect, among other things, of reducing our flexibility to respond to changing business and economic conditions, reducing funds available for working capital, capital expenditures, acquisitions and other general corporate purposes or creating competitive disadvantages relative to other companies with lower debt levels.</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43" w:lineRule="exact"/>
        <w:rPr>
          <w:sz w:val="20"/>
          <w:szCs w:val="20"/>
          <w:color w:val="auto"/>
        </w:rPr>
      </w:pPr>
    </w:p>
    <w:p>
      <w:pPr>
        <w:ind w:right="560"/>
        <w:spacing w:after="0" w:line="334" w:lineRule="auto"/>
        <w:rPr>
          <w:sz w:val="20"/>
          <w:szCs w:val="20"/>
          <w:color w:val="auto"/>
        </w:rPr>
      </w:pPr>
      <w:r>
        <w:rPr>
          <w:rFonts w:ascii="Arial" w:cs="Arial" w:eastAsia="Arial" w:hAnsi="Arial"/>
          <w:sz w:val="16"/>
          <w:szCs w:val="16"/>
          <w:i w:val="1"/>
          <w:iCs w:val="1"/>
          <w:color w:val="auto"/>
        </w:rPr>
        <w:t>Our semiconductor products are complex and we may be subject to product warranty and indemnity claims, which could result in significant costs and damage to our reputation and adversely affect customer relationships, the market acceptance of our products and our operating results.</w:t>
      </w:r>
    </w:p>
    <w:p>
      <w:pPr>
        <w:spacing w:after="0" w:line="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Semiconductor products are highly complex and may contain defects when they are first introduced or as new versions are developed. Failures in our products and services or in the products of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 breaches and theft of intellectual property.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recalls, which may adversely impact our operating results. We may also be subject to customer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 defects, or have reliability, quality or compatibility problems, our reputation may be damaged, which could make it more difficult for us to sell our products to customers and could also adversely affect our operating results.</w:t>
      </w:r>
    </w:p>
    <w:p>
      <w:pPr>
        <w:spacing w:after="0" w:line="5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38" w:right="239" w:bottom="1440" w:gutter="0" w:footer="0" w:header="0"/>
        </w:sectPr>
      </w:pPr>
    </w:p>
    <w:bookmarkStart w:id="40" w:name="page41"/>
    <w:bookmarkEnd w:id="40"/>
    <w:p>
      <w:pPr>
        <w:ind w:right="60"/>
        <w:spacing w:after="0" w:line="271" w:lineRule="auto"/>
        <w:rPr>
          <w:sz w:val="20"/>
          <w:szCs w:val="20"/>
          <w:color w:val="auto"/>
        </w:rPr>
      </w:pPr>
      <w:r>
        <w:rPr>
          <w:rFonts w:ascii="Arial" w:cs="Arial" w:eastAsia="Arial" w:hAnsi="Arial"/>
          <w:sz w:val="17"/>
          <w:szCs w:val="17"/>
          <w:color w:val="auto"/>
        </w:rPr>
        <w:t>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The inability to attract, hire and retain key employees with critical technical skills to achieve our strategy, including as a result of changes to immigration policies, could also have a material adverse effect on our business. In addition, there could be a material adverse effect on our business should the turnover rates for engineers and other key personnel increase significantly or if we are unable to continue to attract, hire and retain qualified personnel. We do not maintain any key person life insurance policy on any of our officers or other employees.</w:t>
      </w:r>
    </w:p>
    <w:p>
      <w:pPr>
        <w:spacing w:after="0" w:line="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In addition, investments in private companies are subject to a risk of a partial or total loss of our investment. Both in the U.S. and abroad, governmental regulation of acquisitions, including antitrust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6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or delay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transaction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realizing synergies and growth prospects of an acquisition in a timely manner or at all;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21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like many companies in the semiconductor industry, rely on supplies, services, internal manufacturing capacity, wafer fabrication foundries and other subcontractors in geologically unstable locations around the world. Earthquakes,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65" w:right="259" w:bottom="1440" w:gutter="0" w:footer="0" w:header="0"/>
        </w:sectPr>
      </w:pPr>
    </w:p>
    <w:bookmarkStart w:id="41" w:name="page42"/>
    <w:bookmarkEnd w:id="41"/>
    <w:p>
      <w:pPr>
        <w:ind w:right="20"/>
        <w:spacing w:after="0" w:line="297" w:lineRule="auto"/>
        <w:rPr>
          <w:sz w:val="20"/>
          <w:szCs w:val="20"/>
          <w:color w:val="auto"/>
        </w:rPr>
      </w:pPr>
      <w:r>
        <w:rPr>
          <w:rFonts w:ascii="Arial" w:cs="Arial" w:eastAsia="Arial" w:hAnsi="Arial"/>
          <w:sz w:val="16"/>
          <w:szCs w:val="16"/>
          <w:color w:val="auto"/>
        </w:rPr>
        <w:t>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3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3" w:lineRule="exact"/>
        <w:rPr>
          <w:sz w:val="20"/>
          <w:szCs w:val="20"/>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legal and economic changes, crises or instability and civil unrest in foreign markets;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currency conversion risks and exchange rate and interest rate fluctuations;</w:t>
      </w:r>
    </w:p>
    <w:p>
      <w:pPr>
        <w:spacing w:after="0" w:line="103" w:lineRule="exact"/>
        <w:rPr>
          <w:rFonts w:ascii="Arial" w:cs="Arial" w:eastAsia="Arial" w:hAnsi="Arial"/>
          <w:sz w:val="18"/>
          <w:szCs w:val="18"/>
          <w:color w:val="auto"/>
        </w:rPr>
      </w:pPr>
    </w:p>
    <w:p>
      <w:pPr>
        <w:ind w:left="560" w:right="140" w:hanging="160"/>
        <w:spacing w:after="0" w:line="405"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trade policy, trade,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ind w:left="560" w:right="120" w:hanging="160"/>
        <w:spacing w:after="0" w:line="360"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 varying and changing government regulations and legal standards and requirements, particularly with respect to price protection, competition practices, export control regulations and restrictions, customs and tax requirements, immigration, anti-boycott regulations, data privacy, intellectual property, anti-corruption and environmental compliance, including U.S. customs and export regulations and restrictions, International Traffic in Arms Regulations and the Foreign Corrupt Practices Act;</w:t>
      </w: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or pandemics;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3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3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Many of these risks are present in China. While we expect to continue to expand our business and operations in China, our success in the Chinese markets may be adversely affected by China’s continuously evolving policies, laws and regulations, including those relating to trade, taxation, import and export tariffs or restrictions, currency controls, antitrust, cybersecurity and data protection, the environment, indigenous innovation and the promotion of a domestic semiconductor industry, and intellectual property rights and enforcement and protection of those rights. Enforcement of existing laws or agreements may be inconsistent. In addition, changes in the political environment, governmental policies, international trade policies and relations, or U.S.-China relations could result in revisions to laws or regulations or their interpretation and enforcement, exposure of our proprietary intellectual property, increased taxation, trade sanctions, the imposition of import duties or tariffs, restrictions on imports or exports, currency revaluations, or retaliatory actions , which could have an adverse effect on our business plans and operating results.</w:t>
      </w:r>
    </w:p>
    <w:p>
      <w:pPr>
        <w:spacing w:after="0" w:line="4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At May 4, 2019, our principal source of liquidity was $713.6 million of cash and cash equivalents, of which approximately $267.7 million was held in the United States and the remaining balance was held outside the United States in various foreign subsidiaries. We continue to assert our intent to reinvest substantially all of our foreign earnings indefinitely.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665" w:right="299" w:bottom="1440" w:gutter="0" w:footer="0" w:header="0"/>
        </w:sectPr>
      </w:pPr>
    </w:p>
    <w:bookmarkStart w:id="42" w:name="page43"/>
    <w:bookmarkEnd w:id="42"/>
    <w:p>
      <w:pPr>
        <w:ind w:right="120"/>
        <w:spacing w:after="0" w:line="255" w:lineRule="auto"/>
        <w:rPr>
          <w:sz w:val="20"/>
          <w:szCs w:val="20"/>
          <w:color w:val="auto"/>
        </w:rPr>
      </w:pPr>
      <w:r>
        <w:rPr>
          <w:rFonts w:ascii="Arial" w:cs="Arial" w:eastAsia="Arial" w:hAnsi="Arial"/>
          <w:sz w:val="18"/>
          <w:szCs w:val="18"/>
          <w:color w:val="auto"/>
        </w:rPr>
        <w:t>As we intend to reinvest substantially all of our foreign earnings indefinitely, certain cash held outside the United States may not be available for repatriation as dividends to the United States in the future.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 significant portion of our sales are through independent global and regional distributors that are not under our control. Arrow Electronics is currently our sole global distributor.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4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 xml:space="preserve">Effective November 4, 2018, all distributor sales are recognized upon shipment to the distributor under Accounting Standards Update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w:t>
      </w:r>
      <w:r>
        <w:rPr>
          <w:rFonts w:ascii="Arial" w:cs="Arial" w:eastAsia="Arial" w:hAnsi="Arial"/>
          <w:sz w:val="18"/>
          <w:szCs w:val="18"/>
          <w:color w:val="auto"/>
        </w:rPr>
        <w:t>(ASU 2014-09). We are now required to estimate the effects of returns and allowances provided to distributors and record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at the time of sale to the distributor. If our estimates of such credits and rights are materially understated, it could cause subsequent adjustments that negatively impact our revenues and gross profits in a future period.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90"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Our industry is subject to EHS requirements, particularly those environmental requirements that control and restrict the sourcing, use, transportation, emission, discharge, storage and disposal of certain chemicals,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4" w:lineRule="exact"/>
        <w:rPr>
          <w:sz w:val="20"/>
          <w:szCs w:val="20"/>
          <w:color w:val="auto"/>
        </w:rPr>
      </w:pPr>
    </w:p>
    <w:p>
      <w:pPr>
        <w:ind w:left="560" w:hanging="160"/>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10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9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43"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65" w:right="239" w:bottom="1440" w:gutter="0" w:footer="0" w:header="0"/>
        </w:sectPr>
      </w:pPr>
    </w:p>
    <w:bookmarkStart w:id="43" w:name="page44"/>
    <w:bookmarkEnd w:id="43"/>
    <w:p>
      <w:pPr>
        <w:spacing w:after="0" w:line="264" w:lineRule="auto"/>
        <w:rPr>
          <w:sz w:val="20"/>
          <w:szCs w:val="20"/>
          <w:color w:val="auto"/>
        </w:rPr>
      </w:pPr>
      <w:r>
        <w:rPr>
          <w:rFonts w:ascii="Arial" w:cs="Arial" w:eastAsia="Arial" w:hAnsi="Arial"/>
          <w:sz w:val="18"/>
          <w:szCs w:val="18"/>
          <w:color w:val="auto"/>
        </w:rPr>
        <w:t>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4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loans and outstanding debt instruments may limit our activities.</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current revolving credit facility, term loans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and changes in technology, government regulations and the level of competition. In addition, our revolving credit facility requires us to maintain compliance with specified financial ratios. If we breach any of the covenants under our revolving credit facility, the indentures governing our outstanding senior unsecured notes, the term loans or any future debt instruments to which we may become subject and do not obtain appropriate waivers, then, subject to applicable cure periods, our outstanding indebtedness thereunder could be declared immediately due and payable or we may be restricted from further borrowing under our revolving credit facility.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 w:lineRule="exact"/>
        <w:rPr>
          <w:sz w:val="20"/>
          <w:szCs w:val="20"/>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right="440" w:hanging="247"/>
        <w:spacing w:after="0" w:line="3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115" w:lineRule="exact"/>
        <w:rPr>
          <w:rFonts w:ascii="Arial" w:cs="Arial" w:eastAsia="Arial" w:hAnsi="Arial"/>
          <w:sz w:val="17"/>
          <w:szCs w:val="17"/>
          <w:color w:val="auto"/>
        </w:rPr>
      </w:pPr>
    </w:p>
    <w:p>
      <w:pPr>
        <w:ind w:left="660" w:right="320" w:hanging="247"/>
        <w:spacing w:after="0" w:line="3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our customers or our competitors of significant new products, technical innovations, material transactions, acquisitions or dispositions, litigation, capital commitments or revised earnings estimates;</w:t>
      </w: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665" w:right="2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508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w w:val="93"/>
              </w:rPr>
              <w:t>Unregistered Sales of Equity Securities and Use of Proceeds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Paid Per Share (b)</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3, 2019 through March 2, 2019</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46,582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106.54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37,402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2,393,976,912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March 3, 2019 through March 30, 2019</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496,726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107.03</w:t>
            </w:r>
          </w:p>
        </w:tc>
        <w:tc>
          <w:tcPr>
            <w:tcW w:w="10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186,056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
              <w:spacing w:after="0"/>
              <w:rPr>
                <w:sz w:val="20"/>
                <w:szCs w:val="20"/>
                <w:color w:val="auto"/>
              </w:rPr>
            </w:pPr>
            <w:r>
              <w:rPr>
                <w:rFonts w:ascii="Arial" w:cs="Arial" w:eastAsia="Arial" w:hAnsi="Arial"/>
                <w:sz w:val="18"/>
                <w:szCs w:val="18"/>
                <w:color w:val="auto"/>
              </w:rPr>
              <w:t>2,373,997,691</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2019 through May 4, 2019</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381,298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113.80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342,620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2,335,008,817</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3460" w:type="dxa"/>
            <w:vAlign w:val="bottom"/>
          </w:tcPr>
          <w:p>
            <w:pPr>
              <w:ind w:left="106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924,606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109.80</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566,078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
              <w:spacing w:after="0"/>
              <w:rPr>
                <w:sz w:val="20"/>
                <w:szCs w:val="20"/>
                <w:color w:val="auto"/>
              </w:rPr>
            </w:pPr>
            <w:r>
              <w:rPr>
                <w:rFonts w:ascii="Arial" w:cs="Arial" w:eastAsia="Arial" w:hAnsi="Arial"/>
                <w:sz w:val="18"/>
                <w:szCs w:val="18"/>
                <w:color w:val="auto"/>
              </w:rPr>
              <w:t>2,335,008,817</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358,528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200" w:hanging="328"/>
        <w:spacing w:after="0" w:line="273"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Shares repurchased pursuant to the stock repurchase program publicly announced on August 12, 2004. Under the repurchase program, we may repurchase outstanding shares of our common stock from time to time in the open market and through privately negotiated transactions in an aggregate amount of up to $8.2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5" w:name="page46"/>
    <w:bookmarkEnd w:id="45"/>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900" w:type="dxa"/>
            <w:vAlign w:val="bottom"/>
          </w:tcPr>
          <w:p>
            <w:pPr>
              <w:spacing w:after="0"/>
              <w:rPr>
                <w:sz w:val="14"/>
                <w:szCs w:val="14"/>
                <w:color w:val="auto"/>
              </w:rPr>
            </w:pPr>
          </w:p>
        </w:tc>
        <w:tc>
          <w:tcPr>
            <w:tcW w:w="966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10.1†</w:t>
            </w:r>
          </w:p>
        </w:tc>
        <w:tc>
          <w:tcPr>
            <w:tcW w:w="94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Form of Relative TSR Performance Restricted Stock Unit Agreement for Employees for usage under the Company's Amended and</w:t>
              </w:r>
            </w:hyperlink>
          </w:p>
        </w:tc>
        <w:tc>
          <w:tcPr>
            <w:tcW w:w="220" w:type="dxa"/>
            <w:vAlign w:val="bottom"/>
          </w:tcPr>
          <w:p>
            <w:pPr>
              <w:spacing w:after="0"/>
              <w:rPr>
                <w:sz w:val="19"/>
                <w:szCs w:val="19"/>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60" w:type="dxa"/>
            <w:vAlign w:val="bottom"/>
            <w:gridSpan w:val="8"/>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Restated 2006 Stock Incentive Plan</w:t>
              </w:r>
            </w:hyperlink>
          </w:p>
        </w:tc>
      </w:tr>
      <w:tr>
        <w:trPr>
          <w:trHeight w:val="20"/>
        </w:trPr>
        <w:tc>
          <w:tcPr>
            <w:tcW w:w="1600" w:type="dxa"/>
            <w:vAlign w:val="bottom"/>
            <w:gridSpan w:val="2"/>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5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10.2†</w:t>
            </w:r>
          </w:p>
        </w:tc>
        <w:tc>
          <w:tcPr>
            <w:tcW w:w="966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Form of Financial Metric Performance Restricted Stock Unit Agreement for Employees for usage under the Company's Amended and</w:t>
              </w:r>
            </w:hyperlink>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60" w:type="dxa"/>
            <w:vAlign w:val="bottom"/>
            <w:gridSpan w:val="8"/>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Restated 2006 Stock Incentive Plan</w:t>
              </w:r>
            </w:hyperlink>
          </w:p>
        </w:tc>
      </w:tr>
      <w:tr>
        <w:trPr>
          <w:trHeight w:val="20"/>
        </w:trPr>
        <w:tc>
          <w:tcPr>
            <w:tcW w:w="1600" w:type="dxa"/>
            <w:vAlign w:val="bottom"/>
            <w:gridSpan w:val="2"/>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5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31.1†</w:t>
            </w:r>
          </w:p>
        </w:tc>
        <w:tc>
          <w:tcPr>
            <w:tcW w:w="93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89">
              <w:r>
                <w:rPr>
                  <w:rFonts w:ascii="Arial" w:cs="Arial" w:eastAsia="Arial" w:hAnsi="Arial"/>
                  <w:sz w:val="18"/>
                  <w:szCs w:val="18"/>
                  <w:color w:val="0000FF"/>
                  <w:w w:val="90"/>
                </w:rPr>
                <w:t>Certification Pursuant to Rule 13a-14(a) and 15d-14(a) of the Securities Exchange Act, as Adopted Pursuant to Section 302 of the</w:t>
              </w:r>
            </w:hyperlink>
          </w:p>
        </w:tc>
        <w:tc>
          <w:tcPr>
            <w:tcW w:w="300" w:type="dxa"/>
            <w:vAlign w:val="bottom"/>
            <w:gridSpan w:val="2"/>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w:anchor="page89">
              <w:r>
                <w:rPr>
                  <w:rFonts w:ascii="Arial" w:cs="Arial" w:eastAsia="Arial" w:hAnsi="Arial"/>
                  <w:sz w:val="18"/>
                  <w:szCs w:val="18"/>
                  <w:color w:val="0000FF"/>
                  <w:w w:val="92"/>
                </w:rPr>
                <w:t>Sarbanes-Oxley Act of 2002 (Chief Executive Officer).</w:t>
              </w:r>
            </w:hyperlink>
          </w:p>
        </w:tc>
        <w:tc>
          <w:tcPr>
            <w:tcW w:w="5660" w:type="dxa"/>
            <w:vAlign w:val="bottom"/>
            <w:gridSpan w:val="5"/>
          </w:tcPr>
          <w:p>
            <w:pPr>
              <w:spacing w:after="0"/>
              <w:rPr>
                <w:sz w:val="17"/>
                <w:szCs w:val="17"/>
                <w:color w:val="auto"/>
              </w:rPr>
            </w:pPr>
          </w:p>
        </w:tc>
      </w:tr>
      <w:tr>
        <w:trPr>
          <w:trHeight w:val="25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31.2†</w:t>
            </w:r>
          </w:p>
        </w:tc>
        <w:tc>
          <w:tcPr>
            <w:tcW w:w="93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Certification Pursuant to Rule 13a-14(a) and 15d-14(a) of the Securities Exchange Act, as Adopted Pursuant to Section 302 of the</w:t>
              </w:r>
            </w:hyperlink>
          </w:p>
        </w:tc>
        <w:tc>
          <w:tcPr>
            <w:tcW w:w="300" w:type="dxa"/>
            <w:vAlign w:val="bottom"/>
            <w:gridSpan w:val="2"/>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60" w:type="dxa"/>
            <w:vAlign w:val="bottom"/>
            <w:gridSpan w:val="8"/>
          </w:tcPr>
          <w:p>
            <w:pPr>
              <w:spacing w:after="0" w:line="196" w:lineRule="exact"/>
              <w:rPr>
                <w:rFonts w:ascii="Arial" w:cs="Arial" w:eastAsia="Arial" w:hAnsi="Arial"/>
                <w:sz w:val="18"/>
                <w:szCs w:val="18"/>
                <w:color w:val="0000FF"/>
              </w:rPr>
            </w:pPr>
            <w:hyperlink w:anchor="page90">
              <w:r>
                <w:rPr>
                  <w:rFonts w:ascii="Arial" w:cs="Arial" w:eastAsia="Arial" w:hAnsi="Arial"/>
                  <w:sz w:val="18"/>
                  <w:szCs w:val="18"/>
                  <w:color w:val="0000FF"/>
                </w:rPr>
                <w:t>Sarbanes-Oxley Act of 2002 (Chief Financial Officer).</w:t>
              </w:r>
            </w:hyperlink>
          </w:p>
        </w:tc>
      </w:tr>
      <w:tr>
        <w:trPr>
          <w:trHeight w:val="20"/>
        </w:trPr>
        <w:tc>
          <w:tcPr>
            <w:tcW w:w="1600" w:type="dxa"/>
            <w:vAlign w:val="bottom"/>
            <w:gridSpan w:val="2"/>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r>
      <w:tr>
        <w:trPr>
          <w:trHeight w:val="25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32.1†</w:t>
            </w:r>
          </w:p>
        </w:tc>
        <w:tc>
          <w:tcPr>
            <w:tcW w:w="546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91">
              <w:r>
                <w:rPr>
                  <w:rFonts w:ascii="Arial" w:cs="Arial" w:eastAsia="Arial" w:hAnsi="Arial"/>
                  <w:sz w:val="18"/>
                  <w:szCs w:val="18"/>
                  <w:color w:val="0000FF"/>
                  <w:w w:val="92"/>
                </w:rPr>
                <w:t>Certification Pursuant to 18 U.S.C. Section 1350 (Chief Executive Officer).</w:t>
              </w:r>
            </w:hyperlink>
          </w:p>
        </w:tc>
        <w:tc>
          <w:tcPr>
            <w:tcW w:w="4200" w:type="dxa"/>
            <w:vAlign w:val="bottom"/>
            <w:gridSpan w:val="3"/>
          </w:tcPr>
          <w:p>
            <w:pPr>
              <w:spacing w:after="0"/>
              <w:rPr>
                <w:sz w:val="21"/>
                <w:szCs w:val="21"/>
                <w:color w:val="auto"/>
              </w:rPr>
            </w:pPr>
          </w:p>
        </w:tc>
      </w:tr>
      <w:tr>
        <w:trPr>
          <w:trHeight w:val="25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32.2†</w:t>
            </w:r>
          </w:p>
        </w:tc>
        <w:tc>
          <w:tcPr>
            <w:tcW w:w="9660" w:type="dxa"/>
            <w:vAlign w:val="bottom"/>
            <w:gridSpan w:val="8"/>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Certification Pursuant to 18 U.S.C. Section 1350 (Chief Financial Officer).</w:t>
              </w:r>
            </w:hyperlink>
          </w:p>
        </w:tc>
      </w:tr>
      <w:tr>
        <w:trPr>
          <w:trHeight w:val="20"/>
        </w:trPr>
        <w:tc>
          <w:tcPr>
            <w:tcW w:w="1600" w:type="dxa"/>
            <w:vAlign w:val="bottom"/>
            <w:gridSpan w:val="2"/>
          </w:tcPr>
          <w:p>
            <w:pPr>
              <w:spacing w:after="0" w:line="20" w:lineRule="exact"/>
              <w:rPr>
                <w:sz w:val="1"/>
                <w:szCs w:val="1"/>
                <w:color w:val="auto"/>
              </w:rPr>
            </w:pPr>
          </w:p>
        </w:tc>
        <w:tc>
          <w:tcPr>
            <w:tcW w:w="5400" w:type="dxa"/>
            <w:vAlign w:val="bottom"/>
            <w:gridSpan w:val="4"/>
            <w:shd w:val="clear" w:color="auto" w:fill="0000FF"/>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r>
      <w:tr>
        <w:trPr>
          <w:trHeight w:val="276"/>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101.INS</w:t>
            </w:r>
          </w:p>
        </w:tc>
        <w:tc>
          <w:tcPr>
            <w:tcW w:w="9660" w:type="dxa"/>
            <w:vAlign w:val="bottom"/>
            <w:gridSpan w:val="8"/>
          </w:tcPr>
          <w:p>
            <w:pPr>
              <w:spacing w:after="0"/>
              <w:rPr>
                <w:sz w:val="20"/>
                <w:szCs w:val="20"/>
                <w:color w:val="auto"/>
              </w:rPr>
            </w:pPr>
            <w:r>
              <w:rPr>
                <w:rFonts w:ascii="Arial" w:cs="Arial" w:eastAsia="Arial" w:hAnsi="Arial"/>
                <w:sz w:val="18"/>
                <w:szCs w:val="18"/>
                <w:color w:val="auto"/>
                <w:w w:val="94"/>
              </w:rPr>
              <w:t>The instance document does not appear in the Interactive Data File because its XBRL tags are embedded within the inline XBRL</w:t>
            </w:r>
          </w:p>
        </w:tc>
      </w:tr>
      <w:tr>
        <w:trPr>
          <w:trHeight w:val="230"/>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60" w:type="dxa"/>
            <w:vAlign w:val="bottom"/>
            <w:gridSpan w:val="8"/>
          </w:tcPr>
          <w:p>
            <w:pPr>
              <w:spacing w:after="0"/>
              <w:rPr>
                <w:sz w:val="20"/>
                <w:szCs w:val="20"/>
                <w:color w:val="auto"/>
              </w:rPr>
            </w:pPr>
            <w:r>
              <w:rPr>
                <w:rFonts w:ascii="Arial" w:cs="Arial" w:eastAsia="Arial" w:hAnsi="Arial"/>
                <w:sz w:val="18"/>
                <w:szCs w:val="18"/>
                <w:color w:val="auto"/>
              </w:rPr>
              <w:t>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101.SCH</w:t>
            </w:r>
          </w:p>
        </w:tc>
        <w:tc>
          <w:tcPr>
            <w:tcW w:w="9660" w:type="dxa"/>
            <w:vAlign w:val="bottom"/>
            <w:gridSpan w:val="8"/>
          </w:tcPr>
          <w:p>
            <w:pPr>
              <w:spacing w:after="0"/>
              <w:rPr>
                <w:sz w:val="20"/>
                <w:szCs w:val="20"/>
                <w:color w:val="auto"/>
              </w:rPr>
            </w:pPr>
            <w:r>
              <w:rPr>
                <w:rFonts w:ascii="Arial" w:cs="Arial" w:eastAsia="Arial" w:hAnsi="Arial"/>
                <w:sz w:val="18"/>
                <w:szCs w:val="18"/>
                <w:color w:val="auto"/>
              </w:rPr>
              <w:t>XBRL Schema 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101.CAL</w:t>
            </w:r>
          </w:p>
        </w:tc>
        <w:tc>
          <w:tcPr>
            <w:tcW w:w="9660" w:type="dxa"/>
            <w:vAlign w:val="bottom"/>
            <w:gridSpan w:val="8"/>
          </w:tcPr>
          <w:p>
            <w:pPr>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8"/>
              </w:rPr>
              <w:t>101.LAB</w:t>
            </w:r>
          </w:p>
        </w:tc>
        <w:tc>
          <w:tcPr>
            <w:tcW w:w="9660" w:type="dxa"/>
            <w:vAlign w:val="bottom"/>
            <w:gridSpan w:val="8"/>
          </w:tcPr>
          <w:p>
            <w:pPr>
              <w:spacing w:after="0"/>
              <w:rPr>
                <w:sz w:val="20"/>
                <w:szCs w:val="20"/>
                <w:color w:val="auto"/>
              </w:rPr>
            </w:pPr>
            <w:r>
              <w:rPr>
                <w:rFonts w:ascii="Arial" w:cs="Arial" w:eastAsia="Arial" w:hAnsi="Arial"/>
                <w:sz w:val="18"/>
                <w:szCs w:val="18"/>
                <w:color w:val="auto"/>
              </w:rPr>
              <w:t>XBRL Labels Linkbase 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101.PRE</w:t>
            </w:r>
          </w:p>
        </w:tc>
        <w:tc>
          <w:tcPr>
            <w:tcW w:w="9660" w:type="dxa"/>
            <w:vAlign w:val="bottom"/>
            <w:gridSpan w:val="8"/>
          </w:tcPr>
          <w:p>
            <w:pPr>
              <w:spacing w:after="0"/>
              <w:rPr>
                <w:sz w:val="20"/>
                <w:szCs w:val="20"/>
                <w:color w:val="auto"/>
              </w:rPr>
            </w:pPr>
            <w:r>
              <w:rPr>
                <w:rFonts w:ascii="Arial" w:cs="Arial" w:eastAsia="Arial" w:hAnsi="Arial"/>
                <w:sz w:val="18"/>
                <w:szCs w:val="18"/>
                <w:color w:val="auto"/>
              </w:rPr>
              <w:t>XBRL Presentation Linkbase 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101.DEF</w:t>
            </w:r>
          </w:p>
        </w:tc>
        <w:tc>
          <w:tcPr>
            <w:tcW w:w="966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40" w:lineRule="exact"/>
        <w:rPr>
          <w:sz w:val="20"/>
          <w:szCs w:val="20"/>
          <w:color w:val="auto"/>
        </w:rPr>
      </w:pPr>
    </w:p>
    <w:p>
      <w:pPr>
        <w:ind w:left="1640" w:hanging="1103"/>
        <w:spacing w:after="0"/>
        <w:tabs>
          <w:tab w:leader="none" w:pos="1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640" w:hanging="1148"/>
        <w:spacing w:after="0"/>
        <w:tabs>
          <w:tab w:leader="none" w:pos="1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Income for the three and six months ended May 4, 2019 and May 5, 2018, (ii) Condensed Consolidated Statements of Comprehensive Income for the three and six months ended May 4, 2019 and May 5, 2018, (iii) Condensed Consolidated Balance Sheets at May 4, 2019 and November 3, 2018, (iv) Condensed Consolidated Statements of Shareholders' Equity for the three and six months ended May 4, 2019 and May 5, 2018, (v) Condensed Consolidated Statements of Cash Flows for the six months ended May 4, 2019 and May 5, 2018 and (vi) Notes to Condensed Consolidated Financial Statements for the three and six months ended May 4, 2019.</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742" w:right="359" w:bottom="1440" w:gutter="0" w:footer="0" w:header="0"/>
        </w:sectPr>
      </w:pPr>
    </w:p>
    <w:bookmarkStart w:id="46" w:name="page47"/>
    <w:bookmarkEnd w:id="46"/>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7940" w:type="dxa"/>
            <w:vAlign w:val="bottom"/>
            <w:gridSpan w:val="2"/>
          </w:tcPr>
          <w:p>
            <w:pPr>
              <w:ind w:left="1660"/>
              <w:spacing w:after="0"/>
              <w:rPr>
                <w:sz w:val="20"/>
                <w:szCs w:val="20"/>
                <w:color w:val="auto"/>
              </w:rPr>
            </w:pPr>
            <w:r>
              <w:rPr>
                <w:rFonts w:ascii="Arial" w:cs="Arial" w:eastAsia="Arial" w:hAnsi="Arial"/>
                <w:sz w:val="18"/>
                <w:szCs w:val="18"/>
                <w:color w:val="auto"/>
              </w:rPr>
              <w:t>ANALOG DEVICES, INC.</w:t>
            </w:r>
          </w:p>
        </w:tc>
      </w:tr>
      <w:tr>
        <w:trPr>
          <w:trHeight w:val="594"/>
        </w:trPr>
        <w:tc>
          <w:tcPr>
            <w:tcW w:w="3100" w:type="dxa"/>
            <w:vAlign w:val="bottom"/>
          </w:tcPr>
          <w:p>
            <w:pPr>
              <w:spacing w:after="0"/>
              <w:rPr>
                <w:sz w:val="20"/>
                <w:szCs w:val="20"/>
                <w:color w:val="auto"/>
              </w:rPr>
            </w:pPr>
            <w:r>
              <w:rPr>
                <w:rFonts w:ascii="Arial" w:cs="Arial" w:eastAsia="Arial" w:hAnsi="Arial"/>
                <w:sz w:val="18"/>
                <w:szCs w:val="18"/>
                <w:color w:val="auto"/>
              </w:rPr>
              <w:t>Date: May 22, 2019</w:t>
            </w:r>
          </w:p>
        </w:tc>
        <w:tc>
          <w:tcPr>
            <w:tcW w:w="2180" w:type="dxa"/>
            <w:vAlign w:val="bottom"/>
          </w:tcPr>
          <w:p>
            <w:pPr>
              <w:ind w:left="16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/s/ Vincent Roche</w:t>
            </w:r>
          </w:p>
        </w:tc>
      </w:tr>
      <w:tr>
        <w:trPr>
          <w:trHeight w:val="27"/>
        </w:trPr>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Vincent Roche</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3100" w:type="dxa"/>
            <w:vAlign w:val="bottom"/>
          </w:tcPr>
          <w:p>
            <w:pPr>
              <w:spacing w:after="0"/>
              <w:rPr>
                <w:sz w:val="20"/>
                <w:szCs w:val="20"/>
                <w:color w:val="auto"/>
              </w:rPr>
            </w:pPr>
            <w:r>
              <w:rPr>
                <w:rFonts w:ascii="Arial" w:cs="Arial" w:eastAsia="Arial" w:hAnsi="Arial"/>
                <w:sz w:val="18"/>
                <w:szCs w:val="18"/>
                <w:color w:val="auto"/>
              </w:rPr>
              <w:t>Date: May 22, 2019</w:t>
            </w:r>
          </w:p>
        </w:tc>
        <w:tc>
          <w:tcPr>
            <w:tcW w:w="2180" w:type="dxa"/>
            <w:vAlign w:val="bottom"/>
          </w:tcPr>
          <w:p>
            <w:pPr>
              <w:ind w:left="16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/s/ Prashanth Mahendra-Rajah</w:t>
            </w:r>
          </w:p>
        </w:tc>
      </w:tr>
      <w:tr>
        <w:trPr>
          <w:trHeight w:val="27"/>
        </w:trPr>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Prashanth Mahendra-Rajah</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080"/>
          </w:cols>
          <w:pgMar w:left="240" w:top="580" w:right="5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ind w:left="3108"/>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ind w:left="3128"/>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3"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6"/>
          <w:szCs w:val="16"/>
          <w:color w:val="auto"/>
        </w:rPr>
        <w:t>Participant Name</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6"/>
          <w:szCs w:val="16"/>
          <w:color w:val="auto"/>
        </w:rPr>
        <w:t>Employee ID</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Grant ID: Client Grant ID</w:t>
      </w:r>
    </w:p>
    <w:p>
      <w:pPr>
        <w:spacing w:after="0" w:line="207" w:lineRule="exact"/>
        <w:rPr>
          <w:sz w:val="20"/>
          <w:szCs w:val="20"/>
          <w:color w:val="auto"/>
        </w:rPr>
      </w:pPr>
    </w:p>
    <w:p>
      <w:pPr>
        <w:jc w:val="both"/>
        <w:ind w:left="8"/>
        <w:spacing w:after="0" w:line="272" w:lineRule="auto"/>
        <w:rPr>
          <w:sz w:val="20"/>
          <w:szCs w:val="20"/>
          <w:color w:val="auto"/>
        </w:rPr>
      </w:pPr>
      <w:r>
        <w:rPr>
          <w:rFonts w:ascii="Arial" w:cs="Arial" w:eastAsia="Arial" w:hAnsi="Arial"/>
          <w:sz w:val="15"/>
          <w:szCs w:val="15"/>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Amended and Restated 2006 Stock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37" w:lineRule="exact"/>
        <w:rPr>
          <w:sz w:val="20"/>
          <w:szCs w:val="20"/>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6"/>
          <w:szCs w:val="16"/>
          <w:u w:val="single" w:color="auto"/>
          <w:color w:val="auto"/>
        </w:rPr>
        <w:t>Performance Restricted Stock Unit</w:t>
      </w:r>
      <w:r>
        <w:rPr>
          <w:rFonts w:ascii="Arial" w:cs="Arial" w:eastAsia="Arial" w:hAnsi="Arial"/>
          <w:sz w:val="16"/>
          <w:szCs w:val="16"/>
          <w:color w:val="auto"/>
        </w:rPr>
        <w:t>.</w:t>
      </w:r>
    </w:p>
    <w:p>
      <w:pPr>
        <w:spacing w:after="0" w:line="185" w:lineRule="exact"/>
        <w:rPr>
          <w:sz w:val="20"/>
          <w:szCs w:val="20"/>
          <w:color w:val="auto"/>
        </w:rPr>
      </w:pPr>
    </w:p>
    <w:p>
      <w:pPr>
        <w:ind w:left="328"/>
        <w:spacing w:after="0"/>
        <w:rPr>
          <w:sz w:val="20"/>
          <w:szCs w:val="20"/>
          <w:color w:val="auto"/>
        </w:rPr>
      </w:pPr>
      <w:r>
        <w:rPr>
          <w:rFonts w:ascii="Arial" w:cs="Arial" w:eastAsia="Arial" w:hAnsi="Arial"/>
          <w:sz w:val="15"/>
          <w:szCs w:val="15"/>
          <w:color w:val="auto"/>
        </w:rPr>
        <w:t>Subject to the terms and conditions of the Plan and this Agreement, the Company has granted to the Participant that number of Performance RSUs (the “Award”)</w:t>
      </w:r>
    </w:p>
    <w:p>
      <w:pPr>
        <w:spacing w:after="0" w:line="31" w:lineRule="exact"/>
        <w:rPr>
          <w:sz w:val="20"/>
          <w:szCs w:val="20"/>
          <w:color w:val="auto"/>
        </w:rPr>
      </w:pPr>
    </w:p>
    <w:p>
      <w:pPr>
        <w:ind w:left="328"/>
        <w:spacing w:after="0"/>
        <w:rPr>
          <w:sz w:val="20"/>
          <w:szCs w:val="20"/>
          <w:color w:val="auto"/>
        </w:rPr>
      </w:pPr>
      <w:r>
        <w:rPr>
          <w:rFonts w:ascii="Arial" w:cs="Arial" w:eastAsia="Arial" w:hAnsi="Arial"/>
          <w:sz w:val="16"/>
          <w:szCs w:val="16"/>
          <w:color w:val="auto"/>
        </w:rPr>
        <w:t>effective on the Date of Grant set forth below:</w:t>
      </w:r>
    </w:p>
    <w:p>
      <w:pPr>
        <w:sectPr>
          <w:pgSz w:w="11900" w:h="16838" w:orient="portrait"/>
          <w:cols w:equalWidth="0" w:num="1">
            <w:col w:w="11088"/>
          </w:cols>
          <w:pgMar w:left="572" w:top="121" w:right="239" w:bottom="1440" w:gutter="0" w:footer="0" w:header="0"/>
        </w:sectPr>
      </w:pPr>
    </w:p>
    <w:p>
      <w:pPr>
        <w:spacing w:after="0" w:line="163" w:lineRule="exact"/>
        <w:rPr>
          <w:sz w:val="20"/>
          <w:szCs w:val="20"/>
          <w:color w:val="auto"/>
        </w:rPr>
      </w:pPr>
    </w:p>
    <w:p>
      <w:pPr>
        <w:ind w:left="328"/>
        <w:spacing w:after="0"/>
        <w:tabs>
          <w:tab w:leader="none" w:pos="2447" w:val="left"/>
        </w:tabs>
        <w:rPr>
          <w:sz w:val="20"/>
          <w:szCs w:val="20"/>
          <w:color w:val="auto"/>
        </w:rPr>
      </w:pPr>
      <w:r>
        <w:rPr>
          <w:rFonts w:ascii="Arial" w:cs="Arial" w:eastAsia="Arial" w:hAnsi="Arial"/>
          <w:sz w:val="16"/>
          <w:szCs w:val="16"/>
          <w:b w:val="1"/>
          <w:bCs w:val="1"/>
          <w:color w:val="0000CC"/>
        </w:rPr>
        <w:t>Date of Grant:</w:t>
      </w:r>
      <w:r>
        <w:rPr>
          <w:sz w:val="20"/>
          <w:szCs w:val="20"/>
          <w:color w:val="auto"/>
        </w:rPr>
        <w:tab/>
      </w:r>
      <w:r>
        <w:rPr>
          <w:rFonts w:ascii="Arial" w:cs="Arial" w:eastAsia="Arial" w:hAnsi="Arial"/>
          <w:sz w:val="15"/>
          <w:szCs w:val="15"/>
          <w:b w:val="1"/>
          <w:bCs w:val="1"/>
          <w:color w:val="0000CC"/>
        </w:rPr>
        <w:t>Grant Date</w:t>
      </w:r>
    </w:p>
    <w:p>
      <w:pPr>
        <w:spacing w:after="0" w:line="32" w:lineRule="exact"/>
        <w:rPr>
          <w:sz w:val="20"/>
          <w:szCs w:val="20"/>
          <w:color w:val="auto"/>
        </w:rPr>
      </w:pPr>
    </w:p>
    <w:p>
      <w:pPr>
        <w:ind w:left="328"/>
        <w:spacing w:after="0"/>
        <w:rPr>
          <w:sz w:val="20"/>
          <w:szCs w:val="20"/>
          <w:color w:val="auto"/>
        </w:rPr>
      </w:pPr>
      <w:r>
        <w:rPr>
          <w:rFonts w:ascii="Arial" w:cs="Arial" w:eastAsia="Arial" w:hAnsi="Arial"/>
          <w:sz w:val="15"/>
          <w:szCs w:val="15"/>
          <w:b w:val="1"/>
          <w:bCs w:val="1"/>
          <w:color w:val="0000CC"/>
        </w:rPr>
        <w:t>Number of Performance RSUs (“Initial Grant Number”):</w:t>
      </w:r>
    </w:p>
    <w:p>
      <w:pPr>
        <w:spacing w:after="0" w:line="44" w:lineRule="exact"/>
        <w:rPr>
          <w:sz w:val="20"/>
          <w:szCs w:val="20"/>
          <w:color w:val="auto"/>
        </w:rPr>
      </w:pPr>
    </w:p>
    <w:p>
      <w:pPr>
        <w:ind w:left="328"/>
        <w:spacing w:after="0"/>
        <w:tabs>
          <w:tab w:leader="none" w:pos="2347" w:val="left"/>
        </w:tabs>
        <w:rPr>
          <w:sz w:val="20"/>
          <w:szCs w:val="20"/>
          <w:color w:val="auto"/>
        </w:rPr>
      </w:pPr>
      <w:r>
        <w:rPr>
          <w:rFonts w:ascii="Arial" w:cs="Arial" w:eastAsia="Arial" w:hAnsi="Arial"/>
          <w:sz w:val="16"/>
          <w:szCs w:val="16"/>
          <w:b w:val="1"/>
          <w:bCs w:val="1"/>
          <w:color w:val="0000CC"/>
        </w:rPr>
        <w:t>Vesting Date:</w:t>
      </w:r>
      <w:r>
        <w:rPr>
          <w:sz w:val="20"/>
          <w:szCs w:val="20"/>
          <w:color w:val="auto"/>
        </w:rPr>
        <w:tab/>
      </w:r>
      <w:r>
        <w:rPr>
          <w:rFonts w:ascii="Arial" w:cs="Arial" w:eastAsia="Arial" w:hAnsi="Arial"/>
          <w:sz w:val="14"/>
          <w:szCs w:val="14"/>
          <w:b w:val="1"/>
          <w:bCs w:val="1"/>
          <w:color w:val="0000CC"/>
        </w:rPr>
        <w:t>Cliff Vesting Date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0000CC"/>
        </w:rPr>
        <w:t>Number of Awards Granted</w:t>
      </w:r>
    </w:p>
    <w:p>
      <w:pPr>
        <w:spacing w:after="0" w:line="427" w:lineRule="exact"/>
        <w:rPr>
          <w:sz w:val="20"/>
          <w:szCs w:val="20"/>
          <w:color w:val="auto"/>
        </w:rPr>
      </w:pPr>
    </w:p>
    <w:p>
      <w:pPr>
        <w:sectPr>
          <w:pgSz w:w="11900" w:h="16838" w:orient="portrait"/>
          <w:cols w:equalWidth="0" w:num="2">
            <w:col w:w="4308" w:space="180"/>
            <w:col w:w="6600"/>
          </w:cols>
          <w:pgMar w:left="572" w:top="121" w:right="239" w:bottom="1440" w:gutter="0" w:footer="0" w:header="0"/>
          <w:type w:val="continuous"/>
        </w:sectPr>
      </w:pPr>
    </w:p>
    <w:p>
      <w:pPr>
        <w:spacing w:after="0" w:line="39" w:lineRule="exact"/>
        <w:rPr>
          <w:sz w:val="20"/>
          <w:szCs w:val="20"/>
          <w:color w:val="auto"/>
        </w:rPr>
      </w:pPr>
    </w:p>
    <w:p>
      <w:pPr>
        <w:jc w:val="both"/>
        <w:ind w:left="328"/>
        <w:spacing w:after="0" w:line="261" w:lineRule="auto"/>
        <w:rPr>
          <w:sz w:val="20"/>
          <w:szCs w:val="20"/>
          <w:color w:val="auto"/>
        </w:rPr>
      </w:pPr>
      <w:r>
        <w:rPr>
          <w:rFonts w:ascii="Arial" w:cs="Arial" w:eastAsia="Arial" w:hAnsi="Arial"/>
          <w:sz w:val="16"/>
          <w:szCs w:val="16"/>
          <w:color w:val="auto"/>
        </w:rPr>
        <w:t xml:space="preserve">If the Participant resides in a European Economic Area or European Union member state, due to local legal requirements the Participant </w:t>
      </w:r>
      <w:r>
        <w:rPr>
          <w:rFonts w:ascii="Arial" w:cs="Arial" w:eastAsia="Arial" w:hAnsi="Arial"/>
          <w:sz w:val="16"/>
          <w:szCs w:val="16"/>
          <w:b w:val="1"/>
          <w:bCs w:val="1"/>
          <w:i w:val="1"/>
          <w:iCs w:val="1"/>
          <w:color w:val="auto"/>
        </w:rPr>
        <w:t>must accept</w:t>
      </w:r>
      <w:r>
        <w:rPr>
          <w:rFonts w:ascii="Arial" w:cs="Arial" w:eastAsia="Arial" w:hAnsi="Arial"/>
          <w:sz w:val="16"/>
          <w:szCs w:val="16"/>
          <w:color w:val="auto"/>
        </w:rPr>
        <w:t xml:space="preserve"> this Agreement no later than Grant Custom 4 or </w:t>
      </w:r>
      <w:r>
        <w:rPr>
          <w:rFonts w:ascii="Arial" w:cs="Arial" w:eastAsia="Arial" w:hAnsi="Arial"/>
          <w:sz w:val="16"/>
          <w:szCs w:val="16"/>
          <w:b w:val="1"/>
          <w:bCs w:val="1"/>
          <w:i w:val="1"/>
          <w:iCs w:val="1"/>
          <w:color w:val="auto"/>
        </w:rPr>
        <w:t>this Award shall terminate and will become null and void</w:t>
      </w:r>
      <w:r>
        <w:rPr>
          <w:rFonts w:ascii="Arial" w:cs="Arial" w:eastAsia="Arial" w:hAnsi="Arial"/>
          <w:sz w:val="16"/>
          <w:szCs w:val="16"/>
          <w:color w:val="auto"/>
        </w:rPr>
        <w:t>. For purposes of this Agreement, the Participant is deemed to reside in the country where his or her Employer is located.</w:t>
      </w:r>
    </w:p>
    <w:p>
      <w:pPr>
        <w:spacing w:after="0" w:line="345" w:lineRule="exact"/>
        <w:rPr>
          <w:sz w:val="20"/>
          <w:szCs w:val="20"/>
          <w:color w:val="auto"/>
        </w:rPr>
      </w:pPr>
    </w:p>
    <w:p>
      <w:pPr>
        <w:jc w:val="both"/>
        <w:ind w:left="328"/>
        <w:spacing w:after="0" w:line="261" w:lineRule="auto"/>
        <w:rPr>
          <w:sz w:val="20"/>
          <w:szCs w:val="20"/>
          <w:color w:val="auto"/>
        </w:rPr>
      </w:pPr>
      <w:r>
        <w:rPr>
          <w:rFonts w:ascii="Arial" w:cs="Arial" w:eastAsia="Arial" w:hAnsi="Arial"/>
          <w:sz w:val="16"/>
          <w:szCs w:val="16"/>
          <w:color w:val="auto"/>
        </w:rPr>
        <w:t>If the Participant resides in the United States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345" w:lineRule="exact"/>
        <w:rPr>
          <w:sz w:val="20"/>
          <w:szCs w:val="20"/>
          <w:color w:val="auto"/>
        </w:rPr>
      </w:pPr>
    </w:p>
    <w:p>
      <w:pPr>
        <w:jc w:val="both"/>
        <w:ind w:left="328"/>
        <w:spacing w:after="0" w:line="256" w:lineRule="auto"/>
        <w:rPr>
          <w:sz w:val="20"/>
          <w:szCs w:val="20"/>
          <w:color w:val="auto"/>
        </w:rPr>
      </w:pPr>
      <w:r>
        <w:rPr>
          <w:rFonts w:ascii="Arial" w:cs="Arial" w:eastAsia="Arial" w:hAnsi="Arial"/>
          <w:sz w:val="16"/>
          <w:szCs w:val="16"/>
          <w:color w:val="auto"/>
        </w:rPr>
        <w:t>Each one (1) Performance RSU shall, if and when it vests in accordance with this Agreement, automatically convert into one (1) share of common stock, US$0.16 2/3 par value, of the Company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46" w:lineRule="exact"/>
        <w:rPr>
          <w:sz w:val="20"/>
          <w:szCs w:val="20"/>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98" w:lineRule="exact"/>
        <w:rPr>
          <w:rFonts w:ascii="Arial" w:cs="Arial" w:eastAsia="Arial" w:hAnsi="Arial"/>
          <w:sz w:val="18"/>
          <w:szCs w:val="18"/>
          <w:color w:val="auto"/>
        </w:rPr>
      </w:pPr>
    </w:p>
    <w:p>
      <w:pPr>
        <w:jc w:val="both"/>
        <w:ind w:left="648" w:hanging="324"/>
        <w:spacing w:after="0" w:line="301" w:lineRule="auto"/>
        <w:tabs>
          <w:tab w:leader="none" w:pos="648" w:val="left"/>
        </w:tabs>
        <w:numPr>
          <w:ilvl w:val="1"/>
          <w:numId w:val="38"/>
        </w:numPr>
        <w:rPr>
          <w:rFonts w:ascii="Arial" w:cs="Arial" w:eastAsia="Arial" w:hAnsi="Arial"/>
          <w:sz w:val="17"/>
          <w:szCs w:val="17"/>
          <w:color w:val="auto"/>
        </w:rPr>
      </w:pPr>
      <w:r>
        <w:rPr>
          <w:rFonts w:ascii="Arial" w:cs="Arial" w:eastAsia="Arial" w:hAnsi="Arial"/>
          <w:sz w:val="15"/>
          <w:szCs w:val="15"/>
          <w:color w:val="auto"/>
        </w:rPr>
        <w:t>Subject to the terms of the Plan and this Agreement, the Performance RSUs shall vest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22" w:lineRule="exact"/>
        <w:rPr>
          <w:rFonts w:ascii="Arial" w:cs="Arial" w:eastAsia="Arial" w:hAnsi="Arial"/>
          <w:sz w:val="17"/>
          <w:szCs w:val="17"/>
          <w:color w:val="auto"/>
        </w:rPr>
      </w:pPr>
    </w:p>
    <w:p>
      <w:pPr>
        <w:jc w:val="both"/>
        <w:ind w:left="648" w:hanging="324"/>
        <w:spacing w:after="0" w:line="279" w:lineRule="auto"/>
        <w:tabs>
          <w:tab w:leader="none" w:pos="648" w:val="left"/>
        </w:tabs>
        <w:numPr>
          <w:ilvl w:val="1"/>
          <w:numId w:val="38"/>
        </w:numPr>
        <w:rPr>
          <w:rFonts w:ascii="Arial" w:cs="Arial" w:eastAsia="Arial" w:hAnsi="Arial"/>
          <w:sz w:val="18"/>
          <w:szCs w:val="18"/>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ectPr>
          <w:pgSz w:w="11900" w:h="16838" w:orient="portrait"/>
          <w:cols w:equalWidth="0" w:num="1">
            <w:col w:w="11088"/>
          </w:cols>
          <w:pgMar w:left="572" w:top="121" w:right="239" w:bottom="1440" w:gutter="0" w:footer="0" w:header="0"/>
          <w:type w:val="continuous"/>
        </w:sectPr>
      </w:pPr>
    </w:p>
    <w:bookmarkStart w:id="48" w:name="page49"/>
    <w:bookmarkEnd w:id="48"/>
    <w:p>
      <w:pPr>
        <w:jc w:val="both"/>
        <w:ind w:left="648" w:hanging="324"/>
        <w:spacing w:after="0" w:line="280"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34" w:lineRule="exact"/>
        <w:rPr>
          <w:rFonts w:ascii="Arial" w:cs="Arial" w:eastAsia="Arial" w:hAnsi="Arial"/>
          <w:sz w:val="18"/>
          <w:szCs w:val="18"/>
          <w:color w:val="auto"/>
        </w:rPr>
      </w:pPr>
    </w:p>
    <w:p>
      <w:pPr>
        <w:jc w:val="both"/>
        <w:ind w:left="648" w:hanging="324"/>
        <w:spacing w:after="0" w:line="323" w:lineRule="auto"/>
        <w:tabs>
          <w:tab w:leader="none" w:pos="648" w:val="left"/>
        </w:tabs>
        <w:numPr>
          <w:ilvl w:val="1"/>
          <w:numId w:val="39"/>
        </w:numPr>
        <w:rPr>
          <w:rFonts w:ascii="Arial" w:cs="Arial" w:eastAsia="Arial" w:hAnsi="Arial"/>
          <w:sz w:val="16"/>
          <w:szCs w:val="16"/>
          <w:color w:val="auto"/>
        </w:rPr>
      </w:pPr>
      <w:r>
        <w:rPr>
          <w:rFonts w:ascii="Arial" w:cs="Arial" w:eastAsia="Arial" w:hAnsi="Arial"/>
          <w:sz w:val="14"/>
          <w:szCs w:val="14"/>
          <w:color w:val="auto"/>
        </w:rPr>
        <w:t xml:space="preserve">In the event the Participant becomes </w:t>
      </w:r>
      <w:r>
        <w:rPr>
          <w:rFonts w:ascii="Arial" w:cs="Arial" w:eastAsia="Arial" w:hAnsi="Arial"/>
          <w:sz w:val="14"/>
          <w:szCs w:val="14"/>
          <w:u w:val="single" w:color="auto"/>
          <w:color w:val="auto"/>
        </w:rPr>
        <w:t>Disabled</w:t>
      </w:r>
      <w:r>
        <w:rPr>
          <w:rFonts w:ascii="Arial" w:cs="Arial" w:eastAsia="Arial" w:hAnsi="Arial"/>
          <w:sz w:val="14"/>
          <w:szCs w:val="14"/>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18" w:lineRule="exact"/>
        <w:rPr>
          <w:rFonts w:ascii="Arial" w:cs="Arial" w:eastAsia="Arial" w:hAnsi="Arial"/>
          <w:sz w:val="16"/>
          <w:szCs w:val="16"/>
          <w:color w:val="auto"/>
        </w:rPr>
      </w:pPr>
    </w:p>
    <w:p>
      <w:pPr>
        <w:jc w:val="both"/>
        <w:ind w:left="648" w:hanging="324"/>
        <w:spacing w:after="0" w:line="302" w:lineRule="auto"/>
        <w:tabs>
          <w:tab w:leader="none" w:pos="648" w:val="left"/>
        </w:tabs>
        <w:numPr>
          <w:ilvl w:val="1"/>
          <w:numId w:val="39"/>
        </w:numPr>
        <w:rPr>
          <w:rFonts w:ascii="Arial" w:cs="Arial" w:eastAsia="Arial" w:hAnsi="Arial"/>
          <w:sz w:val="17"/>
          <w:szCs w:val="17"/>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9" w:lineRule="exact"/>
        <w:rPr>
          <w:rFonts w:ascii="Arial" w:cs="Arial" w:eastAsia="Arial" w:hAnsi="Arial"/>
          <w:sz w:val="17"/>
          <w:szCs w:val="17"/>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98" w:lineRule="exact"/>
        <w:rPr>
          <w:rFonts w:ascii="Arial" w:cs="Arial" w:eastAsia="Arial" w:hAnsi="Arial"/>
          <w:sz w:val="18"/>
          <w:szCs w:val="18"/>
          <w:color w:val="auto"/>
        </w:rPr>
      </w:pPr>
    </w:p>
    <w:p>
      <w:pPr>
        <w:ind w:left="648" w:hanging="324"/>
        <w:spacing w:after="0"/>
        <w:tabs>
          <w:tab w:leader="none" w:pos="648" w:val="left"/>
        </w:tabs>
        <w:numPr>
          <w:ilvl w:val="1"/>
          <w:numId w:val="40"/>
        </w:numPr>
        <w:rPr>
          <w:rFonts w:ascii="Arial" w:cs="Arial" w:eastAsia="Arial" w:hAnsi="Arial"/>
          <w:sz w:val="18"/>
          <w:szCs w:val="18"/>
          <w:color w:val="auto"/>
        </w:rPr>
      </w:pPr>
      <w:r>
        <w:rPr>
          <w:rFonts w:ascii="Arial" w:cs="Arial" w:eastAsia="Arial" w:hAnsi="Arial"/>
          <w:sz w:val="16"/>
          <w:szCs w:val="16"/>
          <w:color w:val="auto"/>
        </w:rPr>
        <w:t>The Participant shall not sell, assign, transfer, pledge or otherwise encumber any Performance RSUs, either voluntarily or by operation of law.</w:t>
      </w:r>
    </w:p>
    <w:p>
      <w:pPr>
        <w:spacing w:after="0" w:line="63" w:lineRule="exact"/>
        <w:rPr>
          <w:rFonts w:ascii="Arial" w:cs="Arial" w:eastAsia="Arial" w:hAnsi="Arial"/>
          <w:sz w:val="18"/>
          <w:szCs w:val="18"/>
          <w:color w:val="auto"/>
        </w:rPr>
      </w:pPr>
    </w:p>
    <w:p>
      <w:pPr>
        <w:jc w:val="both"/>
        <w:ind w:left="648" w:hanging="324"/>
        <w:spacing w:after="0" w:line="279"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33" w:lineRule="exact"/>
        <w:rPr>
          <w:rFonts w:ascii="Arial" w:cs="Arial" w:eastAsia="Arial" w:hAnsi="Arial"/>
          <w:sz w:val="18"/>
          <w:szCs w:val="18"/>
          <w:color w:val="auto"/>
        </w:rPr>
      </w:pPr>
    </w:p>
    <w:p>
      <w:pPr>
        <w:jc w:val="both"/>
        <w:ind w:left="328" w:hanging="328"/>
        <w:spacing w:after="0" w:line="280"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69" w:lineRule="exact"/>
        <w:rPr>
          <w:rFonts w:ascii="Arial" w:cs="Arial" w:eastAsia="Arial" w:hAnsi="Arial"/>
          <w:sz w:val="18"/>
          <w:szCs w:val="18"/>
          <w:color w:val="auto"/>
        </w:rPr>
      </w:pPr>
    </w:p>
    <w:p>
      <w:pPr>
        <w:jc w:val="both"/>
        <w:ind w:left="328" w:hanging="328"/>
        <w:spacing w:after="0" w:line="302" w:lineRule="auto"/>
        <w:tabs>
          <w:tab w:leader="none" w:pos="328" w:val="left"/>
        </w:tabs>
        <w:numPr>
          <w:ilvl w:val="0"/>
          <w:numId w:val="40"/>
        </w:numPr>
        <w:rPr>
          <w:rFonts w:ascii="Arial" w:cs="Arial" w:eastAsia="Arial" w:hAnsi="Arial"/>
          <w:sz w:val="17"/>
          <w:szCs w:val="17"/>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 The Performance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55" w:lineRule="exact"/>
        <w:rPr>
          <w:rFonts w:ascii="Arial" w:cs="Arial" w:eastAsia="Arial" w:hAnsi="Arial"/>
          <w:sz w:val="17"/>
          <w:szCs w:val="17"/>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252" w:lineRule="exact"/>
        <w:rPr>
          <w:rFonts w:ascii="Arial" w:cs="Arial" w:eastAsia="Arial" w:hAnsi="Arial"/>
          <w:sz w:val="18"/>
          <w:szCs w:val="18"/>
          <w:color w:val="auto"/>
        </w:rPr>
      </w:pPr>
    </w:p>
    <w:p>
      <w:pPr>
        <w:jc w:val="both"/>
        <w:ind w:left="648" w:hanging="324"/>
        <w:spacing w:after="0" w:line="301" w:lineRule="auto"/>
        <w:tabs>
          <w:tab w:leader="none" w:pos="648" w:val="left"/>
        </w:tabs>
        <w:numPr>
          <w:ilvl w:val="1"/>
          <w:numId w:val="40"/>
        </w:numPr>
        <w:rPr>
          <w:rFonts w:ascii="Arial" w:cs="Arial" w:eastAsia="Arial" w:hAnsi="Arial"/>
          <w:sz w:val="17"/>
          <w:szCs w:val="17"/>
          <w:color w:val="auto"/>
        </w:rPr>
      </w:pPr>
      <w:r>
        <w:rPr>
          <w:rFonts w:ascii="Arial" w:cs="Arial" w:eastAsia="Arial" w:hAnsi="Arial"/>
          <w:sz w:val="15"/>
          <w:szCs w:val="15"/>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22" w:lineRule="exact"/>
        <w:rPr>
          <w:rFonts w:ascii="Arial" w:cs="Arial" w:eastAsia="Arial" w:hAnsi="Arial"/>
          <w:sz w:val="17"/>
          <w:szCs w:val="17"/>
          <w:color w:val="auto"/>
        </w:rPr>
      </w:pPr>
    </w:p>
    <w:p>
      <w:pPr>
        <w:jc w:val="both"/>
        <w:ind w:left="648" w:hanging="324"/>
        <w:spacing w:after="0" w:line="279"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6"/>
          <w:szCs w:val="16"/>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with regard to all Tax-Related Items by one or a combination of the methods set forth below:</w:t>
      </w:r>
    </w:p>
    <w:p>
      <w:pPr>
        <w:spacing w:after="0" w:line="33" w:lineRule="exact"/>
        <w:rPr>
          <w:rFonts w:ascii="Arial" w:cs="Arial" w:eastAsia="Arial" w:hAnsi="Arial"/>
          <w:sz w:val="18"/>
          <w:szCs w:val="18"/>
          <w:color w:val="auto"/>
        </w:rPr>
      </w:pPr>
    </w:p>
    <w:p>
      <w:pPr>
        <w:ind w:left="968" w:hanging="320"/>
        <w:spacing w:after="0" w:line="281" w:lineRule="auto"/>
        <w:tabs>
          <w:tab w:leader="none" w:pos="968" w:val="left"/>
        </w:tabs>
        <w:numPr>
          <w:ilvl w:val="2"/>
          <w:numId w:val="40"/>
        </w:numPr>
        <w:rPr>
          <w:rFonts w:ascii="Arial" w:cs="Arial" w:eastAsia="Arial" w:hAnsi="Arial"/>
          <w:sz w:val="18"/>
          <w:szCs w:val="18"/>
          <w:color w:val="auto"/>
        </w:rPr>
      </w:pPr>
      <w:r>
        <w:rPr>
          <w:rFonts w:ascii="Arial" w:cs="Arial" w:eastAsia="Arial" w:hAnsi="Arial"/>
          <w:sz w:val="16"/>
          <w:szCs w:val="16"/>
          <w:color w:val="auto"/>
        </w:rPr>
        <w:t>the Company may withhold a sufficient number of whole Shares otherwise issuable upon the vesting of the Performance RSUs that have an aggregate Fair Market Value (as defined under the Plan) sufficient to pay the minimum Tax-Related</w:t>
      </w:r>
    </w:p>
    <w:p>
      <w:pPr>
        <w:sectPr>
          <w:pgSz w:w="11900" w:h="16838" w:orient="portrait"/>
          <w:cols w:equalWidth="0" w:num="1">
            <w:col w:w="11088"/>
          </w:cols>
          <w:pgMar w:left="572" w:top="386" w:right="239" w:bottom="1440" w:gutter="0" w:footer="0" w:header="0"/>
        </w:sectPr>
      </w:pPr>
    </w:p>
    <w:bookmarkStart w:id="49" w:name="page50"/>
    <w:bookmarkEnd w:id="49"/>
    <w:p>
      <w:pPr>
        <w:jc w:val="both"/>
        <w:ind w:left="968"/>
        <w:spacing w:after="0" w:line="344" w:lineRule="auto"/>
        <w:rPr>
          <w:sz w:val="20"/>
          <w:szCs w:val="20"/>
          <w:color w:val="auto"/>
        </w:rPr>
      </w:pPr>
      <w:r>
        <w:rPr>
          <w:rFonts w:ascii="Arial" w:cs="Arial" w:eastAsia="Arial" w:hAnsi="Arial"/>
          <w:sz w:val="16"/>
          <w:szCs w:val="16"/>
          <w:color w:val="auto"/>
        </w:rPr>
        <w:t>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9" w:lineRule="exact"/>
        <w:rPr>
          <w:sz w:val="20"/>
          <w:szCs w:val="20"/>
          <w:color w:val="auto"/>
        </w:rPr>
      </w:pPr>
    </w:p>
    <w:p>
      <w:pPr>
        <w:ind w:left="968" w:hanging="320"/>
        <w:spacing w:after="0" w:line="281" w:lineRule="auto"/>
        <w:tabs>
          <w:tab w:leader="none" w:pos="968" w:val="left"/>
        </w:tabs>
        <w:numPr>
          <w:ilvl w:val="2"/>
          <w:numId w:val="41"/>
        </w:numPr>
        <w:rPr>
          <w:rFonts w:ascii="Arial" w:cs="Arial" w:eastAsia="Arial" w:hAnsi="Arial"/>
          <w:sz w:val="18"/>
          <w:szCs w:val="18"/>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28" w:lineRule="exact"/>
        <w:rPr>
          <w:rFonts w:ascii="Arial" w:cs="Arial" w:eastAsia="Arial" w:hAnsi="Arial"/>
          <w:sz w:val="18"/>
          <w:szCs w:val="18"/>
          <w:color w:val="auto"/>
        </w:rPr>
      </w:pPr>
    </w:p>
    <w:p>
      <w:pPr>
        <w:ind w:left="968" w:hanging="320"/>
        <w:spacing w:after="0" w:line="281" w:lineRule="auto"/>
        <w:tabs>
          <w:tab w:leader="none" w:pos="968" w:val="left"/>
        </w:tabs>
        <w:numPr>
          <w:ilvl w:val="2"/>
          <w:numId w:val="41"/>
        </w:numPr>
        <w:rPr>
          <w:rFonts w:ascii="Arial" w:cs="Arial" w:eastAsia="Arial" w:hAnsi="Arial"/>
          <w:sz w:val="18"/>
          <w:szCs w:val="18"/>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4" w:lineRule="exact"/>
        <w:rPr>
          <w:rFonts w:ascii="Arial" w:cs="Arial" w:eastAsia="Arial" w:hAnsi="Arial"/>
          <w:sz w:val="18"/>
          <w:szCs w:val="18"/>
          <w:color w:val="auto"/>
        </w:rPr>
      </w:pPr>
    </w:p>
    <w:p>
      <w:pPr>
        <w:jc w:val="both"/>
        <w:ind w:left="968"/>
        <w:spacing w:after="0" w:line="256" w:lineRule="auto"/>
        <w:rPr>
          <w:rFonts w:ascii="Arial" w:cs="Arial" w:eastAsia="Arial" w:hAnsi="Arial"/>
          <w:sz w:val="18"/>
          <w:szCs w:val="18"/>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25" w:lineRule="exact"/>
        <w:rPr>
          <w:rFonts w:ascii="Arial" w:cs="Arial" w:eastAsia="Arial" w:hAnsi="Arial"/>
          <w:sz w:val="18"/>
          <w:szCs w:val="18"/>
          <w:color w:val="auto"/>
        </w:rPr>
      </w:pPr>
    </w:p>
    <w:p>
      <w:pPr>
        <w:jc w:val="both"/>
        <w:ind w:left="968"/>
        <w:spacing w:after="0" w:line="256" w:lineRule="auto"/>
        <w:rPr>
          <w:rFonts w:ascii="Arial" w:cs="Arial" w:eastAsia="Arial" w:hAnsi="Arial"/>
          <w:sz w:val="18"/>
          <w:szCs w:val="18"/>
          <w:color w:val="auto"/>
        </w:rPr>
      </w:pPr>
      <w:r>
        <w:rPr>
          <w:rFonts w:ascii="Arial" w:cs="Arial" w:eastAsia="Arial" w:hAnsi="Arial"/>
          <w:sz w:val="16"/>
          <w:szCs w:val="16"/>
          <w:color w:val="auto"/>
        </w:rPr>
        <w:t>The Company may withhold or account for Tax-Related Items by considering applicable statutory withholding amounts or other applicable withholding rates, including maximum applicable rates in the Participant’s jurisdiction(s).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25" w:lineRule="exact"/>
        <w:rPr>
          <w:rFonts w:ascii="Arial" w:cs="Arial" w:eastAsia="Arial" w:hAnsi="Arial"/>
          <w:sz w:val="18"/>
          <w:szCs w:val="18"/>
          <w:color w:val="auto"/>
        </w:rPr>
      </w:pPr>
    </w:p>
    <w:p>
      <w:pPr>
        <w:jc w:val="both"/>
        <w:ind w:left="968"/>
        <w:spacing w:after="0" w:line="270" w:lineRule="auto"/>
        <w:rPr>
          <w:rFonts w:ascii="Arial" w:cs="Arial" w:eastAsia="Arial" w:hAnsi="Arial"/>
          <w:sz w:val="18"/>
          <w:szCs w:val="18"/>
          <w:color w:val="auto"/>
        </w:rPr>
      </w:pPr>
      <w:r>
        <w:rPr>
          <w:rFonts w:ascii="Arial" w:cs="Arial" w:eastAsia="Arial" w:hAnsi="Arial"/>
          <w:sz w:val="15"/>
          <w:szCs w:val="15"/>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275" w:lineRule="exact"/>
        <w:rPr>
          <w:rFonts w:ascii="Arial" w:cs="Arial" w:eastAsia="Arial" w:hAnsi="Arial"/>
          <w:sz w:val="18"/>
          <w:szCs w:val="18"/>
          <w:color w:val="auto"/>
        </w:rPr>
      </w:pPr>
    </w:p>
    <w:p>
      <w:pPr>
        <w:jc w:val="both"/>
        <w:ind w:left="328" w:hanging="328"/>
        <w:spacing w:after="0" w:line="280"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6"/>
          <w:szCs w:val="16"/>
          <w:u w:val="single" w:color="auto"/>
          <w:color w:val="auto"/>
        </w:rPr>
        <w:t>Option of Company to Deliver Cash</w:t>
      </w:r>
      <w:r>
        <w:rPr>
          <w:rFonts w:ascii="Arial" w:cs="Arial" w:eastAsia="Arial" w:hAnsi="Arial"/>
          <w:sz w:val="16"/>
          <w:szCs w:val="16"/>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pursuant to Section 6 herein.</w:t>
      </w:r>
    </w:p>
    <w:p>
      <w:pPr>
        <w:spacing w:after="0" w:line="170" w:lineRule="exact"/>
        <w:rPr>
          <w:rFonts w:ascii="Arial" w:cs="Arial" w:eastAsia="Arial" w:hAnsi="Arial"/>
          <w:sz w:val="18"/>
          <w:szCs w:val="18"/>
          <w:color w:val="auto"/>
        </w:rPr>
      </w:pPr>
    </w:p>
    <w:p>
      <w:pPr>
        <w:jc w:val="both"/>
        <w:ind w:left="328" w:hanging="328"/>
        <w:spacing w:after="0" w:line="302" w:lineRule="auto"/>
        <w:tabs>
          <w:tab w:leader="none" w:pos="328" w:val="left"/>
        </w:tabs>
        <w:numPr>
          <w:ilvl w:val="0"/>
          <w:numId w:val="42"/>
        </w:numPr>
        <w:rPr>
          <w:rFonts w:ascii="Arial" w:cs="Arial" w:eastAsia="Arial" w:hAnsi="Arial"/>
          <w:sz w:val="17"/>
          <w:szCs w:val="17"/>
          <w:color w:val="auto"/>
        </w:rPr>
      </w:pPr>
      <w:r>
        <w:rPr>
          <w:rFonts w:ascii="Arial" w:cs="Arial" w:eastAsia="Arial" w:hAnsi="Arial"/>
          <w:sz w:val="15"/>
          <w:szCs w:val="15"/>
          <w:u w:val="single" w:color="auto"/>
          <w:color w:val="auto"/>
        </w:rPr>
        <w:t>Repatriation and Other Legal Requirements</w:t>
      </w:r>
      <w:r>
        <w:rPr>
          <w:rFonts w:ascii="Arial" w:cs="Arial" w:eastAsia="Arial" w:hAnsi="Arial"/>
          <w:sz w:val="15"/>
          <w:szCs w:val="15"/>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53" w:lineRule="exact"/>
        <w:rPr>
          <w:rFonts w:ascii="Arial" w:cs="Arial" w:eastAsia="Arial" w:hAnsi="Arial"/>
          <w:sz w:val="17"/>
          <w:szCs w:val="17"/>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rFonts w:ascii="Arial" w:cs="Arial" w:eastAsia="Arial" w:hAnsi="Arial"/>
          <w:sz w:val="18"/>
          <w:szCs w:val="18"/>
          <w:color w:val="auto"/>
        </w:rPr>
      </w:pPr>
    </w:p>
    <w:p>
      <w:pPr>
        <w:jc w:val="both"/>
        <w:ind w:left="648" w:hanging="324"/>
        <w:spacing w:after="0" w:line="302" w:lineRule="auto"/>
        <w:tabs>
          <w:tab w:leader="none" w:pos="648" w:val="left"/>
        </w:tabs>
        <w:numPr>
          <w:ilvl w:val="1"/>
          <w:numId w:val="42"/>
        </w:numPr>
        <w:rPr>
          <w:rFonts w:ascii="Arial" w:cs="Arial" w:eastAsia="Arial" w:hAnsi="Arial"/>
          <w:sz w:val="17"/>
          <w:szCs w:val="17"/>
          <w:color w:val="auto"/>
        </w:rPr>
      </w:pPr>
      <w:r>
        <w:rPr>
          <w:rFonts w:ascii="Arial" w:cs="Arial" w:eastAsia="Arial" w:hAnsi="Arial"/>
          <w:sz w:val="15"/>
          <w:szCs w:val="15"/>
          <w:u w:val="single" w:color="auto"/>
          <w:color w:val="auto"/>
        </w:rPr>
        <w:t>No Rights to Employment</w:t>
      </w:r>
      <w:r>
        <w:rPr>
          <w:rFonts w:ascii="Arial" w:cs="Arial" w:eastAsia="Arial" w:hAnsi="Arial"/>
          <w:sz w:val="15"/>
          <w:szCs w:val="15"/>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20" w:lineRule="exact"/>
        <w:rPr>
          <w:rFonts w:ascii="Arial" w:cs="Arial" w:eastAsia="Arial" w:hAnsi="Arial"/>
          <w:sz w:val="17"/>
          <w:szCs w:val="17"/>
          <w:color w:val="auto"/>
        </w:rPr>
      </w:pPr>
    </w:p>
    <w:p>
      <w:pPr>
        <w:jc w:val="both"/>
        <w:ind w:left="648" w:hanging="324"/>
        <w:spacing w:after="0" w:line="325" w:lineRule="auto"/>
        <w:tabs>
          <w:tab w:leader="none" w:pos="648" w:val="left"/>
        </w:tabs>
        <w:numPr>
          <w:ilvl w:val="1"/>
          <w:numId w:val="42"/>
        </w:numPr>
        <w:rPr>
          <w:rFonts w:ascii="Arial" w:cs="Arial" w:eastAsia="Arial" w:hAnsi="Arial"/>
          <w:sz w:val="16"/>
          <w:szCs w:val="16"/>
          <w:color w:val="auto"/>
        </w:rPr>
      </w:pPr>
      <w:r>
        <w:rPr>
          <w:rFonts w:ascii="Arial" w:cs="Arial" w:eastAsia="Arial" w:hAnsi="Arial"/>
          <w:sz w:val="14"/>
          <w:szCs w:val="14"/>
          <w:u w:val="single" w:color="auto"/>
          <w:color w:val="auto"/>
        </w:rPr>
        <w:t>Discretionary Nature</w:t>
      </w:r>
      <w:r>
        <w:rPr>
          <w:rFonts w:ascii="Arial" w:cs="Arial" w:eastAsia="Arial" w:hAnsi="Arial"/>
          <w:sz w:val="14"/>
          <w:szCs w:val="14"/>
          <w:color w:val="auto"/>
        </w:rPr>
        <w:t>. The Participant acknowledges and agrees that the Plan is discretionary in nature and may be amended, cancelled, or terminated by the Company at any time, to the extend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w:t>
      </w:r>
    </w:p>
    <w:p>
      <w:pPr>
        <w:sectPr>
          <w:pgSz w:w="11900" w:h="16838" w:orient="portrait"/>
          <w:cols w:equalWidth="0" w:num="1">
            <w:col w:w="11088"/>
          </w:cols>
          <w:pgMar w:left="572" w:top="400" w:right="239" w:bottom="1440" w:gutter="0" w:footer="0" w:header="0"/>
        </w:sectPr>
      </w:pPr>
    </w:p>
    <w:bookmarkStart w:id="50" w:name="page51"/>
    <w:bookmarkEnd w:id="50"/>
    <w:p>
      <w:pPr>
        <w:ind w:left="324" w:right="20"/>
        <w:spacing w:after="0" w:line="349" w:lineRule="auto"/>
        <w:rPr>
          <w:sz w:val="20"/>
          <w:szCs w:val="20"/>
          <w:color w:val="auto"/>
        </w:rPr>
      </w:pPr>
      <w:r>
        <w:rPr>
          <w:rFonts w:ascii="Arial" w:cs="Arial" w:eastAsia="Arial" w:hAnsi="Arial"/>
          <w:sz w:val="16"/>
          <w:szCs w:val="16"/>
          <w:color w:val="auto"/>
        </w:rPr>
        <w:t>service awards, holiday pay, pension, or retirement benefits or similar payments. The Performance RSUs should in no event be considered as compensation for, or relating in any way to, past services for the Company or the Employer.</w:t>
      </w:r>
    </w:p>
    <w:p>
      <w:pPr>
        <w:spacing w:after="0" w:line="19" w:lineRule="exact"/>
        <w:rPr>
          <w:sz w:val="20"/>
          <w:szCs w:val="20"/>
          <w:color w:val="auto"/>
        </w:rPr>
      </w:pPr>
    </w:p>
    <w:p>
      <w:pPr>
        <w:jc w:val="both"/>
        <w:ind w:left="324" w:hanging="324"/>
        <w:spacing w:after="0" w:line="280"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34" w:lineRule="exact"/>
        <w:rPr>
          <w:rFonts w:ascii="Arial" w:cs="Arial" w:eastAsia="Arial" w:hAnsi="Arial"/>
          <w:sz w:val="18"/>
          <w:szCs w:val="18"/>
          <w:color w:val="auto"/>
        </w:rPr>
      </w:pPr>
    </w:p>
    <w:p>
      <w:pPr>
        <w:jc w:val="both"/>
        <w:ind w:left="324" w:hanging="324"/>
        <w:spacing w:after="0" w:line="302" w:lineRule="auto"/>
        <w:tabs>
          <w:tab w:leader="none" w:pos="324" w:val="left"/>
        </w:tabs>
        <w:numPr>
          <w:ilvl w:val="0"/>
          <w:numId w:val="43"/>
        </w:numPr>
        <w:rPr>
          <w:rFonts w:ascii="Arial" w:cs="Arial" w:eastAsia="Arial" w:hAnsi="Arial"/>
          <w:sz w:val="17"/>
          <w:szCs w:val="17"/>
          <w:color w:val="auto"/>
        </w:rPr>
      </w:pPr>
      <w:r>
        <w:rPr>
          <w:rFonts w:ascii="Arial" w:cs="Arial" w:eastAsia="Arial" w:hAnsi="Arial"/>
          <w:sz w:val="15"/>
          <w:szCs w:val="15"/>
          <w:u w:val="single" w:color="auto"/>
          <w:color w:val="auto"/>
        </w:rPr>
        <w:t>No Entitlement</w:t>
      </w:r>
      <w:r>
        <w:rPr>
          <w:rFonts w:ascii="Arial" w:cs="Arial" w:eastAsia="Arial" w:hAnsi="Arial"/>
          <w:sz w:val="15"/>
          <w:szCs w:val="15"/>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9" w:lineRule="exact"/>
        <w:rPr>
          <w:rFonts w:ascii="Arial" w:cs="Arial" w:eastAsia="Arial" w:hAnsi="Arial"/>
          <w:sz w:val="17"/>
          <w:szCs w:val="17"/>
          <w:color w:val="auto"/>
        </w:rPr>
      </w:pPr>
    </w:p>
    <w:p>
      <w:pPr>
        <w:jc w:val="both"/>
        <w:ind w:left="324" w:hanging="324"/>
        <w:spacing w:after="0" w:line="279"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Exchange Rates</w:t>
      </w:r>
      <w:r>
        <w:rPr>
          <w:rFonts w:ascii="Arial" w:cs="Arial" w:eastAsia="Arial" w:hAnsi="Arial"/>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35" w:lineRule="exact"/>
        <w:rPr>
          <w:rFonts w:ascii="Arial" w:cs="Arial" w:eastAsia="Arial" w:hAnsi="Arial"/>
          <w:sz w:val="18"/>
          <w:szCs w:val="18"/>
          <w:color w:val="auto"/>
        </w:rPr>
      </w:pPr>
    </w:p>
    <w:p>
      <w:pPr>
        <w:ind w:left="324" w:hanging="324"/>
        <w:spacing w:after="0"/>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63" w:lineRule="exact"/>
        <w:rPr>
          <w:rFonts w:ascii="Arial" w:cs="Arial" w:eastAsia="Arial" w:hAnsi="Arial"/>
          <w:sz w:val="18"/>
          <w:szCs w:val="18"/>
          <w:color w:val="auto"/>
        </w:rPr>
      </w:pPr>
    </w:p>
    <w:p>
      <w:pPr>
        <w:ind w:left="324" w:right="20" w:hanging="324"/>
        <w:spacing w:after="0" w:line="281"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8" w:lineRule="exact"/>
        <w:rPr>
          <w:rFonts w:ascii="Arial" w:cs="Arial" w:eastAsia="Arial" w:hAnsi="Arial"/>
          <w:sz w:val="18"/>
          <w:szCs w:val="18"/>
          <w:color w:val="auto"/>
        </w:rPr>
      </w:pPr>
    </w:p>
    <w:p>
      <w:pPr>
        <w:ind w:left="324" w:right="20" w:hanging="324"/>
        <w:spacing w:after="0" w:line="305" w:lineRule="auto"/>
        <w:tabs>
          <w:tab w:leader="none" w:pos="324" w:val="left"/>
        </w:tabs>
        <w:numPr>
          <w:ilvl w:val="0"/>
          <w:numId w:val="43"/>
        </w:numPr>
        <w:rPr>
          <w:rFonts w:ascii="Arial" w:cs="Arial" w:eastAsia="Arial" w:hAnsi="Arial"/>
          <w:sz w:val="17"/>
          <w:szCs w:val="17"/>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8" w:lineRule="exact"/>
        <w:rPr>
          <w:rFonts w:ascii="Arial" w:cs="Arial" w:eastAsia="Arial" w:hAnsi="Arial"/>
          <w:sz w:val="17"/>
          <w:szCs w:val="17"/>
          <w:color w:val="auto"/>
        </w:rPr>
      </w:pPr>
    </w:p>
    <w:p>
      <w:pPr>
        <w:jc w:val="both"/>
        <w:ind w:left="324" w:hanging="324"/>
        <w:spacing w:after="0" w:line="280"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34" w:lineRule="exact"/>
        <w:rPr>
          <w:rFonts w:ascii="Arial" w:cs="Arial" w:eastAsia="Arial" w:hAnsi="Arial"/>
          <w:sz w:val="18"/>
          <w:szCs w:val="18"/>
          <w:color w:val="auto"/>
        </w:rPr>
      </w:pPr>
    </w:p>
    <w:p>
      <w:pPr>
        <w:ind w:left="324" w:right="20" w:hanging="324"/>
        <w:spacing w:after="0" w:line="281"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28" w:lineRule="exact"/>
        <w:rPr>
          <w:rFonts w:ascii="Arial" w:cs="Arial" w:eastAsia="Arial" w:hAnsi="Arial"/>
          <w:sz w:val="18"/>
          <w:szCs w:val="18"/>
          <w:color w:val="auto"/>
        </w:rPr>
      </w:pPr>
    </w:p>
    <w:p>
      <w:pPr>
        <w:ind w:left="324" w:hanging="324"/>
        <w:spacing w:after="0" w:line="281"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28" w:lineRule="exact"/>
        <w:rPr>
          <w:rFonts w:ascii="Arial" w:cs="Arial" w:eastAsia="Arial" w:hAnsi="Arial"/>
          <w:sz w:val="18"/>
          <w:szCs w:val="18"/>
          <w:color w:val="auto"/>
        </w:rPr>
      </w:pPr>
    </w:p>
    <w:p>
      <w:pPr>
        <w:ind w:left="324" w:hanging="324"/>
        <w:spacing w:after="0" w:line="281"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28" w:lineRule="exact"/>
        <w:rPr>
          <w:rFonts w:ascii="Arial" w:cs="Arial" w:eastAsia="Arial" w:hAnsi="Arial"/>
          <w:sz w:val="18"/>
          <w:szCs w:val="18"/>
          <w:color w:val="auto"/>
        </w:rPr>
      </w:pPr>
    </w:p>
    <w:p>
      <w:pPr>
        <w:jc w:val="both"/>
        <w:ind w:left="324" w:hanging="324"/>
        <w:spacing w:after="0" w:line="322" w:lineRule="auto"/>
        <w:tabs>
          <w:tab w:leader="none" w:pos="324" w:val="left"/>
        </w:tabs>
        <w:numPr>
          <w:ilvl w:val="0"/>
          <w:numId w:val="43"/>
        </w:numPr>
        <w:rPr>
          <w:rFonts w:ascii="Arial" w:cs="Arial" w:eastAsia="Arial" w:hAnsi="Arial"/>
          <w:sz w:val="16"/>
          <w:szCs w:val="16"/>
          <w:color w:val="auto"/>
        </w:rPr>
      </w:pPr>
      <w:r>
        <w:rPr>
          <w:rFonts w:ascii="Arial" w:cs="Arial" w:eastAsia="Arial" w:hAnsi="Arial"/>
          <w:sz w:val="14"/>
          <w:szCs w:val="14"/>
          <w:u w:val="single" w:color="auto"/>
          <w:color w:val="auto"/>
        </w:rPr>
        <w:t>Compliance with Laws</w:t>
      </w:r>
      <w:r>
        <w:rPr>
          <w:rFonts w:ascii="Arial" w:cs="Arial" w:eastAsia="Arial" w:hAnsi="Arial"/>
          <w:sz w:val="14"/>
          <w:szCs w:val="14"/>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24" w:lineRule="exact"/>
        <w:rPr>
          <w:rFonts w:ascii="Arial" w:cs="Arial" w:eastAsia="Arial" w:hAnsi="Arial"/>
          <w:sz w:val="16"/>
          <w:szCs w:val="16"/>
          <w:color w:val="auto"/>
        </w:rPr>
      </w:pPr>
    </w:p>
    <w:p>
      <w:pPr>
        <w:ind w:left="324" w:hanging="324"/>
        <w:spacing w:after="0" w:line="281"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28" w:lineRule="exact"/>
        <w:rPr>
          <w:rFonts w:ascii="Arial" w:cs="Arial" w:eastAsia="Arial" w:hAnsi="Arial"/>
          <w:sz w:val="18"/>
          <w:szCs w:val="18"/>
          <w:color w:val="auto"/>
        </w:rPr>
      </w:pPr>
    </w:p>
    <w:p>
      <w:pPr>
        <w:ind w:left="324" w:right="20" w:hanging="324"/>
        <w:spacing w:after="0" w:line="281"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6"/>
          <w:szCs w:val="16"/>
          <w:u w:val="single" w:color="auto"/>
          <w:color w:val="auto"/>
        </w:rPr>
        <w:t>Participant’s Acceptance</w:t>
      </w:r>
      <w:r>
        <w:rPr>
          <w:rFonts w:ascii="Arial" w:cs="Arial" w:eastAsia="Arial" w:hAnsi="Arial"/>
          <w:sz w:val="16"/>
          <w:szCs w:val="16"/>
          <w:color w:val="auto"/>
        </w:rPr>
        <w:t>. The Participant is urged to read this Agreement carefully and to consult with his or her own legal counsel regarding the terms and consequences of this Agreement and the legal and binding effect of this Agreement. By</w:t>
      </w:r>
    </w:p>
    <w:p>
      <w:pPr>
        <w:sectPr>
          <w:pgSz w:w="11900" w:h="16838" w:orient="portrait"/>
          <w:cols w:equalWidth="0" w:num="1">
            <w:col w:w="10764"/>
          </w:cols>
          <w:pgMar w:left="896" w:top="400" w:right="239" w:bottom="1440" w:gutter="0" w:footer="0" w:header="0"/>
        </w:sectPr>
      </w:pPr>
    </w:p>
    <w:bookmarkStart w:id="51" w:name="page52"/>
    <w:bookmarkEnd w:id="51"/>
    <w:p>
      <w:pPr>
        <w:ind w:left="324"/>
        <w:spacing w:after="0" w:line="349" w:lineRule="auto"/>
        <w:rPr>
          <w:sz w:val="20"/>
          <w:szCs w:val="20"/>
          <w:color w:val="auto"/>
        </w:rPr>
      </w:pPr>
      <w:r>
        <w:rPr>
          <w:rFonts w:ascii="Arial" w:cs="Arial" w:eastAsia="Arial" w:hAnsi="Arial"/>
          <w:sz w:val="16"/>
          <w:szCs w:val="16"/>
          <w:color w:val="auto"/>
        </w:rPr>
        <w:t>virtue of his or her acceptance of this Award, the Participant is deemed to have accepted and agreed to all of the terms and conditions of this Agreement and the provisions of the Plan.</w:t>
      </w:r>
    </w:p>
    <w:p>
      <w:pPr>
        <w:spacing w:after="0" w:line="19" w:lineRule="exact"/>
        <w:rPr>
          <w:sz w:val="20"/>
          <w:szCs w:val="20"/>
          <w:color w:val="auto"/>
        </w:rPr>
      </w:pPr>
    </w:p>
    <w:p>
      <w:pPr>
        <w:jc w:val="both"/>
        <w:ind w:left="324" w:hanging="324"/>
        <w:spacing w:after="0" w:line="303" w:lineRule="auto"/>
        <w:tabs>
          <w:tab w:leader="none" w:pos="324" w:val="left"/>
        </w:tabs>
        <w:numPr>
          <w:ilvl w:val="0"/>
          <w:numId w:val="44"/>
        </w:numPr>
        <w:rPr>
          <w:rFonts w:ascii="Arial" w:cs="Arial" w:eastAsia="Arial" w:hAnsi="Arial"/>
          <w:sz w:val="17"/>
          <w:szCs w:val="17"/>
          <w:color w:val="auto"/>
        </w:rPr>
      </w:pPr>
      <w:r>
        <w:rPr>
          <w:rFonts w:ascii="Arial" w:cs="Arial" w:eastAsia="Arial" w:hAnsi="Arial"/>
          <w:sz w:val="15"/>
          <w:szCs w:val="15"/>
          <w:u w:val="single" w:color="auto"/>
          <w:color w:val="auto"/>
        </w:rPr>
        <w:t>Electronic Delivery</w:t>
      </w:r>
      <w:r>
        <w:rPr>
          <w:rFonts w:ascii="Arial" w:cs="Arial" w:eastAsia="Arial" w:hAnsi="Arial"/>
          <w:sz w:val="15"/>
          <w:szCs w:val="15"/>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9" w:lineRule="exact"/>
        <w:rPr>
          <w:rFonts w:ascii="Arial" w:cs="Arial" w:eastAsia="Arial" w:hAnsi="Arial"/>
          <w:sz w:val="17"/>
          <w:szCs w:val="17"/>
          <w:color w:val="auto"/>
        </w:rPr>
      </w:pPr>
    </w:p>
    <w:p>
      <w:pPr>
        <w:jc w:val="both"/>
        <w:ind w:left="324" w:hanging="324"/>
        <w:spacing w:after="0" w:line="279"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36" w:lineRule="exact"/>
        <w:rPr>
          <w:rFonts w:ascii="Arial" w:cs="Arial" w:eastAsia="Arial" w:hAnsi="Arial"/>
          <w:sz w:val="18"/>
          <w:szCs w:val="18"/>
          <w:color w:val="auto"/>
        </w:rPr>
      </w:pPr>
    </w:p>
    <w:p>
      <w:pPr>
        <w:jc w:val="both"/>
        <w:ind w:left="324" w:hanging="324"/>
        <w:spacing w:after="0" w:line="280"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6"/>
          <w:szCs w:val="16"/>
          <w:u w:val="single" w:color="auto"/>
          <w:color w:val="auto"/>
        </w:rPr>
        <w:t>Appendix B</w:t>
      </w:r>
      <w:r>
        <w:rPr>
          <w:rFonts w:ascii="Arial" w:cs="Arial" w:eastAsia="Arial" w:hAnsi="Arial"/>
          <w:sz w:val="16"/>
          <w:szCs w:val="16"/>
          <w:color w:val="auto"/>
        </w:rPr>
        <w:t>. Notwithstanding any provisions herein to the contrary, if the Participant transfers the Participant’s residence and/or employment to a country other than the United States, the Performance RSUs shall be subject to any special terms and conditions for such country as may be set forth in Appendix B to this Agreement. Moreover, if the Participant relocates to one of the countries included in Appendix B, the special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34" w:lineRule="exact"/>
        <w:rPr>
          <w:rFonts w:ascii="Arial" w:cs="Arial" w:eastAsia="Arial" w:hAnsi="Arial"/>
          <w:sz w:val="18"/>
          <w:szCs w:val="18"/>
          <w:color w:val="auto"/>
        </w:rPr>
      </w:pPr>
    </w:p>
    <w:p>
      <w:pPr>
        <w:jc w:val="both"/>
        <w:ind w:left="324" w:hanging="324"/>
        <w:spacing w:after="0" w:line="279"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36" w:lineRule="exact"/>
        <w:rPr>
          <w:rFonts w:ascii="Arial" w:cs="Arial" w:eastAsia="Arial" w:hAnsi="Arial"/>
          <w:sz w:val="18"/>
          <w:szCs w:val="18"/>
          <w:color w:val="auto"/>
        </w:rPr>
      </w:pPr>
    </w:p>
    <w:p>
      <w:pPr>
        <w:jc w:val="both"/>
        <w:ind w:left="324" w:hanging="324"/>
        <w:spacing w:after="0" w:line="279"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36" w:lineRule="exact"/>
        <w:rPr>
          <w:rFonts w:ascii="Arial" w:cs="Arial" w:eastAsia="Arial" w:hAnsi="Arial"/>
          <w:sz w:val="18"/>
          <w:szCs w:val="18"/>
          <w:color w:val="auto"/>
        </w:rPr>
      </w:pPr>
    </w:p>
    <w:p>
      <w:pPr>
        <w:jc w:val="both"/>
        <w:ind w:left="324" w:hanging="324"/>
        <w:spacing w:after="0" w:line="324" w:lineRule="auto"/>
        <w:tabs>
          <w:tab w:leader="none" w:pos="324" w:val="left"/>
        </w:tabs>
        <w:numPr>
          <w:ilvl w:val="0"/>
          <w:numId w:val="44"/>
        </w:numPr>
        <w:rPr>
          <w:rFonts w:ascii="Arial" w:cs="Arial" w:eastAsia="Arial" w:hAnsi="Arial"/>
          <w:sz w:val="16"/>
          <w:szCs w:val="16"/>
          <w:color w:val="auto"/>
        </w:rPr>
      </w:pPr>
      <w:r>
        <w:rPr>
          <w:rFonts w:ascii="Arial" w:cs="Arial" w:eastAsia="Arial" w:hAnsi="Arial"/>
          <w:sz w:val="14"/>
          <w:szCs w:val="14"/>
          <w:u w:val="single" w:color="auto"/>
          <w:color w:val="auto"/>
        </w:rPr>
        <w:t>Changes in Capitalization</w:t>
      </w:r>
      <w:r>
        <w:rPr>
          <w:rFonts w:ascii="Arial" w:cs="Arial" w:eastAsia="Arial" w:hAnsi="Arial"/>
          <w:sz w:val="14"/>
          <w:szCs w:val="14"/>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9" w:lineRule="exact"/>
        <w:rPr>
          <w:rFonts w:ascii="Arial" w:cs="Arial" w:eastAsia="Arial" w:hAnsi="Arial"/>
          <w:sz w:val="16"/>
          <w:szCs w:val="16"/>
          <w:color w:val="auto"/>
        </w:rPr>
      </w:pPr>
    </w:p>
    <w:p>
      <w:pPr>
        <w:jc w:val="both"/>
        <w:ind w:left="324" w:hanging="324"/>
        <w:spacing w:after="0" w:line="279"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33" w:lineRule="exact"/>
        <w:rPr>
          <w:rFonts w:ascii="Arial" w:cs="Arial" w:eastAsia="Arial" w:hAnsi="Arial"/>
          <w:sz w:val="18"/>
          <w:szCs w:val="18"/>
          <w:color w:val="auto"/>
        </w:rPr>
      </w:pPr>
    </w:p>
    <w:p>
      <w:pPr>
        <w:jc w:val="both"/>
        <w:ind w:left="324" w:hanging="324"/>
        <w:spacing w:after="0" w:line="301" w:lineRule="auto"/>
        <w:tabs>
          <w:tab w:leader="none" w:pos="324" w:val="left"/>
        </w:tabs>
        <w:numPr>
          <w:ilvl w:val="0"/>
          <w:numId w:val="44"/>
        </w:numPr>
        <w:rPr>
          <w:rFonts w:ascii="Arial" w:cs="Arial" w:eastAsia="Arial" w:hAnsi="Arial"/>
          <w:sz w:val="17"/>
          <w:szCs w:val="17"/>
          <w:color w:val="auto"/>
        </w:rPr>
      </w:pPr>
      <w:r>
        <w:rPr>
          <w:rFonts w:ascii="Arial" w:cs="Arial" w:eastAsia="Arial" w:hAnsi="Arial"/>
          <w:sz w:val="15"/>
          <w:szCs w:val="15"/>
          <w:u w:val="single" w:color="auto"/>
          <w:color w:val="auto"/>
        </w:rPr>
        <w:t>Insider Trading Restrictions/Market Abuse Laws</w:t>
      </w:r>
      <w:r>
        <w:rPr>
          <w:rFonts w:ascii="Arial" w:cs="Arial" w:eastAsia="Arial" w:hAnsi="Arial"/>
          <w:sz w:val="15"/>
          <w:szCs w:val="15"/>
          <w:color w:val="auto"/>
        </w:rPr>
        <w:t>. The Participant acknowledges that, depending on the Participant’s or the Participant’s broker’s country of residence or where the Common Stock is listed,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5"/>
          <w:szCs w:val="15"/>
          <w:i w:val="1"/>
          <w:iCs w:val="1"/>
          <w:color w:val="auto"/>
        </w:rPr>
        <w:t>e.g.</w:t>
      </w:r>
      <w:r>
        <w:rPr>
          <w:rFonts w:ascii="Arial" w:cs="Arial" w:eastAsia="Arial" w:hAnsi="Arial"/>
          <w:sz w:val="15"/>
          <w:szCs w:val="15"/>
          <w:color w:val="auto"/>
        </w:rPr>
        <w:t>, Performance RSUs), or rights linked to the value of Common Stock (</w:t>
      </w:r>
      <w:r>
        <w:rPr>
          <w:rFonts w:ascii="Arial" w:cs="Arial" w:eastAsia="Arial" w:hAnsi="Arial"/>
          <w:sz w:val="15"/>
          <w:szCs w:val="15"/>
          <w:i w:val="1"/>
          <w:iCs w:val="1"/>
          <w:color w:val="auto"/>
        </w:rPr>
        <w:t>e.g.</w:t>
      </w:r>
      <w:r>
        <w:rPr>
          <w:rFonts w:ascii="Arial" w:cs="Arial" w:eastAsia="Arial" w:hAnsi="Arial"/>
          <w:sz w:val="15"/>
          <w:szCs w:val="15"/>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22" w:lineRule="exact"/>
        <w:rPr>
          <w:rFonts w:ascii="Arial" w:cs="Arial" w:eastAsia="Arial" w:hAnsi="Arial"/>
          <w:sz w:val="17"/>
          <w:szCs w:val="17"/>
          <w:color w:val="auto"/>
        </w:rPr>
      </w:pPr>
    </w:p>
    <w:p>
      <w:pPr>
        <w:jc w:val="both"/>
        <w:ind w:left="324" w:hanging="324"/>
        <w:spacing w:after="0" w:line="301" w:lineRule="auto"/>
        <w:tabs>
          <w:tab w:leader="none" w:pos="324" w:val="left"/>
        </w:tabs>
        <w:numPr>
          <w:ilvl w:val="0"/>
          <w:numId w:val="44"/>
        </w:numPr>
        <w:rPr>
          <w:rFonts w:ascii="Arial" w:cs="Arial" w:eastAsia="Arial" w:hAnsi="Arial"/>
          <w:sz w:val="17"/>
          <w:szCs w:val="17"/>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Depending on the Participant’s country,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23" w:lineRule="exact"/>
        <w:rPr>
          <w:rFonts w:ascii="Arial" w:cs="Arial" w:eastAsia="Arial" w:hAnsi="Arial"/>
          <w:sz w:val="17"/>
          <w:szCs w:val="17"/>
          <w:color w:val="auto"/>
        </w:rPr>
      </w:pPr>
    </w:p>
    <w:p>
      <w:pPr>
        <w:ind w:left="324" w:hanging="324"/>
        <w:spacing w:after="0" w:line="281"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ectPr>
          <w:pgSz w:w="11900" w:h="16838" w:orient="portrait"/>
          <w:cols w:equalWidth="0" w:num="1">
            <w:col w:w="10764"/>
          </w:cols>
          <w:pgMar w:left="896" w:top="400" w:right="239" w:bottom="1440" w:gutter="0" w:footer="0" w:header="0"/>
        </w:sectPr>
      </w:pPr>
    </w:p>
    <w:bookmarkStart w:id="52" w:name="page53"/>
    <w:bookmarkEnd w:id="52"/>
    <w:tbl>
      <w:tblPr>
        <w:tblLayout w:type="fixed"/>
        <w:tblInd w:w="340" w:type="dxa"/>
        <w:tblCellMar>
          <w:top w:w="0" w:type="dxa"/>
          <w:left w:w="0" w:type="dxa"/>
          <w:bottom w:w="0" w:type="dxa"/>
          <w:right w:w="0" w:type="dxa"/>
        </w:tblCellMar>
      </w:tblPr>
      <w:tr>
        <w:trPr>
          <w:trHeight w:val="206"/>
        </w:trPr>
        <w:tc>
          <w:tcPr>
            <w:tcW w:w="5220" w:type="dxa"/>
            <w:vAlign w:val="bottom"/>
            <w:gridSpan w:val="2"/>
          </w:tcPr>
          <w:p>
            <w:pPr>
              <w:ind w:left="60"/>
              <w:spacing w:after="0"/>
              <w:rPr>
                <w:sz w:val="20"/>
                <w:szCs w:val="20"/>
                <w:color w:val="auto"/>
              </w:rPr>
            </w:pPr>
            <w:r>
              <w:rPr>
                <w:rFonts w:ascii="Arial" w:cs="Arial" w:eastAsia="Arial" w:hAnsi="Arial"/>
                <w:sz w:val="16"/>
                <w:szCs w:val="16"/>
                <w:color w:val="auto"/>
              </w:rPr>
              <w:t>/s/ Ray Stata</w:t>
            </w:r>
          </w:p>
        </w:tc>
        <w:tc>
          <w:tcPr>
            <w:tcW w:w="3900" w:type="dxa"/>
            <w:vAlign w:val="bottom"/>
          </w:tcPr>
          <w:p>
            <w:pPr>
              <w:ind w:left="60"/>
              <w:spacing w:after="0"/>
              <w:rPr>
                <w:sz w:val="20"/>
                <w:szCs w:val="20"/>
                <w:color w:val="auto"/>
              </w:rPr>
            </w:pPr>
            <w:r>
              <w:rPr>
                <w:rFonts w:ascii="Arial" w:cs="Arial" w:eastAsia="Arial" w:hAnsi="Arial"/>
                <w:sz w:val="16"/>
                <w:szCs w:val="16"/>
                <w:color w:val="auto"/>
              </w:rPr>
              <w:t>/s/ Vincent Roche</w:t>
            </w:r>
          </w:p>
        </w:tc>
      </w:tr>
      <w:tr>
        <w:trPr>
          <w:trHeight w:val="47"/>
        </w:trPr>
        <w:tc>
          <w:tcPr>
            <w:tcW w:w="39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r>
      <w:tr>
        <w:trPr>
          <w:trHeight w:val="21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Ray Stata</w:t>
            </w:r>
          </w:p>
        </w:tc>
        <w:tc>
          <w:tcPr>
            <w:tcW w:w="3900" w:type="dxa"/>
            <w:vAlign w:val="bottom"/>
          </w:tcPr>
          <w:p>
            <w:pPr>
              <w:ind w:left="20"/>
              <w:spacing w:after="0"/>
              <w:rPr>
                <w:sz w:val="20"/>
                <w:szCs w:val="20"/>
                <w:color w:val="auto"/>
              </w:rPr>
            </w:pPr>
            <w:r>
              <w:rPr>
                <w:rFonts w:ascii="Arial" w:cs="Arial" w:eastAsia="Arial" w:hAnsi="Arial"/>
                <w:sz w:val="16"/>
                <w:szCs w:val="16"/>
                <w:color w:val="auto"/>
              </w:rPr>
              <w:t>Vincent Roche</w:t>
            </w:r>
          </w:p>
        </w:tc>
      </w:tr>
      <w:tr>
        <w:trPr>
          <w:trHeight w:val="25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Chairman of the Board</w:t>
            </w:r>
          </w:p>
        </w:tc>
        <w:tc>
          <w:tcPr>
            <w:tcW w:w="3900" w:type="dxa"/>
            <w:vAlign w:val="bottom"/>
          </w:tcPr>
          <w:p>
            <w:pPr>
              <w:ind w:left="20"/>
              <w:spacing w:after="0"/>
              <w:rPr>
                <w:sz w:val="20"/>
                <w:szCs w:val="20"/>
                <w:color w:val="auto"/>
              </w:rPr>
            </w:pPr>
            <w:r>
              <w:rPr>
                <w:rFonts w:ascii="Arial" w:cs="Arial" w:eastAsia="Arial" w:hAnsi="Arial"/>
                <w:sz w:val="16"/>
                <w:szCs w:val="16"/>
                <w:color w:val="auto"/>
              </w:rPr>
              <w:t>President &amp; Chief Executive Officer</w:t>
            </w:r>
          </w:p>
        </w:tc>
      </w:tr>
    </w:tbl>
    <w:p>
      <w:pPr>
        <w:sectPr>
          <w:pgSz w:w="11900" w:h="16838" w:orient="portrait"/>
          <w:cols w:equalWidth="0" w:num="1">
            <w:col w:w="9460"/>
          </w:cols>
          <w:pgMar w:left="1440" w:top="724" w:right="999" w:bottom="1440" w:gutter="0" w:footer="0" w:header="0"/>
        </w:sectPr>
      </w:pPr>
    </w:p>
    <w:bookmarkStart w:id="53" w:name="page54"/>
    <w:bookmarkEnd w:id="53"/>
    <w:p>
      <w:pPr>
        <w:ind w:left="4748"/>
        <w:spacing w:after="0"/>
        <w:rPr>
          <w:sz w:val="20"/>
          <w:szCs w:val="20"/>
          <w:color w:val="auto"/>
        </w:rPr>
      </w:pPr>
      <w:r>
        <w:rPr>
          <w:rFonts w:ascii="Arial" w:cs="Arial" w:eastAsia="Arial" w:hAnsi="Arial"/>
          <w:sz w:val="16"/>
          <w:szCs w:val="16"/>
          <w:b w:val="1"/>
          <w:bCs w:val="1"/>
          <w:color w:val="auto"/>
        </w:rPr>
        <w:t>APPENDIX A TO</w:t>
      </w:r>
    </w:p>
    <w:p>
      <w:pPr>
        <w:spacing w:after="0" w:line="167" w:lineRule="exact"/>
        <w:rPr>
          <w:sz w:val="20"/>
          <w:szCs w:val="20"/>
          <w:color w:val="auto"/>
        </w:rPr>
      </w:pPr>
    </w:p>
    <w:p>
      <w:pPr>
        <w:ind w:left="3108"/>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382" w:lineRule="exact"/>
        <w:rPr>
          <w:sz w:val="20"/>
          <w:szCs w:val="20"/>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6"/>
          <w:szCs w:val="16"/>
          <w:u w:val="single" w:color="auto"/>
          <w:color w:val="auto"/>
        </w:rPr>
        <w:t>Performance Period</w:t>
      </w:r>
      <w:r>
        <w:rPr>
          <w:rFonts w:ascii="Arial" w:cs="Arial" w:eastAsia="Arial" w:hAnsi="Arial"/>
          <w:sz w:val="16"/>
          <w:szCs w:val="16"/>
          <w:color w:val="auto"/>
        </w:rPr>
        <w:t>. The three-year period beginning on Grant Date and ending on Grant Custom 1 (the “Performance Period”).</w:t>
      </w:r>
    </w:p>
    <w:p>
      <w:pPr>
        <w:spacing w:after="0" w:line="198"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Cliff Vesting Date.</w:t>
      </w:r>
    </w:p>
    <w:p>
      <w:pPr>
        <w:spacing w:after="0" w:line="198" w:lineRule="exact"/>
        <w:rPr>
          <w:rFonts w:ascii="Arial" w:cs="Arial" w:eastAsia="Arial" w:hAnsi="Arial"/>
          <w:sz w:val="18"/>
          <w:szCs w:val="18"/>
          <w:color w:val="auto"/>
        </w:rPr>
      </w:pPr>
    </w:p>
    <w:p>
      <w:pPr>
        <w:ind w:left="328" w:hanging="328"/>
        <w:spacing w:after="0" w:line="281"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6"/>
          <w:szCs w:val="16"/>
          <w:u w:val="single" w:color="auto"/>
          <w:color w:val="auto"/>
        </w:rPr>
        <w:t>Determination Date</w:t>
      </w:r>
      <w:r>
        <w:rPr>
          <w:rFonts w:ascii="Arial" w:cs="Arial" w:eastAsia="Arial" w:hAnsi="Arial"/>
          <w:sz w:val="16"/>
          <w:szCs w:val="16"/>
          <w:color w:val="auto"/>
        </w:rPr>
        <w:t>: The date the Compensation Committee of the Board determines the level of attainment of the Performance Parameters. The Determination Date shall be a date as soon as possible following the end of the Performance Period but prior to the Vesting Date.</w:t>
      </w:r>
    </w:p>
    <w:p>
      <w:pPr>
        <w:spacing w:after="0" w:line="163"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6"/>
          <w:szCs w:val="16"/>
          <w:u w:val="single" w:color="auto"/>
          <w:color w:val="auto"/>
        </w:rPr>
        <w:t>Performance-Based Vesting Terms</w:t>
      </w:r>
      <w:r>
        <w:rPr>
          <w:rFonts w:ascii="Arial" w:cs="Arial" w:eastAsia="Arial" w:hAnsi="Arial"/>
          <w:sz w:val="16"/>
          <w:szCs w:val="16"/>
          <w:color w:val="auto"/>
        </w:rPr>
        <w:t>. Subject to Section 2(a) through 2(d) of the Performance Restricted Stock Unit Agreement, the Participant shall vest on the Vesting Date in the number of Performance RSUs, if any, that the Compensation Committee of the Board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71" w:lineRule="exact"/>
        <w:rPr>
          <w:rFonts w:ascii="Arial" w:cs="Arial" w:eastAsia="Arial" w:hAnsi="Arial"/>
          <w:sz w:val="18"/>
          <w:szCs w:val="18"/>
          <w:color w:val="auto"/>
        </w:rPr>
      </w:pPr>
    </w:p>
    <w:p>
      <w:pPr>
        <w:jc w:val="both"/>
        <w:ind w:left="328" w:hanging="328"/>
        <w:spacing w:after="0" w:line="280"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6"/>
          <w:szCs w:val="16"/>
          <w:u w:val="single" w:color="auto"/>
          <w:color w:val="auto"/>
        </w:rPr>
        <w:t>Performance Parameters</w:t>
      </w:r>
      <w:r>
        <w:rPr>
          <w:rFonts w:ascii="Arial" w:cs="Arial" w:eastAsia="Arial" w:hAnsi="Arial"/>
          <w:sz w:val="16"/>
          <w:szCs w:val="16"/>
          <w:color w:val="auto"/>
        </w:rPr>
        <w:t>. The Performance Parameters are based on the comparison of the TSR (as defined below) of the Company relative to the median TSR of the Peer Group (as defined below) during the Performance Period and are equal to 100% plus or minus one and a half times the difference between the Company’s TSR and the median Peer Group TSR. The number of Performance RSUs that shall vest shall be equal to a number of Performance RSUs that is between 0% and 200% of the Initial Grant Number, up to a maximum of 100% of the Initial Grant Number if the Company’s TSR is negative. Attainment among Performance Parameters is subject to interpolation on a linear basis.</w:t>
      </w:r>
    </w:p>
    <w:p>
      <w:pPr>
        <w:spacing w:after="0" w:line="156" w:lineRule="exact"/>
        <w:rPr>
          <w:sz w:val="20"/>
          <w:szCs w:val="20"/>
          <w:color w:val="auto"/>
        </w:rPr>
      </w:pPr>
    </w:p>
    <w:p>
      <w:pPr>
        <w:ind w:left="328"/>
        <w:spacing w:after="0" w:line="310" w:lineRule="auto"/>
        <w:rPr>
          <w:sz w:val="20"/>
          <w:szCs w:val="20"/>
          <w:color w:val="auto"/>
        </w:rPr>
      </w:pPr>
      <w:r>
        <w:rPr>
          <w:rFonts w:ascii="Arial" w:cs="Arial" w:eastAsia="Arial" w:hAnsi="Arial"/>
          <w:sz w:val="15"/>
          <w:szCs w:val="15"/>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95" w:lineRule="exact"/>
        <w:rPr>
          <w:sz w:val="20"/>
          <w:szCs w:val="20"/>
          <w:color w:val="auto"/>
        </w:rPr>
      </w:pPr>
    </w:p>
    <w:p>
      <w:pPr>
        <w:ind w:left="328"/>
        <w:spacing w:after="0"/>
        <w:rPr>
          <w:sz w:val="20"/>
          <w:szCs w:val="20"/>
          <w:color w:val="auto"/>
        </w:rPr>
      </w:pPr>
      <w:r>
        <w:rPr>
          <w:rFonts w:ascii="Arial" w:cs="Arial" w:eastAsia="Arial" w:hAnsi="Arial"/>
          <w:sz w:val="16"/>
          <w:szCs w:val="16"/>
          <w:color w:val="auto"/>
        </w:rPr>
        <w:t>Total Shareholder Return (“TSR”) shall be computed according to the following formula:</w:t>
      </w:r>
    </w:p>
    <w:p>
      <w:pPr>
        <w:spacing w:after="0" w:line="167"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 xml:space="preserve">TSR = </w:t>
      </w:r>
      <w:r>
        <w:rPr>
          <w:rFonts w:ascii="Arial" w:cs="Arial" w:eastAsia="Arial" w:hAnsi="Arial"/>
          <w:sz w:val="16"/>
          <w:szCs w:val="16"/>
          <w:u w:val="single" w:color="auto"/>
          <w:color w:val="auto"/>
        </w:rPr>
        <w:t>(Ending Stock Price - Beginning Stock Price + Cumulative Cash Dividend Payments)</w:t>
      </w:r>
    </w:p>
    <w:p>
      <w:pPr>
        <w:spacing w:after="0" w:line="19"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(Beginning Stock Price)</w:t>
      </w:r>
    </w:p>
    <w:p>
      <w:pPr>
        <w:spacing w:after="0" w:line="207" w:lineRule="exact"/>
        <w:rPr>
          <w:sz w:val="20"/>
          <w:szCs w:val="20"/>
          <w:color w:val="auto"/>
        </w:rPr>
      </w:pPr>
    </w:p>
    <w:p>
      <w:pPr>
        <w:ind w:left="328"/>
        <w:spacing w:after="0" w:line="275" w:lineRule="auto"/>
        <w:rPr>
          <w:sz w:val="20"/>
          <w:szCs w:val="20"/>
          <w:color w:val="auto"/>
        </w:rPr>
      </w:pPr>
      <w:r>
        <w:rPr>
          <w:rFonts w:ascii="Arial" w:cs="Arial" w:eastAsia="Arial" w:hAnsi="Arial"/>
          <w:sz w:val="16"/>
          <w:szCs w:val="16"/>
          <w:color w:val="auto"/>
        </w:rPr>
        <w:t>“Beginning Stock Price” shall mean the average of the closing prices of the applicable stock for the 90 calendar days starting and including the first day of the Performance Period.</w:t>
      </w:r>
    </w:p>
    <w:p>
      <w:pPr>
        <w:spacing w:after="0" w:line="132" w:lineRule="exact"/>
        <w:rPr>
          <w:sz w:val="20"/>
          <w:szCs w:val="20"/>
          <w:color w:val="auto"/>
        </w:rPr>
      </w:pPr>
    </w:p>
    <w:p>
      <w:pPr>
        <w:ind w:left="328"/>
        <w:spacing w:after="0" w:line="275" w:lineRule="auto"/>
        <w:rPr>
          <w:sz w:val="20"/>
          <w:szCs w:val="20"/>
          <w:color w:val="auto"/>
        </w:rPr>
      </w:pPr>
      <w:r>
        <w:rPr>
          <w:rFonts w:ascii="Arial" w:cs="Arial" w:eastAsia="Arial" w:hAnsi="Arial"/>
          <w:sz w:val="16"/>
          <w:szCs w:val="16"/>
          <w:color w:val="auto"/>
        </w:rPr>
        <w:t>“Ending Stock Price” shall mean the average of the closing price of the applicable stock for the 90 calendar days up to and including the last day of the Performance Period.</w:t>
      </w:r>
    </w:p>
    <w:p>
      <w:pPr>
        <w:spacing w:after="0" w:line="132" w:lineRule="exact"/>
        <w:rPr>
          <w:sz w:val="20"/>
          <w:szCs w:val="20"/>
          <w:color w:val="auto"/>
        </w:rPr>
      </w:pPr>
    </w:p>
    <w:p>
      <w:pPr>
        <w:ind w:left="328"/>
        <w:spacing w:after="0"/>
        <w:rPr>
          <w:sz w:val="20"/>
          <w:szCs w:val="20"/>
          <w:color w:val="auto"/>
        </w:rPr>
      </w:pPr>
      <w:r>
        <w:rPr>
          <w:rFonts w:ascii="Arial" w:cs="Arial" w:eastAsia="Arial" w:hAnsi="Arial"/>
          <w:sz w:val="15"/>
          <w:szCs w:val="15"/>
          <w:color w:val="auto"/>
        </w:rPr>
        <w:t>“Cumulative Cash Dividend Payments” shall mean the sum of all cash dividends declared during the Performance Period, based on their ex-dividend date.</w:t>
      </w:r>
    </w:p>
    <w:p>
      <w:pPr>
        <w:spacing w:after="0" w:line="192" w:lineRule="exact"/>
        <w:rPr>
          <w:sz w:val="20"/>
          <w:szCs w:val="20"/>
          <w:color w:val="auto"/>
        </w:rPr>
      </w:pPr>
    </w:p>
    <w:p>
      <w:pPr>
        <w:ind w:left="328" w:right="20"/>
        <w:spacing w:after="0" w:line="275" w:lineRule="auto"/>
        <w:rPr>
          <w:sz w:val="20"/>
          <w:szCs w:val="20"/>
          <w:color w:val="auto"/>
        </w:rPr>
      </w:pPr>
      <w:r>
        <w:rPr>
          <w:rFonts w:ascii="Arial" w:cs="Arial" w:eastAsia="Arial" w:hAnsi="Arial"/>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ectPr>
          <w:pgSz w:w="11900" w:h="16838" w:orient="portrait"/>
          <w:cols w:equalWidth="0" w:num="1">
            <w:col w:w="11088"/>
          </w:cols>
          <w:pgMar w:left="572" w:top="369" w:right="239" w:bottom="1440" w:gutter="0" w:footer="0" w:header="0"/>
        </w:sectPr>
      </w:pPr>
    </w:p>
    <w:bookmarkStart w:id="54" w:name="page55"/>
    <w:bookmarkEnd w:id="54"/>
    <w:p>
      <w:pPr>
        <w:ind w:left="4820"/>
        <w:spacing w:after="0"/>
        <w:rPr>
          <w:sz w:val="20"/>
          <w:szCs w:val="20"/>
          <w:color w:val="auto"/>
        </w:rPr>
      </w:pPr>
      <w:r>
        <w:rPr>
          <w:rFonts w:ascii="Arial" w:cs="Arial" w:eastAsia="Arial" w:hAnsi="Arial"/>
          <w:sz w:val="16"/>
          <w:szCs w:val="16"/>
          <w:b w:val="1"/>
          <w:bCs w:val="1"/>
          <w:color w:val="auto"/>
        </w:rPr>
        <w:t>APPENDIX B TO</w:t>
      </w:r>
    </w:p>
    <w:p>
      <w:pPr>
        <w:spacing w:after="0" w:line="167"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Three examples are set forth below:</w:t>
      </w: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000" w:type="dxa"/>
            <w:vAlign w:val="bottom"/>
            <w:tcBorders>
              <w:top w:val="single" w:sz="8" w:color="auto"/>
              <w:left w:val="single" w:sz="8" w:color="auto"/>
              <w:right w:val="single" w:sz="8" w:color="auto"/>
            </w:tcBorders>
            <w:shd w:val="clear" w:color="auto" w:fill="C6D9F1"/>
          </w:tcPr>
          <w:p>
            <w:pPr>
              <w:ind w:left="260"/>
              <w:spacing w:after="0"/>
              <w:rPr>
                <w:sz w:val="20"/>
                <w:szCs w:val="20"/>
                <w:color w:val="auto"/>
              </w:rPr>
            </w:pPr>
            <w:r>
              <w:rPr>
                <w:rFonts w:ascii="Arial" w:cs="Arial" w:eastAsia="Arial" w:hAnsi="Arial"/>
                <w:sz w:val="16"/>
                <w:szCs w:val="16"/>
                <w:color w:val="auto"/>
              </w:rPr>
              <w:t>Payout</w:t>
            </w:r>
          </w:p>
        </w:tc>
        <w:tc>
          <w:tcPr>
            <w:tcW w:w="2740" w:type="dxa"/>
            <w:vAlign w:val="bottom"/>
            <w:tcBorders>
              <w:top w:val="single" w:sz="8" w:color="auto"/>
              <w:right w:val="single" w:sz="8" w:color="auto"/>
            </w:tcBorders>
            <w:shd w:val="clear" w:color="auto" w:fill="C6D9F1"/>
          </w:tcPr>
          <w:p>
            <w:pPr>
              <w:spacing w:after="0"/>
              <w:rPr>
                <w:sz w:val="20"/>
                <w:szCs w:val="20"/>
                <w:color w:val="auto"/>
              </w:rPr>
            </w:pPr>
          </w:p>
        </w:tc>
        <w:tc>
          <w:tcPr>
            <w:tcW w:w="7220" w:type="dxa"/>
            <w:vAlign w:val="bottom"/>
            <w:tcBorders>
              <w:top w:val="single" w:sz="8" w:color="auto"/>
              <w:right w:val="single" w:sz="8" w:color="auto"/>
            </w:tcBorders>
            <w:shd w:val="clear" w:color="auto" w:fill="C6D9F1"/>
          </w:tcPr>
          <w:p>
            <w:pPr>
              <w:spacing w:after="0"/>
              <w:rPr>
                <w:sz w:val="20"/>
                <w:szCs w:val="20"/>
                <w:color w:val="auto"/>
              </w:rPr>
            </w:pPr>
          </w:p>
        </w:tc>
      </w:tr>
      <w:tr>
        <w:trPr>
          <w:trHeight w:val="244"/>
        </w:trPr>
        <w:tc>
          <w:tcPr>
            <w:tcW w:w="1000" w:type="dxa"/>
            <w:vAlign w:val="bottom"/>
            <w:tcBorders>
              <w:left w:val="single" w:sz="8" w:color="auto"/>
              <w:bottom w:val="single" w:sz="8" w:color="C6D9F1"/>
              <w:right w:val="single" w:sz="8" w:color="auto"/>
            </w:tcBorders>
            <w:shd w:val="clear" w:color="auto" w:fill="C6D9F1"/>
          </w:tcPr>
          <w:p>
            <w:pPr>
              <w:ind w:left="240"/>
              <w:spacing w:after="0"/>
              <w:rPr>
                <w:sz w:val="20"/>
                <w:szCs w:val="20"/>
                <w:color w:val="auto"/>
              </w:rPr>
            </w:pPr>
            <w:r>
              <w:rPr>
                <w:rFonts w:ascii="Arial" w:cs="Arial" w:eastAsia="Arial" w:hAnsi="Arial"/>
                <w:sz w:val="16"/>
                <w:szCs w:val="16"/>
                <w:color w:val="auto"/>
              </w:rPr>
              <w:t>Percent</w:t>
            </w:r>
          </w:p>
        </w:tc>
        <w:tc>
          <w:tcPr>
            <w:tcW w:w="2740" w:type="dxa"/>
            <w:vAlign w:val="bottom"/>
            <w:tcBorders>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w w:val="91"/>
              </w:rPr>
              <w:t>Number of Potential Shares Attained</w:t>
            </w:r>
          </w:p>
        </w:tc>
        <w:tc>
          <w:tcPr>
            <w:tcW w:w="7220" w:type="dxa"/>
            <w:vAlign w:val="bottom"/>
            <w:tcBorders>
              <w:bottom w:val="single" w:sz="8" w:color="C6D9F1"/>
              <w:right w:val="single" w:sz="8" w:color="auto"/>
            </w:tcBorders>
            <w:shd w:val="clear" w:color="auto" w:fill="C6D9F1"/>
          </w:tcPr>
          <w:p>
            <w:pPr>
              <w:ind w:left="2800"/>
              <w:spacing w:after="0"/>
              <w:rPr>
                <w:sz w:val="20"/>
                <w:szCs w:val="20"/>
                <w:color w:val="auto"/>
              </w:rPr>
            </w:pPr>
            <w:r>
              <w:rPr>
                <w:rFonts w:ascii="Arial" w:cs="Arial" w:eastAsia="Arial" w:hAnsi="Arial"/>
                <w:sz w:val="16"/>
                <w:szCs w:val="16"/>
                <w:color w:val="auto"/>
              </w:rPr>
              <w:t>Performance Parameters</w:t>
            </w:r>
          </w:p>
        </w:tc>
      </w:tr>
      <w:tr>
        <w:trPr>
          <w:trHeight w:val="217"/>
        </w:trPr>
        <w:tc>
          <w:tcPr>
            <w:tcW w:w="1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7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TSR minus Peer Group Median TSR is less than or equal to -66.67</w:t>
            </w:r>
          </w:p>
        </w:tc>
      </w:tr>
      <w:tr>
        <w:trPr>
          <w:trHeight w:val="33"/>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220" w:type="dxa"/>
            <w:vAlign w:val="bottom"/>
            <w:tcBorders>
              <w:bottom w:val="single" w:sz="8" w:color="auto"/>
              <w:right w:val="single" w:sz="8" w:color="auto"/>
            </w:tcBorders>
          </w:tcPr>
          <w:p>
            <w:pPr>
              <w:spacing w:after="0"/>
              <w:rPr>
                <w:sz w:val="2"/>
                <w:szCs w:val="2"/>
                <w:color w:val="auto"/>
              </w:rPr>
            </w:pPr>
          </w:p>
        </w:tc>
      </w:tr>
      <w:tr>
        <w:trPr>
          <w:trHeight w:val="217"/>
        </w:trPr>
        <w:tc>
          <w:tcPr>
            <w:tcW w:w="1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Number of Awards Granted</w:t>
            </w:r>
          </w:p>
        </w:tc>
        <w:tc>
          <w:tcPr>
            <w:tcW w:w="7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 TSR minus Peer Group Median TSR equals 0</w:t>
            </w:r>
          </w:p>
        </w:tc>
      </w:tr>
      <w:tr>
        <w:trPr>
          <w:trHeight w:val="33"/>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220" w:type="dxa"/>
            <w:vAlign w:val="bottom"/>
            <w:tcBorders>
              <w:bottom w:val="single" w:sz="8" w:color="auto"/>
              <w:right w:val="single" w:sz="8" w:color="auto"/>
            </w:tcBorders>
          </w:tcPr>
          <w:p>
            <w:pPr>
              <w:spacing w:after="0"/>
              <w:rPr>
                <w:sz w:val="2"/>
                <w:szCs w:val="2"/>
                <w:color w:val="auto"/>
              </w:rPr>
            </w:pPr>
          </w:p>
        </w:tc>
      </w:tr>
      <w:tr>
        <w:trPr>
          <w:trHeight w:val="217"/>
        </w:trPr>
        <w:tc>
          <w:tcPr>
            <w:tcW w:w="1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200%</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Grant Custom 2</w:t>
            </w:r>
          </w:p>
        </w:tc>
        <w:tc>
          <w:tcPr>
            <w:tcW w:w="7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 TSR minus Peer Group Median TSR is greater than or equal to +66.67</w:t>
            </w:r>
          </w:p>
        </w:tc>
      </w:tr>
      <w:tr>
        <w:trPr>
          <w:trHeight w:val="33"/>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220" w:type="dxa"/>
            <w:vAlign w:val="bottom"/>
            <w:tcBorders>
              <w:bottom w:val="single" w:sz="8" w:color="auto"/>
              <w:right w:val="single" w:sz="8" w:color="auto"/>
            </w:tcBorders>
          </w:tcPr>
          <w:p>
            <w:pPr>
              <w:spacing w:after="0"/>
              <w:rPr>
                <w:sz w:val="2"/>
                <w:szCs w:val="2"/>
                <w:color w:val="auto"/>
              </w:rPr>
            </w:pPr>
          </w:p>
        </w:tc>
      </w:tr>
    </w:tbl>
    <w:p>
      <w:pPr>
        <w:spacing w:after="0" w:line="206" w:lineRule="exact"/>
        <w:rPr>
          <w:sz w:val="20"/>
          <w:szCs w:val="20"/>
          <w:color w:val="auto"/>
        </w:rPr>
      </w:pPr>
    </w:p>
    <w:p>
      <w:pPr>
        <w:jc w:val="both"/>
        <w:ind w:left="80"/>
        <w:spacing w:after="0" w:line="275" w:lineRule="auto"/>
        <w:rPr>
          <w:sz w:val="20"/>
          <w:szCs w:val="20"/>
          <w:color w:val="auto"/>
        </w:rPr>
      </w:pPr>
      <w:r>
        <w:rPr>
          <w:rFonts w:ascii="Arial" w:cs="Arial" w:eastAsia="Arial" w:hAnsi="Arial"/>
          <w:sz w:val="16"/>
          <w:szCs w:val="16"/>
          <w:color w:val="auto"/>
        </w:rPr>
        <w:t>The Performance Parameters shall be subject to the adjustments approved by the Compensation Committee of the Board and set forth in writing at the time the Performance Parameters are approved.</w:t>
      </w:r>
    </w:p>
    <w:p>
      <w:pPr>
        <w:spacing w:after="0" w:line="173" w:lineRule="exact"/>
        <w:rPr>
          <w:sz w:val="20"/>
          <w:szCs w:val="20"/>
          <w:color w:val="auto"/>
        </w:rPr>
      </w:pPr>
    </w:p>
    <w:p>
      <w:pPr>
        <w:jc w:val="both"/>
        <w:ind w:left="80"/>
        <w:spacing w:after="0" w:line="261" w:lineRule="auto"/>
        <w:rPr>
          <w:sz w:val="20"/>
          <w:szCs w:val="20"/>
          <w:color w:val="auto"/>
        </w:rPr>
      </w:pPr>
      <w:r>
        <w:rPr>
          <w:rFonts w:ascii="Arial" w:cs="Arial" w:eastAsia="Arial" w:hAnsi="Arial"/>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83" w:lineRule="exact"/>
        <w:rPr>
          <w:sz w:val="20"/>
          <w:szCs w:val="20"/>
          <w:color w:val="auto"/>
        </w:rPr>
      </w:pPr>
    </w:p>
    <w:p>
      <w:pPr>
        <w:jc w:val="both"/>
        <w:ind w:left="80"/>
        <w:spacing w:after="0" w:line="304" w:lineRule="auto"/>
        <w:rPr>
          <w:sz w:val="20"/>
          <w:szCs w:val="20"/>
          <w:color w:val="auto"/>
        </w:rPr>
      </w:pPr>
      <w:r>
        <w:rPr>
          <w:rFonts w:ascii="Arial" w:cs="Arial" w:eastAsia="Arial" w:hAnsi="Arial"/>
          <w:sz w:val="14"/>
          <w:szCs w:val="14"/>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2018.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157" w:lineRule="exact"/>
        <w:rPr>
          <w:sz w:val="20"/>
          <w:szCs w:val="20"/>
          <w:color w:val="auto"/>
        </w:rPr>
      </w:pPr>
    </w:p>
    <w:p>
      <w:pPr>
        <w:jc w:val="both"/>
        <w:ind w:left="80"/>
        <w:spacing w:after="0" w:line="261"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83" w:lineRule="exact"/>
        <w:rPr>
          <w:sz w:val="20"/>
          <w:szCs w:val="20"/>
          <w:color w:val="auto"/>
        </w:rPr>
      </w:pPr>
    </w:p>
    <w:p>
      <w:pPr>
        <w:jc w:val="both"/>
        <w:ind w:left="80"/>
        <w:spacing w:after="0" w:line="286" w:lineRule="auto"/>
        <w:rPr>
          <w:sz w:val="20"/>
          <w:szCs w:val="20"/>
          <w:color w:val="auto"/>
        </w:rPr>
      </w:pPr>
      <w:r>
        <w:rPr>
          <w:rFonts w:ascii="Arial" w:cs="Arial" w:eastAsia="Arial" w:hAnsi="Arial"/>
          <w:sz w:val="15"/>
          <w:szCs w:val="15"/>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79"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25" w:lineRule="exact"/>
        <w:rPr>
          <w:sz w:val="20"/>
          <w:szCs w:val="20"/>
          <w:color w:val="auto"/>
        </w:rPr>
      </w:pPr>
    </w:p>
    <w:p>
      <w:pPr>
        <w:jc w:val="both"/>
        <w:ind w:left="80"/>
        <w:spacing w:after="0" w:line="261" w:lineRule="auto"/>
        <w:rPr>
          <w:sz w:val="20"/>
          <w:szCs w:val="20"/>
          <w:color w:val="auto"/>
        </w:rPr>
      </w:pPr>
      <w:r>
        <w:rPr>
          <w:rFonts w:ascii="Arial" w:cs="Arial" w:eastAsia="Arial" w:hAnsi="Arial"/>
          <w:sz w:val="16"/>
          <w:szCs w:val="16"/>
          <w:u w:val="single" w:color="auto"/>
          <w:color w:val="auto"/>
        </w:rPr>
        <w:t>Data Privacy Information and Consent</w:t>
      </w:r>
      <w:r>
        <w:rPr>
          <w:rFonts w:ascii="Arial" w:cs="Arial" w:eastAsia="Arial" w:hAnsi="Arial"/>
          <w:sz w:val="16"/>
          <w:szCs w:val="16"/>
          <w:color w:val="auto"/>
        </w:rPr>
        <w:t>. The Company is located at One Technology Way, Norwood, Massachusetts, 02062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43" w:lineRule="exact"/>
        <w:rPr>
          <w:sz w:val="20"/>
          <w:szCs w:val="20"/>
          <w:color w:val="auto"/>
        </w:rPr>
      </w:pPr>
    </w:p>
    <w:p>
      <w:pPr>
        <w:jc w:val="both"/>
        <w:ind w:left="400" w:hanging="328"/>
        <w:spacing w:after="0" w:line="327" w:lineRule="auto"/>
        <w:tabs>
          <w:tab w:leader="none" w:pos="400" w:val="left"/>
        </w:tabs>
        <w:numPr>
          <w:ilvl w:val="0"/>
          <w:numId w:val="46"/>
        </w:numPr>
        <w:rPr>
          <w:rFonts w:ascii="Arial" w:cs="Arial" w:eastAsia="Arial" w:hAnsi="Arial"/>
          <w:sz w:val="16"/>
          <w:szCs w:val="16"/>
          <w:color w:val="auto"/>
        </w:rPr>
      </w:pPr>
      <w:r>
        <w:rPr>
          <w:rFonts w:ascii="Arial" w:cs="Arial" w:eastAsia="Arial" w:hAnsi="Arial"/>
          <w:sz w:val="14"/>
          <w:szCs w:val="14"/>
          <w:u w:val="single" w:color="auto"/>
          <w:color w:val="auto"/>
        </w:rPr>
        <w:t>Data Collection and Usage</w:t>
      </w:r>
      <w:r>
        <w:rPr>
          <w:rFonts w:ascii="Arial" w:cs="Arial" w:eastAsia="Arial" w:hAnsi="Arial"/>
          <w:sz w:val="14"/>
          <w:szCs w:val="14"/>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41" w:lineRule="exact"/>
        <w:rPr>
          <w:rFonts w:ascii="Arial" w:cs="Arial" w:eastAsia="Arial" w:hAnsi="Arial"/>
          <w:sz w:val="16"/>
          <w:szCs w:val="16"/>
          <w:color w:val="auto"/>
        </w:rPr>
      </w:pPr>
    </w:p>
    <w:p>
      <w:pPr>
        <w:jc w:val="both"/>
        <w:ind w:left="400" w:hanging="328"/>
        <w:spacing w:after="0" w:line="280"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6"/>
          <w:szCs w:val="16"/>
          <w:u w:val="single" w:color="auto"/>
          <w:color w:val="auto"/>
        </w:rPr>
        <w:t>Stock Plan Administration Service Providers</w:t>
      </w:r>
      <w:r>
        <w:rPr>
          <w:rFonts w:ascii="Arial" w:cs="Arial" w:eastAsia="Arial" w:hAnsi="Arial"/>
          <w:sz w:val="16"/>
          <w:szCs w:val="16"/>
          <w:color w:val="auto"/>
        </w:rPr>
        <w:t>. The Company transfers participant data to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ectPr>
          <w:pgSz w:w="11900" w:h="16838" w:orient="portrait"/>
          <w:cols w:equalWidth="0" w:num="1">
            <w:col w:w="11160"/>
          </w:cols>
          <w:pgMar w:left="500" w:top="720" w:right="239" w:bottom="1440" w:gutter="0" w:footer="0" w:header="0"/>
        </w:sectPr>
      </w:pPr>
    </w:p>
    <w:bookmarkStart w:id="55" w:name="page56"/>
    <w:bookmarkEnd w:id="55"/>
    <w:p>
      <w:pPr>
        <w:ind w:left="4748"/>
        <w:spacing w:after="0"/>
        <w:rPr>
          <w:sz w:val="20"/>
          <w:szCs w:val="20"/>
          <w:color w:val="auto"/>
        </w:rPr>
      </w:pPr>
      <w:r>
        <w:rPr>
          <w:rFonts w:ascii="Arial" w:cs="Arial" w:eastAsia="Arial" w:hAnsi="Arial"/>
          <w:sz w:val="16"/>
          <w:szCs w:val="16"/>
          <w:b w:val="1"/>
          <w:bCs w:val="1"/>
          <w:color w:val="auto"/>
        </w:rPr>
        <w:t>APPENDIX B TO</w:t>
      </w:r>
    </w:p>
    <w:p>
      <w:pPr>
        <w:spacing w:after="0" w:line="167" w:lineRule="exact"/>
        <w:rPr>
          <w:sz w:val="20"/>
          <w:szCs w:val="20"/>
          <w:color w:val="auto"/>
        </w:rPr>
      </w:pPr>
    </w:p>
    <w:p>
      <w:pPr>
        <w:ind w:left="3108"/>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194" w:lineRule="exact"/>
        <w:rPr>
          <w:sz w:val="20"/>
          <w:szCs w:val="20"/>
          <w:color w:val="auto"/>
        </w:rPr>
      </w:pPr>
    </w:p>
    <w:p>
      <w:pPr>
        <w:jc w:val="both"/>
        <w:ind w:left="328" w:hanging="328"/>
        <w:spacing w:after="0" w:line="279"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6"/>
          <w:szCs w:val="16"/>
          <w:u w:val="single" w:color="auto"/>
          <w:color w:val="auto"/>
        </w:rPr>
        <w:t>International Data Transfers</w:t>
      </w:r>
      <w:r>
        <w:rPr>
          <w:rFonts w:ascii="Arial" w:cs="Arial" w:eastAsia="Arial" w:hAnsi="Arial"/>
          <w:sz w:val="16"/>
          <w:szCs w:val="16"/>
          <w:color w:val="auto"/>
        </w:rPr>
        <w:t>. The Company and its service providers are based in the United States. If the Participant is outside the United States, the Participant should note that his or her country has enacted data privacy laws that are different from the United States. For example, the European Commission has issued a limited adequacy finding with respect to the United States that applies only to the extent companies register for the EU-U.S. Privacy Shield program. The Company’s legal basis for the transfer of the Employee’s personal data is his or her consent.</w:t>
      </w:r>
    </w:p>
    <w:p>
      <w:pPr>
        <w:spacing w:after="0" w:line="171" w:lineRule="exact"/>
        <w:rPr>
          <w:rFonts w:ascii="Arial" w:cs="Arial" w:eastAsia="Arial" w:hAnsi="Arial"/>
          <w:sz w:val="18"/>
          <w:szCs w:val="18"/>
          <w:color w:val="auto"/>
        </w:rPr>
      </w:pPr>
    </w:p>
    <w:p>
      <w:pPr>
        <w:jc w:val="both"/>
        <w:ind w:left="328" w:hanging="328"/>
        <w:spacing w:after="0" w:line="280"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6"/>
          <w:szCs w:val="16"/>
          <w:u w:val="single" w:color="auto"/>
          <w:color w:val="auto"/>
        </w:rPr>
        <w:t>Data Retention</w:t>
      </w:r>
      <w:r>
        <w:rPr>
          <w:rFonts w:ascii="Arial" w:cs="Arial" w:eastAsia="Arial" w:hAnsi="Arial"/>
          <w:sz w:val="16"/>
          <w:szCs w:val="16"/>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which will generally be seven years after the Participant is granted Performance RSUs under the Plan, the Company will remove it from it from its systems. If the Company keeps data longer, it would be to satisfy legal or regulatory obligations and the Company’s legal basis would be relevant laws or regulations.</w:t>
      </w:r>
    </w:p>
    <w:p>
      <w:pPr>
        <w:spacing w:after="0" w:line="169"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6"/>
          <w:szCs w:val="16"/>
          <w:u w:val="single" w:color="auto"/>
          <w:color w:val="auto"/>
        </w:rPr>
        <w:t>Voluntariness and Consequences of Consent Denial or Withdrawal</w:t>
      </w:r>
      <w:r>
        <w:rPr>
          <w:rFonts w:ascii="Arial" w:cs="Arial" w:eastAsia="Arial" w:hAnsi="Arial"/>
          <w:sz w:val="16"/>
          <w:szCs w:val="16"/>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71" w:lineRule="exact"/>
        <w:rPr>
          <w:rFonts w:ascii="Arial" w:cs="Arial" w:eastAsia="Arial" w:hAnsi="Arial"/>
          <w:sz w:val="18"/>
          <w:szCs w:val="18"/>
          <w:color w:val="auto"/>
        </w:rPr>
      </w:pPr>
    </w:p>
    <w:p>
      <w:pPr>
        <w:jc w:val="both"/>
        <w:ind w:left="328" w:hanging="328"/>
        <w:spacing w:after="0" w:line="280"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6"/>
          <w:szCs w:val="16"/>
          <w:u w:val="single" w:color="auto"/>
          <w:color w:val="auto"/>
        </w:rPr>
        <w:t>Data Subject Rights</w:t>
      </w:r>
      <w:r>
        <w:rPr>
          <w:rFonts w:ascii="Arial" w:cs="Arial" w:eastAsia="Arial" w:hAnsi="Arial"/>
          <w:sz w:val="16"/>
          <w:szCs w:val="16"/>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Technology Way, Norwood, Massachusetts, 02062 U.S.A., Attention: Stock Plan Administrator.</w:t>
      </w:r>
    </w:p>
    <w:p>
      <w:pPr>
        <w:spacing w:after="0" w:line="157" w:lineRule="exact"/>
        <w:rPr>
          <w:sz w:val="20"/>
          <w:szCs w:val="20"/>
          <w:color w:val="auto"/>
        </w:rPr>
      </w:pPr>
    </w:p>
    <w:p>
      <w:pPr>
        <w:ind w:left="8"/>
        <w:spacing w:after="0" w:line="275" w:lineRule="auto"/>
        <w:rPr>
          <w:sz w:val="20"/>
          <w:szCs w:val="20"/>
          <w:color w:val="auto"/>
        </w:rPr>
      </w:pPr>
      <w:r>
        <w:rPr>
          <w:rFonts w:ascii="Arial" w:cs="Arial" w:eastAsia="Arial" w:hAnsi="Arial"/>
          <w:sz w:val="16"/>
          <w:szCs w:val="16"/>
          <w:color w:val="auto"/>
        </w:rPr>
        <w:t>If the Participant agrees with the data processing practices described in this notice, please declare the Participant’s consent by clicking “Accept Your Grant” on the Accepting Your Grants page on Fidelity’s participant website.</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Ireland</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9(b) of the Agreement:</w:t>
      </w:r>
    </w:p>
    <w:p>
      <w:pPr>
        <w:spacing w:after="0" w:line="167" w:lineRule="exact"/>
        <w:rPr>
          <w:sz w:val="20"/>
          <w:szCs w:val="20"/>
          <w:color w:val="auto"/>
        </w:rPr>
      </w:pPr>
    </w:p>
    <w:p>
      <w:pPr>
        <w:ind w:left="8"/>
        <w:spacing w:after="0" w:line="275" w:lineRule="auto"/>
        <w:rPr>
          <w:sz w:val="20"/>
          <w:szCs w:val="20"/>
          <w:color w:val="auto"/>
        </w:rPr>
      </w:pPr>
      <w:r>
        <w:rPr>
          <w:rFonts w:ascii="Arial" w:cs="Arial" w:eastAsia="Arial" w:hAnsi="Arial"/>
          <w:sz w:val="16"/>
          <w:szCs w:val="16"/>
          <w:color w:val="auto"/>
        </w:rPr>
        <w:t>By accepting the Performance RSUs, the Participant acknowledges, understands, and agrees that the benefits received under the Plan will not be taken into account for any redundancy or unfair dismissal claim.</w:t>
      </w:r>
    </w:p>
    <w:p>
      <w:pPr>
        <w:sectPr>
          <w:pgSz w:w="11900" w:h="16838" w:orient="portrait"/>
          <w:cols w:equalWidth="0" w:num="1">
            <w:col w:w="11088"/>
          </w:cols>
          <w:pgMar w:left="572" w:top="74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10"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176"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Participant Name</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Employee ID</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Grant ID: Client Grant ID</w:t>
      </w:r>
    </w:p>
    <w:p>
      <w:pPr>
        <w:spacing w:after="0" w:line="109" w:lineRule="exact"/>
        <w:rPr>
          <w:sz w:val="20"/>
          <w:szCs w:val="20"/>
          <w:color w:val="auto"/>
        </w:rPr>
      </w:pPr>
    </w:p>
    <w:p>
      <w:pPr>
        <w:jc w:val="both"/>
        <w:ind w:left="340"/>
        <w:spacing w:after="0" w:line="272" w:lineRule="auto"/>
        <w:rPr>
          <w:sz w:val="20"/>
          <w:szCs w:val="20"/>
          <w:color w:val="auto"/>
        </w:rPr>
      </w:pPr>
      <w:r>
        <w:rPr>
          <w:rFonts w:ascii="Arial" w:cs="Arial" w:eastAsia="Arial" w:hAnsi="Arial"/>
          <w:sz w:val="15"/>
          <w:szCs w:val="15"/>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Amended and Restated 2006 Stock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2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Performance Restricted Stock Unit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60" w:right="20"/>
        <w:spacing w:after="0" w:line="275" w:lineRule="auto"/>
        <w:rPr>
          <w:rFonts w:ascii="Arial" w:cs="Arial" w:eastAsia="Arial" w:hAnsi="Arial"/>
          <w:sz w:val="16"/>
          <w:szCs w:val="16"/>
          <w:color w:val="auto"/>
        </w:rPr>
      </w:pPr>
      <w:r>
        <w:rPr>
          <w:rFonts w:ascii="Arial" w:cs="Arial" w:eastAsia="Arial" w:hAnsi="Arial"/>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1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0000CC"/>
        </w:rPr>
        <w:t>Date of Grant:  Grant Date</w:t>
      </w:r>
    </w:p>
    <w:p>
      <w:pPr>
        <w:spacing w:after="0" w:line="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0000CC"/>
        </w:rPr>
        <w:t>Number of Performance RSUs (“Initial Grant Number”):  Number of Awards Granted</w:t>
      </w:r>
    </w:p>
    <w:p>
      <w:pPr>
        <w:spacing w:after="0" w:line="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0000CC"/>
        </w:rPr>
        <w:t>Vesting Date:  Cliff Vesting Date</w:t>
      </w:r>
    </w:p>
    <w:p>
      <w:pPr>
        <w:spacing w:after="0" w:line="207" w:lineRule="exact"/>
        <w:rPr>
          <w:rFonts w:ascii="Arial" w:cs="Arial" w:eastAsia="Arial" w:hAnsi="Arial"/>
          <w:sz w:val="16"/>
          <w:szCs w:val="16"/>
          <w:color w:val="auto"/>
        </w:rPr>
      </w:pPr>
    </w:p>
    <w:p>
      <w:pPr>
        <w:jc w:val="both"/>
        <w:ind w:left="660"/>
        <w:spacing w:after="0" w:line="278" w:lineRule="auto"/>
        <w:rPr>
          <w:rFonts w:ascii="Arial" w:cs="Arial" w:eastAsia="Arial" w:hAnsi="Arial"/>
          <w:sz w:val="16"/>
          <w:szCs w:val="16"/>
          <w:color w:val="auto"/>
        </w:rPr>
      </w:pPr>
      <w:r>
        <w:rPr>
          <w:rFonts w:ascii="Arial" w:cs="Arial" w:eastAsia="Arial" w:hAnsi="Arial"/>
          <w:sz w:val="15"/>
          <w:szCs w:val="15"/>
          <w:color w:val="auto"/>
        </w:rPr>
        <w:t xml:space="preserve">If the Participant resides in Australia, Canada, a European Economic Area or European Union member state, Hong Kong, India, Israel, Japan, Serbia, Switzerland, Taiwan, or Turkey, due to local legal requirements the Participant </w:t>
      </w:r>
      <w:r>
        <w:rPr>
          <w:rFonts w:ascii="Arial" w:cs="Arial" w:eastAsia="Arial" w:hAnsi="Arial"/>
          <w:sz w:val="15"/>
          <w:szCs w:val="15"/>
          <w:b w:val="1"/>
          <w:bCs w:val="1"/>
          <w:i w:val="1"/>
          <w:iCs w:val="1"/>
          <w:color w:val="auto"/>
        </w:rPr>
        <w:t>must accept</w:t>
      </w:r>
      <w:r>
        <w:rPr>
          <w:rFonts w:ascii="Arial" w:cs="Arial" w:eastAsia="Arial" w:hAnsi="Arial"/>
          <w:sz w:val="15"/>
          <w:szCs w:val="15"/>
          <w:color w:val="auto"/>
        </w:rPr>
        <w:t xml:space="preserve"> this Agreement no later than Grant Custom 4 or </w:t>
      </w:r>
      <w:r>
        <w:rPr>
          <w:rFonts w:ascii="Arial" w:cs="Arial" w:eastAsia="Arial" w:hAnsi="Arial"/>
          <w:sz w:val="15"/>
          <w:szCs w:val="15"/>
          <w:b w:val="1"/>
          <w:bCs w:val="1"/>
          <w:i w:val="1"/>
          <w:iCs w:val="1"/>
          <w:color w:val="auto"/>
        </w:rPr>
        <w:t>this Award shall terminate and will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become null and void</w:t>
      </w:r>
      <w:r>
        <w:rPr>
          <w:rFonts w:ascii="Arial" w:cs="Arial" w:eastAsia="Arial" w:hAnsi="Arial"/>
          <w:sz w:val="15"/>
          <w:szCs w:val="15"/>
          <w:color w:val="auto"/>
        </w:rPr>
        <w:t>. For purposes of this Agreement, the Participant is deemed to reside in the country where his or her Employer is located. In addition, if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 resides in Israel, written consent may be required by Grant Custom 3, the Participant should refer to Appendix B for details.</w:t>
      </w:r>
    </w:p>
    <w:p>
      <w:pPr>
        <w:spacing w:after="0" w:line="335" w:lineRule="exact"/>
        <w:rPr>
          <w:rFonts w:ascii="Arial" w:cs="Arial" w:eastAsia="Arial" w:hAnsi="Arial"/>
          <w:sz w:val="16"/>
          <w:szCs w:val="16"/>
          <w:color w:val="auto"/>
        </w:rPr>
      </w:pPr>
    </w:p>
    <w:p>
      <w:pPr>
        <w:jc w:val="both"/>
        <w:ind w:left="660"/>
        <w:spacing w:after="0" w:line="315" w:lineRule="auto"/>
        <w:rPr>
          <w:rFonts w:ascii="Arial" w:cs="Arial" w:eastAsia="Arial" w:hAnsi="Arial"/>
          <w:sz w:val="16"/>
          <w:szCs w:val="16"/>
          <w:color w:val="auto"/>
        </w:rPr>
      </w:pPr>
      <w:r>
        <w:rPr>
          <w:rFonts w:ascii="Arial" w:cs="Arial" w:eastAsia="Arial" w:hAnsi="Arial"/>
          <w:sz w:val="14"/>
          <w:szCs w:val="14"/>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311" w:lineRule="exact"/>
        <w:rPr>
          <w:rFonts w:ascii="Arial" w:cs="Arial" w:eastAsia="Arial" w:hAnsi="Arial"/>
          <w:sz w:val="16"/>
          <w:szCs w:val="16"/>
          <w:color w:val="auto"/>
        </w:rPr>
      </w:pPr>
    </w:p>
    <w:p>
      <w:pPr>
        <w:jc w:val="both"/>
        <w:ind w:left="660"/>
        <w:spacing w:after="0" w:line="256" w:lineRule="auto"/>
        <w:rPr>
          <w:rFonts w:ascii="Arial" w:cs="Arial" w:eastAsia="Arial" w:hAnsi="Arial"/>
          <w:sz w:val="16"/>
          <w:szCs w:val="16"/>
          <w:color w:val="auto"/>
        </w:rPr>
      </w:pPr>
      <w:r>
        <w:rPr>
          <w:rFonts w:ascii="Arial" w:cs="Arial" w:eastAsia="Arial" w:hAnsi="Arial"/>
          <w:sz w:val="16"/>
          <w:szCs w:val="16"/>
          <w:color w:val="auto"/>
        </w:rPr>
        <w:t>Each one (1) Performance RSU shall, if and when it vests in accordance with this Agreement, automatically convert into one (1) share of common stock, US$0.16 2/3 par value, of the Company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33"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980" w:hanging="324"/>
        <w:spacing w:after="0" w:line="267" w:lineRule="auto"/>
        <w:tabs>
          <w:tab w:leader="none" w:pos="980" w:val="left"/>
        </w:tabs>
        <w:numPr>
          <w:ilvl w:val="1"/>
          <w:numId w:val="48"/>
        </w:numPr>
        <w:rPr>
          <w:rFonts w:ascii="Arial" w:cs="Arial" w:eastAsia="Arial" w:hAnsi="Arial"/>
          <w:sz w:val="15"/>
          <w:szCs w:val="15"/>
          <w:color w:val="auto"/>
        </w:rPr>
      </w:pPr>
      <w:r>
        <w:rPr>
          <w:rFonts w:ascii="Arial" w:cs="Arial" w:eastAsia="Arial" w:hAnsi="Arial"/>
          <w:sz w:val="15"/>
          <w:szCs w:val="15"/>
          <w:color w:val="auto"/>
        </w:rPr>
        <w:t>Subject to the terms of the Plan and this Agreement, the Performance RSUs shall vest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31" w:lineRule="exact"/>
        <w:rPr>
          <w:rFonts w:ascii="Arial" w:cs="Arial" w:eastAsia="Arial" w:hAnsi="Arial"/>
          <w:sz w:val="15"/>
          <w:szCs w:val="15"/>
          <w:color w:val="auto"/>
        </w:rPr>
      </w:pPr>
    </w:p>
    <w:p>
      <w:pPr>
        <w:ind w:left="980" w:hanging="324"/>
        <w:spacing w:after="0" w:line="275" w:lineRule="auto"/>
        <w:tabs>
          <w:tab w:leader="none" w:pos="9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VERSION 1/19</w:t>
      </w:r>
    </w:p>
    <w:p>
      <w:pPr>
        <w:sectPr>
          <w:pgSz w:w="11900" w:h="16838" w:orient="portrait"/>
          <w:cols w:equalWidth="0" w:num="1">
            <w:col w:w="11420"/>
          </w:cols>
          <w:pgMar w:left="240" w:top="126" w:right="239" w:bottom="1440" w:gutter="0" w:footer="0" w:header="0"/>
        </w:sectPr>
      </w:pPr>
    </w:p>
    <w:bookmarkStart w:id="57" w:name="page58"/>
    <w:bookmarkEnd w:id="57"/>
    <w:p>
      <w:pPr>
        <w:ind w:left="980"/>
        <w:spacing w:after="0" w:line="363" w:lineRule="auto"/>
        <w:rPr>
          <w:sz w:val="20"/>
          <w:szCs w:val="20"/>
          <w:color w:val="auto"/>
        </w:rPr>
      </w:pPr>
      <w:r>
        <w:rPr>
          <w:rFonts w:ascii="Arial" w:cs="Arial" w:eastAsia="Arial" w:hAnsi="Arial"/>
          <w:sz w:val="16"/>
          <w:szCs w:val="16"/>
          <w:color w:val="auto"/>
        </w:rPr>
        <w:t>case, all of the Unvested Performance RSUs as of the date of termination shall terminate and be cancelled immediately and automatically and the Participant shall have no further rights with respect to such Unvested Performance RSUs.</w:t>
      </w:r>
    </w:p>
    <w:p>
      <w:pPr>
        <w:spacing w:after="0" w:line="92" w:lineRule="exact"/>
        <w:rPr>
          <w:sz w:val="20"/>
          <w:szCs w:val="20"/>
          <w:color w:val="auto"/>
        </w:rPr>
      </w:pPr>
    </w:p>
    <w:p>
      <w:pPr>
        <w:jc w:val="both"/>
        <w:ind w:left="980" w:hanging="324"/>
        <w:spacing w:after="0" w:line="250"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 the event of the Participant’s death prior to the end of the Performance Period, the Unvested Performance RSUs shall vest immediately upon death based on the following attainment levels for each of the Performance Measurement Periods: (i) if the death occurs following the last day of a Performance Measurement Period, an attainment level based on the actual attainment level determined by the Compensation Committee of the Board for each of the Performance Measurement Periods ending prior to the Participant’s death; and (ii) if the termination occurs prior to the last day of a Performance Measurement Period, an attainment level equal to 100% for each of the Performance Measurement Periods that end subsequent to the Participant’s death.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w:t>
      </w:r>
    </w:p>
    <w:p>
      <w:pPr>
        <w:spacing w:after="0" w:line="141" w:lineRule="exact"/>
        <w:rPr>
          <w:rFonts w:ascii="Arial" w:cs="Arial" w:eastAsia="Arial" w:hAnsi="Arial"/>
          <w:sz w:val="16"/>
          <w:szCs w:val="16"/>
          <w:color w:val="auto"/>
        </w:rPr>
      </w:pPr>
    </w:p>
    <w:p>
      <w:pPr>
        <w:jc w:val="both"/>
        <w:ind w:left="980" w:hanging="324"/>
        <w:spacing w:after="0" w:line="267" w:lineRule="auto"/>
        <w:tabs>
          <w:tab w:leader="none" w:pos="980" w:val="left"/>
        </w:tabs>
        <w:numPr>
          <w:ilvl w:val="1"/>
          <w:numId w:val="49"/>
        </w:numPr>
        <w:rPr>
          <w:rFonts w:ascii="Arial" w:cs="Arial" w:eastAsia="Arial" w:hAnsi="Arial"/>
          <w:sz w:val="15"/>
          <w:szCs w:val="15"/>
          <w:color w:val="auto"/>
        </w:rPr>
      </w:pPr>
      <w:r>
        <w:rPr>
          <w:rFonts w:ascii="Arial" w:cs="Arial" w:eastAsia="Arial" w:hAnsi="Arial"/>
          <w:sz w:val="15"/>
          <w:szCs w:val="15"/>
          <w:color w:val="auto"/>
        </w:rPr>
        <w:t xml:space="preserve">In the event the Participant becomes </w:t>
      </w:r>
      <w:r>
        <w:rPr>
          <w:rFonts w:ascii="Arial" w:cs="Arial" w:eastAsia="Arial" w:hAnsi="Arial"/>
          <w:sz w:val="15"/>
          <w:szCs w:val="15"/>
          <w:u w:val="single" w:color="auto"/>
          <w:color w:val="auto"/>
        </w:rPr>
        <w:t>Disabled</w:t>
      </w:r>
      <w:r>
        <w:rPr>
          <w:rFonts w:ascii="Arial" w:cs="Arial" w:eastAsia="Arial" w:hAnsi="Arial"/>
          <w:sz w:val="15"/>
          <w:szCs w:val="15"/>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the following attainment levels for each of the Performance Periods: (i) if the Participant is determined to be Disabled following the last day of a Performance Measurement Period, an attainment level based on the actual attainment level determined by the Compensation Committee of the Board for each of the Performance Measurement Periods ending prior to the date that the Participant is determined to be Disabled; and (ii) if the Participant is determined to be Disabled prior to the last day of a Performance Measurement Period, an attainment level equal to 100% for each of the Performance Measurement Periods that end subsequent to the date that the Participants is determined to be Disabled.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128" w:lineRule="exact"/>
        <w:rPr>
          <w:rFonts w:ascii="Arial" w:cs="Arial" w:eastAsia="Arial" w:hAnsi="Arial"/>
          <w:sz w:val="15"/>
          <w:szCs w:val="15"/>
          <w:color w:val="auto"/>
        </w:rPr>
      </w:pPr>
    </w:p>
    <w:p>
      <w:pPr>
        <w:jc w:val="both"/>
        <w:ind w:left="980" w:hanging="324"/>
        <w:spacing w:after="0" w:line="274" w:lineRule="auto"/>
        <w:tabs>
          <w:tab w:leader="none" w:pos="980" w:val="left"/>
        </w:tabs>
        <w:numPr>
          <w:ilvl w:val="1"/>
          <w:numId w:val="49"/>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2" w:lineRule="exact"/>
        <w:rPr>
          <w:rFonts w:ascii="Arial" w:cs="Arial" w:eastAsia="Arial" w:hAnsi="Arial"/>
          <w:sz w:val="15"/>
          <w:szCs w:val="15"/>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Participant shall not sell, assign, transfer, pledge or otherwise encumber any Performance RSUs, either voluntarily or by operation of law.</w:t>
      </w:r>
    </w:p>
    <w:p>
      <w:pPr>
        <w:spacing w:after="0" w:line="167" w:lineRule="exact"/>
        <w:rPr>
          <w:rFonts w:ascii="Arial" w:cs="Arial" w:eastAsia="Arial" w:hAnsi="Arial"/>
          <w:sz w:val="16"/>
          <w:szCs w:val="16"/>
          <w:color w:val="auto"/>
        </w:rPr>
      </w:pPr>
    </w:p>
    <w:p>
      <w:pPr>
        <w:jc w:val="both"/>
        <w:ind w:left="980" w:hanging="324"/>
        <w:spacing w:after="0" w:line="261"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29"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37"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 The Performance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19" w:lineRule="exact"/>
        <w:rPr>
          <w:rFonts w:ascii="Arial" w:cs="Arial" w:eastAsia="Arial" w:hAnsi="Arial"/>
          <w:sz w:val="15"/>
          <w:szCs w:val="15"/>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980" w:right="20" w:hanging="324"/>
        <w:spacing w:after="0" w:line="275"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VERSION 1/19</w:t>
      </w:r>
    </w:p>
    <w:p>
      <w:pPr>
        <w:sectPr>
          <w:pgSz w:w="11900" w:h="16838" w:orient="portrait"/>
          <w:cols w:equalWidth="0" w:num="1">
            <w:col w:w="11420"/>
          </w:cols>
          <w:pgMar w:left="240" w:top="400" w:right="239" w:bottom="1440" w:gutter="0" w:footer="0" w:header="0"/>
        </w:sectPr>
      </w:pPr>
    </w:p>
    <w:bookmarkStart w:id="58" w:name="page59"/>
    <w:bookmarkEnd w:id="58"/>
    <w:p>
      <w:pPr>
        <w:jc w:val="both"/>
        <w:ind w:left="980"/>
        <w:spacing w:after="0" w:line="338" w:lineRule="auto"/>
        <w:rPr>
          <w:sz w:val="20"/>
          <w:szCs w:val="20"/>
          <w:color w:val="auto"/>
        </w:rPr>
      </w:pPr>
      <w:r>
        <w:rPr>
          <w:rFonts w:ascii="Arial" w:cs="Arial" w:eastAsia="Arial" w:hAnsi="Arial"/>
          <w:sz w:val="16"/>
          <w:szCs w:val="16"/>
          <w:color w:val="auto"/>
        </w:rPr>
        <w:t>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2" w:lineRule="exact"/>
        <w:rPr>
          <w:sz w:val="20"/>
          <w:szCs w:val="20"/>
          <w:color w:val="auto"/>
        </w:rPr>
      </w:pPr>
    </w:p>
    <w:p>
      <w:pPr>
        <w:jc w:val="both"/>
        <w:ind w:left="980" w:hanging="324"/>
        <w:spacing w:after="0" w:line="261"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with regard to all Tax-Related Items by one or a combination of the methods set forth below:</w:t>
      </w:r>
    </w:p>
    <w:p>
      <w:pPr>
        <w:spacing w:after="0" w:line="129" w:lineRule="exact"/>
        <w:rPr>
          <w:rFonts w:ascii="Arial" w:cs="Arial" w:eastAsia="Arial" w:hAnsi="Arial"/>
          <w:sz w:val="16"/>
          <w:szCs w:val="16"/>
          <w:color w:val="auto"/>
        </w:rPr>
      </w:pPr>
    </w:p>
    <w:p>
      <w:pPr>
        <w:ind w:left="1620" w:hanging="640"/>
        <w:spacing w:after="0" w:line="278" w:lineRule="auto"/>
        <w:tabs>
          <w:tab w:leader="none" w:pos="1296" w:val="left"/>
        </w:tabs>
        <w:numPr>
          <w:ilvl w:val="1"/>
          <w:numId w:val="51"/>
        </w:numPr>
        <w:rPr>
          <w:rFonts w:ascii="Arial" w:cs="Arial" w:eastAsia="Arial" w:hAnsi="Arial"/>
          <w:sz w:val="15"/>
          <w:szCs w:val="15"/>
          <w:color w:val="auto"/>
        </w:rPr>
      </w:pPr>
      <w:r>
        <w:rPr>
          <w:rFonts w:ascii="Arial" w:cs="Arial" w:eastAsia="Arial" w:hAnsi="Arial"/>
          <w:sz w:val="15"/>
          <w:szCs w:val="15"/>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9" w:lineRule="exact"/>
        <w:rPr>
          <w:rFonts w:ascii="Arial" w:cs="Arial" w:eastAsia="Arial" w:hAnsi="Arial"/>
          <w:sz w:val="15"/>
          <w:szCs w:val="15"/>
          <w:color w:val="auto"/>
        </w:rPr>
      </w:pPr>
    </w:p>
    <w:p>
      <w:pPr>
        <w:ind w:left="1620" w:hanging="640"/>
        <w:spacing w:after="0" w:line="275" w:lineRule="auto"/>
        <w:tabs>
          <w:tab w:leader="none" w:pos="1296"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118" w:lineRule="exact"/>
        <w:rPr>
          <w:rFonts w:ascii="Arial" w:cs="Arial" w:eastAsia="Arial" w:hAnsi="Arial"/>
          <w:sz w:val="16"/>
          <w:szCs w:val="16"/>
          <w:color w:val="auto"/>
        </w:rPr>
      </w:pPr>
    </w:p>
    <w:p>
      <w:pPr>
        <w:ind w:left="1620" w:hanging="640"/>
        <w:spacing w:after="0" w:line="275" w:lineRule="auto"/>
        <w:tabs>
          <w:tab w:leader="none" w:pos="1296"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9" w:lineRule="exact"/>
        <w:rPr>
          <w:sz w:val="20"/>
          <w:szCs w:val="20"/>
          <w:color w:val="auto"/>
        </w:rPr>
      </w:pPr>
    </w:p>
    <w:p>
      <w:pPr>
        <w:jc w:val="both"/>
        <w:ind w:left="1300"/>
        <w:spacing w:after="0" w:line="256" w:lineRule="auto"/>
        <w:rPr>
          <w:sz w:val="20"/>
          <w:szCs w:val="20"/>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33" w:lineRule="exact"/>
        <w:rPr>
          <w:sz w:val="20"/>
          <w:szCs w:val="20"/>
          <w:color w:val="auto"/>
        </w:rPr>
      </w:pPr>
    </w:p>
    <w:p>
      <w:pPr>
        <w:jc w:val="both"/>
        <w:ind w:left="1300"/>
        <w:spacing w:after="0" w:line="256" w:lineRule="auto"/>
        <w:rPr>
          <w:sz w:val="20"/>
          <w:szCs w:val="20"/>
          <w:color w:val="auto"/>
        </w:rPr>
      </w:pPr>
      <w:r>
        <w:rPr>
          <w:rFonts w:ascii="Arial" w:cs="Arial" w:eastAsia="Arial" w:hAnsi="Arial"/>
          <w:sz w:val="16"/>
          <w:szCs w:val="16"/>
          <w:color w:val="auto"/>
        </w:rPr>
        <w:t>The Company may withhold or account for Tax-Related Items by considering applicable statutory withholding amounts or other applicable withholding rates, including maximum applicable rates in the Participant’s jurisdiction(s).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133" w:lineRule="exact"/>
        <w:rPr>
          <w:sz w:val="20"/>
          <w:szCs w:val="20"/>
          <w:color w:val="auto"/>
        </w:rPr>
      </w:pPr>
    </w:p>
    <w:p>
      <w:pPr>
        <w:jc w:val="both"/>
        <w:ind w:left="1300"/>
        <w:spacing w:after="0" w:line="270" w:lineRule="auto"/>
        <w:rPr>
          <w:sz w:val="20"/>
          <w:szCs w:val="20"/>
          <w:color w:val="auto"/>
        </w:rPr>
      </w:pPr>
      <w:r>
        <w:rPr>
          <w:rFonts w:ascii="Arial" w:cs="Arial" w:eastAsia="Arial" w:hAnsi="Arial"/>
          <w:sz w:val="15"/>
          <w:szCs w:val="15"/>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27" w:lineRule="exact"/>
        <w:rPr>
          <w:sz w:val="20"/>
          <w:szCs w:val="20"/>
          <w:color w:val="auto"/>
        </w:rPr>
      </w:pPr>
    </w:p>
    <w:p>
      <w:pPr>
        <w:jc w:val="both"/>
        <w:ind w:left="660" w:hanging="328"/>
        <w:spacing w:after="0" w:line="25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Option of Company to Deliver Cash</w:t>
      </w:r>
      <w:r>
        <w:rPr>
          <w:rFonts w:ascii="Arial" w:cs="Arial" w:eastAsia="Arial" w:hAnsi="Arial"/>
          <w:sz w:val="16"/>
          <w:szCs w:val="16"/>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pursuant to Section 6 herein.</w:t>
      </w:r>
    </w:p>
    <w:p>
      <w:pPr>
        <w:spacing w:after="0" w:line="137"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Repatriation and Other Legal Requirements</w:t>
      </w:r>
      <w:r>
        <w:rPr>
          <w:rFonts w:ascii="Arial" w:cs="Arial" w:eastAsia="Arial" w:hAnsi="Arial"/>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VERSION 1/19</w:t>
      </w:r>
    </w:p>
    <w:p>
      <w:pPr>
        <w:sectPr>
          <w:pgSz w:w="11900" w:h="16838" w:orient="portrait"/>
          <w:cols w:equalWidth="0" w:num="1">
            <w:col w:w="11420"/>
          </w:cols>
          <w:pgMar w:left="240" w:top="400" w:right="239" w:bottom="1440" w:gutter="0" w:footer="0" w:header="0"/>
        </w:sectPr>
      </w:pPr>
    </w:p>
    <w:bookmarkStart w:id="59" w:name="page60"/>
    <w:bookmarkEnd w:id="59"/>
    <w:p>
      <w:pPr>
        <w:jc w:val="both"/>
        <w:ind w:left="660"/>
        <w:spacing w:after="0" w:line="349" w:lineRule="auto"/>
        <w:rPr>
          <w:sz w:val="20"/>
          <w:szCs w:val="20"/>
          <w:color w:val="auto"/>
        </w:rPr>
      </w:pPr>
      <w:r>
        <w:rPr>
          <w:rFonts w:ascii="Arial" w:cs="Arial" w:eastAsia="Arial" w:hAnsi="Arial"/>
          <w:sz w:val="16"/>
          <w:szCs w:val="16"/>
          <w:color w:val="auto"/>
        </w:rPr>
        <w:t>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0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980" w:hanging="324"/>
        <w:spacing w:after="0" w:line="274" w:lineRule="auto"/>
        <w:tabs>
          <w:tab w:leader="none" w:pos="980" w:val="left"/>
        </w:tabs>
        <w:numPr>
          <w:ilvl w:val="1"/>
          <w:numId w:val="53"/>
        </w:numPr>
        <w:rPr>
          <w:rFonts w:ascii="Arial" w:cs="Arial" w:eastAsia="Arial" w:hAnsi="Arial"/>
          <w:sz w:val="15"/>
          <w:szCs w:val="15"/>
          <w:color w:val="auto"/>
        </w:rPr>
      </w:pPr>
      <w:r>
        <w:rPr>
          <w:rFonts w:ascii="Arial" w:cs="Arial" w:eastAsia="Arial" w:hAnsi="Arial"/>
          <w:sz w:val="15"/>
          <w:szCs w:val="15"/>
          <w:u w:val="single" w:color="auto"/>
          <w:color w:val="auto"/>
        </w:rPr>
        <w:t>No Rights to Employment</w:t>
      </w:r>
      <w:r>
        <w:rPr>
          <w:rFonts w:ascii="Arial" w:cs="Arial" w:eastAsia="Arial" w:hAnsi="Arial"/>
          <w:sz w:val="15"/>
          <w:szCs w:val="15"/>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22" w:lineRule="exact"/>
        <w:rPr>
          <w:rFonts w:ascii="Arial" w:cs="Arial" w:eastAsia="Arial" w:hAnsi="Arial"/>
          <w:sz w:val="15"/>
          <w:szCs w:val="15"/>
          <w:color w:val="auto"/>
        </w:rPr>
      </w:pPr>
    </w:p>
    <w:p>
      <w:pPr>
        <w:jc w:val="both"/>
        <w:ind w:left="980" w:hanging="324"/>
        <w:spacing w:after="0" w:line="268" w:lineRule="auto"/>
        <w:tabs>
          <w:tab w:leader="none" w:pos="980" w:val="left"/>
        </w:tabs>
        <w:numPr>
          <w:ilvl w:val="1"/>
          <w:numId w:val="53"/>
        </w:numPr>
        <w:rPr>
          <w:rFonts w:ascii="Arial" w:cs="Arial" w:eastAsia="Arial" w:hAnsi="Arial"/>
          <w:sz w:val="15"/>
          <w:szCs w:val="15"/>
          <w:color w:val="auto"/>
        </w:rPr>
      </w:pPr>
      <w:r>
        <w:rPr>
          <w:rFonts w:ascii="Arial" w:cs="Arial" w:eastAsia="Arial" w:hAnsi="Arial"/>
          <w:sz w:val="15"/>
          <w:szCs w:val="15"/>
          <w:u w:val="single" w:color="auto"/>
          <w:color w:val="auto"/>
        </w:rPr>
        <w:t>Discretionary Nature</w:t>
      </w:r>
      <w:r>
        <w:rPr>
          <w:rFonts w:ascii="Arial" w:cs="Arial" w:eastAsia="Arial" w:hAnsi="Arial"/>
          <w:sz w:val="15"/>
          <w:szCs w:val="15"/>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30" w:lineRule="exact"/>
        <w:rPr>
          <w:rFonts w:ascii="Arial" w:cs="Arial" w:eastAsia="Arial" w:hAnsi="Arial"/>
          <w:sz w:val="15"/>
          <w:szCs w:val="15"/>
          <w:color w:val="auto"/>
        </w:rPr>
      </w:pPr>
    </w:p>
    <w:p>
      <w:pPr>
        <w:jc w:val="both"/>
        <w:ind w:left="980" w:hanging="324"/>
        <w:spacing w:after="0" w:line="253"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37" w:lineRule="exact"/>
        <w:rPr>
          <w:rFonts w:ascii="Arial" w:cs="Arial" w:eastAsia="Arial" w:hAnsi="Arial"/>
          <w:sz w:val="16"/>
          <w:szCs w:val="16"/>
          <w:color w:val="auto"/>
        </w:rPr>
      </w:pPr>
    </w:p>
    <w:p>
      <w:pPr>
        <w:jc w:val="both"/>
        <w:ind w:left="980" w:hanging="324"/>
        <w:spacing w:after="0" w:line="272" w:lineRule="auto"/>
        <w:tabs>
          <w:tab w:leader="none" w:pos="980" w:val="left"/>
        </w:tabs>
        <w:numPr>
          <w:ilvl w:val="1"/>
          <w:numId w:val="53"/>
        </w:numPr>
        <w:rPr>
          <w:rFonts w:ascii="Arial" w:cs="Arial" w:eastAsia="Arial" w:hAnsi="Arial"/>
          <w:sz w:val="15"/>
          <w:szCs w:val="15"/>
          <w:color w:val="auto"/>
        </w:rPr>
      </w:pPr>
      <w:r>
        <w:rPr>
          <w:rFonts w:ascii="Arial" w:cs="Arial" w:eastAsia="Arial" w:hAnsi="Arial"/>
          <w:sz w:val="15"/>
          <w:szCs w:val="15"/>
          <w:u w:val="single" w:color="auto"/>
          <w:color w:val="auto"/>
        </w:rPr>
        <w:t>No Entitlement</w:t>
      </w:r>
      <w:r>
        <w:rPr>
          <w:rFonts w:ascii="Arial" w:cs="Arial" w:eastAsia="Arial" w:hAnsi="Arial"/>
          <w:sz w:val="15"/>
          <w:szCs w:val="15"/>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23" w:lineRule="exact"/>
        <w:rPr>
          <w:rFonts w:ascii="Arial" w:cs="Arial" w:eastAsia="Arial" w:hAnsi="Arial"/>
          <w:sz w:val="15"/>
          <w:szCs w:val="15"/>
          <w:color w:val="auto"/>
        </w:rPr>
      </w:pPr>
    </w:p>
    <w:p>
      <w:pPr>
        <w:jc w:val="both"/>
        <w:ind w:left="980" w:hanging="324"/>
        <w:spacing w:after="0" w:line="256"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Exchange Rates</w:t>
      </w:r>
      <w:r>
        <w:rPr>
          <w:rFonts w:ascii="Arial" w:cs="Arial" w:eastAsia="Arial" w:hAnsi="Arial"/>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33" w:lineRule="exact"/>
        <w:rPr>
          <w:rFonts w:ascii="Arial" w:cs="Arial" w:eastAsia="Arial" w:hAnsi="Arial"/>
          <w:sz w:val="16"/>
          <w:szCs w:val="16"/>
          <w:color w:val="auto"/>
        </w:rPr>
      </w:pPr>
    </w:p>
    <w:p>
      <w:pPr>
        <w:ind w:left="980" w:hanging="324"/>
        <w:spacing w:after="0"/>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67" w:lineRule="exact"/>
        <w:rPr>
          <w:rFonts w:ascii="Arial" w:cs="Arial" w:eastAsia="Arial" w:hAnsi="Arial"/>
          <w:sz w:val="16"/>
          <w:szCs w:val="16"/>
          <w:color w:val="auto"/>
        </w:rPr>
      </w:pPr>
    </w:p>
    <w:p>
      <w:pPr>
        <w:ind w:left="980" w:right="20" w:hanging="324"/>
        <w:spacing w:after="0" w:line="275"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8" w:lineRule="exact"/>
        <w:rPr>
          <w:rFonts w:ascii="Arial" w:cs="Arial" w:eastAsia="Arial" w:hAnsi="Arial"/>
          <w:sz w:val="16"/>
          <w:szCs w:val="16"/>
          <w:color w:val="auto"/>
        </w:rPr>
      </w:pPr>
    </w:p>
    <w:p>
      <w:pPr>
        <w:ind w:left="980" w:right="20" w:hanging="324"/>
        <w:spacing w:after="0" w:line="310" w:lineRule="auto"/>
        <w:tabs>
          <w:tab w:leader="none" w:pos="980" w:val="left"/>
        </w:tabs>
        <w:numPr>
          <w:ilvl w:val="1"/>
          <w:numId w:val="53"/>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94" w:lineRule="exact"/>
        <w:rPr>
          <w:rFonts w:ascii="Arial" w:cs="Arial" w:eastAsia="Arial" w:hAnsi="Arial"/>
          <w:sz w:val="15"/>
          <w:szCs w:val="15"/>
          <w:color w:val="auto"/>
        </w:rPr>
      </w:pPr>
    </w:p>
    <w:p>
      <w:pPr>
        <w:jc w:val="both"/>
        <w:ind w:left="980" w:hanging="324"/>
        <w:spacing w:after="0" w:line="261"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VERSION 1/19</w:t>
      </w:r>
    </w:p>
    <w:p>
      <w:pPr>
        <w:sectPr>
          <w:pgSz w:w="11900" w:h="16838" w:orient="portrait"/>
          <w:cols w:equalWidth="0" w:num="1">
            <w:col w:w="11420"/>
          </w:cols>
          <w:pgMar w:left="240" w:top="400" w:right="239" w:bottom="1440" w:gutter="0" w:footer="0" w:header="0"/>
        </w:sectPr>
      </w:pPr>
    </w:p>
    <w:bookmarkStart w:id="60" w:name="page61"/>
    <w:bookmarkEnd w:id="60"/>
    <w:p>
      <w:pPr>
        <w:ind w:left="980"/>
        <w:spacing w:after="0" w:line="363" w:lineRule="auto"/>
        <w:rPr>
          <w:sz w:val="20"/>
          <w:szCs w:val="20"/>
          <w:color w:val="auto"/>
        </w:rPr>
      </w:pPr>
      <w:r>
        <w:rPr>
          <w:rFonts w:ascii="Arial" w:cs="Arial" w:eastAsia="Arial" w:hAnsi="Arial"/>
          <w:sz w:val="16"/>
          <w:szCs w:val="16"/>
          <w:color w:val="auto"/>
        </w:rPr>
        <w:t>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92" w:lineRule="exact"/>
        <w:rPr>
          <w:sz w:val="20"/>
          <w:szCs w:val="20"/>
          <w:color w:val="auto"/>
        </w:rPr>
      </w:pPr>
    </w:p>
    <w:p>
      <w:pPr>
        <w:ind w:left="980" w:right="20" w:hanging="324"/>
        <w:spacing w:after="0" w:line="275"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8" w:lineRule="exact"/>
        <w:rPr>
          <w:rFonts w:ascii="Arial" w:cs="Arial" w:eastAsia="Arial" w:hAnsi="Arial"/>
          <w:sz w:val="16"/>
          <w:szCs w:val="16"/>
          <w:color w:val="auto"/>
        </w:rPr>
      </w:pPr>
    </w:p>
    <w:p>
      <w:pPr>
        <w:ind w:left="980" w:hanging="324"/>
        <w:spacing w:after="0" w:line="275"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8" w:lineRule="exact"/>
        <w:rPr>
          <w:rFonts w:ascii="Arial" w:cs="Arial" w:eastAsia="Arial" w:hAnsi="Arial"/>
          <w:sz w:val="16"/>
          <w:szCs w:val="16"/>
          <w:color w:val="auto"/>
        </w:rPr>
      </w:pPr>
    </w:p>
    <w:p>
      <w:pPr>
        <w:ind w:left="980" w:hanging="324"/>
        <w:spacing w:after="0" w:line="275"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8"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Compliance with Laws</w:t>
      </w:r>
      <w:r>
        <w:rPr>
          <w:rFonts w:ascii="Arial" w:cs="Arial" w:eastAsia="Arial" w:hAnsi="Arial"/>
          <w:sz w:val="14"/>
          <w:szCs w:val="14"/>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6" w:lineRule="exact"/>
        <w:rPr>
          <w:rFonts w:ascii="Arial" w:cs="Arial" w:eastAsia="Arial" w:hAnsi="Arial"/>
          <w:sz w:val="14"/>
          <w:szCs w:val="14"/>
          <w:color w:val="auto"/>
        </w:rPr>
      </w:pPr>
    </w:p>
    <w:p>
      <w:pPr>
        <w:ind w:left="980" w:hanging="324"/>
        <w:spacing w:after="0" w:line="275"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8" w:lineRule="exact"/>
        <w:rPr>
          <w:rFonts w:ascii="Arial" w:cs="Arial" w:eastAsia="Arial" w:hAnsi="Arial"/>
          <w:sz w:val="16"/>
          <w:szCs w:val="16"/>
          <w:color w:val="auto"/>
        </w:rPr>
      </w:pPr>
    </w:p>
    <w:p>
      <w:pPr>
        <w:jc w:val="both"/>
        <w:ind w:left="980" w:hanging="324"/>
        <w:spacing w:after="0" w:line="261"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Participant’s Acceptance</w:t>
      </w:r>
      <w:r>
        <w:rPr>
          <w:rFonts w:ascii="Arial" w:cs="Arial" w:eastAsia="Arial" w:hAnsi="Arial"/>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29"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Electronic Delivery</w:t>
      </w:r>
      <w:r>
        <w:rPr>
          <w:rFonts w:ascii="Arial" w:cs="Arial" w:eastAsia="Arial" w:hAnsi="Arial"/>
          <w:sz w:val="15"/>
          <w:szCs w:val="15"/>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2" w:lineRule="exact"/>
        <w:rPr>
          <w:rFonts w:ascii="Arial" w:cs="Arial" w:eastAsia="Arial" w:hAnsi="Arial"/>
          <w:sz w:val="15"/>
          <w:szCs w:val="15"/>
          <w:color w:val="auto"/>
        </w:rPr>
      </w:pPr>
    </w:p>
    <w:p>
      <w:pPr>
        <w:jc w:val="both"/>
        <w:ind w:left="980" w:hanging="324"/>
        <w:spacing w:after="0" w:line="256"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33" w:lineRule="exact"/>
        <w:rPr>
          <w:rFonts w:ascii="Arial" w:cs="Arial" w:eastAsia="Arial" w:hAnsi="Arial"/>
          <w:sz w:val="16"/>
          <w:szCs w:val="16"/>
          <w:color w:val="auto"/>
        </w:rPr>
      </w:pPr>
    </w:p>
    <w:p>
      <w:pPr>
        <w:jc w:val="both"/>
        <w:ind w:left="980" w:hanging="324"/>
        <w:spacing w:after="0" w:line="253"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Appendix B</w:t>
      </w:r>
      <w:r>
        <w:rPr>
          <w:rFonts w:ascii="Arial" w:cs="Arial" w:eastAsia="Arial" w:hAnsi="Arial"/>
          <w:sz w:val="16"/>
          <w:szCs w:val="16"/>
          <w:color w:val="auto"/>
        </w:rPr>
        <w:t>. Notwithstanding any provisions herein to the contrary, if the Participant transfers the Participant’s residence and/or employment to a country other than the United States, the Performance RSUs shall be subject to any special terms and conditions for such country as may be set forth in Appendix B to this Agreement. Moreover, if the Participant relocates to one of the countries included in Appendix B, the special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37" w:lineRule="exact"/>
        <w:rPr>
          <w:rFonts w:ascii="Arial" w:cs="Arial" w:eastAsia="Arial" w:hAnsi="Arial"/>
          <w:sz w:val="16"/>
          <w:szCs w:val="16"/>
          <w:color w:val="auto"/>
        </w:rPr>
      </w:pPr>
    </w:p>
    <w:p>
      <w:pPr>
        <w:jc w:val="both"/>
        <w:ind w:left="980" w:hanging="324"/>
        <w:spacing w:after="0" w:line="256"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VERSION 1/19</w:t>
      </w:r>
    </w:p>
    <w:p>
      <w:pPr>
        <w:sectPr>
          <w:pgSz w:w="11900" w:h="16838" w:orient="portrait"/>
          <w:cols w:equalWidth="0" w:num="1">
            <w:col w:w="11420"/>
          </w:cols>
          <w:pgMar w:left="240" w:top="400" w:right="239" w:bottom="1440" w:gutter="0" w:footer="0" w:header="0"/>
        </w:sectPr>
      </w:pPr>
    </w:p>
    <w:bookmarkStart w:id="61" w:name="page62"/>
    <w:bookmarkEnd w:id="61"/>
    <w:p>
      <w:pPr>
        <w:jc w:val="both"/>
        <w:ind w:left="980" w:hanging="324"/>
        <w:spacing w:after="0" w:line="256"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3" w:lineRule="exact"/>
        <w:rPr>
          <w:rFonts w:ascii="Arial" w:cs="Arial" w:eastAsia="Arial" w:hAnsi="Arial"/>
          <w:sz w:val="16"/>
          <w:szCs w:val="16"/>
          <w:color w:val="auto"/>
        </w:rPr>
      </w:pPr>
    </w:p>
    <w:p>
      <w:pPr>
        <w:jc w:val="both"/>
        <w:ind w:left="980" w:hanging="324"/>
        <w:spacing w:after="0" w:line="315" w:lineRule="auto"/>
        <w:tabs>
          <w:tab w:leader="none" w:pos="980"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Changes in Capitalization</w:t>
      </w:r>
      <w:r>
        <w:rPr>
          <w:rFonts w:ascii="Arial" w:cs="Arial" w:eastAsia="Arial" w:hAnsi="Arial"/>
          <w:sz w:val="14"/>
          <w:szCs w:val="14"/>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95" w:lineRule="exact"/>
        <w:rPr>
          <w:rFonts w:ascii="Arial" w:cs="Arial" w:eastAsia="Arial" w:hAnsi="Arial"/>
          <w:sz w:val="14"/>
          <w:szCs w:val="14"/>
          <w:color w:val="auto"/>
        </w:rPr>
      </w:pPr>
    </w:p>
    <w:p>
      <w:pPr>
        <w:jc w:val="both"/>
        <w:ind w:left="980" w:hanging="324"/>
        <w:spacing w:after="0" w:line="261"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29" w:lineRule="exact"/>
        <w:rPr>
          <w:rFonts w:ascii="Arial" w:cs="Arial" w:eastAsia="Arial" w:hAnsi="Arial"/>
          <w:sz w:val="16"/>
          <w:szCs w:val="16"/>
          <w:color w:val="auto"/>
        </w:rPr>
      </w:pPr>
    </w:p>
    <w:p>
      <w:pPr>
        <w:jc w:val="both"/>
        <w:ind w:left="980" w:hanging="324"/>
        <w:spacing w:after="0" w:line="268" w:lineRule="auto"/>
        <w:tabs>
          <w:tab w:leader="none" w:pos="980"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Insider Trading Restrictions/Market Abuse Laws</w:t>
      </w:r>
      <w:r>
        <w:rPr>
          <w:rFonts w:ascii="Arial" w:cs="Arial" w:eastAsia="Arial" w:hAnsi="Arial"/>
          <w:sz w:val="15"/>
          <w:szCs w:val="15"/>
          <w:color w:val="auto"/>
        </w:rPr>
        <w:t>. The Participant acknowledges that, depending on the Participant’s or the Participant’s broker’s country of residence or where the Common Stock is listed,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5"/>
          <w:szCs w:val="15"/>
          <w:i w:val="1"/>
          <w:iCs w:val="1"/>
          <w:color w:val="auto"/>
        </w:rPr>
        <w:t>e.g.</w:t>
      </w:r>
      <w:r>
        <w:rPr>
          <w:rFonts w:ascii="Arial" w:cs="Arial" w:eastAsia="Arial" w:hAnsi="Arial"/>
          <w:sz w:val="15"/>
          <w:szCs w:val="15"/>
          <w:color w:val="auto"/>
        </w:rPr>
        <w:t>, Performance RSUs), or rights linked to the value of Common Stock (</w:t>
      </w:r>
      <w:r>
        <w:rPr>
          <w:rFonts w:ascii="Arial" w:cs="Arial" w:eastAsia="Arial" w:hAnsi="Arial"/>
          <w:sz w:val="15"/>
          <w:szCs w:val="15"/>
          <w:i w:val="1"/>
          <w:iCs w:val="1"/>
          <w:color w:val="auto"/>
        </w:rPr>
        <w:t>e.g.</w:t>
      </w:r>
      <w:r>
        <w:rPr>
          <w:rFonts w:ascii="Arial" w:cs="Arial" w:eastAsia="Arial" w:hAnsi="Arial"/>
          <w:sz w:val="15"/>
          <w:szCs w:val="15"/>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26" w:lineRule="exact"/>
        <w:rPr>
          <w:rFonts w:ascii="Arial" w:cs="Arial" w:eastAsia="Arial" w:hAnsi="Arial"/>
          <w:sz w:val="15"/>
          <w:szCs w:val="15"/>
          <w:color w:val="auto"/>
        </w:rPr>
      </w:pPr>
    </w:p>
    <w:p>
      <w:pPr>
        <w:jc w:val="both"/>
        <w:ind w:left="980" w:hanging="324"/>
        <w:spacing w:after="0" w:line="269" w:lineRule="auto"/>
        <w:tabs>
          <w:tab w:leader="none" w:pos="980"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Depending on the Participant’s country,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28" w:lineRule="exact"/>
        <w:rPr>
          <w:rFonts w:ascii="Arial" w:cs="Arial" w:eastAsia="Arial" w:hAnsi="Arial"/>
          <w:sz w:val="15"/>
          <w:szCs w:val="15"/>
          <w:color w:val="auto"/>
        </w:rPr>
      </w:pPr>
    </w:p>
    <w:p>
      <w:pPr>
        <w:ind w:left="980" w:hanging="324"/>
        <w:spacing w:after="0" w:line="275"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43" w:lineRule="exact"/>
        <w:rPr>
          <w:sz w:val="20"/>
          <w:szCs w:val="20"/>
          <w:color w:val="auto"/>
        </w:rPr>
      </w:pPr>
    </w:p>
    <w:tbl>
      <w:tblPr>
        <w:tblLayout w:type="fixed"/>
        <w:tblInd w:w="2040" w:type="dxa"/>
        <w:tblCellMar>
          <w:top w:w="0" w:type="dxa"/>
          <w:left w:w="0" w:type="dxa"/>
          <w:bottom w:w="0" w:type="dxa"/>
          <w:right w:w="0" w:type="dxa"/>
        </w:tblCellMar>
      </w:tblPr>
      <w:tr>
        <w:trPr>
          <w:trHeight w:val="206"/>
        </w:trPr>
        <w:tc>
          <w:tcPr>
            <w:tcW w:w="4440" w:type="dxa"/>
            <w:vAlign w:val="bottom"/>
            <w:gridSpan w:val="2"/>
          </w:tcPr>
          <w:p>
            <w:pPr>
              <w:ind w:left="80"/>
              <w:spacing w:after="0"/>
              <w:rPr>
                <w:sz w:val="20"/>
                <w:szCs w:val="20"/>
                <w:color w:val="auto"/>
              </w:rPr>
            </w:pPr>
            <w:r>
              <w:rPr>
                <w:rFonts w:ascii="Arial" w:cs="Arial" w:eastAsia="Arial" w:hAnsi="Arial"/>
                <w:sz w:val="16"/>
                <w:szCs w:val="16"/>
                <w:color w:val="auto"/>
              </w:rPr>
              <w:t>/s/ Ray Stata</w:t>
            </w:r>
          </w:p>
        </w:tc>
        <w:tc>
          <w:tcPr>
            <w:tcW w:w="3800" w:type="dxa"/>
            <w:vAlign w:val="bottom"/>
          </w:tcPr>
          <w:p>
            <w:pPr>
              <w:ind w:left="60"/>
              <w:spacing w:after="0"/>
              <w:rPr>
                <w:sz w:val="20"/>
                <w:szCs w:val="20"/>
                <w:color w:val="auto"/>
              </w:rPr>
            </w:pPr>
            <w:r>
              <w:rPr>
                <w:rFonts w:ascii="Arial" w:cs="Arial" w:eastAsia="Arial" w:hAnsi="Arial"/>
                <w:sz w:val="16"/>
                <w:szCs w:val="16"/>
                <w:color w:val="auto"/>
              </w:rPr>
              <w:t>/s/ Vincent Roche</w:t>
            </w:r>
          </w:p>
        </w:tc>
      </w:tr>
      <w:tr>
        <w:trPr>
          <w:trHeight w:val="47"/>
        </w:trPr>
        <w:tc>
          <w:tcPr>
            <w:tcW w:w="380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r>
      <w:tr>
        <w:trPr>
          <w:trHeight w:val="21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Ray Stata</w:t>
            </w:r>
          </w:p>
        </w:tc>
        <w:tc>
          <w:tcPr>
            <w:tcW w:w="3800" w:type="dxa"/>
            <w:vAlign w:val="bottom"/>
          </w:tcPr>
          <w:p>
            <w:pPr>
              <w:ind w:left="20"/>
              <w:spacing w:after="0"/>
              <w:rPr>
                <w:sz w:val="20"/>
                <w:szCs w:val="20"/>
                <w:color w:val="auto"/>
              </w:rPr>
            </w:pPr>
            <w:r>
              <w:rPr>
                <w:rFonts w:ascii="Arial" w:cs="Arial" w:eastAsia="Arial" w:hAnsi="Arial"/>
                <w:sz w:val="16"/>
                <w:szCs w:val="16"/>
                <w:color w:val="auto"/>
              </w:rPr>
              <w:t>Vincent Roche</w:t>
            </w:r>
          </w:p>
        </w:tc>
      </w:tr>
      <w:tr>
        <w:trPr>
          <w:trHeight w:val="25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Chairman of the Board</w:t>
            </w:r>
          </w:p>
        </w:tc>
        <w:tc>
          <w:tcPr>
            <w:tcW w:w="3800" w:type="dxa"/>
            <w:vAlign w:val="bottom"/>
          </w:tcPr>
          <w:p>
            <w:pPr>
              <w:ind w:left="20"/>
              <w:spacing w:after="0"/>
              <w:rPr>
                <w:sz w:val="20"/>
                <w:szCs w:val="20"/>
                <w:color w:val="auto"/>
              </w:rPr>
            </w:pPr>
            <w:r>
              <w:rPr>
                <w:rFonts w:ascii="Arial" w:cs="Arial" w:eastAsia="Arial" w:hAnsi="Arial"/>
                <w:sz w:val="16"/>
                <w:szCs w:val="16"/>
                <w:color w:val="auto"/>
              </w:rPr>
              <w:t>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VERSION 1/19</w:t>
      </w:r>
    </w:p>
    <w:p>
      <w:pPr>
        <w:sectPr>
          <w:pgSz w:w="11900" w:h="16838" w:orient="portrait"/>
          <w:cols w:equalWidth="0" w:num="1">
            <w:col w:w="11420"/>
          </w:cols>
          <w:pgMar w:left="240" w:top="373"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t>APPENDIX A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23" w:lineRule="exact"/>
        <w:rPr>
          <w:sz w:val="20"/>
          <w:szCs w:val="20"/>
          <w:color w:val="auto"/>
        </w:rPr>
      </w:pPr>
    </w:p>
    <w:p>
      <w:pPr>
        <w:jc w:val="both"/>
        <w:ind w:left="660" w:hanging="328"/>
        <w:spacing w:after="0" w:line="25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Performance Period</w:t>
      </w:r>
      <w:r>
        <w:rPr>
          <w:rFonts w:ascii="Arial" w:cs="Arial" w:eastAsia="Arial" w:hAnsi="Arial"/>
          <w:sz w:val="16"/>
          <w:szCs w:val="16"/>
          <w:color w:val="auto"/>
        </w:rPr>
        <w:t>. The three-year period beginning on the first day of the first quarter of the Company’s fiscal year 2019 and ending on the last day of the fourth quarter of the Company’s fiscal year 2021(the “Performance Period”). The Performance Period shall consist of the following three performance measurement periods: (i) the one-year period commencing on the first day of the first quarter and ending on the last day of the fourth quarter of the Company’s fiscal year 2019 (“FY 2019 Period”); (ii) the two-year period beginning on the first day of the first quarter of the Company’s fiscal year 2019 and ending on the last day of the fourth quarter of the Company’s fiscal year 2020 (“Cumulative FY19/20 Period”) and (iii) and the three-year period beginning on the first day of the first quarter of the Company’s fiscal year 2019 and ending on the last day of the fourth quarter of the Company’s fiscal year 2021 (“Cumulative FY19/21 Period,” and collectively, the “Performance Measurement Periods”);</w:t>
      </w:r>
    </w:p>
    <w:p>
      <w:pPr>
        <w:spacing w:after="0" w:line="138" w:lineRule="exact"/>
        <w:rPr>
          <w:rFonts w:ascii="Arial" w:cs="Arial" w:eastAsia="Arial" w:hAnsi="Arial"/>
          <w:sz w:val="16"/>
          <w:szCs w:val="16"/>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Cliff Vesting Date.</w:t>
      </w:r>
    </w:p>
    <w:p>
      <w:pPr>
        <w:spacing w:after="0" w:line="167"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Determination Date</w:t>
      </w:r>
      <w:r>
        <w:rPr>
          <w:rFonts w:ascii="Arial" w:cs="Arial" w:eastAsia="Arial" w:hAnsi="Arial"/>
          <w:sz w:val="16"/>
          <w:szCs w:val="16"/>
          <w:color w:val="auto"/>
        </w:rPr>
        <w:t>: The date the Compensation Committee of the Board determines the level of attainment of the Operating Profit Goals for each of the three corresponding Performance Measurement Periods, which date shall be as soon as practicable following the last day of the applicable Performance Measurement Period.</w:t>
      </w:r>
    </w:p>
    <w:p>
      <w:pPr>
        <w:spacing w:after="0" w:line="129" w:lineRule="exact"/>
        <w:rPr>
          <w:rFonts w:ascii="Arial" w:cs="Arial" w:eastAsia="Arial" w:hAnsi="Arial"/>
          <w:sz w:val="16"/>
          <w:szCs w:val="16"/>
          <w:color w:val="auto"/>
        </w:rPr>
      </w:pPr>
    </w:p>
    <w:p>
      <w:pPr>
        <w:jc w:val="both"/>
        <w:ind w:left="660" w:right="20"/>
        <w:spacing w:after="0" w:line="286" w:lineRule="auto"/>
        <w:rPr>
          <w:rFonts w:ascii="Arial" w:cs="Arial" w:eastAsia="Arial" w:hAnsi="Arial"/>
          <w:sz w:val="16"/>
          <w:szCs w:val="16"/>
          <w:color w:val="auto"/>
        </w:rPr>
      </w:pPr>
      <w:r>
        <w:rPr>
          <w:rFonts w:ascii="Arial" w:cs="Arial" w:eastAsia="Arial" w:hAnsi="Arial"/>
          <w:sz w:val="15"/>
          <w:szCs w:val="15"/>
          <w:color w:val="auto"/>
        </w:rPr>
        <w:t>Subject to Section 2(a) through 2(d) of the Performance Restricted Stock Unit Agreement, the Participant shall vest on the Vesting Date in the number of Performance RSUs, if any, that the Compensation Committee of the Board determines to be eligible to vest based on the attainment level of the Operating Profits Goals, provided the Participant continues to provide services to the Company or Employer or respective successor through the Vesting Date.</w:t>
      </w:r>
    </w:p>
    <w:p>
      <w:pPr>
        <w:spacing w:after="0" w:line="11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Performance Parameters</w:t>
      </w:r>
      <w:r>
        <w:rPr>
          <w:rFonts w:ascii="Arial" w:cs="Arial" w:eastAsia="Arial" w:hAnsi="Arial"/>
          <w:sz w:val="16"/>
          <w:szCs w:val="16"/>
          <w:color w:val="auto"/>
        </w:rPr>
        <w:t>. The Performance Parameters are based on the attainment of Company’s Operating Profit Goals established for each of the Performance Measurement Periods. The attainment level, ranging from 0% to 200%, of the Operating Profit Goal applicable to each Performance Measurement Period shall be measured separately on each corresponding Determination Date and weighted equally. The number of Performance RSUs that shall vest shall be equal to a number of Performance RSUs that is between 0% and 200% of the Initial Grant Number. Attainment among the Operation Profit Goal attainment levels is subject to interpolation on a linear basis.</w:t>
      </w:r>
    </w:p>
    <w:p>
      <w:pPr>
        <w:spacing w:after="0" w:line="137" w:lineRule="exact"/>
        <w:rPr>
          <w:rFonts w:ascii="Arial" w:cs="Arial" w:eastAsia="Arial" w:hAnsi="Arial"/>
          <w:sz w:val="16"/>
          <w:szCs w:val="16"/>
          <w:color w:val="auto"/>
        </w:rPr>
      </w:pPr>
    </w:p>
    <w:p>
      <w:pPr>
        <w:ind w:left="1300" w:hanging="320"/>
        <w:spacing w:after="0" w:line="275"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“Operating Profit Goal” shall mean the goal related to Non-GAAP Operating Profit Before Taxes for each of the Performance Measurement Periods approved by the Compensation Committee of the Board in connection with the granting of the Award.</w:t>
      </w:r>
    </w:p>
    <w:p>
      <w:pPr>
        <w:spacing w:after="0" w:line="118" w:lineRule="exact"/>
        <w:rPr>
          <w:rFonts w:ascii="Arial" w:cs="Arial" w:eastAsia="Arial" w:hAnsi="Arial"/>
          <w:sz w:val="16"/>
          <w:szCs w:val="16"/>
          <w:color w:val="auto"/>
        </w:rPr>
      </w:pPr>
    </w:p>
    <w:p>
      <w:pPr>
        <w:jc w:val="both"/>
        <w:ind w:left="1300" w:hanging="320"/>
        <w:spacing w:after="0" w:line="286" w:lineRule="auto"/>
        <w:tabs>
          <w:tab w:leader="none" w:pos="1300" w:val="left"/>
        </w:tabs>
        <w:numPr>
          <w:ilvl w:val="1"/>
          <w:numId w:val="56"/>
        </w:numPr>
        <w:rPr>
          <w:rFonts w:ascii="Arial" w:cs="Arial" w:eastAsia="Arial" w:hAnsi="Arial"/>
          <w:sz w:val="15"/>
          <w:szCs w:val="15"/>
          <w:color w:val="auto"/>
        </w:rPr>
      </w:pPr>
      <w:r>
        <w:rPr>
          <w:rFonts w:ascii="Arial" w:cs="Arial" w:eastAsia="Arial" w:hAnsi="Arial"/>
          <w:sz w:val="15"/>
          <w:szCs w:val="15"/>
          <w:color w:val="auto"/>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spacing w:after="0" w:line="112" w:lineRule="exact"/>
        <w:rPr>
          <w:rFonts w:ascii="Arial" w:cs="Arial" w:eastAsia="Arial" w:hAnsi="Arial"/>
          <w:sz w:val="15"/>
          <w:szCs w:val="15"/>
          <w:color w:val="auto"/>
        </w:rPr>
      </w:pPr>
    </w:p>
    <w:p>
      <w:pPr>
        <w:jc w:val="both"/>
        <w:ind w:left="1300" w:hanging="320"/>
        <w:spacing w:after="0" w:line="261"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w:t>
      </w:r>
    </w:p>
    <w:p>
      <w:pPr>
        <w:spacing w:after="0" w:line="142" w:lineRule="exact"/>
        <w:rPr>
          <w:rFonts w:ascii="Arial" w:cs="Arial" w:eastAsia="Arial" w:hAnsi="Arial"/>
          <w:sz w:val="16"/>
          <w:szCs w:val="16"/>
          <w:color w:val="auto"/>
        </w:rPr>
      </w:pPr>
    </w:p>
    <w:p>
      <w:pPr>
        <w:jc w:val="both"/>
        <w:ind w:left="1800" w:hanging="495"/>
        <w:spacing w:after="0" w:line="279" w:lineRule="auto"/>
        <w:tabs>
          <w:tab w:leader="none" w:pos="1800" w:val="left"/>
        </w:tabs>
        <w:numPr>
          <w:ilvl w:val="2"/>
          <w:numId w:val="56"/>
        </w:numPr>
        <w:rPr>
          <w:rFonts w:ascii="Arial" w:cs="Arial" w:eastAsia="Arial" w:hAnsi="Arial"/>
          <w:sz w:val="20"/>
          <w:szCs w:val="20"/>
          <w:color w:val="auto"/>
        </w:rPr>
      </w:pPr>
      <w:r>
        <w:rPr>
          <w:rFonts w:ascii="Arial" w:cs="Arial" w:eastAsia="Arial" w:hAnsi="Arial"/>
          <w:sz w:val="16"/>
          <w:szCs w:val="16"/>
          <w:color w:val="auto"/>
        </w:rPr>
        <w:t>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32" w:lineRule="exact"/>
        <w:rPr>
          <w:rFonts w:ascii="Arial" w:cs="Arial" w:eastAsia="Arial" w:hAnsi="Arial"/>
          <w:sz w:val="20"/>
          <w:szCs w:val="20"/>
          <w:color w:val="auto"/>
        </w:rPr>
      </w:pPr>
    </w:p>
    <w:p>
      <w:pPr>
        <w:ind w:left="1800" w:hanging="495"/>
        <w:spacing w:after="0"/>
        <w:tabs>
          <w:tab w:leader="none" w:pos="1800" w:val="left"/>
        </w:tabs>
        <w:numPr>
          <w:ilvl w:val="2"/>
          <w:numId w:val="56"/>
        </w:numPr>
        <w:rPr>
          <w:rFonts w:ascii="Arial" w:cs="Arial" w:eastAsia="Arial" w:hAnsi="Arial"/>
          <w:sz w:val="20"/>
          <w:szCs w:val="20"/>
          <w:color w:val="auto"/>
        </w:rPr>
      </w:pPr>
      <w:r>
        <w:rPr>
          <w:rFonts w:ascii="Arial" w:cs="Arial" w:eastAsia="Arial" w:hAnsi="Arial"/>
          <w:sz w:val="16"/>
          <w:szCs w:val="16"/>
          <w:color w:val="auto"/>
        </w:rPr>
        <w:t>items relating to unusual or extraordinary corporate transactions, events or developments, or</w:t>
      </w:r>
    </w:p>
    <w:p>
      <w:pPr>
        <w:spacing w:after="0" w:line="161" w:lineRule="exact"/>
        <w:rPr>
          <w:rFonts w:ascii="Arial" w:cs="Arial" w:eastAsia="Arial" w:hAnsi="Arial"/>
          <w:sz w:val="20"/>
          <w:szCs w:val="20"/>
          <w:color w:val="auto"/>
        </w:rPr>
      </w:pPr>
    </w:p>
    <w:p>
      <w:pPr>
        <w:ind w:left="1800" w:hanging="495"/>
        <w:spacing w:after="0"/>
        <w:tabs>
          <w:tab w:leader="none" w:pos="1800" w:val="left"/>
        </w:tabs>
        <w:numPr>
          <w:ilvl w:val="2"/>
          <w:numId w:val="56"/>
        </w:numPr>
        <w:rPr>
          <w:rFonts w:ascii="Arial" w:cs="Arial" w:eastAsia="Arial" w:hAnsi="Arial"/>
          <w:sz w:val="20"/>
          <w:szCs w:val="20"/>
          <w:color w:val="auto"/>
        </w:rPr>
      </w:pPr>
      <w:r>
        <w:rPr>
          <w:rFonts w:ascii="Arial" w:cs="Arial" w:eastAsia="Arial" w:hAnsi="Arial"/>
          <w:sz w:val="16"/>
          <w:szCs w:val="16"/>
          <w:color w:val="auto"/>
        </w:rPr>
        <w:t>items relating to gains or losses for material litigation, arbitration and contractual settlements.</w:t>
      </w: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Three examples are set forth below:</w:t>
      </w:r>
    </w:p>
    <w:p>
      <w:pPr>
        <w:spacing w:after="0" w:line="292" w:lineRule="exact"/>
        <w:rPr>
          <w:sz w:val="20"/>
          <w:szCs w:val="20"/>
          <w:color w:val="auto"/>
        </w:rPr>
      </w:pPr>
    </w:p>
    <w:tbl>
      <w:tblPr>
        <w:tblLayout w:type="fixed"/>
        <w:tblInd w:w="750" w:type="dxa"/>
        <w:tblCellMar>
          <w:top w:w="0" w:type="dxa"/>
          <w:left w:w="0" w:type="dxa"/>
          <w:bottom w:w="0" w:type="dxa"/>
          <w:right w:w="0" w:type="dxa"/>
        </w:tblCellMar>
      </w:tblPr>
      <w:tr>
        <w:trPr>
          <w:trHeight w:val="233"/>
        </w:trPr>
        <w:tc>
          <w:tcPr>
            <w:tcW w:w="1020" w:type="dxa"/>
            <w:vAlign w:val="bottom"/>
            <w:tcBorders>
              <w:top w:val="single" w:sz="8" w:color="00000A"/>
              <w:left w:val="single" w:sz="8" w:color="00000A"/>
              <w:right w:val="single" w:sz="8" w:color="00000A"/>
            </w:tcBorders>
            <w:shd w:val="clear" w:color="auto" w:fill="C6D9F1"/>
          </w:tcPr>
          <w:p>
            <w:pPr>
              <w:jc w:val="center"/>
              <w:spacing w:after="0"/>
              <w:rPr>
                <w:sz w:val="20"/>
                <w:szCs w:val="20"/>
                <w:color w:val="auto"/>
              </w:rPr>
            </w:pPr>
            <w:r>
              <w:rPr>
                <w:rFonts w:ascii="Arial" w:cs="Arial" w:eastAsia="Arial" w:hAnsi="Arial"/>
                <w:sz w:val="16"/>
                <w:szCs w:val="16"/>
                <w:color w:val="auto"/>
                <w:w w:val="92"/>
              </w:rPr>
              <w:t>Payout</w:t>
            </w:r>
          </w:p>
        </w:tc>
        <w:tc>
          <w:tcPr>
            <w:tcW w:w="2560" w:type="dxa"/>
            <w:vAlign w:val="bottom"/>
            <w:tcBorders>
              <w:top w:val="single" w:sz="8" w:color="00000A"/>
              <w:right w:val="single" w:sz="8" w:color="00000A"/>
            </w:tcBorders>
            <w:shd w:val="clear" w:color="auto" w:fill="C6D9F1"/>
          </w:tcPr>
          <w:p>
            <w:pPr>
              <w:spacing w:after="0"/>
              <w:rPr>
                <w:sz w:val="20"/>
                <w:szCs w:val="20"/>
                <w:color w:val="auto"/>
              </w:rPr>
            </w:pPr>
          </w:p>
        </w:tc>
        <w:tc>
          <w:tcPr>
            <w:tcW w:w="6340" w:type="dxa"/>
            <w:vAlign w:val="bottom"/>
            <w:tcBorders>
              <w:top w:val="single" w:sz="8" w:color="00000A"/>
              <w:right w:val="single" w:sz="8" w:color="00000A"/>
            </w:tcBorders>
            <w:shd w:val="clear" w:color="auto" w:fill="C6D9F1"/>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020" w:type="dxa"/>
            <w:vAlign w:val="bottom"/>
            <w:tcBorders>
              <w:left w:val="single" w:sz="8" w:color="00000A"/>
              <w:right w:val="single" w:sz="8" w:color="00000A"/>
            </w:tcBorders>
            <w:shd w:val="clear" w:color="auto" w:fill="C6D9F1"/>
          </w:tcPr>
          <w:p>
            <w:pPr>
              <w:jc w:val="center"/>
              <w:spacing w:after="0"/>
              <w:rPr>
                <w:sz w:val="20"/>
                <w:szCs w:val="20"/>
                <w:color w:val="auto"/>
              </w:rPr>
            </w:pPr>
            <w:r>
              <w:rPr>
                <w:rFonts w:ascii="Arial" w:cs="Arial" w:eastAsia="Arial" w:hAnsi="Arial"/>
                <w:sz w:val="16"/>
                <w:szCs w:val="16"/>
                <w:color w:val="auto"/>
                <w:w w:val="90"/>
              </w:rPr>
              <w:t>Percent</w:t>
            </w:r>
          </w:p>
        </w:tc>
        <w:tc>
          <w:tcPr>
            <w:tcW w:w="2560" w:type="dxa"/>
            <w:vAlign w:val="bottom"/>
            <w:tcBorders>
              <w:right w:val="single" w:sz="8" w:color="00000A"/>
            </w:tcBorders>
            <w:shd w:val="clear" w:color="auto" w:fill="C6D9F1"/>
          </w:tcPr>
          <w:p>
            <w:pPr>
              <w:jc w:val="center"/>
              <w:spacing w:after="0"/>
              <w:rPr>
                <w:sz w:val="20"/>
                <w:szCs w:val="20"/>
                <w:color w:val="auto"/>
              </w:rPr>
            </w:pPr>
            <w:r>
              <w:rPr>
                <w:rFonts w:ascii="Arial" w:cs="Arial" w:eastAsia="Arial" w:hAnsi="Arial"/>
                <w:sz w:val="16"/>
                <w:szCs w:val="16"/>
                <w:color w:val="auto"/>
                <w:w w:val="92"/>
              </w:rPr>
              <w:t>Number of Potential Shares Attained</w:t>
            </w:r>
          </w:p>
        </w:tc>
        <w:tc>
          <w:tcPr>
            <w:tcW w:w="6340" w:type="dxa"/>
            <w:vAlign w:val="bottom"/>
            <w:tcBorders>
              <w:right w:val="single" w:sz="8" w:color="00000A"/>
            </w:tcBorders>
            <w:shd w:val="clear" w:color="auto" w:fill="C6D9F1"/>
          </w:tcPr>
          <w:p>
            <w:pPr>
              <w:ind w:left="2220"/>
              <w:spacing w:after="0"/>
              <w:rPr>
                <w:sz w:val="20"/>
                <w:szCs w:val="20"/>
                <w:color w:val="auto"/>
              </w:rPr>
            </w:pPr>
            <w:r>
              <w:rPr>
                <w:rFonts w:ascii="Arial" w:cs="Arial" w:eastAsia="Arial" w:hAnsi="Arial"/>
                <w:sz w:val="16"/>
                <w:szCs w:val="16"/>
                <w:color w:val="auto"/>
              </w:rPr>
              <w:t>Performance Parameters</w:t>
            </w:r>
          </w:p>
        </w:tc>
        <w:tc>
          <w:tcPr>
            <w:tcW w:w="0" w:type="dxa"/>
            <w:vAlign w:val="bottom"/>
          </w:tcPr>
          <w:p>
            <w:pPr>
              <w:spacing w:after="0"/>
              <w:rPr>
                <w:sz w:val="1"/>
                <w:szCs w:val="1"/>
                <w:color w:val="auto"/>
              </w:rPr>
            </w:pPr>
          </w:p>
        </w:tc>
      </w:tr>
      <w:tr>
        <w:trPr>
          <w:trHeight w:val="330"/>
        </w:trPr>
        <w:tc>
          <w:tcPr>
            <w:tcW w:w="1020" w:type="dxa"/>
            <w:vAlign w:val="bottom"/>
            <w:tcBorders>
              <w:left w:val="single" w:sz="8" w:color="00000A"/>
              <w:bottom w:val="single" w:sz="8" w:color="00000A"/>
              <w:right w:val="single" w:sz="8" w:color="00000A"/>
            </w:tcBorders>
            <w:shd w:val="clear" w:color="auto" w:fill="C6D9F1"/>
          </w:tcPr>
          <w:p>
            <w:pPr>
              <w:spacing w:after="0"/>
              <w:rPr>
                <w:sz w:val="24"/>
                <w:szCs w:val="24"/>
                <w:color w:val="auto"/>
              </w:rPr>
            </w:pPr>
          </w:p>
        </w:tc>
        <w:tc>
          <w:tcPr>
            <w:tcW w:w="2560" w:type="dxa"/>
            <w:vAlign w:val="bottom"/>
            <w:tcBorders>
              <w:bottom w:val="single" w:sz="8" w:color="00000A"/>
              <w:right w:val="single" w:sz="8" w:color="00000A"/>
            </w:tcBorders>
            <w:shd w:val="clear" w:color="auto" w:fill="C6D9F1"/>
          </w:tcPr>
          <w:p>
            <w:pPr>
              <w:spacing w:after="0"/>
              <w:rPr>
                <w:sz w:val="24"/>
                <w:szCs w:val="24"/>
                <w:color w:val="auto"/>
              </w:rPr>
            </w:pPr>
          </w:p>
        </w:tc>
        <w:tc>
          <w:tcPr>
            <w:tcW w:w="6340" w:type="dxa"/>
            <w:vAlign w:val="bottom"/>
            <w:tcBorders>
              <w:bottom w:val="single" w:sz="8" w:color="00000A"/>
              <w:right w:val="single" w:sz="8" w:color="00000A"/>
            </w:tcBorders>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4"/>
              </w:rPr>
              <w:t>0%</w:t>
            </w:r>
          </w:p>
        </w:tc>
        <w:tc>
          <w:tcPr>
            <w:tcW w:w="25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89"/>
              </w:rPr>
              <w:t>0</w:t>
            </w:r>
          </w:p>
        </w:tc>
        <w:tc>
          <w:tcPr>
            <w:tcW w:w="6340" w:type="dxa"/>
            <w:vAlign w:val="bottom"/>
            <w:tcBorders>
              <w:right w:val="single" w:sz="8" w:color="00000A"/>
            </w:tcBorders>
          </w:tcPr>
          <w:p>
            <w:pPr>
              <w:ind w:left="100"/>
              <w:spacing w:after="0"/>
              <w:rPr>
                <w:sz w:val="20"/>
                <w:szCs w:val="20"/>
                <w:color w:val="auto"/>
              </w:rPr>
            </w:pPr>
            <w:r>
              <w:rPr>
                <w:rFonts w:ascii="Arial" w:cs="Arial" w:eastAsia="Arial" w:hAnsi="Arial"/>
                <w:sz w:val="16"/>
                <w:szCs w:val="16"/>
                <w:color w:val="auto"/>
              </w:rPr>
              <w:t>Company Operating Profit Goal does not meet minimum threshold approved by the</w:t>
            </w:r>
          </w:p>
        </w:tc>
        <w:tc>
          <w:tcPr>
            <w:tcW w:w="0" w:type="dxa"/>
            <w:vAlign w:val="bottom"/>
          </w:tcPr>
          <w:p>
            <w:pPr>
              <w:spacing w:after="0"/>
              <w:rPr>
                <w:sz w:val="1"/>
                <w:szCs w:val="1"/>
                <w:color w:val="auto"/>
              </w:rPr>
            </w:pPr>
          </w:p>
        </w:tc>
      </w:tr>
      <w:tr>
        <w:trPr>
          <w:trHeight w:val="98"/>
        </w:trPr>
        <w:tc>
          <w:tcPr>
            <w:tcW w:w="1020" w:type="dxa"/>
            <w:vAlign w:val="bottom"/>
            <w:tcBorders>
              <w:left w:val="single" w:sz="8" w:color="00000A"/>
              <w:right w:val="single" w:sz="8" w:color="00000A"/>
            </w:tcBorders>
            <w:vMerge w:val="continue"/>
          </w:tcPr>
          <w:p>
            <w:pPr>
              <w:spacing w:after="0"/>
              <w:rPr>
                <w:sz w:val="8"/>
                <w:szCs w:val="8"/>
                <w:color w:val="auto"/>
              </w:rPr>
            </w:pPr>
          </w:p>
        </w:tc>
        <w:tc>
          <w:tcPr>
            <w:tcW w:w="2560" w:type="dxa"/>
            <w:vAlign w:val="bottom"/>
            <w:tcBorders>
              <w:right w:val="single" w:sz="8" w:color="00000A"/>
            </w:tcBorders>
            <w:vMerge w:val="continue"/>
          </w:tcPr>
          <w:p>
            <w:pPr>
              <w:spacing w:after="0"/>
              <w:rPr>
                <w:sz w:val="8"/>
                <w:szCs w:val="8"/>
                <w:color w:val="auto"/>
              </w:rPr>
            </w:pPr>
          </w:p>
        </w:tc>
        <w:tc>
          <w:tcPr>
            <w:tcW w:w="6340" w:type="dxa"/>
            <w:vAlign w:val="bottom"/>
            <w:tcBorders>
              <w:right w:val="single" w:sz="8" w:color="00000A"/>
            </w:tcBorders>
            <w:vMerge w:val="restart"/>
          </w:tcPr>
          <w:p>
            <w:pPr>
              <w:ind w:left="100"/>
              <w:spacing w:after="0"/>
              <w:rPr>
                <w:sz w:val="20"/>
                <w:szCs w:val="20"/>
                <w:color w:val="auto"/>
              </w:rPr>
            </w:pPr>
            <w:r>
              <w:rPr>
                <w:rFonts w:ascii="Arial" w:cs="Arial" w:eastAsia="Arial" w:hAnsi="Arial"/>
                <w:sz w:val="16"/>
                <w:szCs w:val="16"/>
                <w:color w:val="auto"/>
              </w:rPr>
              <w:t>Compensation Committee of the Board</w:t>
            </w:r>
          </w:p>
        </w:tc>
        <w:tc>
          <w:tcPr>
            <w:tcW w:w="0" w:type="dxa"/>
            <w:vAlign w:val="bottom"/>
          </w:tcPr>
          <w:p>
            <w:pPr>
              <w:spacing w:after="0"/>
              <w:rPr>
                <w:sz w:val="1"/>
                <w:szCs w:val="1"/>
                <w:color w:val="auto"/>
              </w:rPr>
            </w:pPr>
          </w:p>
        </w:tc>
      </w:tr>
      <w:tr>
        <w:trPr>
          <w:trHeight w:val="108"/>
        </w:trPr>
        <w:tc>
          <w:tcPr>
            <w:tcW w:w="1020" w:type="dxa"/>
            <w:vAlign w:val="bottom"/>
            <w:tcBorders>
              <w:left w:val="single" w:sz="8" w:color="00000A"/>
              <w:right w:val="single" w:sz="8" w:color="00000A"/>
            </w:tcBorders>
          </w:tcPr>
          <w:p>
            <w:pPr>
              <w:spacing w:after="0"/>
              <w:rPr>
                <w:sz w:val="9"/>
                <w:szCs w:val="9"/>
                <w:color w:val="auto"/>
              </w:rPr>
            </w:pPr>
          </w:p>
        </w:tc>
        <w:tc>
          <w:tcPr>
            <w:tcW w:w="2560" w:type="dxa"/>
            <w:vAlign w:val="bottom"/>
            <w:tcBorders>
              <w:right w:val="single" w:sz="8" w:color="00000A"/>
            </w:tcBorders>
          </w:tcPr>
          <w:p>
            <w:pPr>
              <w:spacing w:after="0"/>
              <w:rPr>
                <w:sz w:val="9"/>
                <w:szCs w:val="9"/>
                <w:color w:val="auto"/>
              </w:rPr>
            </w:pPr>
          </w:p>
        </w:tc>
        <w:tc>
          <w:tcPr>
            <w:tcW w:w="634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020" w:type="dxa"/>
            <w:vAlign w:val="bottom"/>
            <w:tcBorders>
              <w:left w:val="single" w:sz="8" w:color="00000A"/>
              <w:bottom w:val="single" w:sz="8" w:color="00000A"/>
              <w:right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63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2"/>
              </w:rPr>
              <w:t>100%</w:t>
            </w:r>
          </w:p>
        </w:tc>
        <w:tc>
          <w:tcPr>
            <w:tcW w:w="2560" w:type="dxa"/>
            <w:vAlign w:val="bottom"/>
            <w:tcBorders>
              <w:right w:val="single" w:sz="8" w:color="00000A"/>
            </w:tcBorders>
          </w:tcPr>
          <w:p>
            <w:pPr>
              <w:spacing w:after="0"/>
              <w:rPr>
                <w:sz w:val="18"/>
                <w:szCs w:val="18"/>
                <w:color w:val="auto"/>
              </w:rPr>
            </w:pPr>
          </w:p>
        </w:tc>
        <w:tc>
          <w:tcPr>
            <w:tcW w:w="6340" w:type="dxa"/>
            <w:vAlign w:val="bottom"/>
            <w:tcBorders>
              <w:right w:val="single" w:sz="8" w:color="00000A"/>
            </w:tcBorders>
          </w:tcPr>
          <w:p>
            <w:pPr>
              <w:ind w:left="100"/>
              <w:spacing w:after="0"/>
              <w:rPr>
                <w:sz w:val="20"/>
                <w:szCs w:val="20"/>
                <w:color w:val="auto"/>
              </w:rPr>
            </w:pPr>
            <w:r>
              <w:rPr>
                <w:rFonts w:ascii="Arial" w:cs="Arial" w:eastAsia="Arial" w:hAnsi="Arial"/>
                <w:sz w:val="16"/>
                <w:szCs w:val="16"/>
                <w:color w:val="auto"/>
              </w:rPr>
              <w:t>Company Operating Profit Goal meets target approved by Compensation Committee of</w:t>
            </w:r>
          </w:p>
        </w:tc>
        <w:tc>
          <w:tcPr>
            <w:tcW w:w="0" w:type="dxa"/>
            <w:vAlign w:val="bottom"/>
          </w:tcPr>
          <w:p>
            <w:pPr>
              <w:spacing w:after="0"/>
              <w:rPr>
                <w:sz w:val="1"/>
                <w:szCs w:val="1"/>
                <w:color w:val="auto"/>
              </w:rPr>
            </w:pPr>
          </w:p>
        </w:tc>
      </w:tr>
      <w:tr>
        <w:trPr>
          <w:trHeight w:val="98"/>
        </w:trPr>
        <w:tc>
          <w:tcPr>
            <w:tcW w:w="1020" w:type="dxa"/>
            <w:vAlign w:val="bottom"/>
            <w:tcBorders>
              <w:left w:val="single" w:sz="8" w:color="00000A"/>
              <w:right w:val="single" w:sz="8" w:color="00000A"/>
            </w:tcBorders>
            <w:vMerge w:val="continue"/>
          </w:tcPr>
          <w:p>
            <w:pPr>
              <w:spacing w:after="0"/>
              <w:rPr>
                <w:sz w:val="8"/>
                <w:szCs w:val="8"/>
                <w:color w:val="auto"/>
              </w:rPr>
            </w:pPr>
          </w:p>
        </w:tc>
        <w:tc>
          <w:tcPr>
            <w:tcW w:w="25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2"/>
              </w:rPr>
              <w:t>Number of Awards Granted</w:t>
            </w:r>
          </w:p>
        </w:tc>
        <w:tc>
          <w:tcPr>
            <w:tcW w:w="6340" w:type="dxa"/>
            <w:vAlign w:val="bottom"/>
            <w:tcBorders>
              <w:right w:val="single" w:sz="8" w:color="00000A"/>
            </w:tcBorders>
            <w:vMerge w:val="restart"/>
          </w:tcPr>
          <w:p>
            <w:pPr>
              <w:ind w:left="100"/>
              <w:spacing w:after="0"/>
              <w:rPr>
                <w:sz w:val="20"/>
                <w:szCs w:val="20"/>
                <w:color w:val="auto"/>
              </w:rPr>
            </w:pPr>
            <w:r>
              <w:rPr>
                <w:rFonts w:ascii="Arial" w:cs="Arial" w:eastAsia="Arial" w:hAnsi="Arial"/>
                <w:sz w:val="16"/>
                <w:szCs w:val="16"/>
                <w:color w:val="auto"/>
              </w:rPr>
              <w:t>the Board</w:t>
            </w:r>
          </w:p>
        </w:tc>
        <w:tc>
          <w:tcPr>
            <w:tcW w:w="0" w:type="dxa"/>
            <w:vAlign w:val="bottom"/>
          </w:tcPr>
          <w:p>
            <w:pPr>
              <w:spacing w:after="0"/>
              <w:rPr>
                <w:sz w:val="1"/>
                <w:szCs w:val="1"/>
                <w:color w:val="auto"/>
              </w:rPr>
            </w:pPr>
          </w:p>
        </w:tc>
      </w:tr>
      <w:tr>
        <w:trPr>
          <w:trHeight w:val="149"/>
        </w:trPr>
        <w:tc>
          <w:tcPr>
            <w:tcW w:w="1020" w:type="dxa"/>
            <w:vAlign w:val="bottom"/>
            <w:tcBorders>
              <w:left w:val="single" w:sz="8" w:color="00000A"/>
              <w:right w:val="single" w:sz="8" w:color="00000A"/>
            </w:tcBorders>
          </w:tcPr>
          <w:p>
            <w:pPr>
              <w:spacing w:after="0"/>
              <w:rPr>
                <w:sz w:val="12"/>
                <w:szCs w:val="12"/>
                <w:color w:val="auto"/>
              </w:rPr>
            </w:pPr>
          </w:p>
        </w:tc>
        <w:tc>
          <w:tcPr>
            <w:tcW w:w="2560" w:type="dxa"/>
            <w:vAlign w:val="bottom"/>
            <w:tcBorders>
              <w:right w:val="single" w:sz="8" w:color="00000A"/>
            </w:tcBorders>
            <w:vMerge w:val="continue"/>
          </w:tcPr>
          <w:p>
            <w:pPr>
              <w:spacing w:after="0"/>
              <w:rPr>
                <w:sz w:val="12"/>
                <w:szCs w:val="12"/>
                <w:color w:val="auto"/>
              </w:rPr>
            </w:pPr>
          </w:p>
        </w:tc>
        <w:tc>
          <w:tcPr>
            <w:tcW w:w="634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020" w:type="dxa"/>
            <w:vAlign w:val="bottom"/>
            <w:tcBorders>
              <w:left w:val="single" w:sz="8" w:color="00000A"/>
              <w:bottom w:val="single" w:sz="8" w:color="00000A"/>
              <w:right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63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2"/>
              </w:rPr>
              <w:t>200%</w:t>
            </w:r>
          </w:p>
        </w:tc>
        <w:tc>
          <w:tcPr>
            <w:tcW w:w="2560" w:type="dxa"/>
            <w:vAlign w:val="bottom"/>
            <w:tcBorders>
              <w:right w:val="single" w:sz="8" w:color="00000A"/>
            </w:tcBorders>
          </w:tcPr>
          <w:p>
            <w:pPr>
              <w:spacing w:after="0"/>
              <w:rPr>
                <w:sz w:val="18"/>
                <w:szCs w:val="18"/>
                <w:color w:val="auto"/>
              </w:rPr>
            </w:pPr>
          </w:p>
        </w:tc>
        <w:tc>
          <w:tcPr>
            <w:tcW w:w="6340" w:type="dxa"/>
            <w:vAlign w:val="bottom"/>
            <w:tcBorders>
              <w:right w:val="single" w:sz="8" w:color="00000A"/>
            </w:tcBorders>
          </w:tcPr>
          <w:p>
            <w:pPr>
              <w:ind w:left="100"/>
              <w:spacing w:after="0"/>
              <w:rPr>
                <w:sz w:val="20"/>
                <w:szCs w:val="20"/>
                <w:color w:val="auto"/>
              </w:rPr>
            </w:pPr>
            <w:r>
              <w:rPr>
                <w:rFonts w:ascii="Arial" w:cs="Arial" w:eastAsia="Arial" w:hAnsi="Arial"/>
                <w:sz w:val="16"/>
                <w:szCs w:val="16"/>
                <w:color w:val="auto"/>
              </w:rPr>
              <w:t>Company Operating Profit Goal meets or exceeds the maximum target approved by the</w:t>
            </w:r>
          </w:p>
        </w:tc>
        <w:tc>
          <w:tcPr>
            <w:tcW w:w="0" w:type="dxa"/>
            <w:vAlign w:val="bottom"/>
          </w:tcPr>
          <w:p>
            <w:pPr>
              <w:spacing w:after="0"/>
              <w:rPr>
                <w:sz w:val="1"/>
                <w:szCs w:val="1"/>
                <w:color w:val="auto"/>
              </w:rPr>
            </w:pPr>
          </w:p>
        </w:tc>
      </w:tr>
      <w:tr>
        <w:trPr>
          <w:trHeight w:val="98"/>
        </w:trPr>
        <w:tc>
          <w:tcPr>
            <w:tcW w:w="1020" w:type="dxa"/>
            <w:vAlign w:val="bottom"/>
            <w:tcBorders>
              <w:left w:val="single" w:sz="8" w:color="00000A"/>
              <w:right w:val="single" w:sz="8" w:color="00000A"/>
            </w:tcBorders>
            <w:vMerge w:val="continue"/>
          </w:tcPr>
          <w:p>
            <w:pPr>
              <w:spacing w:after="0"/>
              <w:rPr>
                <w:sz w:val="8"/>
                <w:szCs w:val="8"/>
                <w:color w:val="auto"/>
              </w:rPr>
            </w:pPr>
          </w:p>
        </w:tc>
        <w:tc>
          <w:tcPr>
            <w:tcW w:w="25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2"/>
              </w:rPr>
              <w:t>Grant Custom 2</w:t>
            </w:r>
          </w:p>
        </w:tc>
        <w:tc>
          <w:tcPr>
            <w:tcW w:w="6340" w:type="dxa"/>
            <w:vAlign w:val="bottom"/>
            <w:tcBorders>
              <w:right w:val="single" w:sz="8" w:color="00000A"/>
            </w:tcBorders>
            <w:vMerge w:val="restart"/>
          </w:tcPr>
          <w:p>
            <w:pPr>
              <w:ind w:left="100"/>
              <w:spacing w:after="0"/>
              <w:rPr>
                <w:sz w:val="20"/>
                <w:szCs w:val="20"/>
                <w:color w:val="auto"/>
              </w:rPr>
            </w:pPr>
            <w:r>
              <w:rPr>
                <w:rFonts w:ascii="Arial" w:cs="Arial" w:eastAsia="Arial" w:hAnsi="Arial"/>
                <w:sz w:val="16"/>
                <w:szCs w:val="16"/>
                <w:color w:val="auto"/>
              </w:rPr>
              <w:t>Compensation Committee of the Board</w:t>
            </w:r>
          </w:p>
        </w:tc>
        <w:tc>
          <w:tcPr>
            <w:tcW w:w="0" w:type="dxa"/>
            <w:vAlign w:val="bottom"/>
          </w:tcPr>
          <w:p>
            <w:pPr>
              <w:spacing w:after="0"/>
              <w:rPr>
                <w:sz w:val="1"/>
                <w:szCs w:val="1"/>
                <w:color w:val="auto"/>
              </w:rPr>
            </w:pPr>
          </w:p>
        </w:tc>
      </w:tr>
      <w:tr>
        <w:trPr>
          <w:trHeight w:val="149"/>
        </w:trPr>
        <w:tc>
          <w:tcPr>
            <w:tcW w:w="1020" w:type="dxa"/>
            <w:vAlign w:val="bottom"/>
            <w:tcBorders>
              <w:left w:val="single" w:sz="8" w:color="00000A"/>
              <w:right w:val="single" w:sz="8" w:color="00000A"/>
            </w:tcBorders>
          </w:tcPr>
          <w:p>
            <w:pPr>
              <w:spacing w:after="0"/>
              <w:rPr>
                <w:sz w:val="12"/>
                <w:szCs w:val="12"/>
                <w:color w:val="auto"/>
              </w:rPr>
            </w:pPr>
          </w:p>
        </w:tc>
        <w:tc>
          <w:tcPr>
            <w:tcW w:w="2560" w:type="dxa"/>
            <w:vAlign w:val="bottom"/>
            <w:tcBorders>
              <w:right w:val="single" w:sz="8" w:color="00000A"/>
            </w:tcBorders>
            <w:vMerge w:val="continue"/>
          </w:tcPr>
          <w:p>
            <w:pPr>
              <w:spacing w:after="0"/>
              <w:rPr>
                <w:sz w:val="12"/>
                <w:szCs w:val="12"/>
                <w:color w:val="auto"/>
              </w:rPr>
            </w:pPr>
          </w:p>
        </w:tc>
        <w:tc>
          <w:tcPr>
            <w:tcW w:w="634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020" w:type="dxa"/>
            <w:vAlign w:val="bottom"/>
            <w:tcBorders>
              <w:left w:val="single" w:sz="8" w:color="00000A"/>
              <w:bottom w:val="single" w:sz="8" w:color="00000A"/>
              <w:right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63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23"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56" w:lineRule="exact"/>
        <w:rPr>
          <w:sz w:val="20"/>
          <w:szCs w:val="20"/>
          <w:color w:val="auto"/>
        </w:rPr>
      </w:pPr>
    </w:p>
    <w:p>
      <w:pPr>
        <w:jc w:val="both"/>
        <w:ind w:left="340"/>
        <w:spacing w:after="0" w:line="304" w:lineRule="auto"/>
        <w:rPr>
          <w:sz w:val="20"/>
          <w:szCs w:val="20"/>
          <w:color w:val="auto"/>
        </w:rPr>
      </w:pPr>
      <w:r>
        <w:rPr>
          <w:rFonts w:ascii="Arial" w:cs="Arial" w:eastAsia="Arial" w:hAnsi="Arial"/>
          <w:sz w:val="14"/>
          <w:szCs w:val="14"/>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2018.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130"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56" w:lineRule="exact"/>
        <w:rPr>
          <w:sz w:val="20"/>
          <w:szCs w:val="20"/>
          <w:color w:val="auto"/>
        </w:rPr>
      </w:pPr>
    </w:p>
    <w:p>
      <w:pPr>
        <w:jc w:val="both"/>
        <w:ind w:left="340"/>
        <w:spacing w:after="0" w:line="286" w:lineRule="auto"/>
        <w:rPr>
          <w:sz w:val="20"/>
          <w:szCs w:val="20"/>
          <w:color w:val="auto"/>
        </w:rPr>
      </w:pPr>
      <w:r>
        <w:rPr>
          <w:rFonts w:ascii="Arial" w:cs="Arial" w:eastAsia="Arial" w:hAnsi="Arial"/>
          <w:sz w:val="15"/>
          <w:szCs w:val="15"/>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198"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u w:val="single" w:color="auto"/>
          <w:color w:val="auto"/>
        </w:rPr>
        <w:t>Data Privacy Information and Consent</w:t>
      </w:r>
      <w:r>
        <w:rPr>
          <w:rFonts w:ascii="Arial" w:cs="Arial" w:eastAsia="Arial" w:hAnsi="Arial"/>
          <w:sz w:val="16"/>
          <w:szCs w:val="16"/>
          <w:b w:val="1"/>
          <w:bCs w:val="1"/>
          <w:i w:val="1"/>
          <w:iCs w:val="1"/>
          <w:color w:val="auto"/>
        </w:rPr>
        <w:t>. The Company is located at One Technology Way, Norwood, Massachusetts, 02062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29" w:lineRule="exact"/>
        <w:rPr>
          <w:sz w:val="20"/>
          <w:szCs w:val="20"/>
          <w:color w:val="auto"/>
        </w:rPr>
      </w:pPr>
    </w:p>
    <w:p>
      <w:pPr>
        <w:jc w:val="both"/>
        <w:ind w:left="660" w:hanging="328"/>
        <w:spacing w:after="0" w:line="25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37" w:lineRule="exact"/>
        <w:rPr>
          <w:rFonts w:ascii="Arial" w:cs="Arial" w:eastAsia="Arial" w:hAnsi="Arial"/>
          <w:sz w:val="16"/>
          <w:szCs w:val="16"/>
          <w:color w:val="auto"/>
        </w:rPr>
      </w:pPr>
    </w:p>
    <w:p>
      <w:pPr>
        <w:jc w:val="both"/>
        <w:ind w:left="660" w:hanging="328"/>
        <w:spacing w:after="0" w:line="298"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07" w:lineRule="exact"/>
        <w:rPr>
          <w:rFonts w:ascii="Arial" w:cs="Arial" w:eastAsia="Arial" w:hAnsi="Arial"/>
          <w:sz w:val="14"/>
          <w:szCs w:val="14"/>
          <w:color w:val="auto"/>
        </w:rPr>
      </w:pPr>
    </w:p>
    <w:p>
      <w:pPr>
        <w:jc w:val="both"/>
        <w:ind w:left="660" w:hanging="328"/>
        <w:spacing w:after="0" w:line="278" w:lineRule="auto"/>
        <w:tabs>
          <w:tab w:leader="none" w:pos="660" w:val="left"/>
        </w:tabs>
        <w:numPr>
          <w:ilvl w:val="0"/>
          <w:numId w:val="57"/>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For example, the European Commission has issued a limited adequacy finding with respect to the United States that applies only to the extent companies register for the EU-U.S. Privacy Shield program. The Company’s legal basis for the transfer of the Employee’s personal data is his or her consent.</w:t>
      </w:r>
    </w:p>
    <w:p>
      <w:pPr>
        <w:spacing w:after="0" w:line="119" w:lineRule="exact"/>
        <w:rPr>
          <w:rFonts w:ascii="Arial" w:cs="Arial" w:eastAsia="Arial" w:hAnsi="Arial"/>
          <w:sz w:val="15"/>
          <w:szCs w:val="15"/>
          <w:color w:val="auto"/>
        </w:rPr>
      </w:pPr>
    </w:p>
    <w:p>
      <w:pPr>
        <w:jc w:val="both"/>
        <w:ind w:left="660" w:hanging="328"/>
        <w:spacing w:after="0" w:line="286" w:lineRule="auto"/>
        <w:tabs>
          <w:tab w:leader="none" w:pos="660" w:val="left"/>
        </w:tabs>
        <w:numPr>
          <w:ilvl w:val="0"/>
          <w:numId w:val="57"/>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 If the Company keeps data longer, it would be to satisfy legal or regulatory obligations and the Company’s legal basis would be relevant laws or regulations.</w:t>
      </w:r>
    </w:p>
    <w:p>
      <w:pPr>
        <w:spacing w:after="0" w:line="112" w:lineRule="exact"/>
        <w:rPr>
          <w:rFonts w:ascii="Arial" w:cs="Arial" w:eastAsia="Arial" w:hAnsi="Arial"/>
          <w:sz w:val="15"/>
          <w:szCs w:val="15"/>
          <w:color w:val="auto"/>
        </w:rPr>
      </w:pPr>
    </w:p>
    <w:p>
      <w:pPr>
        <w:jc w:val="both"/>
        <w:ind w:left="660" w:hanging="328"/>
        <w:spacing w:after="0" w:line="25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33" w:lineRule="exact"/>
        <w:rPr>
          <w:rFonts w:ascii="Arial" w:cs="Arial" w:eastAsia="Arial" w:hAnsi="Arial"/>
          <w:sz w:val="16"/>
          <w:szCs w:val="16"/>
          <w:color w:val="auto"/>
        </w:rPr>
      </w:pPr>
    </w:p>
    <w:p>
      <w:pPr>
        <w:jc w:val="both"/>
        <w:ind w:left="660" w:hanging="328"/>
        <w:spacing w:after="0" w:line="25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Technology Way, Norwood, Massachusetts, 02062 U.S.A., Attention: Stock Plan Administrator.</w:t>
      </w: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B - 1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jc w:val="both"/>
        <w:ind w:left="340" w:right="20"/>
        <w:spacing w:after="0" w:line="310" w:lineRule="auto"/>
        <w:rPr>
          <w:sz w:val="20"/>
          <w:szCs w:val="20"/>
          <w:color w:val="auto"/>
        </w:rPr>
      </w:pPr>
      <w:r>
        <w:rPr>
          <w:rFonts w:ascii="Arial" w:cs="Arial" w:eastAsia="Arial" w:hAnsi="Arial"/>
          <w:sz w:val="15"/>
          <w:szCs w:val="15"/>
          <w:b w:val="1"/>
          <w:bCs w:val="1"/>
          <w:i w:val="1"/>
          <w:iCs w:val="1"/>
          <w:color w:val="auto"/>
        </w:rPr>
        <w:t>If the Participant resides in a European Economic Area or European Union member state and agrees with the data processing practices described in this notice, the Participant declares his or her consent by clicking “Accept Your Grant” on the Accepting Your Grants page on Fidelity’s participant website.</w:t>
      </w:r>
    </w:p>
    <w:p>
      <w:pPr>
        <w:spacing w:after="0" w:line="122"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AUSTRALIA</w:t>
      </w:r>
    </w:p>
    <w:p>
      <w:pPr>
        <w:spacing w:after="0" w:line="198"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u w:val="single" w:color="auto"/>
          <w:color w:val="auto"/>
        </w:rPr>
        <w:t>Australian Offer Documen</w:t>
      </w:r>
      <w:r>
        <w:rPr>
          <w:rFonts w:ascii="Arial" w:cs="Arial" w:eastAsia="Arial" w:hAnsi="Arial"/>
          <w:sz w:val="16"/>
          <w:szCs w:val="16"/>
          <w:color w:val="auto"/>
        </w:rPr>
        <w:t>t. This offer of Restricted Stock Units is intended to comply with the provisions of the Corporations Act 2001, ASIC Regulatory Guide 49 and ASIC Class Order CO 14/1000. Additional details are set forth in the Offer Document for the offer of Restricted Stock Units to Australian resident employees, which is attached hereto as Appendix C.</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AUSTRIA</w:t>
      </w:r>
    </w:p>
    <w:p>
      <w:pPr>
        <w:spacing w:after="0" w:line="198" w:lineRule="exact"/>
        <w:rPr>
          <w:sz w:val="20"/>
          <w:szCs w:val="20"/>
          <w:color w:val="auto"/>
        </w:rPr>
      </w:pPr>
    </w:p>
    <w:p>
      <w:pPr>
        <w:jc w:val="both"/>
        <w:ind w:left="340"/>
        <w:spacing w:after="0" w:line="274"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Arial" w:cs="Arial" w:eastAsia="Arial" w:hAnsi="Arial"/>
          <w:sz w:val="15"/>
          <w:szCs w:val="15"/>
          <w:i w:val="1"/>
          <w:iCs w:val="1"/>
          <w:color w:val="auto"/>
        </w:rPr>
        <w:t>Standmeldung/Wertpapiere</w:t>
      </w:r>
      <w:r>
        <w:rPr>
          <w:rFonts w:ascii="Arial" w:cs="Arial" w:eastAsia="Arial" w:hAnsi="Arial"/>
          <w:sz w:val="15"/>
          <w:szCs w:val="15"/>
          <w:color w:val="auto"/>
        </w:rPr>
        <w:t>.” An exemption applies if the value of the securities held outside Austria as of December 31 does not exceed €5,000,000 or the value of the securities as of any quarter does not exceed €30,000,000. If the former threshold is exceeded, then the annual reporting obligations are imposed, whereas if the latter threshold is exceeded, then quarterly reports must be submitted. The deadline for filing the annual report is January 31 of the following year.</w:t>
      </w:r>
    </w:p>
    <w:p>
      <w:pPr>
        <w:spacing w:after="0" w:line="150" w:lineRule="exact"/>
        <w:rPr>
          <w:sz w:val="20"/>
          <w:szCs w:val="20"/>
          <w:color w:val="auto"/>
        </w:rPr>
      </w:pPr>
    </w:p>
    <w:p>
      <w:pPr>
        <w:jc w:val="both"/>
        <w:ind w:left="340"/>
        <w:spacing w:after="0" w:line="304" w:lineRule="auto"/>
        <w:rPr>
          <w:sz w:val="20"/>
          <w:szCs w:val="20"/>
          <w:color w:val="auto"/>
        </w:rPr>
      </w:pPr>
      <w:r>
        <w:rPr>
          <w:rFonts w:ascii="Arial" w:cs="Arial" w:eastAsia="Arial" w:hAnsi="Arial"/>
          <w:sz w:val="14"/>
          <w:szCs w:val="14"/>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€10,000,000, then no ongoing reporting requirements apply. However, if the transaction volume of all of the Participant’s cash accounts abroad meets or exceeds €10,000,000, then the movements and the balance of all accounts must be reported monthly, as of the last day of the month, on or before the 15th day of the following month, using the form “</w:t>
      </w:r>
      <w:r>
        <w:rPr>
          <w:rFonts w:ascii="Arial" w:cs="Arial" w:eastAsia="Arial" w:hAnsi="Arial"/>
          <w:sz w:val="14"/>
          <w:szCs w:val="14"/>
          <w:i w:val="1"/>
          <w:iCs w:val="1"/>
          <w:color w:val="auto"/>
        </w:rPr>
        <w:t>Meldungen SI-Forderungen und/oder SI-Verpflichtungen</w:t>
      </w:r>
      <w:r>
        <w:rPr>
          <w:rFonts w:ascii="Arial" w:cs="Arial" w:eastAsia="Arial" w:hAnsi="Arial"/>
          <w:sz w:val="14"/>
          <w:szCs w:val="14"/>
          <w:color w:val="auto"/>
        </w:rPr>
        <w: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BELGIUM</w:t>
      </w:r>
    </w:p>
    <w:p>
      <w:pPr>
        <w:spacing w:after="0" w:line="198"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160"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u w:val="single" w:color="auto"/>
          <w:color w:val="auto"/>
        </w:rPr>
        <w:t>Stock Exchange Tax</w:t>
      </w:r>
      <w:r>
        <w:rPr>
          <w:rFonts w:ascii="Arial" w:cs="Arial" w:eastAsia="Arial" w:hAnsi="Arial"/>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16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u w:val="single" w:color="auto"/>
          <w:color w:val="auto"/>
        </w:rPr>
        <w:t>Brokerage Account Tax</w:t>
      </w:r>
      <w:r>
        <w:rPr>
          <w:rFonts w:ascii="Arial" w:cs="Arial" w:eastAsia="Arial" w:hAnsi="Arial"/>
          <w:sz w:val="16"/>
          <w:szCs w:val="16"/>
          <w:color w:val="auto"/>
        </w:rPr>
        <w:t>: A brokerage account tax applies to Belgian residents if the average annual value of securities (including Shares acquired under the Plan) held in a brokerage account exceeds certain thresholds. Belgian residents should consult with a personal tax or financial advisor for additional details on their obligations with respect to the brokerage account tax.</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CANADA</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This provision supplements Section 2 of the Agreement:</w:t>
      </w:r>
    </w:p>
    <w:p>
      <w:pPr>
        <w:spacing w:after="0" w:line="194"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146"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56"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following supplements Section 2 of the Agreement (except Section 2(d) regarding disability) as well as any other section required to give effect to the same:</w:t>
      </w:r>
    </w:p>
    <w:p>
      <w:pPr>
        <w:spacing w:after="0" w:line="146"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B - 2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the Participant is in receipt of or eligible to receive any notice of termination, pay in lieu of notice of termination, severance pay or any other payments or damages, whether arising under statute, contract or at common law.</w:t>
      </w:r>
    </w:p>
    <w:p>
      <w:pPr>
        <w:spacing w:after="0" w:line="146"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The following terms and conditions apply if the Participant is in Quebec:</w:t>
      </w:r>
    </w:p>
    <w:p>
      <w:pPr>
        <w:spacing w:after="0" w:line="194"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supplements the Data Privacy Information and Consent provision in the Terms and Conditions for Participants Outside the U.S. set forth above:</w:t>
      </w:r>
    </w:p>
    <w:p>
      <w:pPr>
        <w:spacing w:after="0" w:line="146"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French Language Acknowledgment</w:t>
      </w:r>
      <w:r>
        <w:rPr>
          <w:rFonts w:ascii="Arial" w:cs="Arial" w:eastAsia="Arial" w:hAnsi="Arial"/>
          <w:sz w:val="16"/>
          <w:szCs w:val="16"/>
          <w:color w:val="auto"/>
        </w:rPr>
        <w:t>. This provision supplements Section 9(q) of the Agreement:</w:t>
      </w:r>
    </w:p>
    <w:p>
      <w:pPr>
        <w:spacing w:after="0" w:line="194"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46"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CHINA</w:t>
      </w:r>
    </w:p>
    <w:p>
      <w:pPr>
        <w:spacing w:after="0" w:line="198" w:lineRule="exact"/>
        <w:rPr>
          <w:sz w:val="20"/>
          <w:szCs w:val="20"/>
          <w:color w:val="auto"/>
        </w:rPr>
      </w:pPr>
    </w:p>
    <w:p>
      <w:pPr>
        <w:jc w:val="both"/>
        <w:ind w:left="340"/>
        <w:spacing w:after="0" w:line="349" w:lineRule="auto"/>
        <w:rPr>
          <w:sz w:val="20"/>
          <w:szCs w:val="20"/>
          <w:color w:val="auto"/>
        </w:rPr>
      </w:pPr>
      <w:r>
        <w:rPr>
          <w:rFonts w:ascii="Arial" w:cs="Arial" w:eastAsia="Arial" w:hAnsi="Arial"/>
          <w:sz w:val="14"/>
          <w:szCs w:val="14"/>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9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166" w:lineRule="exact"/>
        <w:rPr>
          <w:sz w:val="20"/>
          <w:szCs w:val="20"/>
          <w:color w:val="auto"/>
        </w:rPr>
      </w:pPr>
    </w:p>
    <w:p>
      <w:pPr>
        <w:jc w:val="both"/>
        <w:ind w:left="340"/>
        <w:spacing w:after="0" w:line="269" w:lineRule="auto"/>
        <w:rPr>
          <w:sz w:val="20"/>
          <w:szCs w:val="20"/>
          <w:color w:val="auto"/>
        </w:rPr>
      </w:pPr>
      <w:r>
        <w:rPr>
          <w:rFonts w:ascii="Arial" w:cs="Arial" w:eastAsia="Arial" w:hAnsi="Arial"/>
          <w:sz w:val="15"/>
          <w:szCs w:val="15"/>
          <w:u w:val="single" w:color="auto"/>
          <w:color w:val="auto"/>
        </w:rPr>
        <w:t>Exchange Control Requirements</w:t>
      </w:r>
      <w:r>
        <w:rPr>
          <w:rFonts w:ascii="Arial" w:cs="Arial" w:eastAsia="Arial" w:hAnsi="Arial"/>
          <w:sz w:val="15"/>
          <w:szCs w:val="15"/>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155" w:lineRule="exact"/>
        <w:rPr>
          <w:sz w:val="20"/>
          <w:szCs w:val="20"/>
          <w:color w:val="auto"/>
        </w:rPr>
      </w:pPr>
    </w:p>
    <w:p>
      <w:pPr>
        <w:jc w:val="both"/>
        <w:ind w:left="340"/>
        <w:spacing w:after="0" w:line="286" w:lineRule="auto"/>
        <w:rPr>
          <w:sz w:val="20"/>
          <w:szCs w:val="20"/>
          <w:color w:val="auto"/>
        </w:rPr>
      </w:pPr>
      <w:r>
        <w:rPr>
          <w:rFonts w:ascii="Arial" w:cs="Arial" w:eastAsia="Arial" w:hAnsi="Arial"/>
          <w:sz w:val="15"/>
          <w:szCs w:val="15"/>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40"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B - 3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other requirements that may be imposed by the Company in the future in order to facilitate compliance with exchange control requirements in the PRC.</w:t>
      </w:r>
    </w:p>
    <w:p>
      <w:pPr>
        <w:spacing w:after="0" w:line="194"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u w:val="single" w:color="auto"/>
          <w:color w:val="auto"/>
        </w:rPr>
        <w:t>Tax Liability</w:t>
      </w:r>
      <w:r>
        <w:rPr>
          <w:rFonts w:ascii="Arial" w:cs="Arial" w:eastAsia="Arial" w:hAnsi="Arial"/>
          <w:sz w:val="16"/>
          <w:szCs w:val="16"/>
          <w:color w:val="auto"/>
        </w:rPr>
        <w:t>. Taxes are due at the time of vesting of the Performance RSUs. The Participant understands and agrees that Tax-Related Items may be taken by the Employer from the Participant’s salary or other cash compensation.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DENMARK</w:t>
      </w:r>
    </w:p>
    <w:p>
      <w:pPr>
        <w:spacing w:after="0" w:line="198"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Danish Stock Option Act</w:t>
      </w:r>
      <w:r>
        <w:rPr>
          <w:rFonts w:ascii="Arial" w:cs="Arial" w:eastAsia="Arial" w:hAnsi="Arial"/>
          <w:sz w:val="16"/>
          <w:szCs w:val="16"/>
          <w:color w:val="auto"/>
        </w:rPr>
        <w:t>. By participating in the Plan, the Participant acknowledges that he or she received an Employer Statement translated into Danish, which is being provided to comply with the Danish Stock Option Act and is attached hereto as Appendix 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in the Agreement:</w:t>
      </w:r>
    </w:p>
    <w:p>
      <w:pPr>
        <w:spacing w:after="0" w:line="194"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146" w:lineRule="exact"/>
        <w:rPr>
          <w:sz w:val="20"/>
          <w:szCs w:val="20"/>
          <w:color w:val="auto"/>
        </w:rPr>
      </w:pPr>
    </w:p>
    <w:p>
      <w:pPr>
        <w:jc w:val="both"/>
        <w:ind w:left="340"/>
        <w:spacing w:after="0" w:line="269" w:lineRule="auto"/>
        <w:rPr>
          <w:sz w:val="20"/>
          <w:szCs w:val="20"/>
          <w:color w:val="auto"/>
        </w:rPr>
      </w:pPr>
      <w:r>
        <w:rPr>
          <w:rFonts w:ascii="Arial" w:cs="Arial" w:eastAsia="Arial" w:hAnsi="Arial"/>
          <w:sz w:val="15"/>
          <w:szCs w:val="15"/>
          <w:u w:val="single" w:color="auto"/>
          <w:color w:val="auto"/>
        </w:rPr>
        <w:t>Exchange Control and Tax Information</w:t>
      </w:r>
      <w:r>
        <w:rPr>
          <w:rFonts w:ascii="Arial" w:cs="Arial" w:eastAsia="Arial" w:hAnsi="Arial"/>
          <w:sz w:val="15"/>
          <w:szCs w:val="15"/>
          <w:color w:val="auto"/>
        </w:rPr>
        <w:t>. The Participant may hold Shares acquired under the Plan in a safety-deposit account (</w:t>
      </w:r>
      <w:r>
        <w:rPr>
          <w:rFonts w:ascii="Arial" w:cs="Arial" w:eastAsia="Arial" w:hAnsi="Arial"/>
          <w:sz w:val="15"/>
          <w:szCs w:val="15"/>
          <w:i w:val="1"/>
          <w:iCs w:val="1"/>
          <w:color w:val="auto"/>
        </w:rPr>
        <w:t>e.g.</w:t>
      </w:r>
      <w:r>
        <w:rPr>
          <w:rFonts w:ascii="Arial" w:cs="Arial" w:eastAsia="Arial" w:hAnsi="Arial"/>
          <w:sz w:val="15"/>
          <w:szCs w:val="15"/>
          <w:color w:val="auto"/>
        </w:rPr>
        <w:t>, a brokerage account) either with a Danish bank or with an approved foreign broker or bank. If the Shares are held with a non-Danish broker or bank, the Participant is required to inform the Danish Tax Administration about the safety-deposit account. For this purpose, the Participant must file a Declaration V (Erklaering V) with the Danish Tax Administration. The Form V must be signed by the Participant and may be signed by the bank/broker. In the event that the applicable broker or bank with which the safety-deposit account is held does not wish to, or, pursuant to the laws of the country in question, is not allowed to assume such obligation to report, the Participant acknowledges that he or she is solely responsible for providing certain details regarding the foreign brokerage or bank account and any Shares acquired at vesting and held in such account to the Danish Tax Administration as part of the Participant’s annual income tax return. By signing the Declaration V, the Participant at the same time authorizes the Danish Tax Administration to examine the account. A sample of the Declaration V can be found at the following website: www.skat.dk/getFile.aspx?Id=47392.</w:t>
      </w:r>
    </w:p>
    <w:p>
      <w:pPr>
        <w:spacing w:after="0" w:line="155" w:lineRule="exact"/>
        <w:rPr>
          <w:sz w:val="20"/>
          <w:szCs w:val="20"/>
          <w:color w:val="auto"/>
        </w:rPr>
      </w:pPr>
    </w:p>
    <w:p>
      <w:pPr>
        <w:jc w:val="both"/>
        <w:ind w:left="340"/>
        <w:spacing w:after="0" w:line="267" w:lineRule="auto"/>
        <w:rPr>
          <w:sz w:val="20"/>
          <w:szCs w:val="20"/>
          <w:color w:val="auto"/>
        </w:rPr>
      </w:pPr>
      <w:r>
        <w:rPr>
          <w:rFonts w:ascii="Arial" w:cs="Arial" w:eastAsia="Arial" w:hAnsi="Arial"/>
          <w:sz w:val="15"/>
          <w:szCs w:val="15"/>
          <w:color w:val="auto"/>
        </w:rPr>
        <w:t>In addition, if the Participant opens a deposit account or brokerage account for the purpose of holding cash outside Denmark, the bank or brokerage account, as applicable, will be treated as a deposit account because cash can be held in the account. Therefore, the Participant must also file a Declaration K (Erklaering K) with the Danish Tax Administration. Both the Participant and the bank/broker must sign the Declaration K, unless an exemption from the broker/bank signature requirement is granted by the Danish Tax Administration. It is possible to seek the exemption on the Form K, which the Participant should do at the time he or she submits the Form K. By signing the Declaration K, the Participant (and the bank/broker to the extent the exemption is not granted) undertakes an obligation, without further request each year (no later than on February 1 of the year following the calendar year to which the information relates), to forward certain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Participant acknowledges that he or she is solely responsible for providing certain details regarding the foreign brokerage or bank account to the Danish Tax Administration as part of the Participant’s annual income tax return. By signing the Declaration K, the Participant at the same time authorizes the Danish Tax Administration to examine the account. A sample of Declaration K can be found at the following website: www.skat.dk/getFile.aspx?Id=42409&amp;newwindow=true.</w:t>
      </w:r>
    </w:p>
    <w:p>
      <w:pPr>
        <w:spacing w:after="0" w:line="158"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 (Please note that these obligations are separate from and in addition to the obligations described above.)</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EGYPT</w:t>
      </w:r>
    </w:p>
    <w:p>
      <w:pPr>
        <w:spacing w:after="0" w:line="198"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If the Participant transfers funds into Egypt in connection with the sale of Shares, the Participant is required to transfer the funds through a registered bank in Egypt.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FINLAND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FRANCE</w:t>
      </w:r>
    </w:p>
    <w:p>
      <w:pPr>
        <w:spacing w:after="0" w:line="198"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u w:val="single" w:color="auto"/>
          <w:color w:val="auto"/>
        </w:rPr>
        <w:t>French-Qualified Performance RSUs</w:t>
      </w:r>
      <w:r>
        <w:rPr>
          <w:rFonts w:ascii="Arial" w:cs="Arial" w:eastAsia="Arial" w:hAnsi="Arial"/>
          <w:sz w:val="16"/>
          <w:szCs w:val="16"/>
          <w:color w:val="auto"/>
        </w:rPr>
        <w:t>. The Performance RSUs are intended to qualify for the favorable tax and social security regime in France under Section L. 225-197-1 to L. 225-197-6-1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39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B - 4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u w:val="single" w:color="auto"/>
          <w:color w:val="auto"/>
        </w:rPr>
        <w:t>Plan Terms</w:t>
      </w:r>
      <w:r>
        <w:rPr>
          <w:rFonts w:ascii="Arial" w:cs="Arial" w:eastAsia="Arial" w:hAnsi="Arial"/>
          <w:sz w:val="16"/>
          <w:szCs w:val="16"/>
          <w:color w:val="auto"/>
        </w:rPr>
        <w:t>. The Performance RSUs are subject to the terms and conditions of the Plan and the Rules of the Analog Devices, Inc. Amended and Restated 2006 Stock Incentive Plan for Grants to Participant in France (the “French Sub-plan”). To the extent that any term is defined in both the Plan and the French Sub-plan, for purposes of this grant of a French-qualified Performance RSUs, the definitions in the French Sub-plan shall prevail.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 in the Agreement:</w:t>
      </w:r>
    </w:p>
    <w:p>
      <w:pPr>
        <w:spacing w:after="0" w:line="194"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Except in the event of the Participant’s death or Disability (as defined in the French Sub-plan and as determined under Section 2(d) of the Agreement) to benefit from the favorable tax and social security regime, no vesting shall occur prior to the second anniversary of the Date of Grant, or such other minimum period as required for the vesting period applicable to French-qualified Performance RSUs under Section L.225-197-1 of the French Commercial Code, as amended, or relevant Sections of the French Tax Code or the French Social Security Code, as amended.</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This provision supplements Section 2(d) in the Agreement:</w:t>
      </w:r>
    </w:p>
    <w:p>
      <w:pPr>
        <w:spacing w:after="0" w:line="194" w:lineRule="exact"/>
        <w:rPr>
          <w:sz w:val="20"/>
          <w:szCs w:val="20"/>
          <w:color w:val="auto"/>
        </w:rPr>
      </w:pPr>
    </w:p>
    <w:p>
      <w:pPr>
        <w:jc w:val="both"/>
        <w:ind w:left="340"/>
        <w:spacing w:after="0" w:line="310" w:lineRule="auto"/>
        <w:rPr>
          <w:sz w:val="20"/>
          <w:szCs w:val="20"/>
          <w:color w:val="auto"/>
        </w:rPr>
      </w:pPr>
      <w:r>
        <w:rPr>
          <w:rFonts w:ascii="Arial" w:cs="Arial" w:eastAsia="Arial" w:hAnsi="Arial"/>
          <w:sz w:val="15"/>
          <w:szCs w:val="15"/>
          <w:color w:val="auto"/>
        </w:rPr>
        <w:t>In the event the Participant becomes Disabled (as defined in the French Sub-plan and as determined under Section 2(d) of the Agreement), the Unvested Performance RSUs as of the date of the Participant’s termination shall vest in full as of the date of the termination, as determined under Section 2(d) of the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Restriction on Transfer and Sale of Shares</w:t>
      </w:r>
      <w:r>
        <w:rPr>
          <w:rFonts w:ascii="Arial" w:cs="Arial" w:eastAsia="Arial" w:hAnsi="Arial"/>
          <w:sz w:val="16"/>
          <w:szCs w:val="16"/>
          <w:color w:val="auto"/>
        </w:rPr>
        <w:t>. This provision supplements Section 3 in the Agreement:</w:t>
      </w:r>
    </w:p>
    <w:p>
      <w:pPr>
        <w:spacing w:after="0" w:line="194"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168"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Further, as long as the Performance RSUs and the Shares acquired at vesting of the Performance RSUs maintain their French-qualified status, the Shares cannot be sold during certain “Closed Periods” as provided for by Section L. 225-197-1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This provision supplements Section 9(u) in the Agreement: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Certain adjustments may disqualify the Performance RSUs, in which case they may no longer benefit from favorable tax and social security treatment in France.</w:t>
      </w:r>
    </w:p>
    <w:p>
      <w:pPr>
        <w:spacing w:after="0" w:line="206"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46"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46"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i w:val="1"/>
          <w:iCs w:val="1"/>
          <w:u w:val="single" w:color="auto"/>
          <w:color w:val="auto"/>
        </w:rPr>
        <w:t>Consentement a la Langue</w:t>
      </w:r>
      <w:r>
        <w:rPr>
          <w:rFonts w:ascii="Arial" w:cs="Arial" w:eastAsia="Arial" w:hAnsi="Arial"/>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46"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GERMANY</w:t>
      </w:r>
    </w:p>
    <w:p>
      <w:pPr>
        <w:spacing w:after="0" w:line="198" w:lineRule="exact"/>
        <w:rPr>
          <w:sz w:val="20"/>
          <w:szCs w:val="20"/>
          <w:color w:val="auto"/>
        </w:rPr>
      </w:pPr>
    </w:p>
    <w:p>
      <w:pPr>
        <w:jc w:val="both"/>
        <w:ind w:left="340"/>
        <w:spacing w:after="0" w:line="304"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Arial" w:cs="Arial" w:eastAsia="Arial" w:hAnsi="Arial"/>
          <w:sz w:val="14"/>
          <w:szCs w:val="14"/>
          <w:i w:val="1"/>
          <w:iCs w:val="1"/>
          <w:color w:val="auto"/>
        </w:rPr>
        <w:t>Allgemeine Meldeportal Statistik</w:t>
      </w:r>
      <w:r>
        <w:rPr>
          <w:rFonts w:ascii="Arial" w:cs="Arial" w:eastAsia="Arial" w:hAnsi="Arial"/>
          <w:sz w:val="14"/>
          <w:szCs w:val="14"/>
          <w:color w:val="auto"/>
        </w:rPr>
        <w:t>”) can be accessed via the Bundesbank’s website (www.bundesbank.de) and is available in both German and English. It is Participant’s responsibility to comply with this reporting obligation and the Participant should consult with his or her personal tax advisor in this regard.</w:t>
      </w:r>
    </w:p>
    <w:p>
      <w:pPr>
        <w:spacing w:after="0" w:line="200" w:lineRule="exact"/>
        <w:rPr>
          <w:sz w:val="20"/>
          <w:szCs w:val="20"/>
          <w:color w:val="auto"/>
        </w:rPr>
      </w:pPr>
    </w:p>
    <w:p>
      <w:pPr>
        <w:spacing w:after="0" w:line="34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B - 5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HONG KONG</w:t>
      </w:r>
    </w:p>
    <w:p>
      <w:pPr>
        <w:spacing w:after="0" w:line="198"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Sale of Shares</w:t>
      </w:r>
      <w:r>
        <w:rPr>
          <w:rFonts w:ascii="Arial" w:cs="Arial" w:eastAsia="Arial" w:hAnsi="Arial"/>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46" w:lineRule="exact"/>
        <w:rPr>
          <w:sz w:val="20"/>
          <w:szCs w:val="20"/>
          <w:color w:val="auto"/>
        </w:rPr>
      </w:pPr>
    </w:p>
    <w:p>
      <w:pPr>
        <w:jc w:val="both"/>
        <w:ind w:left="340"/>
        <w:spacing w:after="0" w:line="272" w:lineRule="auto"/>
        <w:rPr>
          <w:sz w:val="20"/>
          <w:szCs w:val="20"/>
          <w:color w:val="auto"/>
        </w:rPr>
      </w:pPr>
      <w:r>
        <w:rPr>
          <w:rFonts w:ascii="Arial" w:cs="Arial" w:eastAsia="Arial" w:hAnsi="Arial"/>
          <w:sz w:val="15"/>
          <w:szCs w:val="15"/>
          <w:u w:val="single" w:color="auto"/>
          <w:color w:val="auto"/>
        </w:rPr>
        <w:t>Securities Law Notice</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WARNING</w:t>
      </w:r>
      <w:r>
        <w:rPr>
          <w:rFonts w:ascii="Arial" w:cs="Arial" w:eastAsia="Arial" w:hAnsi="Arial"/>
          <w:sz w:val="15"/>
          <w:szCs w:val="15"/>
          <w:i w:val="1"/>
          <w:iCs w:val="1"/>
          <w:color w:val="auto"/>
        </w:rPr>
        <w:t>: The contents of this document have not been reviewed by any regulatory authority in Hong Kong. The Participant should exercise</w:t>
      </w:r>
      <w:r>
        <w:rPr>
          <w:rFonts w:ascii="Arial" w:cs="Arial" w:eastAsia="Arial" w:hAnsi="Arial"/>
          <w:sz w:val="15"/>
          <w:szCs w:val="15"/>
          <w:color w:val="auto"/>
        </w:rPr>
        <w:t xml:space="preserve"> </w:t>
      </w:r>
      <w:r>
        <w:rPr>
          <w:rFonts w:ascii="Arial" w:cs="Arial" w:eastAsia="Arial" w:hAnsi="Arial"/>
          <w:sz w:val="15"/>
          <w:szCs w:val="15"/>
          <w:i w:val="1"/>
          <w:iCs w:val="1"/>
          <w:color w:val="auto"/>
        </w:rPr>
        <w:t>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INDIA</w:t>
      </w:r>
    </w:p>
    <w:p>
      <w:pPr>
        <w:spacing w:after="0" w:line="198" w:lineRule="exact"/>
        <w:rPr>
          <w:sz w:val="20"/>
          <w:szCs w:val="20"/>
          <w:color w:val="auto"/>
        </w:rPr>
      </w:pPr>
    </w:p>
    <w:p>
      <w:pPr>
        <w:jc w:val="both"/>
        <w:ind w:left="340"/>
        <w:spacing w:after="0" w:line="278" w:lineRule="auto"/>
        <w:rPr>
          <w:sz w:val="20"/>
          <w:szCs w:val="20"/>
          <w:color w:val="auto"/>
        </w:rPr>
      </w:pPr>
      <w:r>
        <w:rPr>
          <w:rFonts w:ascii="Arial" w:cs="Arial" w:eastAsia="Arial" w:hAnsi="Arial"/>
          <w:sz w:val="15"/>
          <w:szCs w:val="15"/>
          <w:u w:val="single" w:color="auto"/>
          <w:color w:val="auto"/>
        </w:rPr>
        <w:t>Exchange Control Notification</w:t>
      </w:r>
      <w:r>
        <w:rPr>
          <w:rFonts w:ascii="Arial" w:cs="Arial" w:eastAsia="Arial" w:hAnsi="Arial"/>
          <w:sz w:val="15"/>
          <w:szCs w:val="15"/>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46" w:lineRule="exact"/>
        <w:rPr>
          <w:sz w:val="20"/>
          <w:szCs w:val="20"/>
          <w:color w:val="auto"/>
        </w:rPr>
      </w:pPr>
    </w:p>
    <w:p>
      <w:pPr>
        <w:jc w:val="both"/>
        <w:ind w:left="340"/>
        <w:spacing w:after="0" w:line="310"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IRELAND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194"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the Participant in the form of cash.</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of the Agreement:</w:t>
      </w:r>
    </w:p>
    <w:p>
      <w:pPr>
        <w:spacing w:after="0" w:line="167"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ISRAEL</w:t>
      </w:r>
    </w:p>
    <w:p>
      <w:pPr>
        <w:spacing w:after="0" w:line="198"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u w:val="single" w:color="auto"/>
          <w:color w:val="auto"/>
        </w:rPr>
        <w:t>Trust Arrangement</w:t>
      </w:r>
      <w:r>
        <w:rPr>
          <w:rFonts w:ascii="Arial" w:cs="Arial" w:eastAsia="Arial" w:hAnsi="Arial"/>
          <w:sz w:val="16"/>
          <w:szCs w:val="16"/>
          <w:color w:val="auto"/>
        </w:rPr>
        <w:t>. The Participant hereby understands and agrees that the Performance RSUs are offered subject to and in accordance with the terms of the Israeli Sub-Plan (the “Sub-Plan”) under the 102 Capital Gains Track (as defined in the Sub-Plan), the Trust Agreement between the trustee appointed by Analog Devices, (Israel) Ltd. (the “Trustee”), the Agreement, and the Plan. In the event of any inconsistencies among the Sub-Plan, the Agreement and/or the Plan, the Participant agrees that the Sub-Plan will govern the Performance RSUs granted to the Participant in Israel.</w:t>
      </w:r>
    </w:p>
    <w:p>
      <w:pPr>
        <w:spacing w:after="0" w:line="160"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E within 45 days to: Stock Plan Administrator, Analog Devices, Inc., One Technology Way, Norwood, Massachusetts, 02062 U.S.A. If Analog Devices, (Israel) Ltd. or Analog Devices, Inc. does not receive the signed Israeli Appendix within 45 days, the Performance RSUs shall terminate and will become null and void.</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2(a) in the Agreement:</w:t>
      </w:r>
    </w:p>
    <w:p>
      <w:pPr>
        <w:spacing w:after="0" w:line="194" w:lineRule="exact"/>
        <w:rPr>
          <w:sz w:val="20"/>
          <w:szCs w:val="20"/>
          <w:color w:val="auto"/>
        </w:rPr>
      </w:pPr>
    </w:p>
    <w:p>
      <w:pPr>
        <w:jc w:val="both"/>
        <w:ind w:left="340" w:right="20"/>
        <w:spacing w:after="0" w:line="315" w:lineRule="auto"/>
        <w:rPr>
          <w:sz w:val="20"/>
          <w:szCs w:val="20"/>
          <w:color w:val="auto"/>
        </w:rPr>
      </w:pPr>
      <w:r>
        <w:rPr>
          <w:rFonts w:ascii="Arial" w:cs="Arial" w:eastAsia="Arial" w:hAnsi="Arial"/>
          <w:sz w:val="14"/>
          <w:szCs w:val="14"/>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This provision supplements Section 3(a) in the Agreement:</w:t>
      </w:r>
    </w:p>
    <w:p>
      <w:pPr>
        <w:spacing w:after="0" w:line="194"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B - 6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23"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ITALY</w:t>
      </w:r>
    </w:p>
    <w:p>
      <w:pPr>
        <w:spacing w:after="0" w:line="198"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u w:val="single" w:color="auto"/>
          <w:color w:val="auto"/>
        </w:rPr>
        <w:t>Plan Document Acknowledgment</w:t>
      </w:r>
      <w:r>
        <w:rPr>
          <w:rFonts w:ascii="Arial" w:cs="Arial" w:eastAsia="Arial" w:hAnsi="Arial"/>
          <w:sz w:val="16"/>
          <w:szCs w:val="16"/>
          <w:color w:val="auto"/>
        </w:rPr>
        <w:t>. In accepting the Performance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83"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146" w:lineRule="exact"/>
        <w:rPr>
          <w:sz w:val="20"/>
          <w:szCs w:val="20"/>
          <w:color w:val="auto"/>
        </w:rPr>
      </w:pPr>
    </w:p>
    <w:p>
      <w:pPr>
        <w:jc w:val="both"/>
        <w:ind w:left="340"/>
        <w:spacing w:after="0" w:line="286" w:lineRule="auto"/>
        <w:rPr>
          <w:sz w:val="20"/>
          <w:szCs w:val="20"/>
          <w:color w:val="auto"/>
        </w:rPr>
      </w:pPr>
      <w:r>
        <w:rPr>
          <w:rFonts w:ascii="Arial" w:cs="Arial" w:eastAsia="Arial" w:hAnsi="Arial"/>
          <w:sz w:val="15"/>
          <w:szCs w:val="15"/>
          <w:u w:val="single" w:color="auto"/>
          <w:color w:val="auto"/>
        </w:rPr>
        <w:t>Foreign Asset Tax</w:t>
      </w:r>
      <w:r>
        <w:rPr>
          <w:rFonts w:ascii="Arial" w:cs="Arial" w:eastAsia="Arial" w:hAnsi="Arial"/>
          <w:sz w:val="15"/>
          <w:szCs w:val="15"/>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140"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JAPAN</w:t>
      </w:r>
    </w:p>
    <w:p>
      <w:pPr>
        <w:spacing w:after="0" w:line="198"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KOREA</w:t>
      </w:r>
    </w:p>
    <w:p>
      <w:pPr>
        <w:spacing w:after="0" w:line="198" w:lineRule="exact"/>
        <w:rPr>
          <w:sz w:val="20"/>
          <w:szCs w:val="20"/>
          <w:color w:val="auto"/>
        </w:rPr>
      </w:pPr>
    </w:p>
    <w:p>
      <w:pPr>
        <w:jc w:val="both"/>
        <w:ind w:left="340"/>
        <w:spacing w:after="0" w:line="286"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MALAYSIA</w:t>
      </w:r>
    </w:p>
    <w:p>
      <w:pPr>
        <w:spacing w:after="0" w:line="22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B - 7</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247015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247015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247015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247015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247015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247015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247015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247015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247015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247015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247015</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247015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247015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247015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247015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247015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247015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247015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247015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247015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247015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247015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247015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247015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247015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247015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247015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247015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247015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247015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247015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247015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247015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247015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247015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247015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247015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247015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247015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247015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247015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247015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247015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247015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247015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247015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247015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247015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247015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247015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247015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247015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247015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247015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247015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247015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247015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247015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247015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247015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247015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247015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247015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247015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247015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247015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247015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247015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247015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247015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247015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247015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247015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247015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247015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247015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247015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247015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247015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247015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247015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247015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247015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247015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247015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247015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247015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247015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247015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247015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247015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247015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247015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247015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247015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247015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247015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247015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247015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247015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247015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247015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247015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247015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247015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247015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247015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247015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247015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247015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247015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247015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247015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247015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247015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247015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247015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247015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247015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247015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247015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247015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247015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247015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247015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247015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247015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247015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247015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247015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247015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247015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247015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247015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247015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247015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247015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247015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247015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247015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247015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247015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247015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247015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247015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247015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247015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247015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247015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247015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247015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247015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247015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247015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247015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247015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247015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247015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247015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247015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247015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247015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247015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247015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247015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247015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247015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247015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247015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247015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247015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247015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247015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247015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247015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247015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247015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247015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247015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247015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247015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247015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247015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247015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247015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247015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247015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247015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247015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247015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247015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247015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247015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247015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247015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247015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247015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247015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247015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247015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247015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247015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247015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247015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247015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247015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247015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247015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247015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247015</wp:posOffset>
            </wp:positionV>
            <wp:extent cx="889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247015</wp:posOffset>
            </wp:positionV>
            <wp:extent cx="308737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400"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9"/>
              </w:rPr>
              <w:t>The Participant hereby explicitly and unambiguously consents to the</w:t>
            </w:r>
          </w:p>
        </w:tc>
        <w:tc>
          <w:tcPr>
            <w:tcW w:w="5640" w:type="dxa"/>
            <w:vAlign w:val="bottom"/>
          </w:tcPr>
          <w:p>
            <w:pPr>
              <w:ind w:left="40"/>
              <w:spacing w:after="0"/>
              <w:rPr>
                <w:sz w:val="20"/>
                <w:szCs w:val="20"/>
                <w:color w:val="auto"/>
              </w:rPr>
            </w:pPr>
            <w:r>
              <w:rPr>
                <w:rFonts w:ascii="Arial" w:cs="Arial" w:eastAsia="Arial" w:hAnsi="Arial"/>
                <w:sz w:val="16"/>
                <w:szCs w:val="16"/>
                <w:color w:val="auto"/>
                <w:w w:val="95"/>
              </w:rPr>
              <w:t>Peserta dengan ini secara eksplicit, secara sukarela dan tanpa sebarang keraguan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collection, use and transfer, in electronic or other form, of his or her</w:t>
            </w:r>
          </w:p>
        </w:tc>
        <w:tc>
          <w:tcPr>
            <w:tcW w:w="5640" w:type="dxa"/>
            <w:vAlign w:val="bottom"/>
          </w:tcPr>
          <w:p>
            <w:pPr>
              <w:ind w:left="40"/>
              <w:spacing w:after="0"/>
              <w:rPr>
                <w:sz w:val="20"/>
                <w:szCs w:val="20"/>
                <w:color w:val="auto"/>
              </w:rPr>
            </w:pPr>
            <w:r>
              <w:rPr>
                <w:rFonts w:ascii="Arial" w:cs="Arial" w:eastAsia="Arial" w:hAnsi="Arial"/>
                <w:sz w:val="16"/>
                <w:szCs w:val="16"/>
                <w:color w:val="auto"/>
                <w:w w:val="94"/>
              </w:rPr>
              <w:t>mengizinkan pengumpulan, penggunaan dan pemindahan, dalam bentuk elektronik</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1"/>
              </w:rPr>
              <w:t>personal data as described in this document by and among, as applicable,</w:t>
            </w:r>
          </w:p>
        </w:tc>
        <w:tc>
          <w:tcPr>
            <w:tcW w:w="5640" w:type="dxa"/>
            <w:vAlign w:val="bottom"/>
          </w:tcPr>
          <w:p>
            <w:pPr>
              <w:ind w:left="40"/>
              <w:spacing w:after="0"/>
              <w:rPr>
                <w:sz w:val="20"/>
                <w:szCs w:val="20"/>
                <w:color w:val="auto"/>
              </w:rPr>
            </w:pPr>
            <w:r>
              <w:rPr>
                <w:rFonts w:ascii="Arial" w:cs="Arial" w:eastAsia="Arial" w:hAnsi="Arial"/>
                <w:sz w:val="16"/>
                <w:szCs w:val="16"/>
                <w:color w:val="auto"/>
                <w:w w:val="92"/>
              </w:rPr>
              <w:t>atau lain-lain, data peribadinya seperti yang dinyatakan dalam dokumen ini, oleh dan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7"/>
              </w:rPr>
              <w:t>the Employer, and the Company and its subsidiaries for the exclusive</w:t>
            </w:r>
          </w:p>
        </w:tc>
        <w:tc>
          <w:tcPr>
            <w:tcW w:w="5640" w:type="dxa"/>
            <w:vAlign w:val="bottom"/>
          </w:tcPr>
          <w:p>
            <w:pPr>
              <w:ind w:left="40"/>
              <w:spacing w:after="0"/>
              <w:rPr>
                <w:sz w:val="20"/>
                <w:szCs w:val="20"/>
                <w:color w:val="auto"/>
              </w:rPr>
            </w:pPr>
            <w:r>
              <w:rPr>
                <w:rFonts w:ascii="Arial" w:cs="Arial" w:eastAsia="Arial" w:hAnsi="Arial"/>
                <w:sz w:val="16"/>
                <w:szCs w:val="16"/>
                <w:color w:val="auto"/>
                <w:w w:val="95"/>
              </w:rPr>
              <w:t>di antara, sebagaimana yang berkenaan, Majikan, Syarikat, dan mana-mana anak</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5"/>
              </w:rPr>
              <w:t>purpose of implementing, administering and managing the Participant’s</w:t>
            </w:r>
          </w:p>
        </w:tc>
        <w:tc>
          <w:tcPr>
            <w:tcW w:w="5640" w:type="dxa"/>
            <w:vAlign w:val="bottom"/>
          </w:tcPr>
          <w:p>
            <w:pPr>
              <w:ind w:left="40"/>
              <w:spacing w:after="0"/>
              <w:rPr>
                <w:sz w:val="20"/>
                <w:szCs w:val="20"/>
                <w:color w:val="auto"/>
              </w:rPr>
            </w:pPr>
            <w:r>
              <w:rPr>
                <w:rFonts w:ascii="Arial" w:cs="Arial" w:eastAsia="Arial" w:hAnsi="Arial"/>
                <w:sz w:val="16"/>
                <w:szCs w:val="16"/>
                <w:color w:val="auto"/>
                <w:w w:val="95"/>
              </w:rPr>
              <w:t>Syarikatnya bagi tujuan ekslusif untuk membantu dalam pelaksanaan, pentadbiran</w:t>
            </w:r>
          </w:p>
        </w:tc>
      </w:tr>
      <w:tr>
        <w:trPr>
          <w:trHeight w:val="206"/>
        </w:trPr>
        <w:tc>
          <w:tcPr>
            <w:tcW w:w="4820" w:type="dxa"/>
            <w:vAlign w:val="bottom"/>
          </w:tcPr>
          <w:p>
            <w:pPr>
              <w:spacing w:after="0"/>
              <w:rPr>
                <w:sz w:val="20"/>
                <w:szCs w:val="20"/>
                <w:color w:val="auto"/>
              </w:rPr>
            </w:pPr>
            <w:r>
              <w:rPr>
                <w:rFonts w:ascii="Arial" w:cs="Arial" w:eastAsia="Arial" w:hAnsi="Arial"/>
                <w:sz w:val="16"/>
                <w:szCs w:val="16"/>
                <w:color w:val="auto"/>
              </w:rPr>
              <w:t>participation in the Plan.</w:t>
            </w:r>
          </w:p>
        </w:tc>
        <w:tc>
          <w:tcPr>
            <w:tcW w:w="5640" w:type="dxa"/>
            <w:vAlign w:val="bottom"/>
          </w:tcPr>
          <w:p>
            <w:pPr>
              <w:ind w:left="40"/>
              <w:spacing w:after="0"/>
              <w:rPr>
                <w:sz w:val="20"/>
                <w:szCs w:val="20"/>
                <w:color w:val="auto"/>
              </w:rPr>
            </w:pPr>
            <w:r>
              <w:rPr>
                <w:rFonts w:ascii="Arial" w:cs="Arial" w:eastAsia="Arial" w:hAnsi="Arial"/>
                <w:sz w:val="16"/>
                <w:szCs w:val="16"/>
                <w:color w:val="auto"/>
              </w:rPr>
              <w:t>dan pengurusan penyertaan Peserta dalam Pelan.</w:t>
            </w:r>
          </w:p>
        </w:tc>
      </w:tr>
      <w:tr>
        <w:trPr>
          <w:trHeight w:val="401"/>
        </w:trPr>
        <w:tc>
          <w:tcPr>
            <w:tcW w:w="4820" w:type="dxa"/>
            <w:vAlign w:val="bottom"/>
          </w:tcPr>
          <w:p>
            <w:pPr>
              <w:spacing w:after="0"/>
              <w:rPr>
                <w:sz w:val="20"/>
                <w:szCs w:val="20"/>
                <w:color w:val="auto"/>
              </w:rPr>
            </w:pPr>
            <w:r>
              <w:rPr>
                <w:rFonts w:ascii="Arial" w:cs="Arial" w:eastAsia="Arial" w:hAnsi="Arial"/>
                <w:sz w:val="16"/>
                <w:szCs w:val="16"/>
                <w:color w:val="auto"/>
                <w:w w:val="96"/>
              </w:rPr>
              <w:t>The Participant understands that the Company and the Employer may</w:t>
            </w:r>
          </w:p>
        </w:tc>
        <w:tc>
          <w:tcPr>
            <w:tcW w:w="5640" w:type="dxa"/>
            <w:vAlign w:val="bottom"/>
          </w:tcPr>
          <w:p>
            <w:pPr>
              <w:ind w:left="40"/>
              <w:spacing w:after="0"/>
              <w:rPr>
                <w:sz w:val="20"/>
                <w:szCs w:val="20"/>
                <w:color w:val="auto"/>
              </w:rPr>
            </w:pPr>
            <w:r>
              <w:rPr>
                <w:rFonts w:ascii="Arial" w:cs="Arial" w:eastAsia="Arial" w:hAnsi="Arial"/>
                <w:sz w:val="16"/>
                <w:szCs w:val="16"/>
                <w:color w:val="auto"/>
                <w:w w:val="96"/>
              </w:rPr>
              <w:t>Peserta memahami bahawa Syarikat dan Majikan mungkin memegang maklumat</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3"/>
              </w:rPr>
              <w:t>hold certain personal information about the Participant, including, but not</w:t>
            </w:r>
          </w:p>
        </w:tc>
        <w:tc>
          <w:tcPr>
            <w:tcW w:w="5640" w:type="dxa"/>
            <w:vAlign w:val="bottom"/>
          </w:tcPr>
          <w:p>
            <w:pPr>
              <w:ind w:left="40"/>
              <w:spacing w:after="0"/>
              <w:rPr>
                <w:sz w:val="20"/>
                <w:szCs w:val="20"/>
                <w:color w:val="auto"/>
              </w:rPr>
            </w:pPr>
            <w:r>
              <w:rPr>
                <w:rFonts w:ascii="Arial" w:cs="Arial" w:eastAsia="Arial" w:hAnsi="Arial"/>
                <w:sz w:val="16"/>
                <w:szCs w:val="16"/>
                <w:color w:val="auto"/>
                <w:w w:val="96"/>
              </w:rPr>
              <w:t>peribadi tertentu tentang Peserta, termasuk, tetapi tidak terhad kepada, namanya,</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2"/>
              </w:rPr>
              <w:t>limited to, his or her name, home address and telephone number, date of</w:t>
            </w:r>
          </w:p>
        </w:tc>
        <w:tc>
          <w:tcPr>
            <w:tcW w:w="5640" w:type="dxa"/>
            <w:vAlign w:val="bottom"/>
          </w:tcPr>
          <w:p>
            <w:pPr>
              <w:ind w:left="40"/>
              <w:spacing w:after="0"/>
              <w:rPr>
                <w:sz w:val="20"/>
                <w:szCs w:val="20"/>
                <w:color w:val="auto"/>
              </w:rPr>
            </w:pPr>
            <w:r>
              <w:rPr>
                <w:rFonts w:ascii="Arial" w:cs="Arial" w:eastAsia="Arial" w:hAnsi="Arial"/>
                <w:sz w:val="16"/>
                <w:szCs w:val="16"/>
                <w:color w:val="auto"/>
                <w:w w:val="94"/>
              </w:rPr>
              <w:t>alamat rumah dan nombor telefon, tarikh lahir, nombor insurans sosial atau nombor</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9"/>
              </w:rPr>
              <w:t>birth, social insurance number or other identification number, salary,</w:t>
            </w:r>
          </w:p>
        </w:tc>
        <w:tc>
          <w:tcPr>
            <w:tcW w:w="5640" w:type="dxa"/>
            <w:vAlign w:val="bottom"/>
          </w:tcPr>
          <w:p>
            <w:pPr>
              <w:ind w:left="40"/>
              <w:spacing w:after="0"/>
              <w:rPr>
                <w:sz w:val="20"/>
                <w:szCs w:val="20"/>
                <w:color w:val="auto"/>
              </w:rPr>
            </w:pPr>
            <w:r>
              <w:rPr>
                <w:rFonts w:ascii="Arial" w:cs="Arial" w:eastAsia="Arial" w:hAnsi="Arial"/>
                <w:sz w:val="16"/>
                <w:szCs w:val="16"/>
                <w:color w:val="auto"/>
                <w:w w:val="95"/>
              </w:rPr>
              <w:t>pengenalan lain, gaji, kewarganegaraan, jawatan, apa-apa syer dalam saham atau</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nationality, job title, any shares of stock or directorships held in the</w:t>
            </w:r>
          </w:p>
        </w:tc>
        <w:tc>
          <w:tcPr>
            <w:tcW w:w="5640" w:type="dxa"/>
            <w:vAlign w:val="bottom"/>
          </w:tcPr>
          <w:p>
            <w:pPr>
              <w:ind w:left="40"/>
              <w:spacing w:after="0"/>
              <w:rPr>
                <w:sz w:val="20"/>
                <w:szCs w:val="20"/>
                <w:color w:val="auto"/>
              </w:rPr>
            </w:pPr>
            <w:r>
              <w:rPr>
                <w:rFonts w:ascii="Arial" w:cs="Arial" w:eastAsia="Arial" w:hAnsi="Arial"/>
                <w:sz w:val="16"/>
                <w:szCs w:val="16"/>
                <w:color w:val="auto"/>
                <w:w w:val="97"/>
              </w:rPr>
              <w:t>jawatan pengarah yang dipegang dalam Syarikat, butir-butir semua Performance</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7"/>
              </w:rPr>
              <w:t>Company, details of all Performance RSUs or any other entitlement to</w:t>
            </w:r>
          </w:p>
        </w:tc>
        <w:tc>
          <w:tcPr>
            <w:tcW w:w="5640" w:type="dxa"/>
            <w:vAlign w:val="bottom"/>
          </w:tcPr>
          <w:p>
            <w:pPr>
              <w:ind w:left="40"/>
              <w:spacing w:after="0"/>
              <w:rPr>
                <w:sz w:val="20"/>
                <w:szCs w:val="20"/>
                <w:color w:val="auto"/>
              </w:rPr>
            </w:pPr>
            <w:r>
              <w:rPr>
                <w:rFonts w:ascii="Arial" w:cs="Arial" w:eastAsia="Arial" w:hAnsi="Arial"/>
                <w:sz w:val="16"/>
                <w:szCs w:val="16"/>
                <w:color w:val="auto"/>
                <w:w w:val="90"/>
              </w:rPr>
              <w:t>RSUs atau apa-apa hak lain untuk syer dalam saham yang dianugerahkan, dibatalkan,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4"/>
              </w:rPr>
              <w:t>shares  of  stock  awarded,  canceled,  exercised,  vested,  unvested  or</w:t>
            </w:r>
          </w:p>
        </w:tc>
        <w:tc>
          <w:tcPr>
            <w:tcW w:w="5640" w:type="dxa"/>
            <w:vAlign w:val="bottom"/>
          </w:tcPr>
          <w:p>
            <w:pPr>
              <w:ind w:left="40"/>
              <w:spacing w:after="0"/>
              <w:rPr>
                <w:sz w:val="20"/>
                <w:szCs w:val="20"/>
                <w:color w:val="auto"/>
              </w:rPr>
            </w:pPr>
            <w:r>
              <w:rPr>
                <w:rFonts w:ascii="Arial" w:cs="Arial" w:eastAsia="Arial" w:hAnsi="Arial"/>
                <w:sz w:val="16"/>
                <w:szCs w:val="16"/>
                <w:color w:val="auto"/>
                <w:w w:val="98"/>
              </w:rPr>
              <w:t>dilaksanakan, terletak hak, tidak diletak hak ataupun yang belum dijelaskan bagi</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6"/>
              </w:rPr>
              <w:t>outstanding in the Participant’s favor, for the purpose of implementing,</w:t>
            </w:r>
          </w:p>
        </w:tc>
        <w:tc>
          <w:tcPr>
            <w:tcW w:w="5640" w:type="dxa"/>
            <w:vAlign w:val="bottom"/>
          </w:tcPr>
          <w:p>
            <w:pPr>
              <w:ind w:left="40"/>
              <w:spacing w:after="0"/>
              <w:rPr>
                <w:sz w:val="20"/>
                <w:szCs w:val="20"/>
                <w:color w:val="auto"/>
              </w:rPr>
            </w:pPr>
            <w:r>
              <w:rPr>
                <w:rFonts w:ascii="Arial" w:cs="Arial" w:eastAsia="Arial" w:hAnsi="Arial"/>
                <w:sz w:val="16"/>
                <w:szCs w:val="16"/>
                <w:color w:val="auto"/>
                <w:w w:val="99"/>
              </w:rPr>
              <w:t>faedah  Peserta,  untuk  tujuan  eksklusif  bagi  melaksanakan,  mentadbir  dan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3"/>
              </w:rPr>
              <w:t>administering and managing the Plan (“Data”). The source of the Data is</w:t>
            </w:r>
          </w:p>
        </w:tc>
        <w:tc>
          <w:tcPr>
            <w:tcW w:w="5640" w:type="dxa"/>
            <w:vAlign w:val="bottom"/>
          </w:tcPr>
          <w:p>
            <w:pPr>
              <w:ind w:left="40"/>
              <w:spacing w:after="0"/>
              <w:rPr>
                <w:sz w:val="20"/>
                <w:szCs w:val="20"/>
                <w:color w:val="auto"/>
              </w:rPr>
            </w:pPr>
            <w:r>
              <w:rPr>
                <w:rFonts w:ascii="Arial" w:cs="Arial" w:eastAsia="Arial" w:hAnsi="Arial"/>
                <w:sz w:val="16"/>
                <w:szCs w:val="16"/>
                <w:color w:val="auto"/>
              </w:rPr>
              <w:t>menguruskan Pelan (“Data”). Sumber  Data adalah daripada Majikan dan juga</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8"/>
              </w:rPr>
              <w:t>the Employer as well as information the Participant is providing to the</w:t>
            </w:r>
          </w:p>
        </w:tc>
        <w:tc>
          <w:tcPr>
            <w:tcW w:w="5640" w:type="dxa"/>
            <w:vAlign w:val="bottom"/>
          </w:tcPr>
          <w:p>
            <w:pPr>
              <w:ind w:left="40"/>
              <w:spacing w:after="0"/>
              <w:rPr>
                <w:sz w:val="20"/>
                <w:szCs w:val="20"/>
                <w:color w:val="auto"/>
              </w:rPr>
            </w:pPr>
            <w:r>
              <w:rPr>
                <w:rFonts w:ascii="Arial" w:cs="Arial" w:eastAsia="Arial" w:hAnsi="Arial"/>
                <w:sz w:val="16"/>
                <w:szCs w:val="16"/>
                <w:color w:val="auto"/>
                <w:w w:val="99"/>
              </w:rPr>
              <w:t>daripada maklumat yang dibekalkan oleh Peserta kepada Syarikat dan Majikan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5"/>
              </w:rPr>
              <w:t>Company and the Employer in connection with the Performance RSUs.</w:t>
            </w:r>
          </w:p>
        </w:tc>
        <w:tc>
          <w:tcPr>
            <w:tcW w:w="5640" w:type="dxa"/>
            <w:vAlign w:val="bottom"/>
          </w:tcPr>
          <w:p>
            <w:pPr>
              <w:ind w:left="40"/>
              <w:spacing w:after="0"/>
              <w:rPr>
                <w:sz w:val="20"/>
                <w:szCs w:val="20"/>
                <w:color w:val="auto"/>
              </w:rPr>
            </w:pPr>
            <w:r>
              <w:rPr>
                <w:rFonts w:ascii="Arial" w:cs="Arial" w:eastAsia="Arial" w:hAnsi="Arial"/>
                <w:sz w:val="16"/>
                <w:szCs w:val="16"/>
                <w:color w:val="auto"/>
                <w:w w:val="92"/>
              </w:rPr>
              <w:t>berkenaan dengan Performance RSUs. Penerima Anugerah juga memahami bahawa</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6"/>
              </w:rPr>
              <w:t>The Participant understands that Data may be transferred to Fidelity or</w:t>
            </w:r>
          </w:p>
        </w:tc>
        <w:tc>
          <w:tcPr>
            <w:tcW w:w="5640" w:type="dxa"/>
            <w:vAlign w:val="bottom"/>
          </w:tcPr>
          <w:p>
            <w:pPr>
              <w:ind w:left="40"/>
              <w:spacing w:after="0"/>
              <w:rPr>
                <w:sz w:val="20"/>
                <w:szCs w:val="20"/>
                <w:color w:val="auto"/>
              </w:rPr>
            </w:pPr>
            <w:r>
              <w:rPr>
                <w:rFonts w:ascii="Arial" w:cs="Arial" w:eastAsia="Arial" w:hAnsi="Arial"/>
                <w:sz w:val="16"/>
                <w:szCs w:val="16"/>
                <w:color w:val="auto"/>
              </w:rPr>
              <w:t>Data mungkin dipindahkan kepada Fidelity atau mana-mana pihak ketiga yang</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3"/>
              </w:rPr>
              <w:t>any other third parties as may be selected by the Company in the future,</w:t>
            </w:r>
          </w:p>
        </w:tc>
        <w:tc>
          <w:tcPr>
            <w:tcW w:w="5640" w:type="dxa"/>
            <w:vAlign w:val="bottom"/>
          </w:tcPr>
          <w:p>
            <w:pPr>
              <w:ind w:left="40"/>
              <w:spacing w:after="0"/>
              <w:rPr>
                <w:sz w:val="20"/>
                <w:szCs w:val="20"/>
                <w:color w:val="auto"/>
              </w:rPr>
            </w:pPr>
            <w:r>
              <w:rPr>
                <w:rFonts w:ascii="Arial" w:cs="Arial" w:eastAsia="Arial" w:hAnsi="Arial"/>
                <w:sz w:val="16"/>
                <w:szCs w:val="16"/>
                <w:color w:val="auto"/>
                <w:w w:val="91"/>
              </w:rPr>
              <w:t xml:space="preserve">mungkin dipilih oleh Syarikat pada masa depan, </w:t>
            </w:r>
            <w:r>
              <w:rPr>
                <w:rFonts w:ascii="Arial" w:cs="Arial" w:eastAsia="Arial" w:hAnsi="Arial"/>
                <w:sz w:val="16"/>
                <w:szCs w:val="16"/>
                <w:color w:val="222222"/>
                <w:w w:val="91"/>
              </w:rPr>
              <w:t>yang membantu dalam pelaksanaan,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which  are  assisting  in  the  implementation,  administration  and</w:t>
            </w:r>
          </w:p>
        </w:tc>
        <w:tc>
          <w:tcPr>
            <w:tcW w:w="5640" w:type="dxa"/>
            <w:vAlign w:val="bottom"/>
          </w:tcPr>
          <w:p>
            <w:pPr>
              <w:ind w:left="40"/>
              <w:spacing w:after="0"/>
              <w:rPr>
                <w:sz w:val="20"/>
                <w:szCs w:val="20"/>
                <w:color w:val="auto"/>
              </w:rPr>
            </w:pPr>
            <w:r>
              <w:rPr>
                <w:rFonts w:ascii="Arial" w:cs="Arial" w:eastAsia="Arial" w:hAnsi="Arial"/>
                <w:sz w:val="16"/>
                <w:szCs w:val="16"/>
                <w:color w:val="222222"/>
                <w:w w:val="90"/>
              </w:rPr>
              <w:t>pentadbiran dan pengurusan Pelan, bahawa penerima-penerima ini mungkin berada di</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9"/>
              </w:rPr>
              <w:t>management of the Plan, that these recipients may be located in the</w:t>
            </w:r>
          </w:p>
        </w:tc>
        <w:tc>
          <w:tcPr>
            <w:tcW w:w="5640" w:type="dxa"/>
            <w:vAlign w:val="bottom"/>
          </w:tcPr>
          <w:p>
            <w:pPr>
              <w:ind w:left="40"/>
              <w:spacing w:after="0"/>
              <w:rPr>
                <w:sz w:val="20"/>
                <w:szCs w:val="20"/>
                <w:color w:val="auto"/>
              </w:rPr>
            </w:pPr>
            <w:r>
              <w:rPr>
                <w:rFonts w:ascii="Arial" w:cs="Arial" w:eastAsia="Arial" w:hAnsi="Arial"/>
                <w:sz w:val="16"/>
                <w:szCs w:val="16"/>
                <w:color w:val="222222"/>
                <w:w w:val="90"/>
              </w:rPr>
              <w:t>negara Peserta atau di tempat lain, dan bahawa negara penerima (contohnya, Amerika</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5"/>
              </w:rPr>
              <w:t>Participant’s country or elsewhere and that the recipients’ country (e.g.,</w:t>
            </w:r>
          </w:p>
        </w:tc>
        <w:tc>
          <w:tcPr>
            <w:tcW w:w="5640" w:type="dxa"/>
            <w:vAlign w:val="bottom"/>
          </w:tcPr>
          <w:p>
            <w:pPr>
              <w:ind w:left="40"/>
              <w:spacing w:after="0"/>
              <w:rPr>
                <w:sz w:val="20"/>
                <w:szCs w:val="20"/>
                <w:color w:val="auto"/>
              </w:rPr>
            </w:pPr>
            <w:r>
              <w:rPr>
                <w:rFonts w:ascii="Arial" w:cs="Arial" w:eastAsia="Arial" w:hAnsi="Arial"/>
                <w:sz w:val="16"/>
                <w:szCs w:val="16"/>
                <w:color w:val="222222"/>
                <w:w w:val="95"/>
              </w:rPr>
              <w:t>Syarikat) mungkin mempunyai undang-undang privasi data dan perlindungan yang</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5"/>
              </w:rPr>
              <w:t>the United States) may have different data privacy laws and protections</w:t>
            </w:r>
          </w:p>
        </w:tc>
        <w:tc>
          <w:tcPr>
            <w:tcW w:w="5640" w:type="dxa"/>
            <w:vAlign w:val="bottom"/>
          </w:tcPr>
          <w:p>
            <w:pPr>
              <w:ind w:left="40"/>
              <w:spacing w:after="0"/>
              <w:rPr>
                <w:sz w:val="20"/>
                <w:szCs w:val="20"/>
                <w:color w:val="auto"/>
              </w:rPr>
            </w:pPr>
            <w:r>
              <w:rPr>
                <w:rFonts w:ascii="Arial" w:cs="Arial" w:eastAsia="Arial" w:hAnsi="Arial"/>
                <w:sz w:val="16"/>
                <w:szCs w:val="16"/>
                <w:color w:val="222222"/>
                <w:w w:val="95"/>
              </w:rPr>
              <w:t>berbeza daripada negara Peserta. Peserta memahami bahawa dia boleh meminta</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2"/>
              </w:rPr>
              <w:t>than the Participant’s country. The Participant understands that he or she</w:t>
            </w:r>
          </w:p>
        </w:tc>
        <w:tc>
          <w:tcPr>
            <w:tcW w:w="5640" w:type="dxa"/>
            <w:vAlign w:val="bottom"/>
          </w:tcPr>
          <w:p>
            <w:pPr>
              <w:ind w:left="40"/>
              <w:spacing w:after="0"/>
              <w:rPr>
                <w:sz w:val="20"/>
                <w:szCs w:val="20"/>
                <w:color w:val="auto"/>
              </w:rPr>
            </w:pPr>
            <w:r>
              <w:rPr>
                <w:rFonts w:ascii="Arial" w:cs="Arial" w:eastAsia="Arial" w:hAnsi="Arial"/>
                <w:sz w:val="16"/>
                <w:szCs w:val="16"/>
                <w:color w:val="222222"/>
                <w:w w:val="96"/>
              </w:rPr>
              <w:t>senarai nama dan alamat mana-mana penerima Data dengan menghubungi wakil</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may request a list with the names and addresses of any potential</w:t>
            </w:r>
          </w:p>
        </w:tc>
        <w:tc>
          <w:tcPr>
            <w:tcW w:w="5640" w:type="dxa"/>
            <w:vAlign w:val="bottom"/>
          </w:tcPr>
          <w:p>
            <w:pPr>
              <w:ind w:left="40"/>
              <w:spacing w:after="0"/>
              <w:rPr>
                <w:sz w:val="20"/>
                <w:szCs w:val="20"/>
                <w:color w:val="auto"/>
              </w:rPr>
            </w:pPr>
            <w:r>
              <w:rPr>
                <w:rFonts w:ascii="Arial" w:cs="Arial" w:eastAsia="Arial" w:hAnsi="Arial"/>
                <w:sz w:val="16"/>
                <w:szCs w:val="16"/>
                <w:color w:val="222222"/>
                <w:w w:val="91"/>
              </w:rPr>
              <w:t xml:space="preserve">sumber manusia tempatannya. </w:t>
            </w:r>
            <w:r>
              <w:rPr>
                <w:rFonts w:ascii="Arial" w:cs="Arial" w:eastAsia="Arial" w:hAnsi="Arial"/>
                <w:sz w:val="16"/>
                <w:szCs w:val="16"/>
                <w:color w:val="000000"/>
                <w:w w:val="91"/>
              </w:rPr>
              <w:t>Peserta memberi kuasa kepada Syarikat, Fidelity, dan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8"/>
              </w:rPr>
              <w:t>recipients of the Data by contacting his or her local human resources</w:t>
            </w:r>
          </w:p>
        </w:tc>
        <w:tc>
          <w:tcPr>
            <w:tcW w:w="5640" w:type="dxa"/>
            <w:vAlign w:val="bottom"/>
          </w:tcPr>
          <w:p>
            <w:pPr>
              <w:ind w:left="40"/>
              <w:spacing w:after="0"/>
              <w:rPr>
                <w:sz w:val="20"/>
                <w:szCs w:val="20"/>
                <w:color w:val="auto"/>
              </w:rPr>
            </w:pPr>
            <w:r>
              <w:rPr>
                <w:rFonts w:ascii="Arial" w:cs="Arial" w:eastAsia="Arial" w:hAnsi="Arial"/>
                <w:sz w:val="16"/>
                <w:szCs w:val="16"/>
                <w:color w:val="auto"/>
                <w:w w:val="95"/>
              </w:rPr>
              <w:t>mana-mana penerima lain yang mungkin membantu Syarikat (masa sekarang atau</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2"/>
              </w:rPr>
              <w:t>representative. The Participant authorizes the Company, Fidelity and any</w:t>
            </w:r>
          </w:p>
        </w:tc>
        <w:tc>
          <w:tcPr>
            <w:tcW w:w="5640" w:type="dxa"/>
            <w:vAlign w:val="bottom"/>
          </w:tcPr>
          <w:p>
            <w:pPr>
              <w:ind w:left="40"/>
              <w:spacing w:after="0"/>
              <w:rPr>
                <w:sz w:val="20"/>
                <w:szCs w:val="20"/>
                <w:color w:val="auto"/>
              </w:rPr>
            </w:pPr>
            <w:r>
              <w:rPr>
                <w:rFonts w:ascii="Arial" w:cs="Arial" w:eastAsia="Arial" w:hAnsi="Arial"/>
                <w:sz w:val="16"/>
                <w:szCs w:val="16"/>
                <w:color w:val="auto"/>
                <w:w w:val="95"/>
              </w:rPr>
              <w:t>pada masa depan) untuk melaksanakan, mentadbir dan menguruskan penyertaan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4"/>
              </w:rPr>
              <w:t>other possible recipients which may assist the Company (presently or in</w:t>
            </w:r>
          </w:p>
        </w:tc>
        <w:tc>
          <w:tcPr>
            <w:tcW w:w="5640" w:type="dxa"/>
            <w:vAlign w:val="bottom"/>
          </w:tcPr>
          <w:p>
            <w:pPr>
              <w:ind w:left="40"/>
              <w:spacing w:after="0"/>
              <w:rPr>
                <w:sz w:val="20"/>
                <w:szCs w:val="20"/>
                <w:color w:val="auto"/>
              </w:rPr>
            </w:pPr>
            <w:r>
              <w:rPr>
                <w:rFonts w:ascii="Arial" w:cs="Arial" w:eastAsia="Arial" w:hAnsi="Arial"/>
                <w:sz w:val="16"/>
                <w:szCs w:val="16"/>
                <w:color w:val="auto"/>
                <w:w w:val="96"/>
              </w:rPr>
              <w:t>Peserta dalam Pelan untuk menerima, memiliki, menggunakan, mengekalkan dan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6"/>
              </w:rPr>
              <w:t>the future) with implementing, administering and managing the Plan to</w:t>
            </w:r>
          </w:p>
        </w:tc>
        <w:tc>
          <w:tcPr>
            <w:tcW w:w="5640" w:type="dxa"/>
            <w:vAlign w:val="bottom"/>
          </w:tcPr>
          <w:p>
            <w:pPr>
              <w:ind w:left="40"/>
              <w:spacing w:after="0"/>
              <w:rPr>
                <w:sz w:val="20"/>
                <w:szCs w:val="20"/>
                <w:color w:val="auto"/>
              </w:rPr>
            </w:pPr>
            <w:r>
              <w:rPr>
                <w:rFonts w:ascii="Arial" w:cs="Arial" w:eastAsia="Arial" w:hAnsi="Arial"/>
                <w:sz w:val="16"/>
                <w:szCs w:val="16"/>
                <w:color w:val="auto"/>
                <w:w w:val="97"/>
              </w:rPr>
              <w:t>memindahkan Data, dalam bentuk elektronik atau lain-lain, semata-mata dengan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3"/>
              </w:rPr>
              <w:t>receive, possess, use, retain and transfer the Data, in electronic or other</w:t>
            </w:r>
          </w:p>
        </w:tc>
        <w:tc>
          <w:tcPr>
            <w:tcW w:w="5640" w:type="dxa"/>
            <w:vAlign w:val="bottom"/>
          </w:tcPr>
          <w:p>
            <w:pPr>
              <w:ind w:left="40"/>
              <w:spacing w:after="0"/>
              <w:rPr>
                <w:sz w:val="20"/>
                <w:szCs w:val="20"/>
                <w:color w:val="auto"/>
              </w:rPr>
            </w:pPr>
            <w:r>
              <w:rPr>
                <w:rFonts w:ascii="Arial" w:cs="Arial" w:eastAsia="Arial" w:hAnsi="Arial"/>
                <w:sz w:val="16"/>
                <w:szCs w:val="16"/>
                <w:color w:val="auto"/>
                <w:w w:val="93"/>
              </w:rPr>
              <w:t>tujuan untuk melaksanakan, mentadbir dan menguruskan penyertaan Peserta dalam</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4"/>
              </w:rPr>
              <w:t>form, for the sole purpose of implementing, administering and managing</w:t>
            </w:r>
          </w:p>
        </w:tc>
        <w:tc>
          <w:tcPr>
            <w:tcW w:w="5640" w:type="dxa"/>
            <w:vAlign w:val="bottom"/>
          </w:tcPr>
          <w:p>
            <w:pPr>
              <w:ind w:left="40"/>
              <w:spacing w:after="0"/>
              <w:rPr>
                <w:sz w:val="20"/>
                <w:szCs w:val="20"/>
                <w:color w:val="auto"/>
              </w:rPr>
            </w:pPr>
            <w:r>
              <w:rPr>
                <w:rFonts w:ascii="Arial" w:cs="Arial" w:eastAsia="Arial" w:hAnsi="Arial"/>
                <w:sz w:val="16"/>
                <w:szCs w:val="16"/>
                <w:color w:val="auto"/>
                <w:w w:val="91"/>
              </w:rPr>
              <w:t>Pelan, termasuk apa-apa pemindahan Data yang diperlukan kepada broker atau pihak</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9"/>
              </w:rPr>
              <w:t>his or her participation in the Plan, including any requisite transfer of</w:t>
            </w:r>
          </w:p>
        </w:tc>
        <w:tc>
          <w:tcPr>
            <w:tcW w:w="5640" w:type="dxa"/>
            <w:vAlign w:val="bottom"/>
          </w:tcPr>
          <w:p>
            <w:pPr>
              <w:ind w:left="40"/>
              <w:spacing w:after="0"/>
              <w:rPr>
                <w:sz w:val="20"/>
                <w:szCs w:val="20"/>
                <w:color w:val="auto"/>
              </w:rPr>
            </w:pPr>
            <w:r>
              <w:rPr>
                <w:rFonts w:ascii="Arial" w:cs="Arial" w:eastAsia="Arial" w:hAnsi="Arial"/>
                <w:sz w:val="16"/>
                <w:szCs w:val="16"/>
                <w:color w:val="auto"/>
                <w:w w:val="90"/>
              </w:rPr>
              <w:t>ketiga dengan siapa Peserta mungkin pilih untuk mendepositkan apa-apa Saham yang</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4"/>
              </w:rPr>
              <w:t>such Data as may be required to a broker or other third party with whom</w:t>
            </w:r>
          </w:p>
        </w:tc>
        <w:tc>
          <w:tcPr>
            <w:tcW w:w="5640" w:type="dxa"/>
            <w:vAlign w:val="bottom"/>
          </w:tcPr>
          <w:p>
            <w:pPr>
              <w:ind w:left="40"/>
              <w:spacing w:after="0"/>
              <w:rPr>
                <w:sz w:val="20"/>
                <w:szCs w:val="20"/>
                <w:color w:val="auto"/>
              </w:rPr>
            </w:pPr>
            <w:r>
              <w:rPr>
                <w:rFonts w:ascii="Arial" w:cs="Arial" w:eastAsia="Arial" w:hAnsi="Arial"/>
                <w:sz w:val="16"/>
                <w:szCs w:val="16"/>
                <w:color w:val="auto"/>
                <w:w w:val="96"/>
              </w:rPr>
              <w:t xml:space="preserve">diperolehi di atas penyelesaian Anugerah. </w:t>
            </w:r>
            <w:r>
              <w:rPr>
                <w:rFonts w:ascii="Arial" w:cs="Arial" w:eastAsia="Arial" w:hAnsi="Arial"/>
                <w:sz w:val="16"/>
                <w:szCs w:val="16"/>
                <w:color w:val="222222"/>
                <w:w w:val="96"/>
              </w:rPr>
              <w:t>Peserta memahami bahawa Data akan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2"/>
              </w:rPr>
              <w:t>the Participant may elect to deposit any Shares acquired upon settlement</w:t>
            </w:r>
          </w:p>
        </w:tc>
        <w:tc>
          <w:tcPr>
            <w:tcW w:w="5640" w:type="dxa"/>
            <w:vAlign w:val="bottom"/>
          </w:tcPr>
          <w:p>
            <w:pPr>
              <w:ind w:left="40"/>
              <w:spacing w:after="0"/>
              <w:rPr>
                <w:sz w:val="20"/>
                <w:szCs w:val="20"/>
                <w:color w:val="auto"/>
              </w:rPr>
            </w:pPr>
            <w:r>
              <w:rPr>
                <w:rFonts w:ascii="Arial" w:cs="Arial" w:eastAsia="Arial" w:hAnsi="Arial"/>
                <w:sz w:val="16"/>
                <w:szCs w:val="16"/>
                <w:color w:val="222222"/>
                <w:w w:val="93"/>
              </w:rPr>
              <w:t>dipegang hanya untuk tempoh yang diperlukan untuk melaksanakan, mentadbir dan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4"/>
              </w:rPr>
              <w:t>of the Award. The Participant understands that Data will be held only as</w:t>
            </w:r>
          </w:p>
        </w:tc>
        <w:tc>
          <w:tcPr>
            <w:tcW w:w="5640" w:type="dxa"/>
            <w:vAlign w:val="bottom"/>
          </w:tcPr>
          <w:p>
            <w:pPr>
              <w:ind w:left="40"/>
              <w:spacing w:after="0"/>
              <w:rPr>
                <w:sz w:val="20"/>
                <w:szCs w:val="20"/>
                <w:color w:val="auto"/>
              </w:rPr>
            </w:pPr>
            <w:r>
              <w:rPr>
                <w:rFonts w:ascii="Arial" w:cs="Arial" w:eastAsia="Arial" w:hAnsi="Arial"/>
                <w:sz w:val="16"/>
                <w:szCs w:val="16"/>
                <w:color w:val="222222"/>
                <w:w w:val="93"/>
              </w:rPr>
              <w:t xml:space="preserve">menguruskan penyertaannya dalam </w:t>
            </w:r>
            <w:r>
              <w:rPr>
                <w:rFonts w:ascii="Arial" w:cs="Arial" w:eastAsia="Arial" w:hAnsi="Arial"/>
                <w:sz w:val="16"/>
                <w:szCs w:val="16"/>
                <w:color w:val="000000"/>
                <w:w w:val="93"/>
              </w:rPr>
              <w:t>Pelan tersebut</w:t>
            </w:r>
            <w:r>
              <w:rPr>
                <w:rFonts w:ascii="Arial" w:cs="Arial" w:eastAsia="Arial" w:hAnsi="Arial"/>
                <w:sz w:val="16"/>
                <w:szCs w:val="16"/>
                <w:color w:val="222222"/>
                <w:w w:val="93"/>
              </w:rPr>
              <w:t xml:space="preserve">. </w:t>
            </w:r>
            <w:r>
              <w:rPr>
                <w:rFonts w:ascii="Arial" w:cs="Arial" w:eastAsia="Arial" w:hAnsi="Arial"/>
                <w:sz w:val="16"/>
                <w:szCs w:val="16"/>
                <w:color w:val="000000"/>
                <w:w w:val="93"/>
              </w:rPr>
              <w:t>Peserta memahami bahawa dia</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9"/>
              </w:rPr>
              <w:t>long  as  is  necessary  to  implement,  administer  and  manage  the</w:t>
            </w:r>
          </w:p>
        </w:tc>
        <w:tc>
          <w:tcPr>
            <w:tcW w:w="5640" w:type="dxa"/>
            <w:vAlign w:val="bottom"/>
          </w:tcPr>
          <w:p>
            <w:pPr>
              <w:ind w:left="40"/>
              <w:spacing w:after="0"/>
              <w:rPr>
                <w:sz w:val="20"/>
                <w:szCs w:val="20"/>
                <w:color w:val="auto"/>
              </w:rPr>
            </w:pPr>
            <w:r>
              <w:rPr>
                <w:rFonts w:ascii="Arial" w:cs="Arial" w:eastAsia="Arial" w:hAnsi="Arial"/>
                <w:sz w:val="16"/>
                <w:szCs w:val="16"/>
                <w:color w:val="auto"/>
                <w:w w:val="96"/>
              </w:rPr>
              <w:t xml:space="preserve">boleh, pada bila-bila masa, </w:t>
            </w:r>
            <w:r>
              <w:rPr>
                <w:rFonts w:ascii="Arial" w:cs="Arial" w:eastAsia="Arial" w:hAnsi="Arial"/>
                <w:sz w:val="16"/>
                <w:szCs w:val="16"/>
                <w:color w:val="222222"/>
                <w:w w:val="96"/>
              </w:rPr>
              <w:t>melihat data, meminta maklumat tambahan mengenai</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2"/>
              </w:rPr>
              <w:t>Participant’s participation in the Plan. The Participant understands that he</w:t>
            </w:r>
          </w:p>
        </w:tc>
        <w:tc>
          <w:tcPr>
            <w:tcW w:w="5640" w:type="dxa"/>
            <w:vAlign w:val="bottom"/>
          </w:tcPr>
          <w:p>
            <w:pPr>
              <w:ind w:left="40"/>
              <w:spacing w:after="0"/>
              <w:rPr>
                <w:sz w:val="20"/>
                <w:szCs w:val="20"/>
                <w:color w:val="auto"/>
              </w:rPr>
            </w:pPr>
            <w:r>
              <w:rPr>
                <w:rFonts w:ascii="Arial" w:cs="Arial" w:eastAsia="Arial" w:hAnsi="Arial"/>
                <w:sz w:val="16"/>
                <w:szCs w:val="16"/>
                <w:color w:val="222222"/>
                <w:w w:val="90"/>
              </w:rPr>
              <w:t>penyimpanan dan pemprosesan Data, meminta bahawa pindaan-pindaan dilaksanakan</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4"/>
              </w:rPr>
              <w:t>or she may, at any time, view Data, request additional information about</w:t>
            </w:r>
          </w:p>
        </w:tc>
        <w:tc>
          <w:tcPr>
            <w:tcW w:w="5640" w:type="dxa"/>
            <w:vAlign w:val="bottom"/>
          </w:tcPr>
          <w:p>
            <w:pPr>
              <w:ind w:left="40"/>
              <w:spacing w:after="0"/>
              <w:rPr>
                <w:sz w:val="20"/>
                <w:szCs w:val="20"/>
                <w:color w:val="auto"/>
              </w:rPr>
            </w:pPr>
            <w:r>
              <w:rPr>
                <w:rFonts w:ascii="Arial" w:cs="Arial" w:eastAsia="Arial" w:hAnsi="Arial"/>
                <w:sz w:val="16"/>
                <w:szCs w:val="16"/>
                <w:color w:val="222222"/>
                <w:w w:val="95"/>
              </w:rPr>
              <w:t>ke atas Data atau menolak atau menarik balik persetujuan dalam ini, dalam mana-</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0"/>
              </w:rPr>
              <w:t>the storage and processing of Data, require any necessary amendments to</w:t>
            </w:r>
          </w:p>
        </w:tc>
        <w:tc>
          <w:tcPr>
            <w:tcW w:w="5640" w:type="dxa"/>
            <w:vAlign w:val="bottom"/>
          </w:tcPr>
          <w:p>
            <w:pPr>
              <w:ind w:left="40"/>
              <w:spacing w:after="0"/>
              <w:rPr>
                <w:sz w:val="20"/>
                <w:szCs w:val="20"/>
                <w:color w:val="auto"/>
              </w:rPr>
            </w:pPr>
            <w:r>
              <w:rPr>
                <w:rFonts w:ascii="Arial" w:cs="Arial" w:eastAsia="Arial" w:hAnsi="Arial"/>
                <w:sz w:val="16"/>
                <w:szCs w:val="16"/>
                <w:color w:val="222222"/>
                <w:w w:val="95"/>
              </w:rPr>
              <w:t>mana kes, tanpa kos, dengan menghubungi secara bertulis wakil sumber manusia</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3"/>
              </w:rPr>
              <w:t>Data or refuse or withdraw the consents herein, in any case without cost,</w:t>
            </w:r>
          </w:p>
        </w:tc>
        <w:tc>
          <w:tcPr>
            <w:tcW w:w="5640" w:type="dxa"/>
            <w:vAlign w:val="bottom"/>
          </w:tcPr>
          <w:p>
            <w:pPr>
              <w:ind w:left="40"/>
              <w:spacing w:after="0"/>
              <w:rPr>
                <w:sz w:val="20"/>
                <w:szCs w:val="20"/>
                <w:color w:val="auto"/>
              </w:rPr>
            </w:pPr>
            <w:r>
              <w:rPr>
                <w:rFonts w:ascii="Arial" w:cs="Arial" w:eastAsia="Arial" w:hAnsi="Arial"/>
                <w:sz w:val="16"/>
                <w:szCs w:val="16"/>
                <w:color w:val="222222"/>
                <w:w w:val="97"/>
              </w:rPr>
              <w:t xml:space="preserve">tempatannya.  Peserta  </w:t>
            </w:r>
            <w:r>
              <w:rPr>
                <w:rFonts w:ascii="Arial" w:cs="Arial" w:eastAsia="Arial" w:hAnsi="Arial"/>
                <w:sz w:val="16"/>
                <w:szCs w:val="16"/>
                <w:color w:val="000000"/>
                <w:w w:val="97"/>
              </w:rPr>
              <w:t>memahami</w:t>
            </w:r>
            <w:r>
              <w:rPr>
                <w:rFonts w:ascii="Arial" w:cs="Arial" w:eastAsia="Arial" w:hAnsi="Arial"/>
                <w:sz w:val="16"/>
                <w:szCs w:val="16"/>
                <w:color w:val="222222"/>
                <w:w w:val="97"/>
              </w:rPr>
              <w:t xml:space="preserve">  bahawa  keengganan  atau  penarikan  balik</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w w:val="94"/>
              </w:rPr>
              <w:t>by contacting in writing his or her local human resources representative.</w:t>
            </w:r>
          </w:p>
        </w:tc>
        <w:tc>
          <w:tcPr>
            <w:tcW w:w="5640" w:type="dxa"/>
            <w:vAlign w:val="bottom"/>
          </w:tcPr>
          <w:p>
            <w:pPr>
              <w:ind w:left="40"/>
              <w:spacing w:after="0"/>
              <w:rPr>
                <w:sz w:val="20"/>
                <w:szCs w:val="20"/>
                <w:color w:val="auto"/>
              </w:rPr>
            </w:pPr>
            <w:r>
              <w:rPr>
                <w:rFonts w:ascii="Arial" w:cs="Arial" w:eastAsia="Arial" w:hAnsi="Arial"/>
                <w:sz w:val="16"/>
                <w:szCs w:val="16"/>
                <w:color w:val="222222"/>
                <w:w w:val="96"/>
              </w:rPr>
              <w:t>persetujuannya  boleh  menjejaskan  keupayaannya  untuk  mengambil  bahagian</w:t>
            </w:r>
          </w:p>
        </w:tc>
      </w:tr>
      <w:tr>
        <w:trPr>
          <w:trHeight w:val="217"/>
        </w:trPr>
        <w:tc>
          <w:tcPr>
            <w:tcW w:w="4820" w:type="dxa"/>
            <w:vAlign w:val="bottom"/>
          </w:tcPr>
          <w:p>
            <w:pPr>
              <w:spacing w:after="0"/>
              <w:rPr>
                <w:sz w:val="20"/>
                <w:szCs w:val="20"/>
                <w:color w:val="auto"/>
              </w:rPr>
            </w:pPr>
            <w:r>
              <w:rPr>
                <w:rFonts w:ascii="Arial" w:cs="Arial" w:eastAsia="Arial" w:hAnsi="Arial"/>
                <w:sz w:val="16"/>
                <w:szCs w:val="16"/>
                <w:color w:val="auto"/>
                <w:w w:val="92"/>
              </w:rPr>
              <w:t>The Participant understands, however, that refusing or withdrawing his or</w:t>
            </w:r>
          </w:p>
        </w:tc>
        <w:tc>
          <w:tcPr>
            <w:tcW w:w="5640" w:type="dxa"/>
            <w:vAlign w:val="bottom"/>
          </w:tcPr>
          <w:p>
            <w:pPr>
              <w:ind w:left="40"/>
              <w:spacing w:after="0"/>
              <w:rPr>
                <w:sz w:val="20"/>
                <w:szCs w:val="20"/>
                <w:color w:val="auto"/>
              </w:rPr>
            </w:pPr>
            <w:r>
              <w:rPr>
                <w:rFonts w:ascii="Arial" w:cs="Arial" w:eastAsia="Arial" w:hAnsi="Arial"/>
                <w:sz w:val="16"/>
                <w:szCs w:val="16"/>
                <w:color w:val="222222"/>
                <w:w w:val="96"/>
              </w:rPr>
              <w:t xml:space="preserve">dalam  </w:t>
            </w:r>
            <w:r>
              <w:rPr>
                <w:rFonts w:ascii="Arial" w:cs="Arial" w:eastAsia="Arial" w:hAnsi="Arial"/>
                <w:sz w:val="16"/>
                <w:szCs w:val="16"/>
                <w:color w:val="000000"/>
                <w:w w:val="96"/>
              </w:rPr>
              <w:t>Pelan</w:t>
            </w:r>
            <w:r>
              <w:rPr>
                <w:rFonts w:ascii="Arial" w:cs="Arial" w:eastAsia="Arial" w:hAnsi="Arial"/>
                <w:sz w:val="16"/>
                <w:szCs w:val="16"/>
                <w:color w:val="222222"/>
                <w:w w:val="96"/>
              </w:rPr>
              <w:t>.  Untuk  maklumat  lanjut  mengenai  akibat  keengganan</w:t>
            </w:r>
            <w:r>
              <w:rPr>
                <w:rFonts w:ascii="Arial" w:cs="Arial" w:eastAsia="Arial" w:hAnsi="Arial"/>
                <w:sz w:val="16"/>
                <w:szCs w:val="16"/>
                <w:color w:val="000000"/>
                <w:w w:val="96"/>
              </w:rPr>
              <w:t>nya</w:t>
            </w:r>
            <w:r>
              <w:rPr>
                <w:rFonts w:ascii="Arial" w:cs="Arial" w:eastAsia="Arial" w:hAnsi="Arial"/>
                <w:sz w:val="16"/>
                <w:szCs w:val="16"/>
                <w:color w:val="222222"/>
                <w:w w:val="96"/>
              </w:rPr>
              <w:t xml:space="preserve">  untuk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-5533390</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-5516245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-5499100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-5481955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-5464810</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-5447665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-5430520</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-5413375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-5396230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-5379085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-5361940</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-5344795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-5327650</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-5310505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-5293360</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-5276215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-5259070</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-5241925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-5224780</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-5207635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-5190490</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-5173345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-5156200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-5139055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-5121910</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-5104765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-5087620</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-5070475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-5053330</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-5036185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-5019040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-5001895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-4984750</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-4967605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-4950460</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-4933315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-4916170</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-4899025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-4881880</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-4864735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-4847590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-4830445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-4813300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-4796155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-4779010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-4761865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-4744720</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-4727575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-4710430</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-4693285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-4676140</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-4658360</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-4641215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-4624070</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-4606925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-4589780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-4572635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-4555490</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-4538345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-4521200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-4504055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-4486910</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-4469765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-4452620</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-4435475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-4418330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-4401185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-4384040</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-4366895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-4349750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-4332605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-4315460</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-4298315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-4281170</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-4264025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-4246880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-4229735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-4212590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-4195445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-4178300</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-4161155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-4144010</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-4126865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-4109720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-4092575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-4075430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-4058285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-4041140</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-4023995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-4006850</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-3989705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-3972560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-3955415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-3938270</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-3921125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-3903980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-3886835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-3869690</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-3852545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-3835400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-3818255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-3801110</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-3783965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-3766820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-3749675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-3732530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-3715385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-3698240</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-3681095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-3663950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-3646805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-3629660</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-3612515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-3595370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-3578225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-3561080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-3543935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-3526790</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-3509645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-3492500</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-3475355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-3458210</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-3441065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-3423920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-3406775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-3389630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-3372485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-3355340</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-3338195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-3321050</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-3303905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-3286760</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-3269615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-3252470</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-3235325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-3218180</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-3201035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-3183890</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-3166745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-3149600</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-3132455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-3115310</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-3098165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-3081020</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-3063875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-3046730</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-3029585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-3011805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-2994660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-2977515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-2960370</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-2943225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-2926080</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-2908935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-2891790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-2874645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-2857500</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-2840355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-2823210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-2806065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-2788920</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-2771775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-2754630</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-2737485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-2720340</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-2703195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-2686050</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-2668905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-2651760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-2634615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-2617470</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-2600325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-2583180</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-2566035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-2548890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-2531745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-2514600</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-2497455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-2480310</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-2463165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-2446020</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-2428875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-2411730</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-2394585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-2377440</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-2360295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-2343150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-2326005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-2308860</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-2291715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-2274570</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-2257425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-2240280</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-2223135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-2205990</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-2188845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-2171700</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-2154555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-2137410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-2120265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-2103120</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-2085975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-2068830</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-2051685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-2034540</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-2017395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-2000250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-1983105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-1965960</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-1948815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-1931670</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-1914525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-1897380</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-1880235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-1863090</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-1845945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-1828800</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-1811655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-1794510</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-1777365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-1760220</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-1743075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-1725930</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-1708785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-1691640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-1674495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-1657350</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-1640205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-1623060</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-1605915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-1588770</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-1571625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-1554480</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-1537335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-1520190</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-1503045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-1485900</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-1468755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-1451610</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-1434465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-1417320</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-1400175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-1383030</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-1365250</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-1348105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-1330960</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-1313815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-1296670</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-1279525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-1262380</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-1245235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-1228090</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-1210945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-1193800</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-1176655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-1159510</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-1142365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-1125220</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-1108075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-1090930</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-1073785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-1056640</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-1039495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-1022350</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-1005205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-988060</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-970915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-953770</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-936625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-919480</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-902335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-885190</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-868045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-850900</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-833755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-816610</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-799465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-782320</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-765175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-748030</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-730885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-713740</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-696595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-679450</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-662305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-645160</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-628015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-610870</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-593725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-576580</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-559435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-542290</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-525145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-508000</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-490855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-473710</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-456565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-439420</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-422275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-405130</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-387985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-370840</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-353695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-336550</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-319405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-302260</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-285115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-267970</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-250825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-233680</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-216535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-199390</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-182245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-165100</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-147955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-130810</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-113665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-96520</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-79375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-62230</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-45085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-27940</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-10795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-5533390</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-5516245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-5499100</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-5481955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-5464810</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-5447665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-5430520</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-5413375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-5396230</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-5379085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-5361940</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-5344795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-5327650</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-5310505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-5293360</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-5276215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-5259070</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-5241925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-5224780</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-5207635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-5190490</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-5173345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-5156200</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-5139055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-5121910</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-5104765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-5087620</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-5070475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-5053330</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-5036185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-5019040</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-5001895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-4984750</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-4967605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-4950460</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-4933315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-4916170</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-4899025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-4881880</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-4864735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-4847590</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-4830445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-4813300</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-4796155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-4779010</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-4761865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-4744720</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-4727575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-4710430</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-4693285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-4676140</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-4658360</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-4641215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-4624070</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-4606925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-4589780</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-4572635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-4555490</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-4538345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-4521200</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-4504055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-4486910</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-4469765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-4452620</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-4435475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-4418330</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-4401185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-4384040</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-4366895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-4349750</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-4332605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-4315460</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-4298315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-4281170</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-4264025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-4246880</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-4229735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-4212590</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-4195445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-4178300</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-4161155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-4144010</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-4126865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-4109720</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-4092575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-4075430</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-4058285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-4041140</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-4023995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-4006850</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-3989705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-3972560</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-3955415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-3938270</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-3921125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-3903980</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-3886835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-3869690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-3852545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-3835400</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-3818255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-3801110</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-3783965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-3766820</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-3749675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-3732530</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-3715385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-3698240</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-3681095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-3663950</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-3646805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-3629660</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-3612515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-3595370</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-3578225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-3561080</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-3543935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-3526790</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-3509645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-3492500</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-3475355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-3458210</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-3441065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-3423920</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-3406775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-3389630</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-3372485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-3355340</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-3338195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-3321050</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-3303905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-3286760</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-3269615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-3252470</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-3235325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-3218180</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-3201035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-3183890</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-3166745</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-3149600</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-3132455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-3115310</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-3098165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-3081020</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-3063875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-3046730</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-3029585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-3011805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-2994660</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-2977515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-2960370</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-2943225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-2926080</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-2908935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-2891790</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-2874645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-2857500</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-2840355</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-2823210</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-2806065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-2788920</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-2771775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-2754630</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-2737485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-2720340</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-2703195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-2686050</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-2668905</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-2651760</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-2634615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-2617470</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-2600325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-2583180</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-2566035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-2548890</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-2531745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-2514600</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-2497455</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-2480310</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-2463165</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-2446020</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-2428875</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-2411730</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-2394585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-2377440</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-2360295</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-2343150</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-2326005</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-2308860</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-2291715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-2274570</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-2257425</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-2240280</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-2223135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-2205990</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-2188845</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-2171700</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-2154555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-2137410</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-2120265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-2103120</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-2085975</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-2068830</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-2051685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-2034540</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-2017395</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-2000250</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-1983105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-1965960</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-1948815</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-1931670</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-1914525</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-1897380</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-1880235</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-1863090</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-1845945</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-1828800</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-1811655</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-1794510</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-1777365</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-1760220</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-1743075</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-1725930</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-1708785</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-1691640</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-1674495</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-1657350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-1640205</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-1623060</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-1605915</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-1588770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-1571625</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-1554480</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-1537335</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-1520190</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-1503045</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-1485900</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-1468755</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-1451610</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-1434465</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-1417320</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-1400175</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-1383030</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-1365250</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-1348105</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-1330960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-1313815</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-1296670</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-1279525</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-1262380</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-1245235</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-1228090</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-1210945</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-1193800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-1176655</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-1159510</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-1142365</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-1125220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-1108075</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-1090930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-1073785</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-1056640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-1039495</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-1022350</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-1005205</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-988060</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-970915</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-953770</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-936625</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-919480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-902335</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-885190</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-868045</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-850900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-833755</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-816610</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-799465</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-782320</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-765175</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-748030</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-730885</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-713740</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-696595</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-679450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-662305</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-645160</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-628015</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-610870</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-593725</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-576580</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-559435</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-542290</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-525145</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-508000</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-490855</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-473710</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-456565</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-439420</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-422275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-405130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-387985</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-370840</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-353695</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-336550</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-319405</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-302260</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-285115</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-267970</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-250825</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-233680</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-216535</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-199390</wp:posOffset>
            </wp:positionV>
            <wp:extent cx="88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-182245</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-165100</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-147955</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-130810</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-113665</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-96520</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-79375</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-62230</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-45085</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-27940</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-10795</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-5533390</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-5516245</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-5499100</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-5481955</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-5464810</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-5447665</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-5430520</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-5413375</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-5396230</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-5379085</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-5361940</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-5344795</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-5327650</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-5310505</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-5293360</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-5276215</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-5259070</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-5241925</wp:posOffset>
            </wp:positionV>
            <wp:extent cx="88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-5224780</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-5207635</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-5190490</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-5173345</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-5156200</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-5139055</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-5121910</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-5104765</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-5087620</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-5070475</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-5053330</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-5036185</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-5019040</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-5001895</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-4984750</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-4967605</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-4950460</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-4933315</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-4916170</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-4899025</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-4881880</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-4864735</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-4847590</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-4830445</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-4813300</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-4796155</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-4779010</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-4761865</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-4744720</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-4727575</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-4710430</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-4693285</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-4676140</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-4658360</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-4641215</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-4624070</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-4606925</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-4589780</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-4572635</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-4555490</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-4538345</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-4521200</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-4504055</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-4486910</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-4469765</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-4452620</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-4435475</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-4418330</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-4401185</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-4384040</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-4366895</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-4349750</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-4332605</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-4315460</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-4298315</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-4281170</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-4264025</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-4246880</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-4229735</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-4212590</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-4195445</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-4178300</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-4161155</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-4144010</wp:posOffset>
            </wp:positionV>
            <wp:extent cx="88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-4126865</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-4109720</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-4092575</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-4075430</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-4058285</wp:posOffset>
            </wp:positionV>
            <wp:extent cx="889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-4041140</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-4023995</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-4006850</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-3989705</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-3972560</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-3955415</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-3938270</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-3921125</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-3903980</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-3886835</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-3869690</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-3852545</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-3835400</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-3818255</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-3801110</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-3783965</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-3766820</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-3749675</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-3732530</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-3715385</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-3698240</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-3681095</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-3663950</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-3646805</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-3629660</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-3612515</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-3595370</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-3578225</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-3561080</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-3543935</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-3526790</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-3509645</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-3492500</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-3475355</wp:posOffset>
            </wp:positionV>
            <wp:extent cx="889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-3458210</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-3441065</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-3423920</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-3406775</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-3389630</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-3372485</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-3355340</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-3338195</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-3321050</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-3303905</wp:posOffset>
            </wp:positionV>
            <wp:extent cx="88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-3286760</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-3269615</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-3252470</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-3235325</wp:posOffset>
            </wp:positionV>
            <wp:extent cx="889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-3218180</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-3201035</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-3183890</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-3166745</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-3149600</wp:posOffset>
            </wp:positionV>
            <wp:extent cx="889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-3132455</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-3115310</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-3098165</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-3081020</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-3063875</wp:posOffset>
            </wp:positionV>
            <wp:extent cx="889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-3046730</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-3029585</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-3011805</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-2994660</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-2977515</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-2960370</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-2943225</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-2926080</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-2908935</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-2891790</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-2874645</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-2857500</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-2840355</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-2823210</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-2806065</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-2788920</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-2771775</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-2754630</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-2737485</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-2720340</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-2703195</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-2686050</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-2668905</wp:posOffset>
            </wp:positionV>
            <wp:extent cx="889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-2651760</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-2634615</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-2617470</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-2600325</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-2583180</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-2566035</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-2548890</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-2531745</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-2514600</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-2497455</wp:posOffset>
            </wp:positionV>
            <wp:extent cx="889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-2480310</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-2463165</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-2446020</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-2428875</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-2411730</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-2394585</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-2377440</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-2360295</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-2343150</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-2326005</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-2308860</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-2291715</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-2274570</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-2257425</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-2240280</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-2223135</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-2205990</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-2188845</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-2171700</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-2154555</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-2137410</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-2120265</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-2103120</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-2085975</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-2068830</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-2051685</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-2034540</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-2017395</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-2000250</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-1983105</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-1965960</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-1948815</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-1931670</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-1914525</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-1897380</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-1880235</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-1863090</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-1845945</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-1828800</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-1811655</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-1794510</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-1777365</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-1760220</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-1743075</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-1725930</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-1708785</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-1691640</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-1674495</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-1657350</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-1640205</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-1623060</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-1605915</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-1588770</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-1571625</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-1554480</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-1537335</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-1520190</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-1503045</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-1485900</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-1468755</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-1451610</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-1434465</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-1417320</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-1400175</wp:posOffset>
            </wp:positionV>
            <wp:extent cx="88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-1383030</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-1365250</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-1348105</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-1330960</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-1313815</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-1296670</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-1279525</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-1262380</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-1245235</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-1228090</wp:posOffset>
            </wp:positionV>
            <wp:extent cx="88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-1210945</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-1193800</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-1176655</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-1159510</wp:posOffset>
            </wp:positionV>
            <wp:extent cx="889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-1142365</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-1125220</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-1108075</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-1090930</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-1073785</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-1056640</wp:posOffset>
            </wp:positionV>
            <wp:extent cx="889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-1039495</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-1022350</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-1005205</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-988060</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-970915</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-953770</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-936625</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-919480</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-902335</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-885190</wp:posOffset>
            </wp:positionV>
            <wp:extent cx="88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-868045</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-850900</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-833755</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-816610</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-799465</wp:posOffset>
            </wp:positionV>
            <wp:extent cx="88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-782320</wp:posOffset>
            </wp:positionV>
            <wp:extent cx="88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-765175</wp:posOffset>
            </wp:positionV>
            <wp:extent cx="88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-748030</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-730885</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-713740</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-696595</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-679450</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-662305</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-645160</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-628015</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-610870</wp:posOffset>
            </wp:positionV>
            <wp:extent cx="88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-593725</wp:posOffset>
            </wp:positionV>
            <wp:extent cx="889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-576580</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-559435</wp:posOffset>
            </wp:positionV>
            <wp:extent cx="889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-542290</wp:posOffset>
            </wp:positionV>
            <wp:extent cx="88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-525145</wp:posOffset>
            </wp:positionV>
            <wp:extent cx="88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-508000</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-490855</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-473710</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-456565</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-439420</wp:posOffset>
            </wp:positionV>
            <wp:extent cx="88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-422275</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-405130</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-387985</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-370840</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-353695</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-336550</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-319405</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-302260</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-285115</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-267970</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-250825</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-233680</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-216535</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-199390</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-182245</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-165100</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-147955</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-130810</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-113665</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-96520</wp:posOffset>
            </wp:positionV>
            <wp:extent cx="889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-79375</wp:posOffset>
            </wp:positionV>
            <wp:extent cx="88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-62230</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-45085</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-27940</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-10795</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380" w:right="580"/>
        <w:spacing w:after="0" w:line="259" w:lineRule="auto"/>
        <w:rPr>
          <w:sz w:val="20"/>
          <w:szCs w:val="20"/>
          <w:color w:val="auto"/>
        </w:rPr>
      </w:pPr>
      <w:r>
        <w:rPr>
          <w:rFonts w:ascii="Arial" w:cs="Arial" w:eastAsia="Arial" w:hAnsi="Arial"/>
          <w:sz w:val="16"/>
          <w:szCs w:val="16"/>
          <w:color w:val="auto"/>
        </w:rPr>
        <w:t xml:space="preserve">her consent may affect the Participant’s ability to participate in the Plan. </w:t>
      </w:r>
      <w:r>
        <w:rPr>
          <w:rFonts w:ascii="Arial" w:cs="Arial" w:eastAsia="Arial" w:hAnsi="Arial"/>
          <w:sz w:val="16"/>
          <w:szCs w:val="16"/>
          <w:color w:val="222222"/>
        </w:rPr>
        <w:t>memberikan keizinan atau penarikan balik keizinan, Peserta fahami bahawa dia boleh</w:t>
      </w:r>
      <w:r>
        <w:rPr>
          <w:rFonts w:ascii="Arial" w:cs="Arial" w:eastAsia="Arial" w:hAnsi="Arial"/>
          <w:sz w:val="16"/>
          <w:szCs w:val="16"/>
          <w:color w:val="auto"/>
        </w:rPr>
        <w:t xml:space="preserve"> For more information on the consequences of a refusal to consent or </w:t>
      </w:r>
      <w:r>
        <w:rPr>
          <w:rFonts w:ascii="Arial" w:cs="Arial" w:eastAsia="Arial" w:hAnsi="Arial"/>
          <w:sz w:val="16"/>
          <w:szCs w:val="16"/>
          <w:color w:val="222222"/>
        </w:rPr>
        <w:t>menghubungi pentadbir pelan saham serantau di</w:t>
      </w:r>
      <w:r>
        <w:rPr>
          <w:rFonts w:ascii="Arial" w:cs="Arial" w:eastAsia="Arial" w:hAnsi="Arial"/>
          <w:sz w:val="16"/>
          <w:szCs w:val="16"/>
          <w:color w:val="auto"/>
        </w:rPr>
        <w:t xml:space="preserve"> Stock_Plan_Admin@Analog.com</w:t>
      </w:r>
      <w:r>
        <w:rPr>
          <w:rFonts w:ascii="Arial" w:cs="Arial" w:eastAsia="Arial" w:hAnsi="Arial"/>
          <w:sz w:val="16"/>
          <w:szCs w:val="16"/>
          <w:color w:val="222222"/>
        </w:rPr>
        <w:t>.</w:t>
      </w:r>
      <w:r>
        <w:rPr>
          <w:rFonts w:ascii="Arial" w:cs="Arial" w:eastAsia="Arial" w:hAnsi="Arial"/>
          <w:sz w:val="16"/>
          <w:szCs w:val="16"/>
          <w:color w:val="auto"/>
        </w:rPr>
        <w:t xml:space="preserve"> withdrawal of consent, the Participant understands that he or she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-371475</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-354330</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-337185</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-320040</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-302895</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-285750</wp:posOffset>
            </wp:positionV>
            <wp:extent cx="88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-268605</wp:posOffset>
            </wp:positionV>
            <wp:extent cx="88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-251460</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-234315</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-217170</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-200025</wp:posOffset>
            </wp:positionV>
            <wp:extent cx="889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-182880</wp:posOffset>
            </wp:positionV>
            <wp:extent cx="88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-165735</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-148590</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-131445</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-114300</wp:posOffset>
            </wp:positionV>
            <wp:extent cx="88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-97155</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-80010</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-62865</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-45720</wp:posOffset>
            </wp:positionV>
            <wp:extent cx="88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-28575</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-11430</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-371475</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-354330</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-337185</wp:posOffset>
            </wp:positionV>
            <wp:extent cx="889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-320040</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-302895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-285750</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-268605</wp:posOffset>
            </wp:positionV>
            <wp:extent cx="88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-251460</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-234315</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-217170</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-200025</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-182880</wp:posOffset>
            </wp:positionV>
            <wp:extent cx="889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-165735</wp:posOffset>
            </wp:positionV>
            <wp:extent cx="889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-148590</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-131445</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-114300</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-97155</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-80010</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-62865</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-45720</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-28575</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-11430</wp:posOffset>
            </wp:positionV>
            <wp:extent cx="88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-371475</wp:posOffset>
            </wp:positionV>
            <wp:extent cx="88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-354330</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-337185</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-320040</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-302895</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-285750</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-268605</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-251460</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-234315</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-217170</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-200025</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-182880</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-165735</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-148590</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-131445</wp:posOffset>
            </wp:positionV>
            <wp:extent cx="88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-114300</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-97155</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-80010</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-62865</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-45720</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-28575</wp:posOffset>
            </wp:positionV>
            <wp:extent cx="88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-11430</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380"/>
        <w:spacing w:after="0"/>
        <w:tabs>
          <w:tab w:leader="none" w:pos="1040" w:val="left"/>
          <w:tab w:leader="none" w:pos="1440" w:val="left"/>
          <w:tab w:leader="none" w:pos="1780" w:val="left"/>
          <w:tab w:leader="none" w:pos="2180" w:val="left"/>
          <w:tab w:leader="none" w:pos="2920" w:val="left"/>
          <w:tab w:leader="none" w:pos="3480" w:val="left"/>
          <w:tab w:leader="none" w:pos="3960" w:val="left"/>
          <w:tab w:leader="none" w:pos="5020" w:val="left"/>
        </w:tabs>
        <w:rPr>
          <w:sz w:val="20"/>
          <w:szCs w:val="20"/>
          <w:color w:val="auto"/>
        </w:rPr>
      </w:pPr>
      <w:r>
        <w:rPr>
          <w:rFonts w:ascii="Arial" w:cs="Arial" w:eastAsia="Arial" w:hAnsi="Arial"/>
          <w:sz w:val="16"/>
          <w:szCs w:val="16"/>
          <w:color w:val="auto"/>
        </w:rPr>
        <w:t>contact</w:t>
        <w:tab/>
        <w:t>his</w:t>
        <w:tab/>
        <w:t>or</w:t>
        <w:tab/>
        <w:t>her</w:t>
        <w:tab/>
        <w:t>regional</w:t>
        <w:tab/>
        <w:t>stock</w:t>
        <w:tab/>
        <w:t>plan</w:t>
        <w:tab/>
        <w:t>administrator</w:t>
      </w:r>
      <w:r>
        <w:rPr>
          <w:sz w:val="20"/>
          <w:szCs w:val="20"/>
          <w:color w:val="auto"/>
        </w:rPr>
        <w:tab/>
      </w:r>
      <w:r>
        <w:rPr>
          <w:rFonts w:ascii="Arial" w:cs="Arial" w:eastAsia="Arial" w:hAnsi="Arial"/>
          <w:sz w:val="14"/>
          <w:szCs w:val="14"/>
          <w:color w:val="auto"/>
        </w:rPr>
        <w: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-112395</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-95250</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-78105</wp:posOffset>
            </wp:positionV>
            <wp:extent cx="88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-60960</wp:posOffset>
            </wp:positionV>
            <wp:extent cx="88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-43815</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-26670</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-9525</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6985</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-112395</wp:posOffset>
            </wp:positionV>
            <wp:extent cx="88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-95250</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-78105</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-60960</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-43815</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-26670</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-9525</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6985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-112395</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-95250</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-78105</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-60960</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-43815</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-26670</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-9525</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6985</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33020</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33020</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33020</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33020</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33020</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33020</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33020</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33020</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33020</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33020</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33020</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33020</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33020</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33020</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33020</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33020</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33020</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33020</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33020</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33020</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33020</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33020</wp:posOffset>
            </wp:positionV>
            <wp:extent cx="889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33020</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33020</wp:posOffset>
            </wp:positionV>
            <wp:extent cx="88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33020</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33020</wp:posOffset>
            </wp:positionV>
            <wp:extent cx="88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33020</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33020</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33020</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33020</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33020</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33020</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33020</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33020</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33020</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33020</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33020</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33020</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33020</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33020</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33020</wp:posOffset>
            </wp:positionV>
            <wp:extent cx="889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33020</wp:posOffset>
            </wp:positionV>
            <wp:extent cx="889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33020</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33020</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33020</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33020</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33020</wp:posOffset>
            </wp:positionV>
            <wp:extent cx="889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33020</wp:posOffset>
            </wp:positionV>
            <wp:extent cx="88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33020</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33020</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33020</wp:posOffset>
            </wp:positionV>
            <wp:extent cx="889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33020</wp:posOffset>
            </wp:positionV>
            <wp:extent cx="889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33020</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33020</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33020</wp:posOffset>
            </wp:positionV>
            <wp:extent cx="889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33020</wp:posOffset>
            </wp:positionV>
            <wp:extent cx="889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33020</wp:posOffset>
            </wp:positionV>
            <wp:extent cx="889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33020</wp:posOffset>
            </wp:positionV>
            <wp:extent cx="88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33020</wp:posOffset>
            </wp:positionV>
            <wp:extent cx="88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33020</wp:posOffset>
            </wp:positionV>
            <wp:extent cx="889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33020</wp:posOffset>
            </wp:positionV>
            <wp:extent cx="889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33020</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33020</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33020</wp:posOffset>
            </wp:positionV>
            <wp:extent cx="889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33020</wp:posOffset>
            </wp:positionV>
            <wp:extent cx="889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33020</wp:posOffset>
            </wp:positionV>
            <wp:extent cx="889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33020</wp:posOffset>
            </wp:positionV>
            <wp:extent cx="88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33020</wp:posOffset>
            </wp:positionV>
            <wp:extent cx="88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33020</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33020</wp:posOffset>
            </wp:positionV>
            <wp:extent cx="889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33020</wp:posOffset>
            </wp:positionV>
            <wp:extent cx="88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33020</wp:posOffset>
            </wp:positionV>
            <wp:extent cx="889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33020</wp:posOffset>
            </wp:positionV>
            <wp:extent cx="889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33020</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33020</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33020</wp:posOffset>
            </wp:positionV>
            <wp:extent cx="889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33020</wp:posOffset>
            </wp:positionV>
            <wp:extent cx="88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33020</wp:posOffset>
            </wp:positionV>
            <wp:extent cx="889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33020</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33020</wp:posOffset>
            </wp:positionV>
            <wp:extent cx="88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33020</wp:posOffset>
            </wp:positionV>
            <wp:extent cx="889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33020</wp:posOffset>
            </wp:positionV>
            <wp:extent cx="889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33020</wp:posOffset>
            </wp:positionV>
            <wp:extent cx="88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33020</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33020</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33020</wp:posOffset>
            </wp:positionV>
            <wp:extent cx="88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33020</wp:posOffset>
            </wp:positionV>
            <wp:extent cx="889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33020</wp:posOffset>
            </wp:positionV>
            <wp:extent cx="889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33020</wp:posOffset>
            </wp:positionV>
            <wp:extent cx="88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33020</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33020</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33020</wp:posOffset>
            </wp:positionV>
            <wp:extent cx="889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33020</wp:posOffset>
            </wp:positionV>
            <wp:extent cx="889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33020</wp:posOffset>
            </wp:positionV>
            <wp:extent cx="889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33020</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33020</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33020</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33020</wp:posOffset>
            </wp:positionV>
            <wp:extent cx="88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33020</wp:posOffset>
            </wp:positionV>
            <wp:extent cx="889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33020</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33020</wp:posOffset>
            </wp:positionV>
            <wp:extent cx="889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33020</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33020</wp:posOffset>
            </wp:positionV>
            <wp:extent cx="889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33020</wp:posOffset>
            </wp:positionV>
            <wp:extent cx="88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33020</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33020</wp:posOffset>
            </wp:positionV>
            <wp:extent cx="889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33020</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33020</wp:posOffset>
            </wp:positionV>
            <wp:extent cx="88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33020</wp:posOffset>
            </wp:positionV>
            <wp:extent cx="889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33020</wp:posOffset>
            </wp:positionV>
            <wp:extent cx="889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33020</wp:posOffset>
            </wp:positionV>
            <wp:extent cx="889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33020</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33020</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33020</wp:posOffset>
            </wp:positionV>
            <wp:extent cx="889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33020</wp:posOffset>
            </wp:positionV>
            <wp:extent cx="889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33020</wp:posOffset>
            </wp:positionV>
            <wp:extent cx="889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33020</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33020</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33020</wp:posOffset>
            </wp:positionV>
            <wp:extent cx="889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33020</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33020</wp:posOffset>
            </wp:positionV>
            <wp:extent cx="88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33020</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33020</wp:posOffset>
            </wp:positionV>
            <wp:extent cx="889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33020</wp:posOffset>
            </wp:positionV>
            <wp:extent cx="88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33020</wp:posOffset>
            </wp:positionV>
            <wp:extent cx="889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33020</wp:posOffset>
            </wp:positionV>
            <wp:extent cx="889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33020</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33020</wp:posOffset>
            </wp:positionV>
            <wp:extent cx="889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33020</wp:posOffset>
            </wp:positionV>
            <wp:extent cx="889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33020</wp:posOffset>
            </wp:positionV>
            <wp:extent cx="88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33020</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33020</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33020</wp:posOffset>
            </wp:positionV>
            <wp:extent cx="889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33020</wp:posOffset>
            </wp:positionV>
            <wp:extent cx="889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33020</wp:posOffset>
            </wp:positionV>
            <wp:extent cx="889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33020</wp:posOffset>
            </wp:positionV>
            <wp:extent cx="889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33020</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33020</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33020</wp:posOffset>
            </wp:positionV>
            <wp:extent cx="88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33020</wp:posOffset>
            </wp:positionV>
            <wp:extent cx="88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33020</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33020</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33020</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33020</wp:posOffset>
            </wp:positionV>
            <wp:extent cx="889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33020</wp:posOffset>
            </wp:positionV>
            <wp:extent cx="889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33020</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33020</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33020</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33020</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33020</wp:posOffset>
            </wp:positionV>
            <wp:extent cx="889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33020</wp:posOffset>
            </wp:positionV>
            <wp:extent cx="88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33020</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33020</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33020</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33020</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33020</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33020</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33020</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33020</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33020</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33020</wp:posOffset>
            </wp:positionV>
            <wp:extent cx="88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33020</wp:posOffset>
            </wp:positionV>
            <wp:extent cx="88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33020</wp:posOffset>
            </wp:positionV>
            <wp:extent cx="88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33020</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33020</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33020</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33020</wp:posOffset>
            </wp:positionV>
            <wp:extent cx="88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33020</wp:posOffset>
            </wp:positionV>
            <wp:extent cx="88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33020</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33020</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33020</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33020</wp:posOffset>
            </wp:positionV>
            <wp:extent cx="88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33020</wp:posOffset>
            </wp:positionV>
            <wp:extent cx="889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33020</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33020</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33020</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33020</wp:posOffset>
            </wp:positionV>
            <wp:extent cx="88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33020</wp:posOffset>
            </wp:positionV>
            <wp:extent cx="88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33020</wp:posOffset>
            </wp:positionV>
            <wp:extent cx="889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33020</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33020</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33020</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33020</wp:posOffset>
            </wp:positionV>
            <wp:extent cx="889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33020</wp:posOffset>
            </wp:positionV>
            <wp:extent cx="88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33020</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33020</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33020</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33020</wp:posOffset>
            </wp:positionV>
            <wp:extent cx="889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33020</wp:posOffset>
            </wp:positionV>
            <wp:extent cx="889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33020</wp:posOffset>
            </wp:positionV>
            <wp:extent cx="88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33020</wp:posOffset>
            </wp:positionV>
            <wp:extent cx="889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33020</wp:posOffset>
            </wp:positionV>
            <wp:extent cx="889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33020</wp:posOffset>
            </wp:positionV>
            <wp:extent cx="88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33020</wp:posOffset>
            </wp:positionV>
            <wp:extent cx="88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33020</wp:posOffset>
            </wp:positionV>
            <wp:extent cx="889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33020</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33020</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33020</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33020</wp:posOffset>
            </wp:positionV>
            <wp:extent cx="88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33020</wp:posOffset>
            </wp:positionV>
            <wp:extent cx="88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33020</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33020</wp:posOffset>
            </wp:positionV>
            <wp:extent cx="88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33020</wp:posOffset>
            </wp:positionV>
            <wp:extent cx="88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33020</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33020</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33020</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33020</wp:posOffset>
            </wp:positionV>
            <wp:extent cx="889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33020</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33020</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-103505</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-86360</wp:posOffset>
            </wp:positionV>
            <wp:extent cx="88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-69215</wp:posOffset>
            </wp:positionV>
            <wp:extent cx="889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-52070</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-34925</wp:posOffset>
            </wp:positionV>
            <wp:extent cx="88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-17780</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-635</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15875</wp:posOffset>
            </wp:positionV>
            <wp:extent cx="889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33020</wp:posOffset>
            </wp:positionV>
            <wp:extent cx="88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-103505</wp:posOffset>
            </wp:positionV>
            <wp:extent cx="3087370" cy="14605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3087370" cy="146050"/>
                    </a:xfrm>
                    <a:prstGeom prst="rect">
                      <a:avLst/>
                    </a:prstGeom>
                    <a:noFill/>
                  </pic:spPr>
                </pic:pic>
              </a:graphicData>
            </a:graphic>
          </wp:anchor>
        </w:drawing>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MEXICO</w:t>
      </w:r>
    </w:p>
    <w:p>
      <w:pPr>
        <w:spacing w:after="0" w:line="198"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u w:val="single" w:color="auto"/>
          <w:color w:val="auto"/>
        </w:rPr>
        <w:t>Acknowledgment of the Agreement</w:t>
      </w:r>
      <w:r>
        <w:rPr>
          <w:rFonts w:ascii="Arial" w:cs="Arial" w:eastAsia="Arial" w:hAnsi="Arial"/>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6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u w:val="single" w:color="auto"/>
          <w:color w:val="auto"/>
        </w:rPr>
        <w:t>Labor Law Policy and Acknowledgment</w:t>
      </w:r>
      <w:r>
        <w:rPr>
          <w:rFonts w:ascii="Arial" w:cs="Arial" w:eastAsia="Arial" w:hAnsi="Arial"/>
          <w:sz w:val="16"/>
          <w:szCs w:val="16"/>
          <w:color w:val="auto"/>
        </w:rPr>
        <w:t>. By participating in the Plan, the Participant expressly recognizes that Analog Devices, Inc., with registered offices at One Technology Way, Norwood, Massachusetts, 02062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w:t>
      </w:r>
    </w:p>
    <w:p>
      <w:pPr>
        <w:spacing w:after="0" w:line="39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B - 8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969"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46" w:lineRule="exact"/>
        <w:rPr>
          <w:sz w:val="20"/>
          <w:szCs w:val="20"/>
          <w:color w:val="auto"/>
        </w:rPr>
      </w:pPr>
    </w:p>
    <w:p>
      <w:pPr>
        <w:jc w:val="both"/>
        <w:ind w:left="340"/>
        <w:spacing w:after="0" w:line="310" w:lineRule="auto"/>
        <w:rPr>
          <w:sz w:val="20"/>
          <w:szCs w:val="20"/>
          <w:color w:val="auto"/>
        </w:rPr>
      </w:pPr>
      <w:r>
        <w:rPr>
          <w:rFonts w:ascii="Arial" w:cs="Arial" w:eastAsia="Arial" w:hAnsi="Arial"/>
          <w:sz w:val="15"/>
          <w:szCs w:val="15"/>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22" w:lineRule="exact"/>
        <w:rPr>
          <w:sz w:val="20"/>
          <w:szCs w:val="20"/>
          <w:color w:val="auto"/>
        </w:rPr>
      </w:pPr>
    </w:p>
    <w:p>
      <w:pPr>
        <w:jc w:val="both"/>
        <w:ind w:left="340"/>
        <w:spacing w:after="0" w:line="286" w:lineRule="auto"/>
        <w:rPr>
          <w:sz w:val="20"/>
          <w:szCs w:val="20"/>
          <w:color w:val="auto"/>
        </w:rPr>
      </w:pPr>
      <w:r>
        <w:rPr>
          <w:rFonts w:ascii="Arial" w:cs="Arial" w:eastAsia="Arial" w:hAnsi="Arial"/>
          <w:sz w:val="15"/>
          <w:szCs w:val="15"/>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40" w:lineRule="exact"/>
        <w:rPr>
          <w:sz w:val="20"/>
          <w:szCs w:val="20"/>
          <w:color w:val="auto"/>
        </w:rPr>
      </w:pPr>
    </w:p>
    <w:p>
      <w:pPr>
        <w:jc w:val="both"/>
        <w:ind w:left="340"/>
        <w:spacing w:after="0" w:line="274" w:lineRule="auto"/>
        <w:rPr>
          <w:sz w:val="20"/>
          <w:szCs w:val="20"/>
          <w:color w:val="auto"/>
        </w:rPr>
      </w:pPr>
      <w:r>
        <w:rPr>
          <w:rFonts w:ascii="Arial" w:cs="Arial" w:eastAsia="Arial" w:hAnsi="Arial"/>
          <w:sz w:val="15"/>
          <w:szCs w:val="15"/>
          <w:i w:val="1"/>
          <w:iCs w:val="1"/>
          <w:u w:val="single" w:color="auto"/>
          <w:color w:val="auto"/>
        </w:rPr>
        <w:t>Reconocimiento del Contrato</w:t>
      </w:r>
      <w:r>
        <w:rPr>
          <w:rFonts w:ascii="Arial" w:cs="Arial" w:eastAsia="Arial" w:hAnsi="Arial"/>
          <w:sz w:val="15"/>
          <w:szCs w:val="15"/>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0"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i w:val="1"/>
          <w:iCs w:val="1"/>
          <w:u w:val="single" w:color="auto"/>
          <w:color w:val="auto"/>
        </w:rPr>
        <w:t>Política de Legislación Laboral y Reconocimiento</w:t>
      </w:r>
      <w:r>
        <w:rPr>
          <w:rFonts w:ascii="Arial" w:cs="Arial" w:eastAsia="Arial" w:hAnsi="Arial"/>
          <w:sz w:val="16"/>
          <w:szCs w:val="16"/>
          <w:i w:val="1"/>
          <w:iCs w:val="1"/>
          <w:color w:val="auto"/>
        </w:rPr>
        <w:t>. Al participar en el Plan, usted reconoce expresamente que Analog Devices, Inc., con oficinas registradas en One Technology Way, Norwood, Massachusetts, 02062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64"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6"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NETHERLANDS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67"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By accepting the RSU, the Participant acknowledges that the RSU is intended as an incentive for the Participant to remain employed with the Employer and is not intended as remuneration for labor performed.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PHILIPPINES</w:t>
      </w:r>
    </w:p>
    <w:p>
      <w:pPr>
        <w:spacing w:after="0" w:line="198"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securities being offered or sold herein have not been registered with the Philippines Securities and Exchange Commission (“PSEC”) under its Securities Regulation Code (the “SRC”).</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grant of Performance RSUs is being made pursuant to an exemption from registration under Section 10.2 of the SRC that has been approved by the PSEC.</w:t>
      </w:r>
    </w:p>
    <w:p>
      <w:pPr>
        <w:spacing w:after="0" w:line="206" w:lineRule="exact"/>
        <w:rPr>
          <w:sz w:val="20"/>
          <w:szCs w:val="20"/>
          <w:color w:val="auto"/>
        </w:rPr>
      </w:pPr>
    </w:p>
    <w:p>
      <w:pPr>
        <w:jc w:val="both"/>
        <w:ind w:left="340"/>
        <w:spacing w:after="0" w:line="274" w:lineRule="auto"/>
        <w:rPr>
          <w:sz w:val="20"/>
          <w:szCs w:val="20"/>
          <w:color w:val="auto"/>
        </w:rPr>
      </w:pPr>
      <w:r>
        <w:rPr>
          <w:rFonts w:ascii="Arial" w:cs="Arial" w:eastAsia="Arial" w:hAnsi="Arial"/>
          <w:sz w:val="15"/>
          <w:szCs w:val="15"/>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150"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156"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color w:val="auto"/>
        </w:rPr>
        <w:t>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B - 9</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 xml:space="preserve">the facilities of a stock exchange on which the Shares are listed. The Shares are currently listed on Nasdaq. The Company’s designated broker should be able to assist the Participant in the sale of Shares on Nasdaq. </w:t>
      </w:r>
      <w:r>
        <w:rPr>
          <w:rFonts w:ascii="Arial" w:cs="Arial" w:eastAsia="Arial" w:hAnsi="Arial"/>
          <w:sz w:val="16"/>
          <w:szCs w:val="16"/>
          <w:i w:val="1"/>
          <w:iCs w:val="1"/>
          <w:color w:val="auto"/>
        </w:rPr>
        <w:t>If the Participant has questions with regard to the application of Philippines securities laws to the disposal or sale of Shares</w:t>
      </w:r>
      <w:r>
        <w:rPr>
          <w:rFonts w:ascii="Arial" w:cs="Arial" w:eastAsia="Arial" w:hAnsi="Arial"/>
          <w:sz w:val="16"/>
          <w:szCs w:val="16"/>
          <w:color w:val="auto"/>
        </w:rPr>
        <w:t xml:space="preserve"> </w:t>
      </w:r>
      <w:r>
        <w:rPr>
          <w:rFonts w:ascii="Arial" w:cs="Arial" w:eastAsia="Arial" w:hAnsi="Arial"/>
          <w:sz w:val="16"/>
          <w:szCs w:val="16"/>
          <w:i w:val="1"/>
          <w:iCs w:val="1"/>
          <w:color w:val="auto"/>
        </w:rPr>
        <w:t>acquired under the Plan the Participant should consult with his or her legal advisor.</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POLAND</w:t>
      </w:r>
    </w:p>
    <w:p>
      <w:pPr>
        <w:spacing w:after="0" w:line="198" w:lineRule="exact"/>
        <w:rPr>
          <w:sz w:val="20"/>
          <w:szCs w:val="20"/>
          <w:color w:val="auto"/>
        </w:rPr>
      </w:pPr>
    </w:p>
    <w:p>
      <w:pPr>
        <w:jc w:val="both"/>
        <w:ind w:left="340"/>
        <w:spacing w:after="0" w:line="315"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9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ROMANIA</w:t>
      </w:r>
    </w:p>
    <w:p>
      <w:pPr>
        <w:spacing w:after="0" w:line="198" w:lineRule="exact"/>
        <w:rPr>
          <w:sz w:val="20"/>
          <w:szCs w:val="20"/>
          <w:color w:val="auto"/>
        </w:rPr>
      </w:pPr>
    </w:p>
    <w:p>
      <w:pPr>
        <w:jc w:val="both"/>
        <w:ind w:left="340"/>
        <w:spacing w:after="0" w:line="286"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SERBIA</w:t>
      </w:r>
    </w:p>
    <w:p>
      <w:pPr>
        <w:spacing w:after="0" w:line="198"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Performance RSUs and the issuance of any Shares are not subject to the regulations concerning public offers and private placements under the Law on Capital Markets.</w:t>
      </w:r>
    </w:p>
    <w:p>
      <w:pPr>
        <w:spacing w:after="0" w:line="146" w:lineRule="exact"/>
        <w:rPr>
          <w:sz w:val="20"/>
          <w:szCs w:val="20"/>
          <w:color w:val="auto"/>
        </w:rPr>
      </w:pPr>
    </w:p>
    <w:p>
      <w:pPr>
        <w:jc w:val="both"/>
        <w:ind w:left="340"/>
        <w:spacing w:after="0" w:line="315"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SINGAPORE</w:t>
      </w:r>
    </w:p>
    <w:p>
      <w:pPr>
        <w:spacing w:after="0" w:line="198"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Performance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w:t>
      </w:r>
    </w:p>
    <w:p>
      <w:pPr>
        <w:spacing w:after="0" w:line="165"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u w:val="single" w:color="auto"/>
          <w:color w:val="auto"/>
        </w:rPr>
        <w:t>Chief Executive Officer and Director Notification</w:t>
      </w:r>
      <w:r>
        <w:rPr>
          <w:rFonts w:ascii="Arial" w:cs="Arial" w:eastAsia="Arial" w:hAnsi="Arial"/>
          <w:sz w:val="16"/>
          <w:szCs w:val="16"/>
          <w:color w:val="auto"/>
        </w:rPr>
        <w:t>. If the Participant is the Chief Executive Officer (“CEO”) or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6"/>
          <w:szCs w:val="16"/>
          <w:i w:val="1"/>
          <w:iCs w:val="1"/>
          <w:color w:val="auto"/>
        </w:rPr>
        <w:t>e.g.</w:t>
      </w:r>
      <w:r>
        <w:rPr>
          <w:rFonts w:ascii="Arial" w:cs="Arial" w:eastAsia="Arial" w:hAnsi="Arial"/>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CEO or director, associate director, or shadow director.</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SPAIN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67"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In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w:t>
      </w:r>
    </w:p>
    <w:p>
      <w:pPr>
        <w:spacing w:after="0" w:line="20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APPENDIX B - 10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160" w:lineRule="exact"/>
        <w:rPr>
          <w:sz w:val="20"/>
          <w:szCs w:val="20"/>
          <w:color w:val="auto"/>
        </w:rPr>
      </w:pPr>
    </w:p>
    <w:p>
      <w:pPr>
        <w:jc w:val="both"/>
        <w:ind w:left="340"/>
        <w:spacing w:after="0" w:line="267" w:lineRule="auto"/>
        <w:rPr>
          <w:sz w:val="20"/>
          <w:szCs w:val="20"/>
          <w:color w:val="auto"/>
        </w:rPr>
      </w:pPr>
      <w:r>
        <w:rPr>
          <w:rFonts w:ascii="Arial" w:cs="Arial" w:eastAsia="Arial" w:hAnsi="Arial"/>
          <w:sz w:val="15"/>
          <w:szCs w:val="15"/>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Arial" w:cs="Arial" w:eastAsia="Arial" w:hAnsi="Arial"/>
          <w:sz w:val="15"/>
          <w:szCs w:val="15"/>
          <w:i w:val="1"/>
          <w:iCs w:val="1"/>
          <w:color w:val="auto"/>
        </w:rPr>
        <w:t>despido improcedente</w:t>
      </w:r>
      <w:r>
        <w:rPr>
          <w:rFonts w:ascii="Arial" w:cs="Arial" w:eastAsia="Arial" w:hAnsi="Arial"/>
          <w:sz w:val="15"/>
          <w:szCs w:val="15"/>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Participant acknowledges that he or she has read and specifically accepts the conditions referred to in Section 2 of the Agreement.</w:t>
      </w:r>
    </w:p>
    <w:p>
      <w:pPr>
        <w:spacing w:after="0" w:line="194"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and does not constitute a public offering prospectus.</w:t>
      </w:r>
    </w:p>
    <w:p>
      <w:pPr>
        <w:spacing w:after="0" w:line="160"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xml:space="preserve">. The Participant acknowledges that he or she must declare any Shares that are acquired under the Plan to the </w:t>
      </w:r>
      <w:r>
        <w:rPr>
          <w:rFonts w:ascii="Arial" w:cs="Arial" w:eastAsia="Arial" w:hAnsi="Arial"/>
          <w:sz w:val="16"/>
          <w:szCs w:val="16"/>
          <w:i w:val="1"/>
          <w:iCs w:val="1"/>
          <w:color w:val="auto"/>
        </w:rPr>
        <w:t>Dirección General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Comercio e Inversiones </w:t>
      </w:r>
      <w:r>
        <w:rPr>
          <w:rFonts w:ascii="Arial" w:cs="Arial" w:eastAsia="Arial" w:hAnsi="Arial"/>
          <w:sz w:val="16"/>
          <w:szCs w:val="16"/>
          <w:color w:val="auto"/>
        </w:rPr>
        <w:t>of the Ministry of Economy and Competitiveness (the “DGCI”). After the initial declaration, the declaration must be filed with the DGCI on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each January while the shares are owned; however, if the value of the Shares or the sale proceeds exceed a certain amount, a declaration must be filed within one month of the acquisition or sale, as applicable.</w:t>
      </w:r>
    </w:p>
    <w:p>
      <w:pPr>
        <w:spacing w:after="0" w:line="160"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16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SWEDEN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SWITZERLAND</w:t>
      </w:r>
    </w:p>
    <w:p>
      <w:pPr>
        <w:spacing w:after="0" w:line="198" w:lineRule="exact"/>
        <w:rPr>
          <w:sz w:val="20"/>
          <w:szCs w:val="20"/>
          <w:color w:val="auto"/>
        </w:rPr>
      </w:pPr>
    </w:p>
    <w:p>
      <w:pPr>
        <w:jc w:val="both"/>
        <w:ind w:left="340"/>
        <w:spacing w:after="0" w:line="274" w:lineRule="auto"/>
        <w:rPr>
          <w:sz w:val="20"/>
          <w:szCs w:val="20"/>
          <w:color w:val="auto"/>
        </w:rPr>
      </w:pPr>
      <w:r>
        <w:rPr>
          <w:rFonts w:ascii="Arial" w:cs="Arial" w:eastAsia="Arial" w:hAnsi="Arial"/>
          <w:sz w:val="15"/>
          <w:szCs w:val="15"/>
          <w:u w:val="single" w:color="auto"/>
          <w:color w:val="auto"/>
        </w:rPr>
        <w:t>Securities Law Information</w:t>
      </w:r>
      <w:r>
        <w:rPr>
          <w:rFonts w:ascii="Arial" w:cs="Arial" w:eastAsia="Arial" w:hAnsi="Arial"/>
          <w:sz w:val="15"/>
          <w:szCs w:val="15"/>
          <w:color w:val="auto"/>
        </w:rPr>
        <w:t>. The grant of Performance RSUs and the issuance of any Shares is not intended to be a public offering in Switzerland and is therefore not subject to registration in Switzerland. Neither this document nor any materials relating to the Performance RSUs constitutes a prospectus as such term is understood pursuant to article 652a of the Swiss Code of Obligations, and neither this document nor any other materials relating to the Performance RSUs may be publicly distributed nor otherwise made publicly available in Switzerland. Neither this document nor any other offering or marketing material relating to the Performance RSUs has been or will be filed with, approved or supervised by any Swiss regulatory authority (in particular, the Swiss Financial Supervisory Authority (FINMA)).</w:t>
      </w:r>
    </w:p>
    <w:p>
      <w:pPr>
        <w:spacing w:after="0" w:line="37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APPENDIX B - 11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6"/>
          <w:szCs w:val="16"/>
          <w:b w:val="1"/>
          <w:bCs w:val="1"/>
          <w:color w:val="auto"/>
        </w:rPr>
        <w:t>APPENDIX B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TAIWAN</w:t>
      </w:r>
    </w:p>
    <w:p>
      <w:pPr>
        <w:spacing w:after="0" w:line="198" w:lineRule="exact"/>
        <w:rPr>
          <w:sz w:val="20"/>
          <w:szCs w:val="20"/>
          <w:color w:val="auto"/>
        </w:rPr>
      </w:pPr>
    </w:p>
    <w:p>
      <w:pPr>
        <w:jc w:val="both"/>
        <w:ind w:left="340"/>
        <w:spacing w:after="0" w:line="298" w:lineRule="auto"/>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135"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Performance RSUs and participation in the Plan is made available only to employees of the Company and the Employer. It is not a public offer of securities by a Taiwanese company. Therefore, it is exempt from registration in Taiwan.</w:t>
      </w:r>
    </w:p>
    <w:p>
      <w:pPr>
        <w:spacing w:after="0" w:line="146"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Individuals may acquire foreign currency (including proceeds from the sale of Shares) into Taiwan up to US$5,000,000 per year without justification.</w:t>
      </w:r>
    </w:p>
    <w:p>
      <w:pPr>
        <w:spacing w:after="0" w:line="146" w:lineRule="exact"/>
        <w:rPr>
          <w:sz w:val="20"/>
          <w:szCs w:val="20"/>
          <w:color w:val="auto"/>
        </w:rPr>
      </w:pPr>
    </w:p>
    <w:p>
      <w:pPr>
        <w:jc w:val="both"/>
        <w:ind w:left="340"/>
        <w:spacing w:after="0" w:line="310" w:lineRule="auto"/>
        <w:rPr>
          <w:sz w:val="20"/>
          <w:szCs w:val="20"/>
          <w:color w:val="auto"/>
        </w:rPr>
      </w:pPr>
      <w:r>
        <w:rPr>
          <w:rFonts w:ascii="Arial" w:cs="Arial" w:eastAsia="Arial" w:hAnsi="Arial"/>
          <w:sz w:val="15"/>
          <w:szCs w:val="15"/>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TURKEY</w:t>
      </w:r>
    </w:p>
    <w:p>
      <w:pPr>
        <w:spacing w:after="0" w:line="198"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46"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194"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46" w:lineRule="exact"/>
        <w:rPr>
          <w:sz w:val="20"/>
          <w:szCs w:val="20"/>
          <w:color w:val="auto"/>
        </w:rPr>
      </w:pPr>
    </w:p>
    <w:p>
      <w:pPr>
        <w:jc w:val="both"/>
        <w:ind w:left="340"/>
        <w:spacing w:after="0" w:line="310" w:lineRule="auto"/>
        <w:rPr>
          <w:sz w:val="20"/>
          <w:szCs w:val="20"/>
          <w:color w:val="auto"/>
        </w:rPr>
      </w:pPr>
      <w:r>
        <w:rPr>
          <w:rFonts w:ascii="Arial" w:cs="Arial" w:eastAsia="Arial" w:hAnsi="Arial"/>
          <w:sz w:val="15"/>
          <w:szCs w:val="15"/>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122"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u w:val="single" w:color="auto"/>
          <w:color w:val="auto"/>
        </w:rPr>
        <w:t>Joint Election</w:t>
      </w:r>
      <w:r>
        <w:rPr>
          <w:rFonts w:ascii="Arial" w:cs="Arial" w:eastAsia="Arial" w:hAnsi="Arial"/>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156"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64" w:lineRule="exact"/>
        <w:rPr>
          <w:sz w:val="20"/>
          <w:szCs w:val="20"/>
          <w:color w:val="auto"/>
        </w:rPr>
      </w:pPr>
    </w:p>
    <w:p>
      <w:pPr>
        <w:jc w:val="both"/>
        <w:ind w:left="340"/>
        <w:spacing w:after="0" w:line="310" w:lineRule="auto"/>
        <w:rPr>
          <w:sz w:val="20"/>
          <w:szCs w:val="20"/>
          <w:color w:val="auto"/>
        </w:rPr>
      </w:pPr>
      <w:r>
        <w:rPr>
          <w:rFonts w:ascii="Arial" w:cs="Arial" w:eastAsia="Arial" w:hAnsi="Arial"/>
          <w:sz w:val="15"/>
          <w:szCs w:val="15"/>
          <w:i w:val="1"/>
          <w:iCs w:val="1"/>
          <w:color w:val="auto"/>
        </w:rPr>
        <w:t>The Joint Election is attached hereto as Appendix F.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35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APPENDIX B - 12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75" w:name="page76"/>
    <w:bookmarkEnd w:id="75"/>
    <w:p>
      <w:pPr>
        <w:ind w:left="5220"/>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OFFER OF RESTRICTED STOCK UNITS</w:t>
      </w:r>
    </w:p>
    <w:p>
      <w:pPr>
        <w:spacing w:after="0" w:line="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TO AUSTRALIAN RESIDENT EMPLOYEES</w:t>
      </w:r>
    </w:p>
    <w:p>
      <w:pPr>
        <w:spacing w:after="0" w:line="230"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Investment in shares involves a degree of risk. Eligible employees who elect to participate in the Plans should monitor their participation and consider all risk factors relevant to the acquisition of shares of common stock under the Plans as set out in this Offer Document and the Additional Documents.</w:t>
      </w:r>
    </w:p>
    <w:p>
      <w:pPr>
        <w:spacing w:after="0" w:line="8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pleased to provide you with this offer to participate in the Analog Devices, Inc. Amended and Restated 2006 Stock Incentive Plan (the “Plan”). This Offer Document sets out information regarding the grant of restricted stock units (“Restricted Stock Units”) over shares of common stock (“Shares”) of Analog Devices, Inc. (the “Company”) to Australian resident employees and directors of the Company and its Australian Subsidiary.</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has adopted the Plan to enable the Company and its subsidiaries to attract, retain and motivate their employees by providing for or increasing the proprietary interests of such employees in the Company. The Plan and this Offer Document are intended to comply with the provisions of the Corporations Act 2001, ASIC Regulatory Guide 49 and ASIC Class Order CO 14/1000.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Any capitalized term used but not defined herein shall have the meaning ascribed to such term in the Plan.</w:t>
      </w:r>
    </w:p>
    <w:p>
      <w:pPr>
        <w:spacing w:after="0" w:line="21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OFFER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is an Offer of Restricted Share Units, as may be granted from time to time by the Company, to certain eligible employees in accordance with the Plan.</w:t>
      </w:r>
    </w:p>
    <w:p>
      <w:pPr>
        <w:spacing w:after="0" w:line="21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TERMS OF GRANT</w:t>
      </w:r>
    </w:p>
    <w:p>
      <w:pPr>
        <w:spacing w:after="0" w:line="22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terms of the grant of Restricted Stock Units incorporate the rules of the Plan, this Offer Document and the Global Restricted Stock Unit Agreement, and Appendix A thereto (the “Agreement”). By accepting a grant of Restricted Stock Units, you will be bound by the rules of the Plan, this Offer Document and the Agreement.</w:t>
      </w:r>
    </w:p>
    <w:p>
      <w:pPr>
        <w:spacing w:after="0" w:line="145"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DOCUMENTS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information set out in this Offer Document, attached are copies of the following documents:</w:t>
      </w:r>
    </w:p>
    <w:p>
      <w:pPr>
        <w:spacing w:after="0" w:line="221"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Plan;</w:t>
      </w:r>
    </w:p>
    <w:p>
      <w:pPr>
        <w:spacing w:after="0" w:line="221" w:lineRule="exact"/>
        <w:rPr>
          <w:rFonts w:ascii="Arial" w:cs="Arial" w:eastAsia="Arial" w:hAnsi="Arial"/>
          <w:sz w:val="16"/>
          <w:szCs w:val="16"/>
          <w:color w:val="auto"/>
        </w:rPr>
      </w:pPr>
    </w:p>
    <w:p>
      <w:pPr>
        <w:ind w:left="680" w:hanging="672"/>
        <w:spacing w:after="0"/>
        <w:tabs>
          <w:tab w:leader="none" w:pos="68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the Plan Prospectus; and</w:t>
      </w:r>
    </w:p>
    <w:p>
      <w:pPr>
        <w:spacing w:after="0" w:line="221" w:lineRule="exact"/>
        <w:rPr>
          <w:rFonts w:ascii="Arial" w:cs="Arial" w:eastAsia="Arial" w:hAnsi="Arial"/>
          <w:sz w:val="16"/>
          <w:szCs w:val="16"/>
          <w:b w:val="1"/>
          <w:bCs w:val="1"/>
          <w:color w:val="auto"/>
        </w:rPr>
      </w:pPr>
    </w:p>
    <w:p>
      <w:pPr>
        <w:ind w:left="680" w:hanging="672"/>
        <w:spacing w:after="0"/>
        <w:tabs>
          <w:tab w:leader="none" w:pos="68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“Additional Documents”).</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Agreement sets out, among other details, the vesting conditions applicable to your Restricted Stock Units, information on the settlement of your Restricted Stock Units and the consequences of a change in the nature or status of your employment.</w:t>
      </w:r>
    </w:p>
    <w:p>
      <w:pPr>
        <w:spacing w:after="0" w:line="17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The other Additional Documents provide further information to assist you to make an informed investment decision in relation to your participation in the Plan. Neither the Plan nor the 2006 Stock Incentive Plan Prospectus is a prospectus for the purposes of the </w:t>
      </w:r>
      <w:r>
        <w:rPr>
          <w:rFonts w:ascii="Arial" w:cs="Arial" w:eastAsia="Arial" w:hAnsi="Arial"/>
          <w:sz w:val="16"/>
          <w:szCs w:val="16"/>
          <w:i w:val="1"/>
          <w:iCs w:val="1"/>
          <w:color w:val="auto"/>
        </w:rPr>
        <w:t>Corporations Act</w:t>
      </w:r>
      <w:r>
        <w:rPr>
          <w:rFonts w:ascii="Arial" w:cs="Arial" w:eastAsia="Arial" w:hAnsi="Arial"/>
          <w:sz w:val="16"/>
          <w:szCs w:val="16"/>
          <w:color w:val="auto"/>
        </w:rPr>
        <w:t>.</w:t>
      </w:r>
    </w:p>
    <w:p>
      <w:pPr>
        <w:spacing w:after="0" w:line="169"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RELIANCE ON STATEMENTS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9"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WHO IS ELIGIBLE TO PARTICIPATE?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9"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ACCEPTING AN AWARD</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Agreement sets out additional terms and conditions of your Restricted Stock Unit award. You are not required to affirmatively accept your Restricted Stock Units award in writing.</w:t>
      </w: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C - 1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126" w:right="239" w:bottom="1440" w:gutter="0" w:footer="0" w:header="0"/>
        </w:sectPr>
      </w:pPr>
    </w:p>
    <w:bookmarkStart w:id="76" w:name="page77"/>
    <w:bookmarkEnd w:id="76"/>
    <w:p>
      <w:pPr>
        <w:ind w:left="5220"/>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OFFER OF RESTRICTED STOCK UNITS</w:t>
      </w:r>
    </w:p>
    <w:p>
      <w:pPr>
        <w:spacing w:after="0" w:line="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TO AUSTRALIAN RESIDENT EMPLOYEES</w:t>
      </w:r>
    </w:p>
    <w:p>
      <w:pPr>
        <w:spacing w:after="0" w:line="230"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MATERIAL TERMS OF THE RESTRICTED STOCK UNITS?</w:t>
      </w:r>
    </w:p>
    <w:p>
      <w:pPr>
        <w:spacing w:after="0" w:line="221" w:lineRule="exact"/>
        <w:rPr>
          <w:sz w:val="20"/>
          <w:szCs w:val="20"/>
          <w:color w:val="auto"/>
        </w:rPr>
      </w:pPr>
    </w:p>
    <w:p>
      <w:pPr>
        <w:ind w:left="620" w:hanging="612"/>
        <w:spacing w:after="0"/>
        <w:tabs>
          <w:tab w:leader="none" w:pos="62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What are Restricted Stock Units?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Restricted Stock Units represent the right to receive Shares upon fulfilment of the vesting conditions set out in your Agreement. The Restricted Stock Units are considered “restricted” because they are subject to forfeiture and restrictions on transfer until they vest. The restrictions are set forth in your Agreement. When your Restricted Stock Units vest, you will be issued Shares at no monetary cost (other than applicable taxes) to you. Notwithstanding anything to the contrary in the Plan, the Agreement, or any related document, your Restricted Stock Units will be settled in Shares.</w:t>
      </w:r>
    </w:p>
    <w:p>
      <w:pPr>
        <w:spacing w:after="0" w:line="183" w:lineRule="exact"/>
        <w:rPr>
          <w:sz w:val="20"/>
          <w:szCs w:val="20"/>
          <w:color w:val="auto"/>
        </w:rPr>
      </w:pPr>
    </w:p>
    <w:p>
      <w:pPr>
        <w:ind w:left="620" w:hanging="612"/>
        <w:spacing w:after="0"/>
        <w:tabs>
          <w:tab w:leader="none" w:pos="62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Do I have to pay any money to receive the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No. You pay no monetary consideration to receive the Restricted Stock Units, nor do you pay anything to receive the Shares upon vesting (other than applicable taxes).</w:t>
      </w:r>
    </w:p>
    <w:p>
      <w:pPr>
        <w:spacing w:after="0" w:line="229" w:lineRule="exact"/>
        <w:rPr>
          <w:sz w:val="20"/>
          <w:szCs w:val="20"/>
          <w:color w:val="auto"/>
        </w:rPr>
      </w:pPr>
    </w:p>
    <w:p>
      <w:pPr>
        <w:ind w:left="620" w:hanging="612"/>
        <w:spacing w:after="0"/>
        <w:tabs>
          <w:tab w:leader="none" w:pos="62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will I receive upon vesting of my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your Restricted Stock Units and the number of Shares subject to the award are set out in the Agreement.</w:t>
      </w:r>
    </w:p>
    <w:p>
      <w:pPr>
        <w:spacing w:after="0" w:line="21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When do I become a stockholder?</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You are not a stockholder merely as a result of holding Restricted Stock Units. The Restricted Stock Units will not entitle you to any shareholder rights, including the right to vote the Shares or receive dividends, notices of meetings, proxy statements and other materials provided to stockholders, until the restrictions lapse at vesting and the Restricted Stock Units are paid out in Shares. In this regard, you are not recorded as the owner of the Shares prior to vesting. You should refer to your Agreement for details of the consequences of a change in the nature of your employment.</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4"/>
          <w:szCs w:val="14"/>
          <w:b w:val="1"/>
          <w:bCs w:val="1"/>
          <w:color w:val="auto"/>
        </w:rPr>
        <w:t>Can I transfer the Restricted Stock Units to someone else?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 The Restricted Stock Units are generally non-transferable, unless otherwise provided in your Agreement; however, once Shares are issued upon vesting, the Shares will be freely tradeable (subject to the Company’s policies and applicable laws regarding insider trading).</w:t>
      </w:r>
    </w:p>
    <w:p>
      <w:pPr>
        <w:spacing w:after="0" w:line="169"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my employment with the Company or Australian Subsidiary terminates?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Your right to any unvested Restricted Stock Units will terminate when you terminate employment with the Company or its Australian Subsidiary for reasons including, but not limited to, retirement, resignation, lay-off, discharge, or other change of employment status.</w:t>
      </w:r>
    </w:p>
    <w:p>
      <w:pPr>
        <w:spacing w:after="0" w:line="169"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SHARE IN THE COMPANY</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Common stock of a U.S. corporation is analogous to an ordinary share of an Australian corporation. Each holder of a Share is entitled to one vote for every Share held in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paid on the Shares out of any funds of the Company legally available for dividends at the discretion of the board of directors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Shares are traded on the Nasdaq Global Select Market in the United States of America and are traded under the symbol “ADI”.</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9"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OBTAIN UPDATED INDICATIVE EXAMPLES OF THE CURRENT MARKET PRICE IN AUSTRALIAN DOLLARS?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may ascertain the current market price of the Shares as traded on the Nasdaq at http://www.nasdaq.com under the code “ADI”. The Australian dollar equivalent of that price can be obtained at: http://www.rba.gov.au/statistics/frequency/exchange-rates.html.</w:t>
      </w:r>
    </w:p>
    <w:p>
      <w:pPr>
        <w:spacing w:after="0" w:line="173"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This will not be a prediction of what the market price per Share will be when the Restricted Stock Units vest or settle or of the applicable exchange rate on the actual date of vesting or settlement.</w:t>
      </w:r>
    </w:p>
    <w:p>
      <w:pPr>
        <w:spacing w:after="0" w:line="169"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WHAT ADDITIONAL RISK FACTORS APPLY TO AUSTRALIAN RESIDENTS’ PARTICIPATION IN THE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w:t>
      </w:r>
    </w:p>
    <w:p>
      <w:pPr>
        <w:spacing w:after="0" w:line="200" w:lineRule="exact"/>
        <w:rPr>
          <w:sz w:val="20"/>
          <w:szCs w:val="20"/>
          <w:color w:val="auto"/>
        </w:rPr>
      </w:pPr>
    </w:p>
    <w:p>
      <w:pPr>
        <w:spacing w:after="0" w:line="21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C - 2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126" w:right="239" w:bottom="1440" w:gutter="0" w:footer="0" w:header="0"/>
        </w:sectPr>
      </w:pPr>
    </w:p>
    <w:bookmarkStart w:id="77" w:name="page78"/>
    <w:bookmarkEnd w:id="77"/>
    <w:p>
      <w:pPr>
        <w:ind w:left="5220"/>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OFFER OF RESTRICTED STOCK UNITS</w:t>
      </w:r>
    </w:p>
    <w:p>
      <w:pPr>
        <w:spacing w:after="0" w:line="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TO AUSTRALIAN RESIDENT EMPLOYEES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monetary or regulatory policies, legislation or regulation, the nature of the markets in which the Company operates and general operational and business risks.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http://www.sec.gov/, on the Company’s “Investor Relations” page at http://investor.analog.com/, and upon request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In addition, you should be aware that the Australian dollar value of the Shares you may acquire at vesting will be affected by the U.S. dollar/Australian dollar exchange rate.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the Plan involves certain risks related to fluctuations in this rate of exchange.</w:t>
      </w:r>
    </w:p>
    <w:p>
      <w:pPr>
        <w:spacing w:after="0" w:line="203"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PLAN MODIFICATION, TERMINATION ETC.</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79"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AUSTRALIAN TAX CONSEQUENCES OF PARTICIPATION IN THE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is a summary of the tax consequences as of October 2018 for an Australian resident employee who receives Restricted Stock Units under the Plan. You may also be subject to Medicare levy and surcharge.</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note that for Restricted Stock Units granted under the Plan prior to 1 July 2015, different employee share scheme rules apply. The following taxation summary applies only to Restricted Stock Units granted on or after 1 July 2015. If you hold Restricted Stock Units granted before 1 July 2015, please consult with your personal tax advisor on the applicable tax treatment.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This summary is necessarily general in nature and does not purport to be tax advice in relation to an actual or potential recipient of Restricted Stock Units.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If you are a citizen or resident of another country for local tax law purposes or if you transfer employment to another country after the Restricted Stock Units are granted to you, the information contained in this summary may not be applicable to you. </w:t>
      </w:r>
      <w:r>
        <w:rPr>
          <w:rFonts w:ascii="Arial" w:cs="Arial" w:eastAsia="Arial" w:hAnsi="Arial"/>
          <w:sz w:val="16"/>
          <w:szCs w:val="16"/>
          <w:i w:val="1"/>
          <w:iCs w:val="1"/>
          <w:color w:val="auto"/>
        </w:rPr>
        <w:t>You should seek appropriate professional advice as to how the tax or other laws in Australia and</w:t>
      </w:r>
      <w:r>
        <w:rPr>
          <w:rFonts w:ascii="Arial" w:cs="Arial" w:eastAsia="Arial" w:hAnsi="Arial"/>
          <w:sz w:val="16"/>
          <w:szCs w:val="16"/>
          <w:color w:val="auto"/>
        </w:rPr>
        <w:t xml:space="preserve"> </w:t>
      </w:r>
      <w:r>
        <w:rPr>
          <w:rFonts w:ascii="Arial" w:cs="Arial" w:eastAsia="Arial" w:hAnsi="Arial"/>
          <w:sz w:val="16"/>
          <w:szCs w:val="16"/>
          <w:i w:val="1"/>
          <w:iCs w:val="1"/>
          <w:color w:val="auto"/>
        </w:rPr>
        <w:t>in your country apply to your specific situation.</w:t>
      </w:r>
    </w:p>
    <w:p>
      <w:pPr>
        <w:spacing w:after="0" w:line="18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If you are awarded Restricted Stock Units under the Plan, you should not rely on this summary as anything other than a broad guide, and you should obtain independent taxation advice specific to your particular circumstances before making the decision to accept the Restricted Stock Units.</w:t>
      </w:r>
    </w:p>
    <w:p>
      <w:pPr>
        <w:spacing w:after="0" w:line="169" w:lineRule="exact"/>
        <w:rPr>
          <w:sz w:val="20"/>
          <w:szCs w:val="20"/>
          <w:color w:val="auto"/>
        </w:rPr>
      </w:pPr>
    </w:p>
    <w:p>
      <w:pPr>
        <w:ind w:left="620" w:hanging="612"/>
        <w:spacing w:after="0"/>
        <w:tabs>
          <w:tab w:leader="none" w:pos="62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effect of the grant of the Restricted Stock Units?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 xml:space="preserve">The Australian tax legislation contains specific rules, in Division 83A of the </w:t>
      </w:r>
      <w:r>
        <w:rPr>
          <w:rFonts w:ascii="Arial" w:cs="Arial" w:eastAsia="Arial" w:hAnsi="Arial"/>
          <w:sz w:val="16"/>
          <w:szCs w:val="16"/>
          <w:i w:val="1"/>
          <w:iCs w:val="1"/>
          <w:color w:val="auto"/>
        </w:rPr>
        <w:t>Income Tax Assessment Act 1997</w:t>
      </w:r>
      <w:r>
        <w:rPr>
          <w:rFonts w:ascii="Arial" w:cs="Arial" w:eastAsia="Arial" w:hAnsi="Arial"/>
          <w:sz w:val="16"/>
          <w:szCs w:val="16"/>
          <w:color w:val="auto"/>
        </w:rPr>
        <w:t>, governing the taxation of shares and rights (called “ESS interests”) acquired by employees under employee share schemes. The Restricted Stock Units granted under the Plan should be regarded as a right to acquire shares and accordingly, an ESS interest for these purposes.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Your assessable income includes the ESS interest at grant, unless the ESS interest is subject to a “real risk of forfeiture,” in which case you will be subject to deferred taxation.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the Restricted Stock Units, the “real risk of forfeiture” test requires that:</w:t>
      </w:r>
    </w:p>
    <w:p>
      <w:pPr>
        <w:spacing w:after="0" w:line="221" w:lineRule="exact"/>
        <w:rPr>
          <w:sz w:val="20"/>
          <w:szCs w:val="20"/>
          <w:color w:val="auto"/>
        </w:rPr>
      </w:pPr>
    </w:p>
    <w:p>
      <w:pPr>
        <w:ind w:left="660" w:hanging="4"/>
        <w:spacing w:after="0" w:line="275" w:lineRule="auto"/>
        <w:tabs>
          <w:tab w:leader="none" w:pos="101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there must be a real risk that, under the conditions of the Plan, you will forfeit the Restricted Stock Units or lose them (other than by disposing of them or in connection with the vesting of the Restricted Stock Units); or</w:t>
      </w:r>
    </w:p>
    <w:p>
      <w:pPr>
        <w:spacing w:after="0" w:line="172" w:lineRule="exact"/>
        <w:rPr>
          <w:rFonts w:ascii="Arial" w:cs="Arial" w:eastAsia="Arial" w:hAnsi="Arial"/>
          <w:sz w:val="16"/>
          <w:szCs w:val="16"/>
          <w:color w:val="auto"/>
        </w:rPr>
      </w:pPr>
    </w:p>
    <w:p>
      <w:pPr>
        <w:ind w:left="660" w:right="20" w:hanging="4"/>
        <w:spacing w:after="0" w:line="275" w:lineRule="auto"/>
        <w:tabs>
          <w:tab w:leader="none" w:pos="103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there must be a real risk that if your Restricted Stock Units vest, under the conditions of the Plan, you will forfeit the underlying Shares or lose them other than by disposing of them.</w:t>
      </w:r>
    </w:p>
    <w:p>
      <w:pPr>
        <w:spacing w:after="0" w:line="17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terms of your Restricted Stock Unit award are set out in the Additional Documents. It is understood that your Restricted Stock Units will satisfy the real risk of forfeiture test and that you will be subject to deferred taxation (</w:t>
      </w:r>
      <w:r>
        <w:rPr>
          <w:rFonts w:ascii="Arial" w:cs="Arial" w:eastAsia="Arial" w:hAnsi="Arial"/>
          <w:sz w:val="15"/>
          <w:szCs w:val="15"/>
          <w:i w:val="1"/>
          <w:iCs w:val="1"/>
          <w:color w:val="auto"/>
        </w:rPr>
        <w:t>i.e.</w:t>
      </w:r>
      <w:r>
        <w:rPr>
          <w:rFonts w:ascii="Arial" w:cs="Arial" w:eastAsia="Arial" w:hAnsi="Arial"/>
          <w:sz w:val="15"/>
          <w:szCs w:val="15"/>
          <w:color w:val="auto"/>
        </w:rPr>
        <w:t>, you generally should not be subject to tax when the Restricted Share Units are granted to you).</w:t>
      </w:r>
    </w:p>
    <w:p>
      <w:pPr>
        <w:spacing w:after="0" w:line="145" w:lineRule="exact"/>
        <w:rPr>
          <w:sz w:val="20"/>
          <w:szCs w:val="20"/>
          <w:color w:val="auto"/>
        </w:rPr>
      </w:pPr>
    </w:p>
    <w:p>
      <w:pPr>
        <w:ind w:left="620" w:hanging="612"/>
        <w:spacing w:after="0"/>
        <w:tabs>
          <w:tab w:leader="none" w:pos="62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When will you be taxed if your Restricted Stock Units are subject to a real risk of forfeiture?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will be required to include an amount in your assessable income for the income year (</w:t>
      </w:r>
      <w:r>
        <w:rPr>
          <w:rFonts w:ascii="Arial" w:cs="Arial" w:eastAsia="Arial" w:hAnsi="Arial"/>
          <w:sz w:val="16"/>
          <w:szCs w:val="16"/>
          <w:i w:val="1"/>
          <w:iCs w:val="1"/>
          <w:color w:val="auto"/>
        </w:rPr>
        <w:t>i.e.</w:t>
      </w:r>
      <w:r>
        <w:rPr>
          <w:rFonts w:ascii="Arial" w:cs="Arial" w:eastAsia="Arial" w:hAnsi="Arial"/>
          <w:sz w:val="16"/>
          <w:szCs w:val="16"/>
          <w:color w:val="auto"/>
        </w:rPr>
        <w:t>, the financial year ending 30 June) in which the earliest of the following events occurs in relation to the Restricted Stock Units (the “ESS deferred taxing point”).</w:t>
      </w: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C - 3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126" w:right="239" w:bottom="1440" w:gutter="0" w:footer="0" w:header="0"/>
        </w:sectPr>
      </w:pPr>
    </w:p>
    <w:bookmarkStart w:id="78" w:name="page79"/>
    <w:bookmarkEnd w:id="78"/>
    <w:p>
      <w:pPr>
        <w:ind w:left="5220"/>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OFFER OF RESTRICTED STOCK UNITS</w:t>
      </w:r>
    </w:p>
    <w:p>
      <w:pPr>
        <w:spacing w:after="0" w:line="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TO AUSTRALIAN RESIDENT EMPLOYEES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Your ESS deferred taxing point will be the earliest of the following:</w:t>
      </w:r>
    </w:p>
    <w:p>
      <w:pPr>
        <w:spacing w:after="0" w:line="221" w:lineRule="exact"/>
        <w:rPr>
          <w:sz w:val="20"/>
          <w:szCs w:val="20"/>
          <w:color w:val="auto"/>
        </w:rPr>
      </w:pPr>
    </w:p>
    <w:p>
      <w:pPr>
        <w:ind w:left="660" w:hanging="4"/>
        <w:spacing w:after="0" w:line="275" w:lineRule="auto"/>
        <w:tabs>
          <w:tab w:leader="none" w:pos="101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when there are no longer any genuine restrictions on the vesting of the Restricted Stock Units and there is no real risk of you forfeiting your Restricted Stock Units;</w:t>
      </w:r>
    </w:p>
    <w:p>
      <w:pPr>
        <w:spacing w:after="0" w:line="172" w:lineRule="exact"/>
        <w:rPr>
          <w:rFonts w:ascii="Arial" w:cs="Arial" w:eastAsia="Arial" w:hAnsi="Arial"/>
          <w:sz w:val="16"/>
          <w:szCs w:val="16"/>
          <w:color w:val="auto"/>
        </w:rPr>
      </w:pPr>
    </w:p>
    <w:p>
      <w:pPr>
        <w:ind w:left="1020" w:hanging="364"/>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when the Restricted Stock Units are settled and there is no genuine restriction on the disposal of the underlying Shares; and</w:t>
      </w:r>
    </w:p>
    <w:p>
      <w:pPr>
        <w:spacing w:after="0" w:line="221" w:lineRule="exact"/>
        <w:rPr>
          <w:rFonts w:ascii="Arial" w:cs="Arial" w:eastAsia="Arial" w:hAnsi="Arial"/>
          <w:sz w:val="16"/>
          <w:szCs w:val="16"/>
          <w:color w:val="auto"/>
        </w:rPr>
      </w:pPr>
    </w:p>
    <w:p>
      <w:pPr>
        <w:ind w:left="1060" w:hanging="404"/>
        <w:spacing w:after="0"/>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your cessation of employment (but see Section 11(e) below).</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Generally, this means that you will be subject to tax when your Restricted Stock Units vest. However, the ESS deferred taxing point for your Restricted Stock Units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income taxes, the assessable amount may also be subject to Medicare Levy and surcharge (if applicable).</w:t>
      </w:r>
    </w:p>
    <w:p>
      <w:pPr>
        <w:spacing w:after="0" w:line="217" w:lineRule="exact"/>
        <w:rPr>
          <w:sz w:val="20"/>
          <w:szCs w:val="20"/>
          <w:color w:val="auto"/>
        </w:rPr>
      </w:pPr>
    </w:p>
    <w:p>
      <w:pPr>
        <w:ind w:left="620" w:hanging="612"/>
        <w:spacing w:after="0"/>
        <w:tabs>
          <w:tab w:leader="none" w:pos="62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amount to be included in your assessable income if an ESS deferred taxing point occurs?</w:t>
      </w:r>
    </w:p>
    <w:p>
      <w:pPr>
        <w:spacing w:after="0" w:line="225"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The amount you must include in your assessable income in the income year (</w:t>
      </w:r>
      <w:r>
        <w:rPr>
          <w:rFonts w:ascii="Arial" w:cs="Arial" w:eastAsia="Arial" w:hAnsi="Arial"/>
          <w:sz w:val="14"/>
          <w:szCs w:val="14"/>
          <w:i w:val="1"/>
          <w:iCs w:val="1"/>
          <w:color w:val="auto"/>
        </w:rPr>
        <w:t>i.e.</w:t>
      </w:r>
      <w:r>
        <w:rPr>
          <w:rFonts w:ascii="Arial" w:cs="Arial" w:eastAsia="Arial" w:hAnsi="Arial"/>
          <w:sz w:val="14"/>
          <w:szCs w:val="14"/>
          <w:color w:val="auto"/>
        </w:rPr>
        <w:t>, the financial year ending 30 June) in which the ESS deferred taxing point occurs in relation to your Restricted Stock Units (</w:t>
      </w:r>
      <w:r>
        <w:rPr>
          <w:rFonts w:ascii="Arial" w:cs="Arial" w:eastAsia="Arial" w:hAnsi="Arial"/>
          <w:sz w:val="14"/>
          <w:szCs w:val="14"/>
          <w:i w:val="1"/>
          <w:iCs w:val="1"/>
          <w:color w:val="auto"/>
        </w:rPr>
        <w:t>i.e.,</w:t>
      </w:r>
      <w:r>
        <w:rPr>
          <w:rFonts w:ascii="Arial" w:cs="Arial" w:eastAsia="Arial" w:hAnsi="Arial"/>
          <w:sz w:val="14"/>
          <w:szCs w:val="14"/>
          <w:color w:val="auto"/>
        </w:rPr>
        <w:t xml:space="preserve"> typically at vesting) will be the difference between the “market value” of the underlying Shares at the ESS deferred taxing point and the cost base of the Restricted Stock Units (which should be nil because you do not have to pay anything to acquire the Restricted Stock Units or the underlying Shares).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Restricted Stock Units (which, again, should be nil).</w:t>
      </w:r>
    </w:p>
    <w:p>
      <w:pPr>
        <w:spacing w:after="0" w:line="179" w:lineRule="exact"/>
        <w:rPr>
          <w:sz w:val="20"/>
          <w:szCs w:val="20"/>
          <w:color w:val="auto"/>
        </w:rPr>
      </w:pPr>
    </w:p>
    <w:p>
      <w:pPr>
        <w:ind w:left="620" w:hanging="612"/>
        <w:spacing w:after="0"/>
        <w:tabs>
          <w:tab w:leader="none" w:pos="62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market value of the Underlying Shares?</w:t>
      </w:r>
    </w:p>
    <w:p>
      <w:pPr>
        <w:spacing w:after="0" w:line="225"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The “market value” of the Restricted Stock Units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Restricted Stock Units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83" w:lineRule="exact"/>
        <w:rPr>
          <w:sz w:val="20"/>
          <w:szCs w:val="20"/>
          <w:color w:val="auto"/>
        </w:rPr>
      </w:pPr>
    </w:p>
    <w:p>
      <w:pPr>
        <w:ind w:left="620" w:hanging="612"/>
        <w:spacing w:after="0"/>
        <w:tabs>
          <w:tab w:leader="none" w:pos="62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cease employment before my Restricted Stock Units vest?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 cease employment with your employer prior to the vesting date of some or all of your Restricted Stock Units and the Restricted Stock Units do not vest upon termination of employment (</w:t>
      </w:r>
      <w:r>
        <w:rPr>
          <w:rFonts w:ascii="Arial" w:cs="Arial" w:eastAsia="Arial" w:hAnsi="Arial"/>
          <w:sz w:val="16"/>
          <w:szCs w:val="16"/>
          <w:i w:val="1"/>
          <w:iCs w:val="1"/>
          <w:color w:val="auto"/>
        </w:rPr>
        <w:t>i.e.,</w:t>
      </w:r>
      <w:r>
        <w:rPr>
          <w:rFonts w:ascii="Arial" w:cs="Arial" w:eastAsia="Arial" w:hAnsi="Arial"/>
          <w:sz w:val="16"/>
          <w:szCs w:val="16"/>
          <w:color w:val="auto"/>
        </w:rPr>
        <w:t xml:space="preserve"> they are forfeited), you may be treated as having never acquired the forfeited Restricted Stock Units in which case, no amount will be included in your assessable income.</w:t>
      </w:r>
    </w:p>
    <w:p>
      <w:pPr>
        <w:spacing w:after="0" w:line="179" w:lineRule="exact"/>
        <w:rPr>
          <w:sz w:val="20"/>
          <w:szCs w:val="20"/>
          <w:color w:val="auto"/>
        </w:rPr>
      </w:pPr>
    </w:p>
    <w:p>
      <w:pPr>
        <w:ind w:left="620" w:hanging="612"/>
        <w:spacing w:after="0"/>
        <w:tabs>
          <w:tab w:leader="none" w:pos="62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What tax consequences will arise when I sell my Shares?</w:t>
      </w:r>
    </w:p>
    <w:p>
      <w:pPr>
        <w:spacing w:after="0" w:line="22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If you sell the Shares acquired upon vesting of your Restricted Stock Units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4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If you sell the Shares acquired upon vesting of your Restricted Stock Units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200" w:lineRule="exact"/>
        <w:rPr>
          <w:sz w:val="20"/>
          <w:szCs w:val="20"/>
          <w:color w:val="auto"/>
        </w:rPr>
      </w:pPr>
    </w:p>
    <w:p>
      <w:pPr>
        <w:spacing w:after="0" w:line="20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C - 4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126" w:right="239" w:bottom="1440" w:gutter="0" w:footer="0" w:header="0"/>
        </w:sectPr>
      </w:pPr>
    </w:p>
    <w:bookmarkStart w:id="79" w:name="page80"/>
    <w:bookmarkEnd w:id="79"/>
    <w:p>
      <w:pPr>
        <w:ind w:left="5220"/>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OFFER OF RESTRICTED STOCK UNITS</w:t>
      </w:r>
    </w:p>
    <w:p>
      <w:pPr>
        <w:spacing w:after="0" w:line="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TO AUSTRALIAN RESIDENT EMPLOYEES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 are responsible for reporting any income you realize from the sale of Shares acquired upon vesting of Restricted Stock Units and paying any applicable taxes due on such income.</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79" w:lineRule="exact"/>
        <w:rPr>
          <w:sz w:val="20"/>
          <w:szCs w:val="20"/>
          <w:color w:val="auto"/>
        </w:rPr>
      </w:pPr>
    </w:p>
    <w:p>
      <w:pPr>
        <w:ind w:left="620" w:hanging="612"/>
        <w:spacing w:after="0"/>
        <w:tabs>
          <w:tab w:leader="none" w:pos="62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taxation consequences if a dividend is paid on the Shares?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you vest in the Restricted Stock Units and become a Company stockholder, you may be entitled to receive dividends on the Shares obtained from vesting in the Restricted Stock Units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83" w:lineRule="exact"/>
        <w:rPr>
          <w:sz w:val="20"/>
          <w:szCs w:val="20"/>
          <w:color w:val="auto"/>
        </w:rPr>
      </w:pPr>
    </w:p>
    <w:p>
      <w:pPr>
        <w:ind w:left="620" w:hanging="612"/>
        <w:spacing w:after="0"/>
        <w:tabs>
          <w:tab w:leader="none" w:pos="62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tax withholding and reporting obligations associated with the Restricted Stock Units?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 will be responsible for reporting on your tax return and paying any tax liability in relation to the Restricted Stock Units and any Shares issued to you at vesting. It is also your responsibility to report and pay any tax liability on the sale of any Shares acquired under the Plan any dividends received.</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Your employer will be required to withhold tax due on the Restricted Stock Units only if you have not provided your Tax File Number or Australian Business Number, as applicable, to your employer.</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 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Arial" w:cs="Arial" w:eastAsia="Arial" w:hAnsi="Arial"/>
          <w:sz w:val="16"/>
          <w:szCs w:val="16"/>
          <w:i w:val="1"/>
          <w:iCs w:val="1"/>
          <w:color w:val="auto"/>
        </w:rPr>
        <w:t>You will be responsible for determining this amount and calculating your tax accordingly.</w:t>
      </w:r>
    </w:p>
    <w:p>
      <w:pPr>
        <w:spacing w:after="0" w:line="187"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U.S. TAX CONSEQUENCES OF PARTICIPATION IN THE PLAN?</w:t>
      </w:r>
    </w:p>
    <w:p>
      <w:pPr>
        <w:spacing w:after="0" w:line="22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Australian residents who are not U.S. citizens or tax residents should not be subject to U.S. tax by reason only of the award or vesting of the Restricted Stock Units and/or the sale of Shares, except with respect to dividends as described above. However, liability for U.S. tax may accrue if an Australian resident is otherwise subject to U.S. tax.</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is only an indication of the likely U.S. tax consequences for an Australian resident who is awarded Restricted Stock Units under the Plan. Each Australian resident should seek his or her own advice as to the U.S. tax consequences of the Plan.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urge you to carefully review the information contained in this Offer Document and the Additional Documents.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C - 5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12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u w:val="single" w:color="auto"/>
          <w:color w:val="auto"/>
        </w:rPr>
        <w:t>APPENDIX 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EMPLOYER INFORMATION STATEMENT – DENMARK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(“RSUs”) by Analog Devices, Inc. (the “Company”) under the Analog Devices, Inc. Amended and Restated 2006 Stock Incentive Plan (the “Plan”) in a separate written statement. This statement contains only the information mentioned in the Stock Option Act; the other terms and conditions of your grant of RSUs is described in detail in your Global Restricted Stock Unit Agreement) (the “Agreement”), the addendum to your Agreement and the Plan.</w:t>
      </w:r>
    </w:p>
    <w:p>
      <w:pPr>
        <w:spacing w:after="0" w:line="13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5"/>
          <w:szCs w:val="15"/>
          <w:b w:val="1"/>
          <w:bCs w:val="1"/>
          <w:color w:val="auto"/>
        </w:rPr>
        <w:t>Date of Grant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approved the grant of RSUs under the Plan on Grant Date. On this basis, the Date of Grant for your RSUs is Grant Date.</w:t>
      </w:r>
    </w:p>
    <w:p>
      <w:pPr>
        <w:spacing w:after="0" w:line="16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Terms and Conditions of the RSU Grant</w:t>
      </w:r>
    </w:p>
    <w:p>
      <w:pPr>
        <w:spacing w:after="0" w:line="198"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3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Vesting Date of RSUs</w:t>
      </w:r>
    </w:p>
    <w:p>
      <w:pPr>
        <w:spacing w:after="0" w:line="171"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When your RSUs vest, the Company will issue one share of the Company’s common stock to you in settlement of each vested RSU.</w:t>
      </w:r>
    </w:p>
    <w:p>
      <w:pPr>
        <w:spacing w:after="0" w:line="163"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4"/>
          <w:szCs w:val="14"/>
          <w:b w:val="1"/>
          <w:bCs w:val="1"/>
          <w:color w:val="auto"/>
        </w:rPr>
        <w:t>Exercise Price</w:t>
      </w:r>
    </w:p>
    <w:p>
      <w:pPr>
        <w:spacing w:after="0" w:line="171"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11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Your Rights upon Termination of Service</w:t>
      </w:r>
    </w:p>
    <w:p>
      <w:pPr>
        <w:spacing w:after="0" w:line="171"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1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4"/>
          <w:szCs w:val="14"/>
          <w:b w:val="1"/>
          <w:bCs w:val="1"/>
          <w:color w:val="auto"/>
        </w:rPr>
        <w:t>Financial Aspects of Participating in the Plan</w:t>
      </w:r>
    </w:p>
    <w:p>
      <w:pPr>
        <w:spacing w:after="0" w:line="171"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29"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5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4"/>
          <w:szCs w:val="14"/>
          <w:b w:val="1"/>
          <w:bCs w:val="1"/>
          <w:color w:val="auto"/>
        </w:rPr>
        <w:t>Other Issues</w:t>
      </w:r>
    </w:p>
    <w:p>
      <w:pPr>
        <w:spacing w:after="0" w:line="171" w:lineRule="exact"/>
        <w:rPr>
          <w:sz w:val="20"/>
          <w:szCs w:val="20"/>
          <w:color w:val="auto"/>
        </w:rPr>
      </w:pPr>
    </w:p>
    <w:p>
      <w:pPr>
        <w:jc w:val="both"/>
        <w:ind w:left="660"/>
        <w:spacing w:after="0" w:line="310" w:lineRule="auto"/>
        <w:rPr>
          <w:sz w:val="20"/>
          <w:szCs w:val="20"/>
          <w:color w:val="auto"/>
        </w:rPr>
      </w:pPr>
      <w:r>
        <w:rPr>
          <w:rFonts w:ascii="Arial" w:cs="Arial" w:eastAsia="Arial" w:hAnsi="Arial"/>
          <w:sz w:val="15"/>
          <w:szCs w:val="15"/>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Notice Provided By: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Three Technology Way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Norwood, MA 02062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D - 1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81" w:name="page82"/>
    <w:bookmarkEnd w:id="81"/>
    <w:p>
      <w:pPr>
        <w:ind w:left="4020"/>
        <w:spacing w:after="0"/>
        <w:rPr>
          <w:sz w:val="20"/>
          <w:szCs w:val="20"/>
          <w:color w:val="auto"/>
        </w:rPr>
      </w:pPr>
      <w:r>
        <w:rPr>
          <w:rFonts w:ascii="Arial" w:cs="Arial" w:eastAsia="Arial" w:hAnsi="Arial"/>
          <w:sz w:val="16"/>
          <w:szCs w:val="16"/>
          <w:b w:val="1"/>
          <w:bCs w:val="1"/>
          <w:color w:val="auto"/>
        </w:rPr>
        <w:t>ARBEJDSGIVERERKLÆRING – DANMARK</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2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ændrede og genfremsatte 2006 medarbejderaktieordning (“Ordningen”). Denne erklæring indeholder kun de oplysninger, der er nævnt i Aktieoptionsloven. De øvrige vilkår og betingelser for tildelingen er beskrevet nærmere i </w:t>
      </w:r>
      <w:r>
        <w:rPr>
          <w:rFonts w:ascii="Arial" w:cs="Arial" w:eastAsia="Arial" w:hAnsi="Arial"/>
          <w:sz w:val="16"/>
          <w:szCs w:val="16"/>
          <w:i w:val="1"/>
          <w:iCs w:val="1"/>
          <w:color w:val="auto"/>
        </w:rPr>
        <w:t>Global Restricted Stock Unit Agreement</w:t>
      </w:r>
      <w:r>
        <w:rPr>
          <w:rFonts w:ascii="Arial" w:cs="Arial" w:eastAsia="Arial" w:hAnsi="Arial"/>
          <w:sz w:val="16"/>
          <w:szCs w:val="16"/>
          <w:color w:val="auto"/>
        </w:rPr>
        <w:t xml:space="preserve"> (“Aftalen”), i tillægget til Aftalen og i Ordningen.</w:t>
      </w:r>
    </w:p>
    <w:p>
      <w:pPr>
        <w:spacing w:after="0" w:line="93"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4"/>
          <w:szCs w:val="14"/>
          <w:b w:val="1"/>
          <w:bCs w:val="1"/>
          <w:color w:val="auto"/>
        </w:rPr>
        <w:t>Tildelingsdato</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Selskabets godkendte den Grant Date tildelingen af RSU’er i henhold til Ordningen. Tildelingsdatoen for dine RSU’er er således den Grant Date.</w:t>
      </w:r>
    </w:p>
    <w:p>
      <w:pPr>
        <w:spacing w:after="0" w:line="123"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Vilkår og betingelser for RSU-tildelingen</w:t>
      </w:r>
    </w:p>
    <w:p>
      <w:pPr>
        <w:spacing w:after="0" w:line="90"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3"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Modningsdato for RSU’er</w:t>
      </w:r>
    </w:p>
    <w:p>
      <w:pPr>
        <w:spacing w:after="0" w:line="90"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Når RSU’erne modnes, udsteder Selskabet én ordinær aktie i Selskabet til dig for hver RSU, der er modnet.</w:t>
      </w:r>
    </w:p>
    <w:p>
      <w:pPr>
        <w:spacing w:after="0" w:line="123"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4"/>
          <w:szCs w:val="14"/>
          <w:b w:val="1"/>
          <w:bCs w:val="1"/>
          <w:color w:val="auto"/>
        </w:rPr>
        <w:t>Udnyttelseskurs</w:t>
      </w:r>
    </w:p>
    <w:p>
      <w:pPr>
        <w:spacing w:after="0" w:line="90"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74"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Din retsstilling i forbindelse med fratræden</w:t>
      </w:r>
    </w:p>
    <w:p>
      <w:pPr>
        <w:spacing w:after="0" w:line="90"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74"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4"/>
          <w:szCs w:val="14"/>
          <w:b w:val="1"/>
          <w:bCs w:val="1"/>
          <w:color w:val="auto"/>
        </w:rPr>
        <w:t>Økonomiske aspekter ved at deltage i Ordningen</w:t>
      </w:r>
    </w:p>
    <w:p>
      <w:pPr>
        <w:spacing w:after="0" w:line="90"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89"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85"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4"/>
          <w:szCs w:val="14"/>
          <w:b w:val="1"/>
          <w:bCs w:val="1"/>
          <w:color w:val="auto"/>
        </w:rPr>
        <w:t>Diverse</w:t>
      </w:r>
    </w:p>
    <w:p>
      <w:pPr>
        <w:spacing w:after="0" w:line="90" w:lineRule="exact"/>
        <w:rPr>
          <w:sz w:val="20"/>
          <w:szCs w:val="20"/>
          <w:color w:val="auto"/>
        </w:rPr>
      </w:pPr>
    </w:p>
    <w:p>
      <w:pPr>
        <w:jc w:val="both"/>
        <w:ind w:left="340"/>
        <w:spacing w:after="0" w:line="310" w:lineRule="auto"/>
        <w:rPr>
          <w:sz w:val="20"/>
          <w:szCs w:val="20"/>
          <w:color w:val="auto"/>
        </w:rPr>
      </w:pPr>
      <w:r>
        <w:rPr>
          <w:rFonts w:ascii="Arial" w:cs="Arial" w:eastAsia="Arial" w:hAnsi="Arial"/>
          <w:sz w:val="15"/>
          <w:szCs w:val="15"/>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Meddelelse afgivet af:</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Three Technology Way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Norwood, MA 02062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APPENDIX D - 3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u w:val="single" w:color="auto"/>
          <w:color w:val="auto"/>
        </w:rPr>
        <w:t>APPENDIX 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263" w:lineRule="auto"/>
        <w:rPr>
          <w:sz w:val="20"/>
          <w:szCs w:val="20"/>
          <w:color w:val="auto"/>
        </w:rPr>
      </w:pPr>
      <w:r>
        <w:rPr>
          <w:rFonts w:ascii="Arial" w:cs="Arial" w:eastAsia="Arial" w:hAnsi="Arial"/>
          <w:sz w:val="16"/>
          <w:szCs w:val="16"/>
          <w:b w:val="1"/>
          <w:bCs w:val="1"/>
          <w:u w:val="single" w:color="auto"/>
          <w:color w:val="auto"/>
        </w:rPr>
        <w:t>Trust Arrangement</w:t>
      </w:r>
      <w:r>
        <w:rPr>
          <w:rFonts w:ascii="Arial" w:cs="Arial" w:eastAsia="Arial" w:hAnsi="Arial"/>
          <w:sz w:val="16"/>
          <w:szCs w:val="16"/>
          <w:b w:val="1"/>
          <w:bCs w:val="1"/>
          <w:color w:val="auto"/>
        </w:rPr>
        <w:t>. If the Participant resides in Israel and has not already signed an Israeli Appendix in connection with grants made under the Amended and Restated Analog Devices, Inc. 2006 Stock Incentive Plan (the “Plan”), then the Participant must print, sign &amp; deliver the signed copy of this Israeli Appendix within 45 days to: Stock Plan Administrator, Analog Devices, Inc., Norwood, Massachusetts, 02062 USA.</w:t>
      </w:r>
    </w:p>
    <w:p>
      <w:pPr>
        <w:spacing w:after="0" w:line="15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Participant hereby understands and agrees that the Performance RSUs are offered subject to and in accordance with the terms of the Israeli Sub-Plan (the “Sub-Plan”) to the Plan under the 102 Capital Gains Track (as defined in the Sub-Plan), the Trust Agreement between the trustee appointed by Analog Devices, (Israel) Ltd. (the “Trustee”), Global Performance Restricted Stock Unit Agreement, including Appendix A thereto (collectively, the “Restricted Stock Unit Agreement”), and the Plan. In the event of any inconsistencies among the Sub-Plan, the Restricted Stock Unit Agreement, and/or the Plan, the Participant agrees that the Sub-Plan will govern the Performance RSUs granted to the Participant in Israel.</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Please sign this Israeli Appendix and return it to the address shown on the top within 45 days of receipt. If Analog Devices, (Israel) Ltd. or Analog Devices, Inc.</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does not receive your signed Israel Appendix, your Performance RSUs shall terminate and will become null and void.</w:t>
      </w:r>
    </w:p>
    <w:p>
      <w:pPr>
        <w:spacing w:after="0" w:line="369" w:lineRule="exact"/>
        <w:rPr>
          <w:sz w:val="20"/>
          <w:szCs w:val="20"/>
          <w:color w:val="auto"/>
        </w:rPr>
      </w:pPr>
    </w:p>
    <w:p>
      <w:pPr>
        <w:ind w:left="340"/>
        <w:spacing w:after="0"/>
        <w:tabs>
          <w:tab w:leader="none" w:pos="4240" w:val="left"/>
        </w:tabs>
        <w:rPr>
          <w:sz w:val="20"/>
          <w:szCs w:val="20"/>
          <w:color w:val="auto"/>
        </w:rPr>
      </w:pPr>
      <w:r>
        <w:rPr>
          <w:rFonts w:ascii="Arial" w:cs="Arial" w:eastAsia="Arial" w:hAnsi="Arial"/>
          <w:sz w:val="15"/>
          <w:szCs w:val="15"/>
          <w:color w:val="auto"/>
        </w:rPr>
        <w:t>______________________________________________</w:t>
        <w:tab/>
        <w:t>_______________________________</w:t>
      </w:r>
    </w:p>
    <w:p>
      <w:pPr>
        <w:spacing w:after="0" w:line="31" w:lineRule="exact"/>
        <w:rPr>
          <w:sz w:val="20"/>
          <w:szCs w:val="20"/>
          <w:color w:val="auto"/>
        </w:rPr>
      </w:pPr>
    </w:p>
    <w:p>
      <w:pPr>
        <w:ind w:left="1960"/>
        <w:spacing w:after="0"/>
        <w:tabs>
          <w:tab w:leader="none" w:pos="4340" w:val="left"/>
        </w:tabs>
        <w:rPr>
          <w:sz w:val="20"/>
          <w:szCs w:val="20"/>
          <w:color w:val="auto"/>
        </w:rPr>
      </w:pPr>
      <w:r>
        <w:rPr>
          <w:rFonts w:ascii="Arial" w:cs="Arial" w:eastAsia="Arial" w:hAnsi="Arial"/>
          <w:sz w:val="16"/>
          <w:szCs w:val="16"/>
          <w:color w:val="auto"/>
        </w:rPr>
        <w:t>Name: Participant Name</w:t>
      </w:r>
      <w:r>
        <w:rPr>
          <w:sz w:val="20"/>
          <w:szCs w:val="20"/>
          <w:color w:val="auto"/>
        </w:rPr>
        <w:tab/>
      </w:r>
      <w:r>
        <w:rPr>
          <w:rFonts w:ascii="Arial" w:cs="Arial" w:eastAsia="Arial" w:hAnsi="Arial"/>
          <w:sz w:val="15"/>
          <w:szCs w:val="15"/>
          <w:color w:val="auto"/>
        </w:rPr>
        <w:t>Date</w:t>
      </w:r>
    </w:p>
    <w:p>
      <w:pPr>
        <w:spacing w:after="0" w:line="200" w:lineRule="exact"/>
        <w:rPr>
          <w:sz w:val="20"/>
          <w:szCs w:val="20"/>
          <w:color w:val="auto"/>
        </w:rPr>
      </w:pPr>
    </w:p>
    <w:p>
      <w:pPr>
        <w:spacing w:after="0" w:line="372"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APPENDIX E - 1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VERSION 11/18</w:t>
      </w:r>
    </w:p>
    <w:p>
      <w:pPr>
        <w:sectPr>
          <w:pgSz w:w="11900" w:h="16838" w:orient="portrait"/>
          <w:cols w:equalWidth="0" w:num="1">
            <w:col w:w="11420"/>
          </w:cols>
          <w:pgMar w:left="240" w:top="382"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6"/>
          <w:szCs w:val="16"/>
          <w:b w:val="1"/>
          <w:bCs w:val="1"/>
          <w:color w:val="auto"/>
        </w:rPr>
        <w:t>APPENDIX F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Onscreen disclaimer</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 are liable for National Insurance contributions (“NICs”) in the United Kingdom in connection with your restricted stock units (“Awards”), you are required to enter into an Election to transfer to you any liability for employer’s NICs that may arise in connection with your awards.</w:t>
      </w:r>
    </w:p>
    <w:p>
      <w:pPr>
        <w:spacing w:after="0" w:line="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Clicking on the “ACCEPT” box indicates your acceptance of the Election. You should read the “Important Note on the Election to Transfer Employer NICs” before accepting the Election.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Note on the Election to Transfer Employer NICs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 are liable for National Insurance contributions (“NICs”) in the United Kingdom in connection with Awards that have been granted or assumed and converted under the Analog Devices, Inc. 2006 Stock Incentive Plan (the “Plan”), you are required to enter into an Election to transfer to you any liability for employer’s NICs that may arise in connection with your Awards.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113"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you agree that any employer’s NICs liability that may arise in connection with your Awards will be transferred to you;</w:t>
      </w:r>
    </w:p>
    <w:p>
      <w:pPr>
        <w:spacing w:after="0" w:line="19" w:lineRule="exact"/>
        <w:rPr>
          <w:rFonts w:ascii="Arial" w:cs="Arial" w:eastAsia="Arial" w:hAnsi="Arial"/>
          <w:sz w:val="16"/>
          <w:szCs w:val="16"/>
          <w:color w:val="auto"/>
        </w:rPr>
      </w:pPr>
    </w:p>
    <w:p>
      <w:pPr>
        <w:ind w:left="660" w:hanging="328"/>
        <w:spacing w:after="0" w:line="246"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you authorise your employer to recover an amount sufficient to cover this liability by such methods including, but not limited to, deductions from your salary or other payments due or the sale of sufficient shares acquired pursuant to your Awards; and</w:t>
      </w:r>
    </w:p>
    <w:p>
      <w:pPr>
        <w:ind w:left="660" w:right="20" w:hanging="328"/>
        <w:spacing w:after="0" w:line="257"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Please print and keep a copy of the Election for your records.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F - 1</w:t>
      </w:r>
    </w:p>
    <w:p>
      <w:pPr>
        <w:sectPr>
          <w:pgSz w:w="11900" w:h="16838" w:orient="portrait"/>
          <w:cols w:equalWidth="0" w:num="1">
            <w:col w:w="11420"/>
          </w:cols>
          <w:pgMar w:left="240" w:top="126"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6"/>
          <w:szCs w:val="16"/>
          <w:b w:val="1"/>
          <w:bCs w:val="1"/>
          <w:color w:val="auto"/>
        </w:rPr>
        <w:t>APPENDIX F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63" w:lineRule="exact"/>
        <w:rPr>
          <w:sz w:val="20"/>
          <w:szCs w:val="20"/>
          <w:color w:val="auto"/>
        </w:rPr>
      </w:pPr>
    </w:p>
    <w:p>
      <w:pPr>
        <w:jc w:val="both"/>
        <w:ind w:left="660" w:right="20" w:hanging="652"/>
        <w:spacing w:after="0" w:line="263"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individual who has obtained authorised access to this Election (the “</w:t>
      </w:r>
      <w:r>
        <w:rPr>
          <w:rFonts w:ascii="Arial" w:cs="Arial" w:eastAsia="Arial" w:hAnsi="Arial"/>
          <w:sz w:val="16"/>
          <w:szCs w:val="16"/>
          <w:b w:val="1"/>
          <w:bCs w:val="1"/>
          <w:color w:val="auto"/>
        </w:rPr>
        <w:t>Employee</w:t>
      </w:r>
      <w:r>
        <w:rPr>
          <w:rFonts w:ascii="Arial" w:cs="Arial" w:eastAsia="Arial" w:hAnsi="Arial"/>
          <w:sz w:val="16"/>
          <w:szCs w:val="16"/>
          <w:color w:val="auto"/>
        </w:rPr>
        <w:t>”), who is employed by one of the employing companies listed in the attached schedule (the “</w:t>
      </w:r>
      <w:r>
        <w:rPr>
          <w:rFonts w:ascii="Arial" w:cs="Arial" w:eastAsia="Arial" w:hAnsi="Arial"/>
          <w:sz w:val="16"/>
          <w:szCs w:val="16"/>
          <w:b w:val="1"/>
          <w:bCs w:val="1"/>
          <w:color w:val="auto"/>
        </w:rPr>
        <w:t>Employer</w:t>
      </w:r>
      <w:r>
        <w:rPr>
          <w:rFonts w:ascii="Arial" w:cs="Arial" w:eastAsia="Arial" w:hAnsi="Arial"/>
          <w:sz w:val="16"/>
          <w:szCs w:val="16"/>
          <w:color w:val="auto"/>
        </w:rPr>
        <w:t>”) and who is eligible to receive restricted stock units (“</w:t>
      </w:r>
      <w:r>
        <w:rPr>
          <w:rFonts w:ascii="Arial" w:cs="Arial" w:eastAsia="Arial" w:hAnsi="Arial"/>
          <w:sz w:val="16"/>
          <w:szCs w:val="16"/>
          <w:b w:val="1"/>
          <w:bCs w:val="1"/>
          <w:color w:val="auto"/>
        </w:rPr>
        <w:t>Awards</w:t>
      </w:r>
      <w:r>
        <w:rPr>
          <w:rFonts w:ascii="Arial" w:cs="Arial" w:eastAsia="Arial" w:hAnsi="Arial"/>
          <w:sz w:val="16"/>
          <w:szCs w:val="16"/>
          <w:color w:val="auto"/>
        </w:rPr>
        <w:t>”) pursuant to the Analog Devices, Inc. Amended and Restated 2006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24" w:lineRule="exact"/>
        <w:rPr>
          <w:rFonts w:ascii="Arial" w:cs="Arial" w:eastAsia="Arial" w:hAnsi="Arial"/>
          <w:sz w:val="16"/>
          <w:szCs w:val="16"/>
          <w:color w:val="auto"/>
        </w:rPr>
      </w:pPr>
    </w:p>
    <w:p>
      <w:pPr>
        <w:ind w:left="660" w:right="20" w:hanging="652"/>
        <w:spacing w:after="0" w:line="281"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Analog Devices, Inc. of One Technology Way, Norwood, Massachusetts 02062, U.S.A. (the “</w:t>
      </w:r>
      <w:r>
        <w:rPr>
          <w:rFonts w:ascii="Arial" w:cs="Arial" w:eastAsia="Arial" w:hAnsi="Arial"/>
          <w:sz w:val="16"/>
          <w:szCs w:val="16"/>
          <w:b w:val="1"/>
          <w:bCs w:val="1"/>
          <w:color w:val="auto"/>
        </w:rPr>
        <w:t>Company</w:t>
      </w:r>
      <w:r>
        <w:rPr>
          <w:rFonts w:ascii="Arial" w:cs="Arial" w:eastAsia="Arial" w:hAnsi="Arial"/>
          <w:sz w:val="16"/>
          <w:szCs w:val="16"/>
          <w:color w:val="auto"/>
        </w:rPr>
        <w:t>”), which may grant Awards under the Plans and is entering into this Election on behalf of the Employer.</w:t>
      </w:r>
    </w:p>
    <w:p>
      <w:pPr>
        <w:spacing w:after="0" w:line="109"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This Election relates to all Awards granted to the Employee or assumed and converted under the Plan up to the termination dates of the Plans.</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Election the following words and phrases have the following meanings:</w:t>
      </w:r>
    </w:p>
    <w:p>
      <w:pPr>
        <w:spacing w:after="0" w:line="190"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Chargeable Event</w:t>
      </w:r>
      <w:r>
        <w:rPr>
          <w:rFonts w:ascii="Arial" w:cs="Arial" w:eastAsia="Arial" w:hAnsi="Arial"/>
          <w:sz w:val="16"/>
          <w:szCs w:val="16"/>
          <w:color w:val="auto"/>
        </w:rPr>
        <w:t>” means, in relation to the Awards:</w:t>
      </w:r>
    </w:p>
    <w:p>
      <w:pPr>
        <w:spacing w:after="0" w:line="198" w:lineRule="exact"/>
        <w:rPr>
          <w:rFonts w:ascii="Arial" w:cs="Arial" w:eastAsia="Arial" w:hAnsi="Arial"/>
          <w:sz w:val="16"/>
          <w:szCs w:val="16"/>
          <w:color w:val="auto"/>
        </w:rPr>
      </w:pPr>
    </w:p>
    <w:p>
      <w:pPr>
        <w:ind w:left="1960" w:hanging="655"/>
        <w:spacing w:after="0"/>
        <w:tabs>
          <w:tab w:leader="none" w:pos="1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acquisition of securities pursuant to restricted stock units and/or stock purchase rights (within section 477(3)(a) of ITEPA);</w:t>
      </w:r>
    </w:p>
    <w:p>
      <w:pPr>
        <w:spacing w:after="0" w:line="356" w:lineRule="exact"/>
        <w:rPr>
          <w:rFonts w:ascii="Arial" w:cs="Arial" w:eastAsia="Arial" w:hAnsi="Arial"/>
          <w:sz w:val="16"/>
          <w:szCs w:val="16"/>
          <w:color w:val="auto"/>
        </w:rPr>
      </w:pPr>
    </w:p>
    <w:p>
      <w:pPr>
        <w:ind w:left="1960" w:hanging="655"/>
        <w:spacing w:after="0"/>
        <w:tabs>
          <w:tab w:leader="none" w:pos="1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assignment (if applicable) or release of the restricted stock units in return for consideration (within section 477(3)(b) of ITEPA);</w:t>
      </w:r>
    </w:p>
    <w:p>
      <w:pPr>
        <w:spacing w:after="0" w:line="356" w:lineRule="exact"/>
        <w:rPr>
          <w:rFonts w:ascii="Arial" w:cs="Arial" w:eastAsia="Arial" w:hAnsi="Arial"/>
          <w:sz w:val="16"/>
          <w:szCs w:val="16"/>
          <w:color w:val="auto"/>
        </w:rPr>
      </w:pPr>
    </w:p>
    <w:p>
      <w:pPr>
        <w:ind w:left="1960" w:hanging="655"/>
        <w:spacing w:after="0" w:line="275" w:lineRule="auto"/>
        <w:tabs>
          <w:tab w:leader="none" w:pos="1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receipt of a benefit in connection with the restricted stock units, other than a benefit within (i) or (ii) above (within section 477(3)(c) of ITEPA);</w:t>
      </w:r>
    </w:p>
    <w:p>
      <w:pPr>
        <w:spacing w:after="0" w:line="307" w:lineRule="exact"/>
        <w:rPr>
          <w:rFonts w:ascii="Arial" w:cs="Arial" w:eastAsia="Arial" w:hAnsi="Arial"/>
          <w:sz w:val="16"/>
          <w:szCs w:val="16"/>
          <w:color w:val="auto"/>
        </w:rPr>
      </w:pPr>
    </w:p>
    <w:p>
      <w:pPr>
        <w:ind w:left="1960" w:hanging="655"/>
        <w:spacing w:after="0"/>
        <w:tabs>
          <w:tab w:leader="none" w:pos="1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post-acquisition charges relating to the shares acquired pursuant to the restricted stock units (within section 427 of ITEPA); and/or</w:t>
      </w:r>
    </w:p>
    <w:p>
      <w:pPr>
        <w:spacing w:after="0" w:line="356" w:lineRule="exact"/>
        <w:rPr>
          <w:rFonts w:ascii="Arial" w:cs="Arial" w:eastAsia="Arial" w:hAnsi="Arial"/>
          <w:sz w:val="16"/>
          <w:szCs w:val="16"/>
          <w:color w:val="auto"/>
        </w:rPr>
      </w:pPr>
    </w:p>
    <w:p>
      <w:pPr>
        <w:ind w:left="1960" w:hanging="655"/>
        <w:spacing w:after="0"/>
        <w:tabs>
          <w:tab w:leader="none" w:pos="1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post-acquisition charges relating to the shares acquired pursuant to the restricted stock units (within section 439 of ITEPA).</w:t>
      </w:r>
    </w:p>
    <w:p>
      <w:pPr>
        <w:spacing w:after="0" w:line="352" w:lineRule="exact"/>
        <w:rPr>
          <w:rFonts w:ascii="Arial" w:cs="Arial" w:eastAsia="Arial" w:hAnsi="Arial"/>
          <w:sz w:val="16"/>
          <w:szCs w:val="16"/>
          <w:color w:val="auto"/>
        </w:rPr>
      </w:pPr>
    </w:p>
    <w:p>
      <w:pPr>
        <w:ind w:left="1300" w:hanging="644"/>
        <w:spacing w:after="0"/>
        <w:tabs>
          <w:tab w:leader="none" w:pos="1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ITEPA</w:t>
      </w:r>
      <w:r>
        <w:rPr>
          <w:rFonts w:ascii="Arial" w:cs="Arial" w:eastAsia="Arial" w:hAnsi="Arial"/>
          <w:sz w:val="16"/>
          <w:szCs w:val="16"/>
          <w:color w:val="auto"/>
        </w:rPr>
        <w:t>” means the Income Tax (Earnings and Pensions) Act 2003.</w:t>
      </w:r>
    </w:p>
    <w:p>
      <w:pPr>
        <w:spacing w:after="0" w:line="194" w:lineRule="exact"/>
        <w:rPr>
          <w:rFonts w:ascii="Arial" w:cs="Arial" w:eastAsia="Arial" w:hAnsi="Arial"/>
          <w:sz w:val="16"/>
          <w:szCs w:val="16"/>
          <w:color w:val="auto"/>
        </w:rPr>
      </w:pPr>
    </w:p>
    <w:p>
      <w:pPr>
        <w:ind w:left="1300" w:hanging="644"/>
        <w:spacing w:after="0"/>
        <w:tabs>
          <w:tab w:leader="none" w:pos="1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SSCBA</w:t>
      </w:r>
      <w:r>
        <w:rPr>
          <w:rFonts w:ascii="Arial" w:cs="Arial" w:eastAsia="Arial" w:hAnsi="Arial"/>
          <w:sz w:val="16"/>
          <w:szCs w:val="16"/>
          <w:color w:val="auto"/>
        </w:rPr>
        <w:t>” means the Social Security Contributions and Benefits Act 1992.</w:t>
      </w:r>
    </w:p>
    <w:p>
      <w:pPr>
        <w:spacing w:after="0" w:line="198" w:lineRule="exact"/>
        <w:rPr>
          <w:sz w:val="20"/>
          <w:szCs w:val="20"/>
          <w:color w:val="auto"/>
        </w:rPr>
      </w:pPr>
    </w:p>
    <w:p>
      <w:pPr>
        <w:ind w:left="660" w:hanging="647"/>
        <w:spacing w:after="0" w:line="275" w:lineRule="auto"/>
        <w:tabs>
          <w:tab w:leader="none" w:pos="6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“Employer’s Liability”) which may arise on the occurrence of a Chargeable Event in respect of the Awards pursuant to section 4(4)(a) and/or paragraph 3B(1A) of Schedule 1 of the SSCBA.</w:t>
      </w:r>
    </w:p>
    <w:p>
      <w:pPr>
        <w:spacing w:after="0" w:line="146" w:lineRule="exact"/>
        <w:rPr>
          <w:sz w:val="20"/>
          <w:szCs w:val="20"/>
          <w:color w:val="auto"/>
        </w:rPr>
      </w:pPr>
    </w:p>
    <w:p>
      <w:pPr>
        <w:ind w:left="660" w:hanging="647"/>
        <w:spacing w:after="0" w:line="275" w:lineRule="auto"/>
        <w:tabs>
          <w:tab w:leader="none" w:pos="64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46" w:lineRule="exact"/>
        <w:rPr>
          <w:sz w:val="20"/>
          <w:szCs w:val="20"/>
          <w:color w:val="auto"/>
        </w:rPr>
      </w:pPr>
    </w:p>
    <w:p>
      <w:pPr>
        <w:ind w:left="660" w:right="20" w:hanging="647"/>
        <w:spacing w:after="0" w:line="275" w:lineRule="auto"/>
        <w:tabs>
          <w:tab w:leader="none" w:pos="64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42"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The Election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APPENDIX F - 2</w:t>
      </w:r>
    </w:p>
    <w:p>
      <w:pPr>
        <w:sectPr>
          <w:pgSz w:w="11900" w:h="16838" w:orient="portrait"/>
          <w:cols w:equalWidth="0" w:num="1">
            <w:col w:w="11420"/>
          </w:cols>
          <w:pgMar w:left="240" w:top="126"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b w:val="1"/>
          <w:bCs w:val="1"/>
          <w:color w:val="auto"/>
        </w:rPr>
        <w:t>APPENDIX F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The Employee and the Company jointly elect that the entire liability of the Employer to pay the Employer’s Liability on the Chargeable Event is hereby transferred to the Employee. The Employee understands that, by signing or electronically accepting this Election, he or she will become personally liable for the Employer’s Liability covered by this Election. This Election is made in accordance with paragraph 3B(1) of Schedule 1 of the SSCBA.</w:t>
      </w:r>
    </w:p>
    <w:p>
      <w:pPr>
        <w:spacing w:after="0" w:line="125"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The Employee hereby authorises the Company and/or the Employer to collect the Employer’s Liability from the Employee at any time after the Chargeable Event:</w:t>
      </w:r>
    </w:p>
    <w:p>
      <w:pPr>
        <w:spacing w:after="0" w:line="194"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Chargeable Event; and/or</w:t>
      </w:r>
    </w:p>
    <w:p>
      <w:pPr>
        <w:spacing w:after="0" w:line="113" w:lineRule="exact"/>
        <w:rPr>
          <w:rFonts w:ascii="Arial" w:cs="Arial" w:eastAsia="Arial" w:hAnsi="Arial"/>
          <w:sz w:val="16"/>
          <w:szCs w:val="16"/>
          <w:color w:val="auto"/>
        </w:rPr>
      </w:pPr>
    </w:p>
    <w:p>
      <w:pPr>
        <w:ind w:left="1300" w:hanging="644"/>
        <w:spacing w:after="0"/>
        <w:tabs>
          <w:tab w:leader="none" w:pos="13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113" w:lineRule="exact"/>
        <w:rPr>
          <w:rFonts w:ascii="Arial" w:cs="Arial" w:eastAsia="Arial" w:hAnsi="Arial"/>
          <w:sz w:val="16"/>
          <w:szCs w:val="16"/>
          <w:color w:val="auto"/>
        </w:rPr>
      </w:pPr>
    </w:p>
    <w:p>
      <w:pPr>
        <w:ind w:left="1300" w:hanging="644"/>
        <w:spacing w:after="0"/>
        <w:tabs>
          <w:tab w:leader="none" w:pos="13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by arranging, on behalf of the Employee, for the sale of some of the securities which the Employee is entitled to receive in respect of the Awards; and/or</w:t>
      </w:r>
    </w:p>
    <w:p>
      <w:pPr>
        <w:spacing w:after="0" w:line="124" w:lineRule="exact"/>
        <w:rPr>
          <w:rFonts w:ascii="Arial" w:cs="Arial" w:eastAsia="Arial" w:hAnsi="Arial"/>
          <w:sz w:val="15"/>
          <w:szCs w:val="15"/>
          <w:color w:val="auto"/>
        </w:rPr>
      </w:pPr>
    </w:p>
    <w:p>
      <w:pPr>
        <w:ind w:left="1300" w:hanging="644"/>
        <w:spacing w:after="0"/>
        <w:tabs>
          <w:tab w:leader="none" w:pos="13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113"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The Company hereby reserves for itself and the Company the right to withhold the transfer of any securities related to the Awards to the Employee until full payment of the Employer’s Liability is received.</w:t>
      </w:r>
    </w:p>
    <w:p>
      <w:pPr>
        <w:spacing w:after="0" w:line="14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The Company agrees to remit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25"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198" w:lineRule="exact"/>
        <w:rPr>
          <w:sz w:val="20"/>
          <w:szCs w:val="20"/>
          <w:color w:val="auto"/>
        </w:rPr>
      </w:pPr>
    </w:p>
    <w:p>
      <w:pPr>
        <w:ind w:left="660" w:hanging="647"/>
        <w:spacing w:after="0" w:line="275" w:lineRule="auto"/>
        <w:tabs>
          <w:tab w:leader="none" w:pos="64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This Election will continue in effect until the earliest of the following:</w:t>
      </w:r>
    </w:p>
    <w:p>
      <w:pPr>
        <w:spacing w:after="0" w:line="194"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67" w:lineRule="exact"/>
        <w:rPr>
          <w:rFonts w:ascii="Arial" w:cs="Arial" w:eastAsia="Arial" w:hAnsi="Arial"/>
          <w:sz w:val="16"/>
          <w:szCs w:val="16"/>
          <w:color w:val="auto"/>
        </w:rPr>
      </w:pPr>
    </w:p>
    <w:p>
      <w:pPr>
        <w:ind w:left="1300" w:hanging="644"/>
        <w:spacing w:after="0"/>
        <w:tabs>
          <w:tab w:leader="none" w:pos="1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67" w:lineRule="exact"/>
        <w:rPr>
          <w:rFonts w:ascii="Arial" w:cs="Arial" w:eastAsia="Arial" w:hAnsi="Arial"/>
          <w:sz w:val="16"/>
          <w:szCs w:val="16"/>
          <w:color w:val="auto"/>
        </w:rPr>
      </w:pPr>
    </w:p>
    <w:p>
      <w:pPr>
        <w:ind w:left="1300" w:hanging="644"/>
        <w:spacing w:after="0"/>
        <w:tabs>
          <w:tab w:leader="none" w:pos="1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67" w:lineRule="exact"/>
        <w:rPr>
          <w:rFonts w:ascii="Arial" w:cs="Arial" w:eastAsia="Arial" w:hAnsi="Arial"/>
          <w:sz w:val="16"/>
          <w:szCs w:val="16"/>
          <w:color w:val="auto"/>
        </w:rPr>
      </w:pPr>
    </w:p>
    <w:p>
      <w:pPr>
        <w:ind w:left="1300" w:right="20" w:hanging="644"/>
        <w:spacing w:after="0" w:line="275" w:lineRule="auto"/>
        <w:tabs>
          <w:tab w:leader="none" w:pos="1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This Election will continue in force regardless of whether the Employee ceases to be an employee of the Employer.</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the Awards in circumstances where section 483 ITEPA applies.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Analog Devices, Inc.</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Analog Devices, Inc. acknowledges that, by signing this Election or arranging for the scanned signature of an authorised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F - 3</w:t>
      </w:r>
    </w:p>
    <w:p>
      <w:pPr>
        <w:sectPr>
          <w:pgSz w:w="11900" w:h="16838" w:orient="portrait"/>
          <w:cols w:equalWidth="0" w:num="1">
            <w:col w:w="11420"/>
          </w:cols>
          <w:pgMar w:left="240" w:top="126" w:right="239" w:bottom="1440" w:gutter="0" w:footer="0" w:header="0"/>
        </w:sectPr>
      </w:pPr>
    </w:p>
    <w:bookmarkStart w:id="86" w:name="page87"/>
    <w:bookmarkEnd w:id="86"/>
    <w:p>
      <w:pPr>
        <w:jc w:val="center"/>
        <w:ind w:right="-1200"/>
        <w:spacing w:after="0"/>
        <w:rPr>
          <w:sz w:val="20"/>
          <w:szCs w:val="20"/>
          <w:color w:val="auto"/>
        </w:rPr>
      </w:pPr>
      <w:r>
        <w:rPr>
          <w:rFonts w:ascii="Arial" w:cs="Arial" w:eastAsia="Arial" w:hAnsi="Arial"/>
          <w:sz w:val="16"/>
          <w:szCs w:val="16"/>
          <w:b w:val="1"/>
          <w:bCs w:val="1"/>
          <w:color w:val="auto"/>
        </w:rPr>
        <w:t>APPENDIX F TO</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Signature for and 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behalf of Analog Devices, Inc.</w:t>
      </w:r>
    </w:p>
    <w:p>
      <w:pPr>
        <w:spacing w:after="0" w:line="200" w:lineRule="exact"/>
        <w:rPr>
          <w:sz w:val="20"/>
          <w:szCs w:val="20"/>
          <w:color w:val="auto"/>
        </w:rPr>
      </w:pPr>
    </w:p>
    <w:p>
      <w:pPr>
        <w:spacing w:after="0" w:line="36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Kevin P. Lanouette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715135"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Kevin P. Lanouette</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Assistant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Grant Date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APPENDIX F - 4</w:t>
      </w:r>
    </w:p>
    <w:p>
      <w:pPr>
        <w:sectPr>
          <w:pgSz w:w="11900" w:h="16838" w:orient="portrait"/>
          <w:cols w:equalWidth="0" w:num="1">
            <w:col w:w="10219"/>
          </w:cols>
          <w:pgMar w:left="240" w:top="126" w:right="1440" w:bottom="1440" w:gutter="0" w:footer="0" w:header="0"/>
        </w:sectPr>
      </w:pPr>
    </w:p>
    <w:bookmarkStart w:id="87" w:name="page88"/>
    <w:bookmarkEnd w:id="87"/>
    <w:p>
      <w:pPr>
        <w:jc w:val="center"/>
        <w:ind w:right="-679"/>
        <w:spacing w:after="0"/>
        <w:rPr>
          <w:sz w:val="20"/>
          <w:szCs w:val="20"/>
          <w:color w:val="auto"/>
        </w:rPr>
      </w:pPr>
      <w:r>
        <w:rPr>
          <w:rFonts w:ascii="Arial" w:cs="Arial" w:eastAsia="Arial" w:hAnsi="Arial"/>
          <w:sz w:val="16"/>
          <w:szCs w:val="16"/>
          <w:b w:val="1"/>
          <w:bCs w:val="1"/>
          <w:color w:val="auto"/>
        </w:rPr>
        <w:t>APPENDIX F TO</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Arial" w:cs="Arial" w:eastAsia="Arial" w:hAnsi="Arial"/>
          <w:sz w:val="16"/>
          <w:szCs w:val="16"/>
          <w:b w:val="1"/>
          <w:bCs w:val="1"/>
          <w:u w:val="single" w:color="auto"/>
          <w:color w:val="auto"/>
        </w:rPr>
        <w:t>Schedule of Employer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each company, provide the following details: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Analog Devices Limited</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 w:type="dxa"/>
            <w:vAlign w:val="bottom"/>
            <w:tcBorders>
              <w:right w:val="single" w:sz="8" w:color="auto"/>
            </w:tcBorders>
          </w:tcPr>
          <w:p>
            <w:pPr>
              <w:spacing w:after="0"/>
              <w:rPr>
                <w:sz w:val="20"/>
                <w:szCs w:val="20"/>
                <w:color w:val="auto"/>
              </w:rPr>
            </w:pPr>
          </w:p>
        </w:tc>
        <w:tc>
          <w:tcPr>
            <w:tcW w:w="5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5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Unit 3 Horizon Business Village, 1 Brooklands Road, Weybridge, Surrey, KT13</w:t>
            </w:r>
          </w:p>
        </w:tc>
      </w:tr>
      <w:tr>
        <w:trPr>
          <w:trHeight w:val="206"/>
        </w:trPr>
        <w:tc>
          <w:tcPr>
            <w:tcW w:w="80" w:type="dxa"/>
            <w:vAlign w:val="bottom"/>
            <w:tcBorders>
              <w:right w:val="single" w:sz="8" w:color="auto"/>
            </w:tcBorders>
          </w:tcPr>
          <w:p>
            <w:pPr>
              <w:spacing w:after="0"/>
              <w:rPr>
                <w:sz w:val="17"/>
                <w:szCs w:val="17"/>
                <w:color w:val="auto"/>
              </w:rPr>
            </w:pPr>
          </w:p>
        </w:tc>
        <w:tc>
          <w:tcPr>
            <w:tcW w:w="5220" w:type="dxa"/>
            <w:vAlign w:val="bottom"/>
            <w:tcBorders>
              <w:right w:val="single" w:sz="8" w:color="auto"/>
            </w:tcBorders>
          </w:tcPr>
          <w:p>
            <w:pPr>
              <w:spacing w:after="0"/>
              <w:rPr>
                <w:sz w:val="17"/>
                <w:szCs w:val="17"/>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OTJ</w:t>
            </w:r>
          </w:p>
        </w:tc>
      </w:tr>
      <w:tr>
        <w:trPr>
          <w:trHeight w:val="330"/>
        </w:trPr>
        <w:tc>
          <w:tcPr>
            <w:tcW w:w="80" w:type="dxa"/>
            <w:vAlign w:val="bottom"/>
            <w:tcBorders>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542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895439</w:t>
            </w:r>
          </w:p>
        </w:tc>
      </w:tr>
      <w:tr>
        <w:trPr>
          <w:trHeight w:val="330"/>
        </w:trPr>
        <w:tc>
          <w:tcPr>
            <w:tcW w:w="80" w:type="dxa"/>
            <w:vAlign w:val="bottom"/>
            <w:tcBorders>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542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6873689030216A</w:t>
            </w:r>
          </w:p>
        </w:tc>
      </w:tr>
      <w:tr>
        <w:trPr>
          <w:trHeight w:val="330"/>
        </w:trPr>
        <w:tc>
          <w:tcPr>
            <w:tcW w:w="80" w:type="dxa"/>
            <w:vAlign w:val="bottom"/>
            <w:tcBorders>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542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120/A4055</w:t>
            </w:r>
          </w:p>
        </w:tc>
      </w:tr>
      <w:tr>
        <w:trPr>
          <w:trHeight w:val="330"/>
        </w:trPr>
        <w:tc>
          <w:tcPr>
            <w:tcW w:w="80" w:type="dxa"/>
            <w:vAlign w:val="bottom"/>
            <w:tcBorders>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5420" w:type="dxa"/>
            <w:vAlign w:val="bottom"/>
            <w:tcBorders>
              <w:bottom w:val="single" w:sz="8" w:color="auto"/>
              <w:right w:val="single" w:sz="8" w:color="auto"/>
            </w:tcBorders>
          </w:tcPr>
          <w:p>
            <w:pPr>
              <w:spacing w:after="0"/>
              <w:rPr>
                <w:sz w:val="24"/>
                <w:szCs w:val="24"/>
                <w:color w:val="auto"/>
              </w:rPr>
            </w:pPr>
          </w:p>
        </w:tc>
      </w:tr>
      <w:tr>
        <w:trPr>
          <w:trHeight w:val="379"/>
        </w:trPr>
        <w:tc>
          <w:tcPr>
            <w:tcW w:w="5300" w:type="dxa"/>
            <w:vAlign w:val="bottom"/>
            <w:gridSpan w:val="2"/>
          </w:tcPr>
          <w:p>
            <w:pPr>
              <w:spacing w:after="0"/>
              <w:rPr>
                <w:sz w:val="20"/>
                <w:szCs w:val="20"/>
                <w:color w:val="auto"/>
              </w:rPr>
            </w:pPr>
            <w:r>
              <w:rPr>
                <w:rFonts w:ascii="Arial" w:cs="Arial" w:eastAsia="Arial" w:hAnsi="Arial"/>
                <w:sz w:val="16"/>
                <w:szCs w:val="16"/>
                <w:color w:val="auto"/>
              </w:rPr>
              <w:t>Linear Technology (UK) Limited</w:t>
            </w:r>
          </w:p>
        </w:tc>
        <w:tc>
          <w:tcPr>
            <w:tcW w:w="5420" w:type="dxa"/>
            <w:vAlign w:val="bottom"/>
          </w:tcPr>
          <w:p>
            <w:pPr>
              <w:spacing w:after="0"/>
              <w:rPr>
                <w:sz w:val="24"/>
                <w:szCs w:val="24"/>
                <w:color w:val="auto"/>
              </w:rPr>
            </w:pPr>
          </w:p>
        </w:tc>
      </w:tr>
      <w:tr>
        <w:trPr>
          <w:trHeight w:val="344"/>
        </w:trPr>
        <w:tc>
          <w:tcPr>
            <w:tcW w:w="8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 The Listons, Liston Road, Marlow, Buckinghamshire, SL7 1FD</w:t>
            </w:r>
          </w:p>
        </w:tc>
      </w:tr>
      <w:tr>
        <w:trPr>
          <w:trHeight w:val="330"/>
        </w:trPr>
        <w:tc>
          <w:tcPr>
            <w:tcW w:w="80" w:type="dxa"/>
            <w:vAlign w:val="bottom"/>
            <w:tcBorders>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542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2149602</w:t>
            </w:r>
          </w:p>
        </w:tc>
      </w:tr>
      <w:tr>
        <w:trPr>
          <w:trHeight w:val="330"/>
        </w:trPr>
        <w:tc>
          <w:tcPr>
            <w:tcW w:w="80" w:type="dxa"/>
            <w:vAlign w:val="bottom"/>
            <w:tcBorders>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542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120PA00148447</w:t>
            </w:r>
          </w:p>
        </w:tc>
      </w:tr>
      <w:tr>
        <w:trPr>
          <w:trHeight w:val="330"/>
        </w:trPr>
        <w:tc>
          <w:tcPr>
            <w:tcW w:w="80" w:type="dxa"/>
            <w:vAlign w:val="bottom"/>
            <w:tcBorders>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542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120/L30589</w:t>
            </w:r>
          </w:p>
        </w:tc>
      </w:tr>
      <w:tr>
        <w:trPr>
          <w:trHeight w:val="330"/>
        </w:trPr>
        <w:tc>
          <w:tcPr>
            <w:tcW w:w="80" w:type="dxa"/>
            <w:vAlign w:val="bottom"/>
            <w:tcBorders>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54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APPENDIX F - 5</w:t>
      </w:r>
    </w:p>
    <w:p>
      <w:pPr>
        <w:sectPr>
          <w:pgSz w:w="11900" w:h="16838" w:orient="portrait"/>
          <w:cols w:equalWidth="0" w:num="1">
            <w:col w:w="10740"/>
          </w:cols>
          <w:pgMar w:left="240" w:top="126" w:right="9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31.1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6240" w:val="left"/>
        </w:tabs>
        <w:rPr>
          <w:sz w:val="20"/>
          <w:szCs w:val="20"/>
          <w:color w:val="auto"/>
        </w:rPr>
      </w:pPr>
      <w:r>
        <w:rPr>
          <w:rFonts w:ascii="Arial" w:cs="Arial" w:eastAsia="Arial" w:hAnsi="Arial"/>
          <w:sz w:val="18"/>
          <w:szCs w:val="18"/>
          <w:color w:val="auto"/>
        </w:rPr>
        <w:t>Date: May 22, 2019</w:t>
      </w:r>
      <w:r>
        <w:rPr>
          <w:sz w:val="20"/>
          <w:szCs w:val="20"/>
          <w:color w:val="auto"/>
        </w:rPr>
        <w:tab/>
      </w:r>
      <w:r>
        <w:rPr>
          <w:rFonts w:ascii="Arial" w:cs="Arial" w:eastAsia="Arial" w:hAnsi="Arial"/>
          <w:sz w:val="15"/>
          <w:szCs w:val="15"/>
          <w:color w:val="auto"/>
        </w:rPr>
        <w:t>/s/ V</w:t>
      </w:r>
      <w:r>
        <w:rPr>
          <w:rFonts w:ascii="Arial" w:cs="Arial" w:eastAsia="Arial" w:hAnsi="Arial"/>
          <w:sz w:val="22"/>
          <w:szCs w:val="22"/>
          <w:color w:val="auto"/>
          <w:vertAlign w:val="superscript"/>
        </w:rPr>
        <w:t>INCENT</w:t>
      </w:r>
      <w:r>
        <w:rPr>
          <w:rFonts w:ascii="Arial" w:cs="Arial" w:eastAsia="Arial" w:hAnsi="Arial"/>
          <w:sz w:val="15"/>
          <w:szCs w:val="15"/>
          <w:color w:val="auto"/>
        </w:rPr>
        <w:t xml:space="preserve"> R</w:t>
      </w:r>
      <w:r>
        <w:rPr>
          <w:rFonts w:ascii="Arial" w:cs="Arial" w:eastAsia="Arial" w:hAnsi="Arial"/>
          <w:sz w:val="22"/>
          <w:szCs w:val="22"/>
          <w:color w:val="auto"/>
          <w:vertAlign w:val="superscript"/>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19685</wp:posOffset>
            </wp:positionV>
            <wp:extent cx="33274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Vincent Roche</w:t>
      </w:r>
    </w:p>
    <w:p>
      <w:pPr>
        <w:spacing w:after="0" w:line="7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52"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tabs>
          <w:tab w:leader="none" w:pos="6240" w:val="left"/>
        </w:tabs>
        <w:rPr>
          <w:sz w:val="20"/>
          <w:szCs w:val="20"/>
          <w:color w:val="auto"/>
        </w:rPr>
      </w:pPr>
      <w:r>
        <w:rPr>
          <w:rFonts w:ascii="Arial" w:cs="Arial" w:eastAsia="Arial" w:hAnsi="Arial"/>
          <w:sz w:val="18"/>
          <w:szCs w:val="18"/>
          <w:color w:val="auto"/>
        </w:rPr>
        <w:t>Date: May 22, 2019</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48895</wp:posOffset>
            </wp:positionV>
            <wp:extent cx="33274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Prashanth Mahendra-Rajah</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Senior Vice President, Finance</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and Chief Financial Officer</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52"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4, 2019 as filed with the Securities and Exchange Commission on the date hereof (the “Report”), the undersigned, Vincent Roche, Chief Executive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
        <w:spacing w:after="0"/>
        <w:tabs>
          <w:tab w:leader="none" w:pos="6240" w:val="left"/>
        </w:tabs>
        <w:rPr>
          <w:sz w:val="20"/>
          <w:szCs w:val="20"/>
          <w:color w:val="auto"/>
        </w:rPr>
      </w:pPr>
      <w:r>
        <w:rPr>
          <w:rFonts w:ascii="Arial" w:cs="Arial" w:eastAsia="Arial" w:hAnsi="Arial"/>
          <w:sz w:val="18"/>
          <w:szCs w:val="18"/>
          <w:color w:val="auto"/>
        </w:rPr>
        <w:t>Date: May 22, 2019</w:t>
      </w:r>
      <w:r>
        <w:rPr>
          <w:sz w:val="20"/>
          <w:szCs w:val="20"/>
          <w:color w:val="auto"/>
        </w:rPr>
        <w:tab/>
      </w:r>
      <w:r>
        <w:rPr>
          <w:rFonts w:ascii="Arial" w:cs="Arial" w:eastAsia="Arial" w:hAnsi="Arial"/>
          <w:sz w:val="17"/>
          <w:szCs w:val="17"/>
          <w:color w:val="auto"/>
        </w:rPr>
        <w:t>/s/ V</w:t>
      </w:r>
      <w:r>
        <w:rPr>
          <w:rFonts w:ascii="Arial" w:cs="Arial" w:eastAsia="Arial" w:hAnsi="Arial"/>
          <w:sz w:val="13"/>
          <w:szCs w:val="13"/>
          <w:color w:val="auto"/>
        </w:rPr>
        <w:t>INCENT</w:t>
      </w:r>
      <w:r>
        <w:rPr>
          <w:rFonts w:ascii="Arial" w:cs="Arial" w:eastAsia="Arial" w:hAnsi="Arial"/>
          <w:sz w:val="17"/>
          <w:szCs w:val="17"/>
          <w:color w:val="auto"/>
        </w:rPr>
        <w:t xml:space="preserve"> R</w:t>
      </w:r>
      <w:r>
        <w:rPr>
          <w:rFonts w:ascii="Arial" w:cs="Arial" w:eastAsia="Arial" w:hAnsi="Arial"/>
          <w:sz w:val="13"/>
          <w:szCs w:val="13"/>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48895</wp:posOffset>
            </wp:positionV>
            <wp:extent cx="33274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Vincent Roche</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52"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4, 2019 as filed with the Securities and Exchange Commission on the date hereof (the “Report”), the undersigned, Prashanth Mahendra-Rajah, Chief Financial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
        <w:spacing w:after="0"/>
        <w:tabs>
          <w:tab w:leader="none" w:pos="6240" w:val="left"/>
        </w:tabs>
        <w:rPr>
          <w:sz w:val="20"/>
          <w:szCs w:val="20"/>
          <w:color w:val="auto"/>
        </w:rPr>
      </w:pPr>
      <w:r>
        <w:rPr>
          <w:rFonts w:ascii="Arial" w:cs="Arial" w:eastAsia="Arial" w:hAnsi="Arial"/>
          <w:sz w:val="18"/>
          <w:szCs w:val="18"/>
          <w:color w:val="auto"/>
        </w:rPr>
        <w:t>Date: May 22, 2019</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48895</wp:posOffset>
            </wp:positionV>
            <wp:extent cx="33274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Prashanth Mahendra-Rajah</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decimal"/>
      <w:start w:val="2"/>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1)"/>
      <w:numFmt w:val="lowerLetter"/>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decimal"/>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decimal"/>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1)"/>
      <w:numFmt w:val="lowerLetter"/>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1)"/>
      <w:numFmt w:val="lowerLetter"/>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2"/>
    </w:lvl>
    <w:lvl w:ilvl="1">
      <w:lvlJc w:val="left"/>
      <w:lvlText w:val="(%2)"/>
      <w:numFmt w:val="lowerLetter"/>
      <w:start w:val="1"/>
    </w:lvl>
  </w:abstractNum>
  <w:abstractNum w:abstractNumId="38">
    <w:nsid w:val="100F8FC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9">
    <w:nsid w:val="6590700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1">
    <w:nsid w:val="5F5E7FD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2">
    <w:nsid w:val="98A3148"/>
    <w:multiLevelType w:val="hybridMultilevel"/>
    <w:lvl w:ilvl="0">
      <w:lvlJc w:val="left"/>
      <w:lvlText w:val="(%1)"/>
      <w:numFmt w:val="lowerLetter"/>
      <w:start w:val="3"/>
    </w:lvl>
  </w:abstractNum>
  <w:abstractNum w:abstractNumId="43">
    <w:nsid w:val="799D0247"/>
    <w:multiLevelType w:val="hybridMultilevel"/>
    <w:lvl w:ilvl="0">
      <w:lvlJc w:val="left"/>
      <w:lvlText w:val="(%1)"/>
      <w:numFmt w:val="lowerLetter"/>
      <w:start w:val="16"/>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1)"/>
      <w:numFmt w:val="lowerLetter"/>
      <w:start w:val="3"/>
    </w:lvl>
  </w:abstractNum>
  <w:abstractNum w:abstractNumId="47">
    <w:nsid w:val="1EBA5D23"/>
    <w:multiLevelType w:val="hybridMultilevel"/>
    <w:lvl w:ilvl="0">
      <w:lvlJc w:val="left"/>
      <w:lvlText w:val="%1."/>
      <w:numFmt w:val="decimal"/>
      <w:start w:val="1"/>
    </w:lvl>
    <w:lvl w:ilvl="1">
      <w:lvlJc w:val="left"/>
      <w:lvlText w:val="(%2)"/>
      <w:numFmt w:val="lowerLetter"/>
      <w:start w:val="1"/>
    </w:lvl>
  </w:abstractNum>
  <w:abstractNum w:abstractNumId="48">
    <w:nsid w:val="661E3F1E"/>
    <w:multiLevelType w:val="hybridMultilevel"/>
    <w:lvl w:ilvl="0">
      <w:lvlJc w:val="left"/>
      <w:lvlText w:val="%1"/>
      <w:numFmt w:val="decimal"/>
      <w:start w:val="1"/>
    </w:lvl>
    <w:lvl w:ilvl="1">
      <w:lvlJc w:val="left"/>
      <w:lvlText w:val="(%2)"/>
      <w:numFmt w:val="lowerLetter"/>
      <w:start w:val="3"/>
    </w:lvl>
  </w:abstractNum>
  <w:abstractNum w:abstractNumId="49">
    <w:nsid w:val="5DC79EA8"/>
    <w:multiLevelType w:val="hybridMultilevel"/>
    <w:lvl w:ilvl="0">
      <w:lvlJc w:val="left"/>
      <w:lvlText w:val="%1."/>
      <w:numFmt w:val="decimal"/>
      <w:start w:val="3"/>
    </w:lvl>
    <w:lvl w:ilvl="1">
      <w:lvlJc w:val="left"/>
      <w:lvlText w:val="(%2)"/>
      <w:numFmt w:val="lowerLetter"/>
      <w:start w:val="1"/>
    </w:lvl>
  </w:abstractNum>
  <w:abstractNum w:abstractNumId="50">
    <w:nsid w:val="540A471C"/>
    <w:multiLevelType w:val="hybridMultilevel"/>
    <w:lvl w:ilvl="0">
      <w:lvlJc w:val="left"/>
      <w:lvlText w:val="(%1)"/>
      <w:numFmt w:val="lowerLetter"/>
      <w:start w:val="2"/>
    </w:lvl>
    <w:lvl w:ilvl="1">
      <w:lvlJc w:val="left"/>
      <w:lvlText w:val="(%2)"/>
      <w:numFmt w:val="lowerRoman"/>
      <w:start w:val="1"/>
    </w:lvl>
  </w:abstractNum>
  <w:abstractNum w:abstractNumId="51">
    <w:nsid w:val="7BD3EE7B"/>
    <w:multiLevelType w:val="hybridMultilevel"/>
    <w:lvl w:ilvl="0">
      <w:lvlJc w:val="left"/>
      <w:lvlText w:val="%1."/>
      <w:numFmt w:val="decimal"/>
      <w:start w:val="7"/>
    </w:lvl>
  </w:abstractNum>
  <w:abstractNum w:abstractNumId="52">
    <w:nsid w:val="51D9C564"/>
    <w:multiLevelType w:val="hybridMultilevel"/>
    <w:lvl w:ilvl="0">
      <w:lvlJc w:val="left"/>
      <w:lvlText w:val="%1."/>
      <w:numFmt w:val="decimal"/>
      <w:start w:val="9"/>
    </w:lvl>
    <w:lvl w:ilvl="1">
      <w:lvlJc w:val="left"/>
      <w:lvlText w:val="(%2)"/>
      <w:numFmt w:val="lowerLetter"/>
      <w:start w:val="1"/>
    </w:lvl>
  </w:abstractNum>
  <w:abstractNum w:abstractNumId="53">
    <w:nsid w:val="613EFDC5"/>
    <w:multiLevelType w:val="hybridMultilevel"/>
    <w:lvl w:ilvl="0">
      <w:lvlJc w:val="left"/>
      <w:lvlText w:val="(%1)"/>
      <w:numFmt w:val="lowerLetter"/>
      <w:start w:val="10"/>
    </w:lvl>
  </w:abstractNum>
  <w:abstractNum w:abstractNumId="54">
    <w:nsid w:val="BF72B14"/>
    <w:multiLevelType w:val="hybridMultilevel"/>
    <w:lvl w:ilvl="0">
      <w:lvlJc w:val="left"/>
      <w:lvlText w:val="(%1)"/>
      <w:numFmt w:val="lowerLetter"/>
      <w:start w:val="20"/>
    </w:lvl>
  </w:abstractNum>
  <w:abstractNum w:abstractNumId="55">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1."/>
      <w:numFmt w:val="decimal"/>
      <w:start w:val="2"/>
    </w:lvl>
  </w:abstractNum>
  <w:abstractNum w:abstractNumId="59">
    <w:nsid w:val="1A32234B"/>
    <w:multiLevelType w:val="hybridMultilevel"/>
    <w:lvl w:ilvl="0">
      <w:lvlJc w:val="left"/>
      <w:lvlText w:val="%1."/>
      <w:numFmt w:val="decimal"/>
      <w:start w:val="3"/>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decimal"/>
      <w:start w:val="4"/>
    </w:lvl>
  </w:abstractNum>
  <w:abstractNum w:abstractNumId="62">
    <w:nsid w:val="4962813B"/>
    <w:multiLevelType w:val="hybridMultilevel"/>
    <w:lvl w:ilvl="0">
      <w:lvlJc w:val="left"/>
      <w:lvlText w:val="%1."/>
      <w:numFmt w:val="decimal"/>
      <w:start w:val="5"/>
    </w:lvl>
  </w:abstractNum>
  <w:abstractNum w:abstractNumId="63">
    <w:nsid w:val="60B6DF70"/>
    <w:multiLevelType w:val="hybridMultilevel"/>
    <w:lvl w:ilvl="0">
      <w:lvlJc w:val="left"/>
      <w:lvlText w:val="%1."/>
      <w:numFmt w:val="decimal"/>
      <w:start w:val="6"/>
    </w:lvl>
  </w:abstractNum>
  <w:abstractNum w:abstractNumId="64">
    <w:nsid w:val="6A5EE64"/>
    <w:multiLevelType w:val="hybridMultilevel"/>
    <w:lvl w:ilvl="0">
      <w:lvlJc w:val="left"/>
      <w:lvlText w:val="%1."/>
      <w:numFmt w:val="decimal"/>
      <w:start w:val="7"/>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lowerLetter"/>
      <w:start w:val="2"/>
    </w:lvl>
  </w:abstractNum>
  <w:abstractNum w:abstractNumId="67">
    <w:nsid w:val="1A27709E"/>
    <w:multiLevelType w:val="hybridMultilevel"/>
    <w:lvl w:ilvl="0">
      <w:lvlJc w:val="left"/>
      <w:lvlText w:val="(%1)"/>
      <w:numFmt w:val="lowerLetter"/>
      <w:start w:val="3"/>
    </w:lvl>
  </w:abstractNum>
  <w:abstractNum w:abstractNumId="68">
    <w:nsid w:val="71EA1109"/>
    <w:multiLevelType w:val="hybridMultilevel"/>
    <w:lvl w:ilvl="0">
      <w:lvlJc w:val="left"/>
      <w:lvlText w:val="(%1)"/>
      <w:numFmt w:val="lowerLetter"/>
      <w:start w:val="6"/>
    </w:lvl>
  </w:abstractNum>
  <w:abstractNum w:abstractNumId="69">
    <w:nsid w:val="100F59DC"/>
    <w:multiLevelType w:val="hybridMultilevel"/>
    <w:lvl w:ilvl="0">
      <w:lvlJc w:val="left"/>
      <w:lvlText w:val="%1."/>
      <w:numFmt w:val="decimal"/>
      <w:start w:val="8"/>
    </w:lvl>
  </w:abstractNum>
  <w:abstractNum w:abstractNumId="70">
    <w:nsid w:val="7FB7E0AA"/>
    <w:multiLevelType w:val="hybridMultilevel"/>
    <w:lvl w:ilvl="0">
      <w:lvlJc w:val="left"/>
      <w:lvlText w:val="%1."/>
      <w:numFmt w:val="decimal"/>
      <w:start w:val="9"/>
    </w:lvl>
  </w:abstractNum>
  <w:abstractNum w:abstractNumId="71">
    <w:nsid w:val="6EB5BD4"/>
    <w:multiLevelType w:val="hybridMultilevel"/>
    <w:lvl w:ilvl="0">
      <w:lvlJc w:val="left"/>
      <w:lvlText w:val="%1."/>
      <w:numFmt w:val="decimal"/>
      <w:start w:val="10"/>
    </w:lvl>
  </w:abstractNum>
  <w:abstractNum w:abstractNumId="72">
    <w:nsid w:val="6F6DD9AC"/>
    <w:multiLevelType w:val="hybridMultilevel"/>
    <w:lvl w:ilvl="0">
      <w:lvlJc w:val="left"/>
      <w:lvlText w:val="%1."/>
      <w:numFmt w:val="decimal"/>
      <w:start w:val="11"/>
    </w:lvl>
  </w:abstractNum>
  <w:abstractNum w:abstractNumId="73">
    <w:nsid w:val="94211F2"/>
    <w:multiLevelType w:val="hybridMultilevel"/>
    <w:lvl w:ilvl="0">
      <w:lvlJc w:val="left"/>
      <w:lvlText w:val="%1."/>
      <w:numFmt w:val="decimal"/>
      <w:start w:val="12"/>
    </w:lvl>
  </w:abstractNum>
  <w:abstractNum w:abstractNumId="74">
    <w:nsid w:val="885E1B"/>
    <w:multiLevelType w:val="hybridMultilevel"/>
    <w:lvl w:ilvl="0">
      <w:lvlJc w:val="left"/>
      <w:lvlText w:val="(%1)"/>
      <w:numFmt w:val="lowerLetter"/>
      <w:start w:val="1"/>
    </w:lvl>
  </w:abstractNum>
  <w:abstractNum w:abstractNumId="75">
    <w:nsid w:val="76272110"/>
    <w:multiLevelType w:val="hybridMultilevel"/>
    <w:lvl w:ilvl="0">
      <w:lvlJc w:val="left"/>
      <w:lvlText w:val="(%1)"/>
      <w:numFmt w:val="lowerRoman"/>
      <w:start w:val="1"/>
    </w:lvl>
  </w:abstractNum>
  <w:abstractNum w:abstractNumId="76">
    <w:nsid w:val="4C04A8AF"/>
    <w:multiLevelType w:val="hybridMultilevel"/>
    <w:lvl w:ilvl="0">
      <w:lvlJc w:val="left"/>
      <w:lvlText w:val="(%1)"/>
      <w:numFmt w:val="lowerLetter"/>
      <w:start w:val="2"/>
    </w:lvl>
  </w:abstractNum>
  <w:abstractNum w:abstractNumId="77">
    <w:nsid w:val="1716703B"/>
    <w:multiLevelType w:val="hybridMultilevel"/>
    <w:lvl w:ilvl="0">
      <w:lvlJc w:val="left"/>
      <w:lvlText w:val="(%1)"/>
      <w:numFmt w:val="lowerRoman"/>
      <w:start w:val="1"/>
    </w:lvl>
  </w:abstractNum>
  <w:abstractNum w:abstractNumId="78">
    <w:nsid w:val="14E17E33"/>
    <w:multiLevelType w:val="hybridMultilevel"/>
    <w:lvl w:ilvl="0">
      <w:lvlJc w:val="left"/>
      <w:lvlText w:val="(%1)"/>
      <w:numFmt w:val="lowerLetter"/>
      <w:start w:val="3"/>
    </w:lvl>
  </w:abstractNum>
  <w:abstractNum w:abstractNumId="79">
    <w:nsid w:val="3222E7CD"/>
    <w:multiLevelType w:val="hybridMultilevel"/>
    <w:lvl w:ilvl="0">
      <w:lvlJc w:val="left"/>
      <w:lvlText w:val="(%1)"/>
      <w:numFmt w:val="lowerLetter"/>
      <w:start w:val="4"/>
    </w:lvl>
  </w:abstractNum>
  <w:abstractNum w:abstractNumId="80">
    <w:nsid w:val="74DE0EE3"/>
    <w:multiLevelType w:val="hybridMultilevel"/>
    <w:lvl w:ilvl="0">
      <w:lvlJc w:val="left"/>
      <w:lvlText w:val="(%1)"/>
      <w:numFmt w:val="lowerLetter"/>
      <w:start w:val="5"/>
    </w:lvl>
  </w:abstractNum>
  <w:abstractNum w:abstractNumId="81">
    <w:nsid w:val="68EBC550"/>
    <w:multiLevelType w:val="hybridMultilevel"/>
    <w:lvl w:ilvl="0">
      <w:lvlJc w:val="left"/>
      <w:lvlText w:val="(%1)"/>
      <w:numFmt w:val="lowerLetter"/>
      <w:start w:val="6"/>
    </w:lvl>
  </w:abstractNum>
  <w:abstractNum w:abstractNumId="82">
    <w:nsid w:val="2DF6D648"/>
    <w:multiLevelType w:val="hybridMultilevel"/>
    <w:lvl w:ilvl="0">
      <w:lvlJc w:val="left"/>
      <w:lvlText w:val="(%1)"/>
      <w:numFmt w:val="lowerLetter"/>
      <w:start w:val="7"/>
    </w:lvl>
  </w:abstractNum>
  <w:abstractNum w:abstractNumId="83">
    <w:nsid w:val="46B7D447"/>
    <w:multiLevelType w:val="hybridMultilevel"/>
    <w:lvl w:ilvl="0">
      <w:lvlJc w:val="left"/>
      <w:lvlText w:val="(%1)"/>
      <w:numFmt w:val="lowerLetter"/>
      <w:start w:val="8"/>
    </w:lvl>
  </w:abstractNum>
  <w:abstractNum w:abstractNumId="84">
    <w:nsid w:val="4A2AC315"/>
    <w:multiLevelType w:val="hybridMultilevel"/>
    <w:lvl w:ilvl="0">
      <w:lvlJc w:val="left"/>
      <w:lvlText w:val="%1."/>
      <w:numFmt w:val="decimal"/>
      <w:start w:val="13"/>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1."/>
      <w:numFmt w:val="upperLetter"/>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lowerLetter"/>
      <w:start w:val="1"/>
    </w:lvl>
    <w:lvl w:ilvl="1">
      <w:lvlJc w:val="left"/>
      <w:lvlText w:val="(%2)"/>
      <w:numFmt w:val="lowerRoman"/>
      <w:start w:val="1"/>
    </w:lvl>
  </w:abstractNum>
  <w:abstractNum w:abstractNumId="89">
    <w:nsid w:val="60EF0119"/>
    <w:multiLevelType w:val="hybridMultilevel"/>
    <w:lvl w:ilvl="0">
      <w:lvlJc w:val="left"/>
      <w:lvlText w:val="%1."/>
      <w:numFmt w:val="decimal"/>
      <w:start w:val="2"/>
    </w:lvl>
  </w:abstractNum>
  <w:abstractNum w:abstractNumId="90">
    <w:nsid w:val="26F324BA"/>
    <w:multiLevelType w:val="hybridMultilevel"/>
    <w:lvl w:ilvl="0">
      <w:lvlJc w:val="left"/>
      <w:lvlText w:val="%1."/>
      <w:numFmt w:val="decimal"/>
      <w:start w:val="3"/>
    </w:lvl>
  </w:abstractNum>
  <w:abstractNum w:abstractNumId="91">
    <w:nsid w:val="7F01579B"/>
    <w:multiLevelType w:val="hybridMultilevel"/>
    <w:lvl w:ilvl="0">
      <w:lvlJc w:val="left"/>
      <w:lvlText w:val="(%1)"/>
      <w:numFmt w:val="lowerRoman"/>
      <w:start w:val="1"/>
    </w:lvl>
  </w:abstractNum>
  <w:abstractNum w:abstractNumId="92">
    <w:nsid w:val="49DA307D"/>
    <w:multiLevelType w:val="hybridMultilevel"/>
    <w:lvl w:ilvl="0">
      <w:lvlJc w:val="left"/>
      <w:lvlText w:val="%1."/>
      <w:numFmt w:val="decimal"/>
      <w:start w:val="4"/>
    </w:lvl>
  </w:abstractNum>
  <w:abstractNum w:abstractNumId="93">
    <w:nsid w:val="7055A5F5"/>
    <w:multiLevelType w:val="hybridMultilevel"/>
    <w:lvl w:ilvl="0">
      <w:lvlJc w:val="left"/>
      <w:lvlText w:val="(%1)"/>
      <w:numFmt w:val="lowerRoman"/>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2019-12-28T11:40:50Z</dcterms:created>
  <dcterms:modified xsi:type="dcterms:W3CDTF">2019-12-28T11:40:50Z</dcterms:modified>
</cp:coreProperties>
</file>