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00"/>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860" w:space="720"/>
            <w:col w:w="286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One Technology Way, Norwood, MA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02062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Results</w:t>
      </w:r>
      <w:r>
        <w:rPr>
          <w:rFonts w:ascii="Arial" w:cs="Arial" w:eastAsia="Arial" w:hAnsi="Arial"/>
          <w:sz w:val="18"/>
          <w:szCs w:val="18"/>
          <w:color w:val="auto"/>
        </w:rPr>
        <w:t>.</w:t>
      </w:r>
    </w:p>
    <w:p>
      <w:pPr>
        <w:spacing w:after="0" w:line="117"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At the 2017 Annual Meeting of Shareholders of Analog Devices, Inc. (the “Company”), held on March 8, 2017, the proposals listed below were submitted to a vote of our shareholders. The proposals are described in our definitive proxy statement for the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1 – The election of nine nominees to our Board of Directors each for a term expiring at the next annual meeting of shareholders.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nine nominees named in the definitive proxy statement were elected to serve as directors until our 2018 annual meeting of shareholders.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the vote on each director standing for election is provided below:</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Nominee</w:t>
            </w: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Votes</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Votes</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Votes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58"/>
        </w:trPr>
        <w:tc>
          <w:tcPr>
            <w:tcW w:w="6400" w:type="dxa"/>
            <w:vAlign w:val="bottom"/>
            <w:gridSpan w:val="2"/>
            <w:vMerge w:val="continue"/>
          </w:tcPr>
          <w:p>
            <w:pPr>
              <w:spacing w:after="0"/>
              <w:rPr>
                <w:sz w:val="13"/>
                <w:szCs w:val="13"/>
                <w:color w:val="auto"/>
              </w:rPr>
            </w:pPr>
          </w:p>
        </w:tc>
        <w:tc>
          <w:tcPr>
            <w:tcW w:w="12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For</w:t>
            </w:r>
          </w:p>
        </w:tc>
        <w:tc>
          <w:tcPr>
            <w:tcW w:w="10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Against</w:t>
            </w:r>
          </w:p>
        </w:tc>
        <w:tc>
          <w:tcPr>
            <w:tcW w:w="92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88"/>
              </w:rPr>
              <w:t>Abstaining</w:t>
            </w:r>
          </w:p>
        </w:tc>
        <w:tc>
          <w:tcPr>
            <w:tcW w:w="92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Ray Stata</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259,197,846</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2,201,953</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71,872</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21,183,508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Vincent Roche</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260,535,669</w:t>
            </w: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862,919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73,083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21,183,508</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James A. Champy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257,504,489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3,883,746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83,436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21,183,508</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Bruce R. Evans</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259,069,410</w:t>
            </w: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2,250,558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151,703</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21,183,508</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Edward H. Frank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259,888,212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1,429,839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153,620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21,183,508</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Mark M. Little</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259,141,100</w:t>
            </w: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2,174,216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156,355</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21,183,508</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Neil Novich</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260,425,134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896,439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150,098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21,183,508</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Kenton J. Sicchitano</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256,772,520</w:t>
            </w: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4,598,207</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100,944</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21,183,508</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Lisa T. Su</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260,864,982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530,650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76,039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21,183,508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u w:val="single" w:color="auto"/>
          <w:color w:val="auto"/>
        </w:rPr>
        <w:t>Proposal 2 – The approval of the compensation of our named executive officers, as described in the Compensation Discussion and Analysis, executive compensation tables and accompanying narrative disclosure in our proxy statement.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shareholders approved, on an advisory basis, the compensation of our named executive officers. The voting results were as follows: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20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Votes Against</w:t>
            </w:r>
          </w:p>
        </w:tc>
        <w:tc>
          <w:tcPr>
            <w:tcW w:w="18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Votes Abstaining</w:t>
            </w:r>
          </w:p>
        </w:tc>
        <w:tc>
          <w:tcPr>
            <w:tcW w:w="18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780" w:type="dxa"/>
            <w:vAlign w:val="bottom"/>
            <w:gridSpan w:val="3"/>
            <w:shd w:val="clear" w:color="auto" w:fill="CCEEFF"/>
          </w:tcPr>
          <w:p>
            <w:pPr>
              <w:jc w:val="right"/>
              <w:ind w:right="1880"/>
              <w:spacing w:after="0"/>
              <w:rPr>
                <w:sz w:val="20"/>
                <w:szCs w:val="20"/>
                <w:color w:val="auto"/>
              </w:rPr>
            </w:pPr>
            <w:r>
              <w:rPr>
                <w:rFonts w:ascii="Arial" w:cs="Arial" w:eastAsia="Arial" w:hAnsi="Arial"/>
                <w:sz w:val="18"/>
                <w:szCs w:val="18"/>
                <w:color w:val="auto"/>
                <w:w w:val="87"/>
              </w:rPr>
              <w:t>252,573,269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5,451,973</w:t>
            </w:r>
          </w:p>
        </w:tc>
        <w:tc>
          <w:tcPr>
            <w:tcW w:w="29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3,446,429</w:t>
            </w:r>
          </w:p>
        </w:tc>
        <w:tc>
          <w:tcPr>
            <w:tcW w:w="30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21,183,508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3 – The determination of the frequency of future advisory votes on the compensation of our named executive officers.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voting results were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One Year</w:t>
            </w:r>
          </w:p>
        </w:tc>
        <w:tc>
          <w:tcPr>
            <w:tcW w:w="2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Two Years</w:t>
            </w:r>
          </w:p>
        </w:tc>
        <w:tc>
          <w:tcPr>
            <w:tcW w:w="2080" w:type="dxa"/>
            <w:vAlign w:val="bottom"/>
          </w:tcPr>
          <w:p>
            <w:pPr>
              <w:spacing w:after="0"/>
              <w:rPr>
                <w:sz w:val="14"/>
                <w:szCs w:val="14"/>
                <w:color w:val="auto"/>
              </w:rPr>
            </w:pPr>
          </w:p>
        </w:tc>
        <w:tc>
          <w:tcPr>
            <w:tcW w:w="282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w w:val="92"/>
              </w:rPr>
              <w:t>Three Years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Votes Abstaining</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23"/>
        </w:trPr>
        <w:tc>
          <w:tcPr>
            <w:tcW w:w="2960" w:type="dxa"/>
            <w:vAlign w:val="bottom"/>
            <w:gridSpan w:val="3"/>
            <w:shd w:val="clear" w:color="auto" w:fill="CCEEFF"/>
          </w:tcPr>
          <w:p>
            <w:pPr>
              <w:jc w:val="right"/>
              <w:ind w:right="2060"/>
              <w:spacing w:after="0"/>
              <w:rPr>
                <w:sz w:val="20"/>
                <w:szCs w:val="20"/>
                <w:color w:val="auto"/>
              </w:rPr>
            </w:pPr>
            <w:r>
              <w:rPr>
                <w:rFonts w:ascii="Arial" w:cs="Arial" w:eastAsia="Arial" w:hAnsi="Arial"/>
                <w:sz w:val="18"/>
                <w:szCs w:val="18"/>
                <w:color w:val="auto"/>
                <w:w w:val="87"/>
              </w:rPr>
              <w:t>237,910,233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412,980</w:t>
            </w:r>
          </w:p>
        </w:tc>
        <w:tc>
          <w:tcPr>
            <w:tcW w:w="4900" w:type="dxa"/>
            <w:vAlign w:val="bottom"/>
            <w:gridSpan w:val="3"/>
            <w:shd w:val="clear" w:color="auto" w:fill="CCEEFF"/>
          </w:tcPr>
          <w:p>
            <w:pPr>
              <w:jc w:val="right"/>
              <w:ind w:right="2040"/>
              <w:spacing w:after="0"/>
              <w:rPr>
                <w:sz w:val="20"/>
                <w:szCs w:val="20"/>
                <w:color w:val="auto"/>
              </w:rPr>
            </w:pPr>
            <w:r>
              <w:rPr>
                <w:rFonts w:ascii="Arial" w:cs="Arial" w:eastAsia="Arial" w:hAnsi="Arial"/>
                <w:sz w:val="18"/>
                <w:szCs w:val="18"/>
                <w:color w:val="auto"/>
              </w:rPr>
              <w:t>20,164,140</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2,984,318</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results and consistent with a majority of the votes cast with respect to this matter, our Board of Directors has determined to continue to hold an annual advisory vote on the compensation of our named executive officers.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u w:val="single" w:color="auto"/>
          <w:color w:val="auto"/>
        </w:rPr>
        <w:t>Proposal 4 – The ratification of the selection of Ernst &amp; Young LLP as our independent registered public accounting firm for the fiscal year ending October 28, 2017.</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shareholders ratified the Company’s selection of Ernst &amp; Young LLP as our independent registered public accounting firm for the fiscal year ending October 28, 2017. The voting results were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35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Against</w:t>
            </w:r>
          </w:p>
        </w:tc>
        <w:tc>
          <w:tcPr>
            <w:tcW w:w="33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Votes Abstaining</w:t>
            </w:r>
          </w:p>
        </w:tc>
      </w:tr>
      <w:tr>
        <w:trPr>
          <w:trHeight w:val="210"/>
        </w:trPr>
        <w:tc>
          <w:tcPr>
            <w:tcW w:w="4280" w:type="dxa"/>
            <w:vAlign w:val="bottom"/>
            <w:gridSpan w:val="3"/>
            <w:shd w:val="clear" w:color="auto" w:fill="CCEEFF"/>
          </w:tcPr>
          <w:p>
            <w:pPr>
              <w:jc w:val="right"/>
              <w:ind w:right="3380"/>
              <w:spacing w:after="0"/>
              <w:rPr>
                <w:sz w:val="20"/>
                <w:szCs w:val="20"/>
                <w:color w:val="auto"/>
              </w:rPr>
            </w:pPr>
            <w:r>
              <w:rPr>
                <w:rFonts w:ascii="Arial" w:cs="Arial" w:eastAsia="Arial" w:hAnsi="Arial"/>
                <w:sz w:val="18"/>
                <w:szCs w:val="18"/>
                <w:color w:val="auto"/>
                <w:w w:val="87"/>
              </w:rPr>
              <w:t>277,283,708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5,180,293</w:t>
            </w:r>
          </w:p>
        </w:tc>
        <w:tc>
          <w:tcPr>
            <w:tcW w:w="44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191,178</w:t>
            </w:r>
          </w:p>
        </w:tc>
      </w:tr>
    </w:tbl>
    <w:p>
      <w:pPr>
        <w:sectPr>
          <w:pgSz w:w="11900" w:h="16838" w:orient="portrait"/>
          <w:cols w:equalWidth="0" w:num="1">
            <w:col w:w="11260"/>
          </w:cols>
          <w:pgMar w:left="240" w:top="270" w:right="39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March 9, 2017</w:t>
      </w:r>
      <w:r>
        <w:rPr>
          <w:sz w:val="20"/>
          <w:szCs w:val="20"/>
          <w:color w:val="auto"/>
        </w:rPr>
        <w:tab/>
      </w:r>
      <w:r>
        <w:rPr>
          <w:rFonts w:ascii="Arial" w:cs="Arial" w:eastAsia="Arial" w:hAnsi="Arial"/>
          <w:sz w:val="17"/>
          <w:szCs w:val="17"/>
          <w:color w:val="auto"/>
        </w:rPr>
        <w:t>ANALOG DEVICES, INC.</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Margaret K. Seif</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Chief Legal Officer and Secretary</w:t>
      </w:r>
    </w:p>
    <w:sectPr>
      <w:pgSz w:w="11900" w:h="16838" w:orient="portrait"/>
      <w:cols w:equalWidth="0" w:num="1">
        <w:col w:w="10800"/>
      </w:cols>
      <w:pgMar w:left="240" w:top="27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2019-12-05T01:20:31Z</dcterms:created>
  <dcterms:modified xsi:type="dcterms:W3CDTF">2019-12-05T01:20:31Z</dcterms:modified>
</cp:coreProperties>
</file>