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36" w:lineRule="exact"/>
        <w:rPr>
          <w:sz w:val="24"/>
          <w:szCs w:val="24"/>
          <w:color w:val="auto"/>
        </w:rPr>
      </w:pPr>
    </w:p>
    <w:p>
      <w:pPr>
        <w:jc w:val="center"/>
        <w:ind w:left="480" w:right="479"/>
        <w:spacing w:after="0" w:line="266" w:lineRule="auto"/>
        <w:rPr>
          <w:sz w:val="20"/>
          <w:szCs w:val="20"/>
          <w:color w:val="auto"/>
        </w:rPr>
      </w:pPr>
      <w:r>
        <w:rPr>
          <w:rFonts w:ascii="Arial" w:cs="Arial" w:eastAsia="Arial" w:hAnsi="Arial"/>
          <w:sz w:val="18"/>
          <w:szCs w:val="18"/>
          <w:b w:val="1"/>
          <w:bCs w:val="1"/>
          <w:color w:val="auto"/>
        </w:rPr>
        <w:t>TENDER OFFER STATEMENT UNDER SECTION 14(D)(1) OR 13(E)(1) OF THE SECURITIES EXCHANGE ACT OF 1934 (Amendment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217805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HITTITE MICROWAVE CORPORATION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Subject Company (Issuer))</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BBAC CORP.</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 direct wholly owned subsidiary of</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ANALOG DEVICES,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(Names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43365Y104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Margaret K. Seif,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Norwood, Massachusetts 02062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329-4700</w:t>
      </w:r>
    </w:p>
    <w:p>
      <w:pPr>
        <w:jc w:val="center"/>
        <w:ind w:right="-20"/>
        <w:spacing w:after="0" w:line="225" w:lineRule="auto"/>
        <w:rPr>
          <w:sz w:val="20"/>
          <w:szCs w:val="20"/>
          <w:color w:val="auto"/>
        </w:rPr>
      </w:pPr>
      <w:r>
        <w:rPr>
          <w:rFonts w:ascii="Arial" w:cs="Arial" w:eastAsia="Arial" w:hAnsi="Arial"/>
          <w:sz w:val="14"/>
          <w:szCs w:val="14"/>
          <w:b w:val="1"/>
          <w:bCs w:val="1"/>
          <w:color w:val="auto"/>
        </w:rPr>
        <w:t>(Name, address, and telephone numbers of person authorized to receive notices and</w:t>
      </w:r>
    </w:p>
    <w:p>
      <w:pPr>
        <w:jc w:val="center"/>
        <w:ind w:right="-20"/>
        <w:spacing w:after="0"/>
        <w:rPr>
          <w:sz w:val="20"/>
          <w:szCs w:val="20"/>
          <w:color w:val="auto"/>
        </w:rPr>
      </w:pPr>
      <w:r>
        <w:rPr>
          <w:rFonts w:ascii="Arial" w:cs="Arial" w:eastAsia="Arial" w:hAnsi="Arial"/>
          <w:sz w:val="14"/>
          <w:szCs w:val="14"/>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G. Borden,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Jay E. Bothwick,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526-6000</w:t>
      </w:r>
    </w:p>
    <w:p>
      <w:pPr>
        <w:sectPr>
          <w:pgSz w:w="11900" w:h="16838" w:orient="portrait"/>
          <w:cols w:equalWidth="0" w:num="1">
            <w:col w:w="9019"/>
          </w:cols>
          <w:pgMar w:left="1440" w:top="5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20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CALCULATION OF FILING FEE</w:t>
            </w:r>
          </w:p>
        </w:tc>
      </w:tr>
      <w:tr>
        <w:trPr>
          <w:trHeight w:val="257"/>
        </w:trPr>
        <w:tc>
          <w:tcPr>
            <w:tcW w:w="32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5620" w:type="dxa"/>
            <w:vAlign w:val="bottom"/>
            <w:tcBorders>
              <w:bottom w:val="single" w:sz="8" w:color="auto"/>
            </w:tcBorders>
          </w:tcPr>
          <w:p>
            <w:pPr>
              <w:spacing w:after="0"/>
              <w:rPr>
                <w:sz w:val="22"/>
                <w:szCs w:val="22"/>
                <w:color w:val="auto"/>
              </w:rPr>
            </w:pPr>
          </w:p>
        </w:tc>
      </w:tr>
      <w:tr>
        <w:trPr>
          <w:trHeight w:val="34"/>
        </w:trPr>
        <w:tc>
          <w:tcPr>
            <w:tcW w:w="3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195"/>
        </w:trPr>
        <w:tc>
          <w:tcPr>
            <w:tcW w:w="3220" w:type="dxa"/>
            <w:vAlign w:val="bottom"/>
          </w:tcPr>
          <w:p>
            <w:pPr>
              <w:ind w:left="160"/>
              <w:spacing w:after="0" w:line="195" w:lineRule="exact"/>
              <w:rPr>
                <w:sz w:val="20"/>
                <w:szCs w:val="20"/>
                <w:color w:val="auto"/>
              </w:rPr>
            </w:pPr>
            <w:r>
              <w:rPr>
                <w:rFonts w:ascii="Arial" w:cs="Arial" w:eastAsia="Arial" w:hAnsi="Arial"/>
                <w:sz w:val="18"/>
                <w:szCs w:val="18"/>
                <w:b w:val="1"/>
                <w:bCs w:val="1"/>
                <w:color w:val="auto"/>
              </w:rPr>
              <w:t>Transaction Valuation(1)</w:t>
            </w:r>
          </w:p>
        </w:tc>
        <w:tc>
          <w:tcPr>
            <w:tcW w:w="2580" w:type="dxa"/>
            <w:vAlign w:val="bottom"/>
            <w:tcBorders>
              <w:right w:val="single" w:sz="8" w:color="auto"/>
            </w:tcBorders>
          </w:tcPr>
          <w:p>
            <w:pPr>
              <w:spacing w:after="0"/>
              <w:rPr>
                <w:sz w:val="16"/>
                <w:szCs w:val="16"/>
                <w:color w:val="auto"/>
              </w:rPr>
            </w:pPr>
          </w:p>
        </w:tc>
        <w:tc>
          <w:tcPr>
            <w:tcW w:w="562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Amount Of Filing Fee(2)</w:t>
            </w:r>
          </w:p>
        </w:tc>
      </w:tr>
      <w:tr>
        <w:trPr>
          <w:trHeight w:val="230"/>
        </w:trPr>
        <w:tc>
          <w:tcPr>
            <w:tcW w:w="3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$2,470,564,631</w:t>
            </w:r>
          </w:p>
        </w:tc>
        <w:tc>
          <w:tcPr>
            <w:tcW w:w="25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$318,209</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29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transaction valuation is an estimate calculated solely for purposes of determining the amount of the filing fee. The transaction valuation was determined by multiplying (x) $78.00 (i.e., the per share tender offer price) by (y) the sum of (a) 31,390,468, the number of shares of common stock (including shares subject to restricted stock awards) issued and outstanding, plus (b) 10,777, the number of shares of common stock issuable pursuant to outstanding stock options, less the aggregate exercise price of such options, plus (c) 275,174, the number of shares of common stock subject to restricted stock units. The foregoing share figures have been provided by the issuer to the offerors and are as of June 19, 2014.</w:t>
      </w:r>
    </w:p>
    <w:p>
      <w:pPr>
        <w:spacing w:after="0" w:line="63" w:lineRule="exact"/>
        <w:rPr>
          <w:rFonts w:ascii="Arial" w:cs="Arial" w:eastAsia="Arial" w:hAnsi="Arial"/>
          <w:sz w:val="16"/>
          <w:szCs w:val="16"/>
          <w:color w:val="auto"/>
        </w:rPr>
      </w:pPr>
    </w:p>
    <w:p>
      <w:pPr>
        <w:ind w:left="460" w:right="4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#1 for Fiscal Year 2014, issued August 30, 2013, by multiplying the transaction value by 0.00012880.</w:t>
      </w:r>
    </w:p>
    <w:p>
      <w:pPr>
        <w:spacing w:after="0" w:line="76" w:lineRule="exact"/>
        <w:rPr>
          <w:sz w:val="20"/>
          <w:szCs w:val="20"/>
          <w:color w:val="auto"/>
        </w:rPr>
      </w:pPr>
    </w:p>
    <w:p>
      <w:pPr>
        <w:ind w:left="460" w:right="28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270" w:right="239" w:bottom="1440" w:gutter="0" w:footer="0" w:header="0"/>
        </w:sectPr>
      </w:pP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Amount Previously Paid: $318,209</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Filing Party: BBAC Corp.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Date Filed: June 23, 2014</w:t>
      </w:r>
    </w:p>
    <w:p>
      <w:pPr>
        <w:spacing w:after="0" w:line="200" w:lineRule="exact"/>
        <w:rPr>
          <w:sz w:val="20"/>
          <w:szCs w:val="20"/>
          <w:color w:val="auto"/>
        </w:rPr>
      </w:pPr>
    </w:p>
    <w:p>
      <w:pPr>
        <w:sectPr>
          <w:pgSz w:w="11900" w:h="16838" w:orient="portrait"/>
          <w:cols w:equalWidth="0" w:num="2">
            <w:col w:w="5120" w:space="720"/>
            <w:col w:w="5580"/>
          </w:cols>
          <w:pgMar w:left="240" w:top="270" w:right="239" w:bottom="1440" w:gutter="0" w:footer="0" w:header="0"/>
          <w:type w:val="continuous"/>
        </w:sectPr>
      </w:pPr>
    </w:p>
    <w:p>
      <w:pPr>
        <w:spacing w:after="0" w:line="61"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131" w:lineRule="exact"/>
        <w:rPr>
          <w:sz w:val="20"/>
          <w:szCs w:val="20"/>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93"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31" w:lineRule="exact"/>
        <w:rPr>
          <w:sz w:val="20"/>
          <w:szCs w:val="20"/>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type w:val="continuous"/>
        </w:sectPr>
      </w:pPr>
    </w:p>
    <w:bookmarkStart w:id="2" w:name="page3"/>
    <w:bookmarkEnd w:id="2"/>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4 (this “</w:t>
      </w:r>
      <w:r>
        <w:rPr>
          <w:rFonts w:ascii="Arial" w:cs="Arial" w:eastAsia="Arial" w:hAnsi="Arial"/>
          <w:sz w:val="16"/>
          <w:szCs w:val="16"/>
          <w:b w:val="1"/>
          <w:bCs w:val="1"/>
          <w:color w:val="auto"/>
        </w:rPr>
        <w:t>Amendment</w:t>
      </w:r>
      <w:r>
        <w:rPr>
          <w:rFonts w:ascii="Arial" w:cs="Arial" w:eastAsia="Arial" w:hAnsi="Arial"/>
          <w:sz w:val="16"/>
          <w:szCs w:val="16"/>
          <w:color w:val="auto"/>
        </w:rPr>
        <w:t>”) amends and supplements the Tender Offer Statement on Schedule TO, originally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June 23, 2014 (as amended by Amendment No. 1 filed with the SEC on June 27, 2014 (“</w:t>
      </w:r>
      <w:r>
        <w:rPr>
          <w:rFonts w:ascii="Arial" w:cs="Arial" w:eastAsia="Arial" w:hAnsi="Arial"/>
          <w:sz w:val="16"/>
          <w:szCs w:val="16"/>
          <w:b w:val="1"/>
          <w:bCs w:val="1"/>
          <w:color w:val="auto"/>
        </w:rPr>
        <w:t>Amendment No. 1</w:t>
      </w:r>
      <w:r>
        <w:rPr>
          <w:rFonts w:ascii="Arial" w:cs="Arial" w:eastAsia="Arial" w:hAnsi="Arial"/>
          <w:sz w:val="16"/>
          <w:szCs w:val="16"/>
          <w:color w:val="auto"/>
        </w:rPr>
        <w:t>”), Amendment No. 2 filed with the SEC on July 11, 2014 (“</w:t>
      </w:r>
      <w:r>
        <w:rPr>
          <w:rFonts w:ascii="Arial" w:cs="Arial" w:eastAsia="Arial" w:hAnsi="Arial"/>
          <w:sz w:val="16"/>
          <w:szCs w:val="16"/>
          <w:b w:val="1"/>
          <w:bCs w:val="1"/>
          <w:color w:val="auto"/>
        </w:rPr>
        <w:t>Amendment No. 2</w:t>
      </w:r>
      <w:r>
        <w:rPr>
          <w:rFonts w:ascii="Arial" w:cs="Arial" w:eastAsia="Arial" w:hAnsi="Arial"/>
          <w:sz w:val="16"/>
          <w:szCs w:val="16"/>
          <w:color w:val="auto"/>
        </w:rPr>
        <w:t>”), Amendment No. 3 filed with the SEC on July 17, 2014 (“</w:t>
      </w:r>
      <w:r>
        <w:rPr>
          <w:rFonts w:ascii="Arial" w:cs="Arial" w:eastAsia="Arial" w:hAnsi="Arial"/>
          <w:sz w:val="16"/>
          <w:szCs w:val="16"/>
          <w:b w:val="1"/>
          <w:bCs w:val="1"/>
          <w:color w:val="auto"/>
        </w:rPr>
        <w:t>Amendment</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No. 3</w:t>
      </w:r>
      <w:r>
        <w:rPr>
          <w:rFonts w:ascii="Arial" w:cs="Arial" w:eastAsia="Arial" w:hAnsi="Arial"/>
          <w:sz w:val="17"/>
          <w:szCs w:val="17"/>
          <w:color w:val="auto"/>
        </w:rPr>
        <w:t>”) and this Amendment, the “</w:t>
      </w:r>
      <w:r>
        <w:rPr>
          <w:rFonts w:ascii="Arial" w:cs="Arial" w:eastAsia="Arial" w:hAnsi="Arial"/>
          <w:sz w:val="17"/>
          <w:szCs w:val="17"/>
          <w:b w:val="1"/>
          <w:bCs w:val="1"/>
          <w:color w:val="auto"/>
        </w:rPr>
        <w:t>Schedule TO</w:t>
      </w:r>
      <w:r>
        <w:rPr>
          <w:rFonts w:ascii="Arial" w:cs="Arial" w:eastAsia="Arial" w:hAnsi="Arial"/>
          <w:sz w:val="17"/>
          <w:szCs w:val="17"/>
          <w:color w:val="auto"/>
        </w:rPr>
        <w:t>”), which relates to the offer by BBAC Corp., a Delaware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a direct wholly</w:t>
      </w:r>
      <w:r>
        <w:rPr>
          <w:rFonts w:ascii="Arial" w:cs="Arial" w:eastAsia="Arial" w:hAnsi="Arial"/>
          <w:sz w:val="17"/>
          <w:szCs w:val="17"/>
          <w:b w:val="1"/>
          <w:bCs w:val="1"/>
          <w:color w:val="auto"/>
        </w:rPr>
        <w:t xml:space="preserve"> </w:t>
      </w:r>
      <w:r>
        <w:rPr>
          <w:rFonts w:ascii="Arial" w:cs="Arial" w:eastAsia="Arial" w:hAnsi="Arial"/>
          <w:sz w:val="17"/>
          <w:szCs w:val="17"/>
          <w:color w:val="auto"/>
        </w:rPr>
        <w:t>owned subsidiary of Analog Devices, Inc., a Massachusetts corporation (“</w:t>
      </w:r>
      <w:r>
        <w:rPr>
          <w:rFonts w:ascii="Arial" w:cs="Arial" w:eastAsia="Arial" w:hAnsi="Arial"/>
          <w:sz w:val="17"/>
          <w:szCs w:val="17"/>
          <w:b w:val="1"/>
          <w:bCs w:val="1"/>
          <w:color w:val="auto"/>
        </w:rPr>
        <w:t>Analog Devices</w:t>
      </w:r>
      <w:r>
        <w:rPr>
          <w:rFonts w:ascii="Arial" w:cs="Arial" w:eastAsia="Arial" w:hAnsi="Arial"/>
          <w:sz w:val="17"/>
          <w:szCs w:val="17"/>
          <w:color w:val="auto"/>
        </w:rPr>
        <w:t>”), to purchase all of the issued and outstanding shares of common stock, par value $0.01 per share (each, a “</w:t>
      </w:r>
      <w:r>
        <w:rPr>
          <w:rFonts w:ascii="Arial" w:cs="Arial" w:eastAsia="Arial" w:hAnsi="Arial"/>
          <w:sz w:val="17"/>
          <w:szCs w:val="17"/>
          <w:b w:val="1"/>
          <w:bCs w:val="1"/>
          <w:color w:val="auto"/>
        </w:rPr>
        <w:t>Share</w:t>
      </w:r>
      <w:r>
        <w:rPr>
          <w:rFonts w:ascii="Arial" w:cs="Arial" w:eastAsia="Arial" w:hAnsi="Arial"/>
          <w:sz w:val="17"/>
          <w:szCs w:val="17"/>
          <w:color w:val="auto"/>
        </w:rPr>
        <w:t>”), of Hittite Microwave Corporation, a Delaware corporation (“</w:t>
      </w:r>
      <w:r>
        <w:rPr>
          <w:rFonts w:ascii="Arial" w:cs="Arial" w:eastAsia="Arial" w:hAnsi="Arial"/>
          <w:sz w:val="17"/>
          <w:szCs w:val="17"/>
          <w:b w:val="1"/>
          <w:bCs w:val="1"/>
          <w:color w:val="auto"/>
        </w:rPr>
        <w:t>Hittite</w:t>
      </w:r>
      <w:r>
        <w:rPr>
          <w:rFonts w:ascii="Arial" w:cs="Arial" w:eastAsia="Arial" w:hAnsi="Arial"/>
          <w:sz w:val="17"/>
          <w:szCs w:val="17"/>
          <w:color w:val="auto"/>
        </w:rPr>
        <w:t>”), at a price of $78.00 per Share, net to the seller in cash, without interest and less any applicable withholding taxes, upon the terms and subject to the conditions set forth in the Offer to Purchase, dated June 23, 2014 (as amended by Amendment No. 1, Amendment No. 2, Amendment No. 3 and this Amendment, the “</w:t>
      </w:r>
      <w:r>
        <w:rPr>
          <w:rFonts w:ascii="Arial" w:cs="Arial" w:eastAsia="Arial" w:hAnsi="Arial"/>
          <w:sz w:val="17"/>
          <w:szCs w:val="17"/>
          <w:b w:val="1"/>
          <w:bCs w:val="1"/>
          <w:color w:val="auto"/>
        </w:rPr>
        <w:t>Offer to Purchase</w:t>
      </w:r>
      <w:r>
        <w:rPr>
          <w:rFonts w:ascii="Arial" w:cs="Arial" w:eastAsia="Arial" w:hAnsi="Arial"/>
          <w:sz w:val="17"/>
          <w:szCs w:val="17"/>
          <w:color w:val="auto"/>
        </w:rPr>
        <w:t>”) and in the related Letter of Transmittal, copies of which are filed with the Schedule TO as Exhibits (a)(1)(A) and (a)(1)(B), respectively. This Amendment is being filed on behalf of Analog Devices and the Purchaser. Capitalized terms used and not otherwise defined in this Amendment shall have the respective meanings assigned to such terms in the Offer to Purchase.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Amendments to the Offer to Purchase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set forth in Section 16—“Certain Legal Matters; Regulatory Approvals—Antitrust—United States” of the Offer to Purchase and Item 11 of the Schedule TO, to the extent such Item incorporates by reference the information contained in the Offer to Purchase, is hereby amended and supplemented by adding the following text to the end of the third paragraph under such heading, which paragraph begins on page 51 of the Offer to Purchase, as set forth below:</w:t>
      </w:r>
    </w:p>
    <w:p>
      <w:pPr>
        <w:spacing w:after="0" w:line="79" w:lineRule="exact"/>
        <w:rPr>
          <w:sz w:val="20"/>
          <w:szCs w:val="20"/>
          <w:color w:val="auto"/>
        </w:rPr>
      </w:pPr>
    </w:p>
    <w:p>
      <w:pPr>
        <w:ind w:left="460" w:right="120" w:firstLine="438"/>
        <w:spacing w:after="0" w:line="277" w:lineRule="auto"/>
        <w:rPr>
          <w:sz w:val="20"/>
          <w:szCs w:val="20"/>
          <w:color w:val="auto"/>
        </w:rPr>
      </w:pPr>
      <w:r>
        <w:rPr>
          <w:rFonts w:ascii="Arial" w:cs="Arial" w:eastAsia="Arial" w:hAnsi="Arial"/>
          <w:sz w:val="18"/>
          <w:szCs w:val="18"/>
          <w:color w:val="auto"/>
        </w:rPr>
        <w:t>“On July 18, 2014, the waiting period under the HSR Act applicable to the Offer expired. Accordingly, the condition of the Offer relating to the expiration or termination of the waiting period under the HSR Act has been satisfied.”</w:t>
      </w:r>
    </w:p>
    <w:p>
      <w:pPr>
        <w:spacing w:after="0" w:line="1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information set forth in Section 16—“Certain Legal Matters; Regulatory Approvals—Antitrust—Germany” of the Offer to Purchase and Item 11 of the Schedule TO, to the extent such Item incorporates by reference the information contained in the Offer to Purchase, is hereby amended and supplemented by adding the following text after the third paragraph under such heading, which paragraph begins on page 52 of the Offer to Purchase, as set forth below:</w:t>
      </w:r>
    </w:p>
    <w:p>
      <w:pPr>
        <w:spacing w:after="0" w:line="39" w:lineRule="exact"/>
        <w:rPr>
          <w:sz w:val="20"/>
          <w:szCs w:val="20"/>
          <w:color w:val="auto"/>
        </w:rPr>
      </w:pPr>
    </w:p>
    <w:p>
      <w:pPr>
        <w:ind w:left="460" w:right="100" w:firstLine="438"/>
        <w:spacing w:after="0" w:line="342" w:lineRule="auto"/>
        <w:rPr>
          <w:sz w:val="20"/>
          <w:szCs w:val="20"/>
          <w:color w:val="auto"/>
        </w:rPr>
      </w:pPr>
      <w:r>
        <w:rPr>
          <w:rFonts w:ascii="Arial" w:cs="Arial" w:eastAsia="Arial" w:hAnsi="Arial"/>
          <w:sz w:val="16"/>
          <w:szCs w:val="16"/>
          <w:color w:val="auto"/>
        </w:rPr>
        <w:t>“As a result of the expiration of the waiting period under the HSR Act in connection with the Offer and the Merger and Analog Devices and the Purchaser having obtained clearance from the FCO in connection with the Offer and the Merger, the Regulatory Condition has been satisfied.”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July 21,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BBAC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Margaret K. Seif</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Finance and Chief Financial Officer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2019-12-20T21:39:29Z</dcterms:created>
  <dcterms:modified xsi:type="dcterms:W3CDTF">2019-12-20T21:39:29Z</dcterms:modified>
</cp:coreProperties>
</file>