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5180"/>
        <w:spacing w:after="0"/>
        <w:rPr>
          <w:sz w:val="20"/>
          <w:szCs w:val="20"/>
          <w:color w:val="auto"/>
        </w:rPr>
      </w:pPr>
      <w:r>
        <w:rPr>
          <w:rFonts w:ascii="Courier New" w:cs="Courier New" w:eastAsia="Courier New" w:hAnsi="Courier New"/>
          <w:sz w:val="14"/>
          <w:szCs w:val="14"/>
          <w:color w:val="auto"/>
        </w:rPr>
        <w:t>OMB APPROVAL</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tbl>
      <w:tblPr>
        <w:tblLayout w:type="fixed"/>
        <w:tblInd w:w="1120" w:type="dxa"/>
        <w:tblCellMar>
          <w:top w:w="0" w:type="dxa"/>
          <w:left w:w="0" w:type="dxa"/>
          <w:bottom w:w="0" w:type="dxa"/>
          <w:right w:w="0" w:type="dxa"/>
        </w:tblCellMar>
      </w:tblPr>
      <w:tr>
        <w:trPr>
          <w:trHeight w:val="162"/>
        </w:trPr>
        <w:tc>
          <w:tcPr>
            <w:tcW w:w="4920" w:type="dxa"/>
            <w:vAlign w:val="bottom"/>
          </w:tcPr>
          <w:p>
            <w:pPr>
              <w:ind w:left="3360"/>
              <w:spacing w:after="0"/>
              <w:rPr>
                <w:sz w:val="20"/>
                <w:szCs w:val="20"/>
                <w:color w:val="auto"/>
              </w:rPr>
            </w:pPr>
            <w:r>
              <w:rPr>
                <w:rFonts w:ascii="Courier New" w:cs="Courier New" w:eastAsia="Courier New" w:hAnsi="Courier New"/>
                <w:sz w:val="14"/>
                <w:szCs w:val="14"/>
                <w:color w:val="auto"/>
              </w:rPr>
              <w:t>OMB Number: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3235-0145</w:t>
            </w:r>
          </w:p>
        </w:tc>
      </w:tr>
      <w:tr>
        <w:trPr>
          <w:trHeight w:val="166"/>
        </w:trPr>
        <w:tc>
          <w:tcPr>
            <w:tcW w:w="5700" w:type="dxa"/>
            <w:vAlign w:val="bottom"/>
            <w:gridSpan w:val="2"/>
          </w:tcPr>
          <w:p>
            <w:pPr>
              <w:ind w:left="3360"/>
              <w:spacing w:after="0"/>
              <w:rPr>
                <w:sz w:val="20"/>
                <w:szCs w:val="20"/>
                <w:color w:val="auto"/>
              </w:rPr>
            </w:pPr>
            <w:r>
              <w:rPr>
                <w:rFonts w:ascii="Courier New" w:cs="Courier New" w:eastAsia="Courier New" w:hAnsi="Courier New"/>
                <w:sz w:val="14"/>
                <w:szCs w:val="14"/>
                <w:color w:val="auto"/>
              </w:rPr>
              <w:t>Expires:   October 31, 2002</w:t>
            </w:r>
          </w:p>
        </w:tc>
      </w:tr>
      <w:tr>
        <w:trPr>
          <w:trHeight w:val="166"/>
        </w:trPr>
        <w:tc>
          <w:tcPr>
            <w:tcW w:w="5700" w:type="dxa"/>
            <w:vAlign w:val="bottom"/>
            <w:gridSpan w:val="2"/>
          </w:tcPr>
          <w:p>
            <w:pPr>
              <w:ind w:left="3360"/>
              <w:spacing w:after="0"/>
              <w:rPr>
                <w:sz w:val="20"/>
                <w:szCs w:val="20"/>
                <w:color w:val="auto"/>
              </w:rPr>
            </w:pPr>
            <w:r>
              <w:rPr>
                <w:rFonts w:ascii="Courier New" w:cs="Courier New" w:eastAsia="Courier New" w:hAnsi="Courier New"/>
                <w:sz w:val="14"/>
                <w:szCs w:val="14"/>
                <w:color w:val="auto"/>
              </w:rPr>
              <w:t>Estimated average burden</w:t>
            </w:r>
          </w:p>
        </w:tc>
      </w:tr>
      <w:tr>
        <w:trPr>
          <w:trHeight w:val="166"/>
        </w:trPr>
        <w:tc>
          <w:tcPr>
            <w:tcW w:w="4920" w:type="dxa"/>
            <w:vAlign w:val="bottom"/>
          </w:tcPr>
          <w:p>
            <w:pPr>
              <w:ind w:left="3360"/>
              <w:spacing w:after="0"/>
              <w:rPr>
                <w:sz w:val="20"/>
                <w:szCs w:val="20"/>
                <w:color w:val="auto"/>
              </w:rPr>
            </w:pPr>
            <w:r>
              <w:rPr>
                <w:rFonts w:ascii="Courier New" w:cs="Courier New" w:eastAsia="Courier New" w:hAnsi="Courier New"/>
                <w:sz w:val="14"/>
                <w:szCs w:val="14"/>
                <w:color w:val="auto"/>
              </w:rPr>
              <w:t>hours per response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r>
      <w:tr>
        <w:trPr>
          <w:trHeight w:val="166"/>
        </w:trPr>
        <w:tc>
          <w:tcPr>
            <w:tcW w:w="5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UNITED STATES</w:t>
            </w:r>
          </w:p>
        </w:tc>
        <w:tc>
          <w:tcPr>
            <w:tcW w:w="780" w:type="dxa"/>
            <w:vAlign w:val="bottom"/>
          </w:tcPr>
          <w:p>
            <w:pPr>
              <w:spacing w:after="0"/>
              <w:rPr>
                <w:sz w:val="14"/>
                <w:szCs w:val="14"/>
                <w:color w:val="auto"/>
              </w:rPr>
            </w:pPr>
          </w:p>
        </w:tc>
      </w:tr>
      <w:tr>
        <w:trPr>
          <w:trHeight w:val="166"/>
        </w:trPr>
        <w:tc>
          <w:tcPr>
            <w:tcW w:w="49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SECURITIES AND EXCHANGE COMMISSION</w:t>
            </w:r>
          </w:p>
        </w:tc>
        <w:tc>
          <w:tcPr>
            <w:tcW w:w="780" w:type="dxa"/>
            <w:vAlign w:val="bottom"/>
          </w:tcPr>
          <w:p>
            <w:pPr>
              <w:spacing w:after="0"/>
              <w:rPr>
                <w:sz w:val="14"/>
                <w:szCs w:val="14"/>
                <w:color w:val="auto"/>
              </w:rPr>
            </w:pPr>
          </w:p>
        </w:tc>
      </w:tr>
      <w:tr>
        <w:trPr>
          <w:trHeight w:val="166"/>
        </w:trPr>
        <w:tc>
          <w:tcPr>
            <w:tcW w:w="49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WASHINGTON, D.C. 20549</w:t>
            </w:r>
          </w:p>
        </w:tc>
        <w:tc>
          <w:tcPr>
            <w:tcW w:w="780" w:type="dxa"/>
            <w:vAlign w:val="bottom"/>
          </w:tcPr>
          <w:p>
            <w:pPr>
              <w:spacing w:after="0"/>
              <w:rPr>
                <w:sz w:val="14"/>
                <w:szCs w:val="14"/>
                <w:color w:val="auto"/>
              </w:rPr>
            </w:pPr>
          </w:p>
        </w:tc>
      </w:tr>
      <w:tr>
        <w:trPr>
          <w:trHeight w:val="497"/>
        </w:trPr>
        <w:tc>
          <w:tcPr>
            <w:tcW w:w="49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SCHEDULE 13G</w:t>
            </w:r>
          </w:p>
        </w:tc>
        <w:tc>
          <w:tcPr>
            <w:tcW w:w="780" w:type="dxa"/>
            <w:vAlign w:val="bottom"/>
          </w:tcPr>
          <w:p>
            <w:pPr>
              <w:spacing w:after="0"/>
              <w:rPr>
                <w:sz w:val="24"/>
                <w:szCs w:val="24"/>
                <w:color w:val="auto"/>
              </w:rPr>
            </w:pPr>
          </w:p>
        </w:tc>
      </w:tr>
      <w:tr>
        <w:trPr>
          <w:trHeight w:val="497"/>
        </w:trPr>
        <w:tc>
          <w:tcPr>
            <w:tcW w:w="49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UNDER THE SECURITIES EXCHANGE ACT OF 1934</w:t>
            </w:r>
          </w:p>
        </w:tc>
        <w:tc>
          <w:tcPr>
            <w:tcW w:w="780" w:type="dxa"/>
            <w:vAlign w:val="bottom"/>
          </w:tcPr>
          <w:p>
            <w:pPr>
              <w:spacing w:after="0"/>
              <w:rPr>
                <w:sz w:val="24"/>
                <w:szCs w:val="24"/>
                <w:color w:val="auto"/>
              </w:rPr>
            </w:pPr>
          </w:p>
        </w:tc>
      </w:tr>
      <w:tr>
        <w:trPr>
          <w:trHeight w:val="331"/>
        </w:trPr>
        <w:tc>
          <w:tcPr>
            <w:tcW w:w="49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(AMENDMENT NO. 1 )*</w:t>
            </w:r>
          </w:p>
        </w:tc>
        <w:tc>
          <w:tcPr>
            <w:tcW w:w="780" w:type="dxa"/>
            <w:vAlign w:val="bottom"/>
          </w:tcPr>
          <w:p>
            <w:pPr>
              <w:spacing w:after="0"/>
              <w:rPr>
                <w:sz w:val="24"/>
                <w:szCs w:val="24"/>
                <w:color w:val="auto"/>
              </w:rPr>
            </w:pPr>
          </w:p>
        </w:tc>
      </w:tr>
      <w:tr>
        <w:trPr>
          <w:trHeight w:val="166"/>
        </w:trPr>
        <w:tc>
          <w:tcPr>
            <w:tcW w:w="492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331"/>
        </w:trPr>
        <w:tc>
          <w:tcPr>
            <w:tcW w:w="49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Analog Devices, Inc.</w:t>
            </w:r>
          </w:p>
        </w:tc>
        <w:tc>
          <w:tcPr>
            <w:tcW w:w="780" w:type="dxa"/>
            <w:vAlign w:val="bottom"/>
          </w:tcPr>
          <w:p>
            <w:pPr>
              <w:spacing w:after="0"/>
              <w:rPr>
                <w:sz w:val="24"/>
                <w:szCs w:val="24"/>
                <w:color w:val="auto"/>
              </w:rPr>
            </w:pPr>
          </w:p>
        </w:tc>
      </w:tr>
      <w:tr>
        <w:trPr>
          <w:trHeight w:val="166"/>
        </w:trPr>
        <w:tc>
          <w:tcPr>
            <w:tcW w:w="49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49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(Name of Issuer)</w:t>
            </w:r>
          </w:p>
        </w:tc>
        <w:tc>
          <w:tcPr>
            <w:tcW w:w="780" w:type="dxa"/>
            <w:vAlign w:val="bottom"/>
          </w:tcPr>
          <w:p>
            <w:pPr>
              <w:spacing w:after="0"/>
              <w:rPr>
                <w:sz w:val="14"/>
                <w:szCs w:val="14"/>
                <w:color w:val="auto"/>
              </w:rPr>
            </w:pPr>
          </w:p>
        </w:tc>
      </w:tr>
      <w:tr>
        <w:trPr>
          <w:trHeight w:val="331"/>
        </w:trPr>
        <w:tc>
          <w:tcPr>
            <w:tcW w:w="49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Common Stock, $.167 par value per share</w:t>
            </w:r>
          </w:p>
        </w:tc>
        <w:tc>
          <w:tcPr>
            <w:tcW w:w="780" w:type="dxa"/>
            <w:vAlign w:val="bottom"/>
          </w:tcPr>
          <w:p>
            <w:pPr>
              <w:spacing w:after="0"/>
              <w:rPr>
                <w:sz w:val="24"/>
                <w:szCs w:val="24"/>
                <w:color w:val="auto"/>
              </w:rPr>
            </w:pPr>
          </w:p>
        </w:tc>
      </w:tr>
      <w:tr>
        <w:trPr>
          <w:trHeight w:val="166"/>
        </w:trPr>
        <w:tc>
          <w:tcPr>
            <w:tcW w:w="49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49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(Title of Class of Securities)</w:t>
            </w:r>
          </w:p>
        </w:tc>
        <w:tc>
          <w:tcPr>
            <w:tcW w:w="780" w:type="dxa"/>
            <w:vAlign w:val="bottom"/>
          </w:tcPr>
          <w:p>
            <w:pPr>
              <w:spacing w:after="0"/>
              <w:rPr>
                <w:sz w:val="14"/>
                <w:szCs w:val="14"/>
                <w:color w:val="auto"/>
              </w:rPr>
            </w:pPr>
          </w:p>
        </w:tc>
      </w:tr>
      <w:tr>
        <w:trPr>
          <w:trHeight w:val="331"/>
        </w:trPr>
        <w:tc>
          <w:tcPr>
            <w:tcW w:w="49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032654105</w:t>
            </w:r>
          </w:p>
        </w:tc>
        <w:tc>
          <w:tcPr>
            <w:tcW w:w="780" w:type="dxa"/>
            <w:vAlign w:val="bottom"/>
          </w:tcPr>
          <w:p>
            <w:pPr>
              <w:spacing w:after="0"/>
              <w:rPr>
                <w:sz w:val="24"/>
                <w:szCs w:val="24"/>
                <w:color w:val="auto"/>
              </w:rPr>
            </w:pPr>
          </w:p>
        </w:tc>
      </w:tr>
      <w:tr>
        <w:trPr>
          <w:trHeight w:val="166"/>
        </w:trPr>
        <w:tc>
          <w:tcPr>
            <w:tcW w:w="49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49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(CUSIP Number)</w:t>
            </w:r>
          </w:p>
        </w:tc>
        <w:tc>
          <w:tcPr>
            <w:tcW w:w="780" w:type="dxa"/>
            <w:vAlign w:val="bottom"/>
          </w:tcPr>
          <w:p>
            <w:pPr>
              <w:spacing w:after="0"/>
              <w:rPr>
                <w:sz w:val="14"/>
                <w:szCs w:val="14"/>
                <w:color w:val="auto"/>
              </w:rPr>
            </w:pPr>
          </w:p>
        </w:tc>
      </w:tr>
      <w:tr>
        <w:trPr>
          <w:trHeight w:val="331"/>
        </w:trPr>
        <w:tc>
          <w:tcPr>
            <w:tcW w:w="4920" w:type="dxa"/>
            <w:vAlign w:val="bottom"/>
          </w:tcPr>
          <w:p>
            <w:pPr>
              <w:ind w:left="1560"/>
              <w:spacing w:after="0"/>
              <w:rPr>
                <w:sz w:val="20"/>
                <w:szCs w:val="20"/>
                <w:color w:val="auto"/>
              </w:rPr>
            </w:pPr>
            <w:r>
              <w:rPr>
                <w:rFonts w:ascii="Courier New" w:cs="Courier New" w:eastAsia="Courier New" w:hAnsi="Courier New"/>
                <w:sz w:val="14"/>
                <w:szCs w:val="14"/>
                <w:color w:val="auto"/>
              </w:rPr>
              <w:t>December 31, 2001</w:t>
            </w:r>
          </w:p>
        </w:tc>
        <w:tc>
          <w:tcPr>
            <w:tcW w:w="780" w:type="dxa"/>
            <w:vAlign w:val="bottom"/>
          </w:tcPr>
          <w:p>
            <w:pPr>
              <w:spacing w:after="0"/>
              <w:rPr>
                <w:sz w:val="24"/>
                <w:szCs w:val="24"/>
                <w:color w:val="auto"/>
              </w:rPr>
            </w:pPr>
          </w:p>
        </w:tc>
      </w:tr>
      <w:tr>
        <w:trPr>
          <w:trHeight w:val="166"/>
        </w:trPr>
        <w:tc>
          <w:tcPr>
            <w:tcW w:w="492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49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(Date of Event Which Requires Filing of this Statement)</w:t>
            </w:r>
          </w:p>
        </w:tc>
        <w:tc>
          <w:tcPr>
            <w:tcW w:w="780" w:type="dxa"/>
            <w:vAlign w:val="bottom"/>
          </w:tcPr>
          <w:p>
            <w:pPr>
              <w:spacing w:after="0"/>
              <w:rPr>
                <w:sz w:val="14"/>
                <w:szCs w:val="14"/>
                <w:color w:val="auto"/>
              </w:rPr>
            </w:pPr>
          </w:p>
        </w:tc>
      </w:tr>
    </w:tbl>
    <w:p>
      <w:pPr>
        <w:spacing w:after="0" w:line="170" w:lineRule="exact"/>
        <w:rPr>
          <w:sz w:val="24"/>
          <w:szCs w:val="24"/>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Check the appropriate box to designate the rule pursuant to which this Schedule is filed:</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Rule 13d-1(b)</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Rule 13d-1(c)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Rule 13d-1(d)</w:t>
      </w:r>
    </w:p>
    <w:p>
      <w:pPr>
        <w:spacing w:after="0" w:line="173"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Page 1 of 4 pages</w:t>
      </w:r>
    </w:p>
    <w:p>
      <w:pPr>
        <w:sectPr>
          <w:pgSz w:w="11900" w:h="16838" w:orient="portrait"/>
          <w:cols w:equalWidth="0" w:num="1">
            <w:col w:w="10239"/>
          </w:cols>
          <w:pgMar w:left="220" w:top="395" w:right="1440" w:bottom="1440" w:gutter="0" w:footer="0" w:header="0"/>
        </w:sectPr>
      </w:pPr>
    </w:p>
    <w:bookmarkStart w:id="1" w:name="page2"/>
    <w:bookmarkEnd w:id="1"/>
    <w:p>
      <w:pPr>
        <w:ind w:left="2940"/>
        <w:spacing w:after="0"/>
        <w:rPr>
          <w:sz w:val="20"/>
          <w:szCs w:val="20"/>
          <w:color w:val="auto"/>
        </w:rPr>
      </w:pPr>
      <w:r>
        <w:rPr>
          <w:rFonts w:ascii="Courier New" w:cs="Courier New" w:eastAsia="Courier New" w:hAnsi="Courier New"/>
          <w:sz w:val="14"/>
          <w:szCs w:val="14"/>
          <w:color w:val="auto"/>
        </w:rPr>
        <w:t>SCHEDULE 13G</w:t>
      </w:r>
    </w:p>
    <w:p>
      <w:pPr>
        <w:spacing w:after="0" w:line="338"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CUSIP No.</w:t>
      </w:r>
      <w:r>
        <w:rPr>
          <w:sz w:val="20"/>
          <w:szCs w:val="20"/>
          <w:color w:val="auto"/>
        </w:rPr>
        <w:tab/>
      </w:r>
      <w:r>
        <w:rPr>
          <w:rFonts w:ascii="Courier New" w:cs="Courier New" w:eastAsia="Courier New" w:hAnsi="Courier New"/>
          <w:sz w:val="14"/>
          <w:szCs w:val="14"/>
          <w:color w:val="auto"/>
        </w:rPr>
        <w:t>032654105</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hanging="593"/>
        <w:spacing w:after="0"/>
        <w:tabs>
          <w:tab w:leader="none" w:pos="860"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Names of Reporting Persons.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Nos. of above persons (entities only).</w:t>
      </w:r>
    </w:p>
    <w:p>
      <w:pPr>
        <w:spacing w:after="0" w:line="7" w:lineRule="exact"/>
        <w:rPr>
          <w:rFonts w:ascii="Courier New" w:cs="Courier New" w:eastAsia="Courier New" w:hAnsi="Courier New"/>
          <w:sz w:val="14"/>
          <w:szCs w:val="14"/>
          <w:color w:val="auto"/>
        </w:rPr>
      </w:pPr>
    </w:p>
    <w:p>
      <w:pPr>
        <w:ind w:left="860" w:right="16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I M Management Group Inc., on behalf of itself and its wholly-owned subsidiaries, A I M Advisors, Inc., A I M Capital Management, Inc., and AIM Private Asset Management, Inc.</w:t>
      </w: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I.D. No. 74-1881407</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hanging="593"/>
        <w:spacing w:after="0"/>
        <w:tabs>
          <w:tab w:leader="none" w:pos="86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the Appropriate Box if a Member of a Group (See Instructions)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hanging="593"/>
        <w:spacing w:after="0"/>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Use Only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840" w:val="left"/>
          <w:tab w:leader="none" w:pos="464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Citizenship or Place of Organization</w:t>
      </w:r>
      <w:r>
        <w:rPr>
          <w:sz w:val="20"/>
          <w:szCs w:val="20"/>
          <w:color w:val="auto"/>
        </w:rPr>
        <w:tab/>
      </w:r>
      <w:r>
        <w:rPr>
          <w:rFonts w:ascii="Courier New" w:cs="Courier New" w:eastAsia="Courier New" w:hAnsi="Courier New"/>
          <w:sz w:val="14"/>
          <w:szCs w:val="14"/>
          <w:color w:val="auto"/>
        </w:rPr>
        <w:t>Delaware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04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5.</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Sole Voting Power</w:t>
            </w:r>
          </w:p>
        </w:tc>
        <w:tc>
          <w:tcPr>
            <w:tcW w:w="6040" w:type="dxa"/>
            <w:vAlign w:val="bottom"/>
          </w:tcPr>
          <w:p>
            <w:pPr>
              <w:jc w:val="right"/>
              <w:ind w:right="4408"/>
              <w:spacing w:after="0"/>
              <w:rPr>
                <w:sz w:val="20"/>
                <w:szCs w:val="20"/>
                <w:color w:val="auto"/>
              </w:rPr>
            </w:pPr>
            <w:r>
              <w:rPr>
                <w:rFonts w:ascii="Courier New" w:cs="Courier New" w:eastAsia="Courier New" w:hAnsi="Courier New"/>
                <w:sz w:val="14"/>
                <w:szCs w:val="14"/>
                <w:color w:val="auto"/>
              </w:rPr>
              <w:t>19,948,735</w:t>
            </w:r>
          </w:p>
        </w:tc>
      </w:tr>
      <w:tr>
        <w:trPr>
          <w:trHeight w:val="331"/>
        </w:trPr>
        <w:tc>
          <w:tcPr>
            <w:tcW w:w="1820" w:type="dxa"/>
            <w:vAlign w:val="bottom"/>
          </w:tcPr>
          <w:p>
            <w:pPr>
              <w:spacing w:after="0"/>
              <w:rPr>
                <w:sz w:val="24"/>
                <w:szCs w:val="24"/>
                <w:color w:val="auto"/>
              </w:rPr>
            </w:pPr>
          </w:p>
        </w:tc>
        <w:tc>
          <w:tcPr>
            <w:tcW w:w="95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Number of Shares</w:t>
            </w:r>
          </w:p>
        </w:tc>
        <w:tc>
          <w:tcPr>
            <w:tcW w:w="104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6.</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Shared Voting Power</w:t>
            </w:r>
          </w:p>
        </w:tc>
        <w:tc>
          <w:tcPr>
            <w:tcW w:w="6040" w:type="dxa"/>
            <w:vAlign w:val="bottom"/>
          </w:tcPr>
          <w:p>
            <w:pPr>
              <w:jc w:val="right"/>
              <w:ind w:right="422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Beneficially Owned</w:t>
            </w:r>
          </w:p>
        </w:tc>
        <w:tc>
          <w:tcPr>
            <w:tcW w:w="10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4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by Each Reporting</w:t>
            </w:r>
          </w:p>
        </w:tc>
        <w:tc>
          <w:tcPr>
            <w:tcW w:w="3520" w:type="dxa"/>
            <w:vAlign w:val="bottom"/>
            <w:gridSpan w:val="2"/>
          </w:tcPr>
          <w:p>
            <w:pPr>
              <w:ind w:left="260"/>
              <w:spacing w:after="0"/>
              <w:rPr>
                <w:sz w:val="20"/>
                <w:szCs w:val="20"/>
                <w:color w:val="auto"/>
              </w:rPr>
            </w:pPr>
            <w:r>
              <w:rPr>
                <w:rFonts w:ascii="Courier New" w:cs="Courier New" w:eastAsia="Courier New" w:hAnsi="Courier New"/>
                <w:sz w:val="7"/>
                <w:szCs w:val="7"/>
                <w:color w:val="auto"/>
                <w:w w:val="71"/>
              </w:rPr>
              <w:t>------------------------------------------------------------------------------------------------------------</w:t>
            </w:r>
          </w:p>
        </w:tc>
        <w:tc>
          <w:tcPr>
            <w:tcW w:w="604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Person With</w:t>
            </w:r>
          </w:p>
        </w:tc>
        <w:tc>
          <w:tcPr>
            <w:tcW w:w="104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7.</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Sole Dispositive Power</w:t>
            </w:r>
          </w:p>
        </w:tc>
        <w:tc>
          <w:tcPr>
            <w:tcW w:w="6040" w:type="dxa"/>
            <w:vAlign w:val="bottom"/>
          </w:tcPr>
          <w:p>
            <w:pPr>
              <w:jc w:val="right"/>
              <w:ind w:right="4408"/>
              <w:spacing w:after="0"/>
              <w:rPr>
                <w:sz w:val="20"/>
                <w:szCs w:val="20"/>
                <w:color w:val="auto"/>
              </w:rPr>
            </w:pPr>
            <w:r>
              <w:rPr>
                <w:rFonts w:ascii="Courier New" w:cs="Courier New" w:eastAsia="Courier New" w:hAnsi="Courier New"/>
                <w:sz w:val="14"/>
                <w:szCs w:val="14"/>
                <w:color w:val="auto"/>
              </w:rPr>
              <w:t>19,948,735</w:t>
            </w:r>
          </w:p>
        </w:tc>
      </w:tr>
      <w:tr>
        <w:trPr>
          <w:trHeight w:val="331"/>
        </w:trPr>
        <w:tc>
          <w:tcPr>
            <w:tcW w:w="1820" w:type="dxa"/>
            <w:vAlign w:val="bottom"/>
          </w:tcPr>
          <w:p>
            <w:pPr>
              <w:spacing w:after="0"/>
              <w:rPr>
                <w:sz w:val="24"/>
                <w:szCs w:val="24"/>
                <w:color w:val="auto"/>
              </w:rPr>
            </w:pPr>
          </w:p>
        </w:tc>
        <w:tc>
          <w:tcPr>
            <w:tcW w:w="95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104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8.</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Shared Dispositive Power</w:t>
            </w:r>
          </w:p>
        </w:tc>
        <w:tc>
          <w:tcPr>
            <w:tcW w:w="6040" w:type="dxa"/>
            <w:vAlign w:val="bottom"/>
          </w:tcPr>
          <w:p>
            <w:pPr>
              <w:jc w:val="right"/>
              <w:ind w:right="42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840" w:val="left"/>
          <w:tab w:leader="none" w:pos="800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Aggregate Amount Beneficially Owned by Each Reporting Person</w:t>
      </w:r>
      <w:r>
        <w:rPr>
          <w:sz w:val="20"/>
          <w:szCs w:val="20"/>
          <w:color w:val="auto"/>
        </w:rPr>
        <w:tab/>
      </w:r>
      <w:r>
        <w:rPr>
          <w:rFonts w:ascii="Courier New" w:cs="Courier New" w:eastAsia="Courier New" w:hAnsi="Courier New"/>
          <w:sz w:val="14"/>
          <w:szCs w:val="14"/>
          <w:color w:val="auto"/>
        </w:rPr>
        <w:t>19,948,735</w:t>
      </w:r>
    </w:p>
    <w:p>
      <w:pPr>
        <w:spacing w:after="0" w:line="173"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hanging="593"/>
        <w:spacing w:after="0"/>
        <w:tabs>
          <w:tab w:leader="none" w:pos="8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if the Aggregate Amount in Row (9) Excludes Certain Shares (See Instructions)</w:t>
      </w:r>
    </w:p>
    <w:p>
      <w:pPr>
        <w:spacing w:after="0" w:line="7" w:lineRule="exact"/>
        <w:rPr>
          <w:sz w:val="20"/>
          <w:szCs w:val="20"/>
          <w:color w:val="auto"/>
        </w:rPr>
      </w:pPr>
    </w:p>
    <w:p>
      <w:pPr>
        <w:ind w:left="8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840" w:val="left"/>
          <w:tab w:leader="none" w:pos="782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Percent of Class Represented by Amount in Row (9)</w:t>
      </w:r>
      <w:r>
        <w:rPr>
          <w:sz w:val="20"/>
          <w:szCs w:val="20"/>
          <w:color w:val="auto"/>
        </w:rPr>
        <w:tab/>
      </w:r>
      <w:r>
        <w:rPr>
          <w:rFonts w:ascii="Courier New" w:cs="Courier New" w:eastAsia="Courier New" w:hAnsi="Courier New"/>
          <w:sz w:val="14"/>
          <w:szCs w:val="14"/>
          <w:color w:val="auto"/>
        </w:rPr>
        <w:t>5.5%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840" w:val="left"/>
          <w:tab w:leader="none" w:pos="56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Type of Reporting Person (See Instructions)</w:t>
      </w:r>
      <w:r>
        <w:rPr>
          <w:sz w:val="20"/>
          <w:szCs w:val="20"/>
          <w:color w:val="auto"/>
        </w:rPr>
        <w:tab/>
      </w:r>
      <w:r>
        <w:rPr>
          <w:rFonts w:ascii="Courier New" w:cs="Courier New" w:eastAsia="Courier New" w:hAnsi="Courier New"/>
          <w:sz w:val="13"/>
          <w:szCs w:val="13"/>
          <w:color w:val="auto"/>
        </w:rPr>
        <w:t>HC</w:t>
      </w:r>
    </w:p>
    <w:p>
      <w:pPr>
        <w:spacing w:after="0" w:line="173"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 of 4 pages</w:t>
      </w:r>
    </w:p>
    <w:p>
      <w:pPr>
        <w:sectPr>
          <w:pgSz w:w="11900" w:h="16838" w:orient="portrait"/>
          <w:cols w:equalWidth="0" w:num="1">
            <w:col w:w="11540"/>
          </w:cols>
          <w:pgMar w:left="220" w:top="451" w:right="1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80" w:type="dxa"/>
            <w:vAlign w:val="bottom"/>
          </w:tcPr>
          <w:p>
            <w:pPr>
              <w:ind w:left="1260"/>
              <w:spacing w:after="0"/>
              <w:rPr>
                <w:sz w:val="20"/>
                <w:szCs w:val="20"/>
                <w:color w:val="auto"/>
              </w:rPr>
            </w:pPr>
            <w:r>
              <w:rPr>
                <w:rFonts w:ascii="Courier New" w:cs="Courier New" w:eastAsia="Courier New" w:hAnsi="Courier New"/>
                <w:sz w:val="14"/>
                <w:szCs w:val="14"/>
                <w:color w:val="auto"/>
              </w:rPr>
              <w:t>SCHEDULE 13G</w:t>
            </w:r>
          </w:p>
        </w:tc>
        <w:tc>
          <w:tcPr>
            <w:tcW w:w="1280" w:type="dxa"/>
            <w:vAlign w:val="bottom"/>
          </w:tcPr>
          <w:p>
            <w:pPr>
              <w:spacing w:after="0"/>
              <w:rPr>
                <w:sz w:val="14"/>
                <w:szCs w:val="14"/>
                <w:color w:val="auto"/>
              </w:rPr>
            </w:pPr>
          </w:p>
        </w:tc>
      </w:tr>
      <w:tr>
        <w:trPr>
          <w:trHeight w:val="663"/>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1(a)</w:t>
            </w: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NAME OF ISSUER:</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Analog Devices, Inc.</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1(b)</w:t>
            </w: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ADDRESS OF ISSUER'S PRINCIPAL EXECUTIVE OFFICES:</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One Technology Way</w:t>
            </w:r>
          </w:p>
        </w:tc>
        <w:tc>
          <w:tcPr>
            <w:tcW w:w="128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Norwood, MA  02062-9106</w:t>
            </w:r>
          </w:p>
        </w:tc>
        <w:tc>
          <w:tcPr>
            <w:tcW w:w="128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2(a)</w:t>
            </w: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NAME OF PERSON FILING:</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 I M Management Group Inc.</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2(b)</w:t>
            </w: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ADDRESS OF PRINCIPAL BUSINESS OFFICE:</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11 Greenway Plaza, Suite 100</w:t>
            </w:r>
          </w:p>
        </w:tc>
        <w:tc>
          <w:tcPr>
            <w:tcW w:w="128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Houston, Texas  77046</w:t>
            </w:r>
          </w:p>
        </w:tc>
        <w:tc>
          <w:tcPr>
            <w:tcW w:w="128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2(c)</w:t>
            </w: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CITIZENSHIP:</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State of Delaware</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2(d)</w:t>
            </w: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TITLE OF CLASS OF SECURITIES:</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Common Stock, $.167 par value per share</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2(e)</w:t>
            </w: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CUSIP NUMBER:</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032654105</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TYPE OF REPORTING PERSON:</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Parent Holding Company, in accordance with section 240.13d-1(b)</w:t>
            </w:r>
          </w:p>
        </w:tc>
        <w:tc>
          <w:tcPr>
            <w:tcW w:w="128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(1)(ii)(G)</w:t>
            </w:r>
          </w:p>
        </w:tc>
        <w:tc>
          <w:tcPr>
            <w:tcW w:w="128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4(a)</w:t>
            </w: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AMOUNT BENEFICIALLY OWNED AS OF DECEMBER 31, 2001:</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19,948,735</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4(b)</w:t>
            </w: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PERCENT OF CLASS:</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5.5%</w:t>
            </w:r>
          </w:p>
        </w:tc>
        <w:tc>
          <w:tcPr>
            <w:tcW w:w="5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4(c)</w:t>
            </w: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NUMBER OF SHARES AS TO WHICH THE PERSON HAS:</w:t>
            </w:r>
          </w:p>
        </w:tc>
        <w:tc>
          <w:tcPr>
            <w:tcW w:w="1280" w:type="dxa"/>
            <w:vAlign w:val="bottom"/>
          </w:tcPr>
          <w:p>
            <w:pPr>
              <w:spacing w:after="0"/>
              <w:rPr>
                <w:sz w:val="24"/>
                <w:szCs w:val="24"/>
                <w:color w:val="auto"/>
              </w:rPr>
            </w:pPr>
          </w:p>
        </w:tc>
      </w:tr>
      <w:tr>
        <w:trPr>
          <w:trHeight w:val="663"/>
        </w:trPr>
        <w:tc>
          <w:tcPr>
            <w:tcW w:w="100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(i)</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Sole power to vote or to direct the vote:</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w w:val="99"/>
              </w:rPr>
              <w:t>19,948,735</w:t>
            </w:r>
          </w:p>
        </w:tc>
      </w:tr>
      <w:tr>
        <w:trPr>
          <w:trHeight w:val="166"/>
        </w:trPr>
        <w:tc>
          <w:tcPr>
            <w:tcW w:w="100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(ii)</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Shared power to vote or to direct the vote:</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N/A</w:t>
            </w:r>
          </w:p>
        </w:tc>
      </w:tr>
      <w:tr>
        <w:trPr>
          <w:trHeight w:val="166"/>
        </w:trPr>
        <w:tc>
          <w:tcPr>
            <w:tcW w:w="100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(iii)</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Sole power to dispose or to direct the disposition of:</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w w:val="99"/>
              </w:rPr>
              <w:t>19,948,735</w:t>
            </w:r>
          </w:p>
        </w:tc>
      </w:tr>
      <w:tr>
        <w:trPr>
          <w:trHeight w:val="166"/>
        </w:trPr>
        <w:tc>
          <w:tcPr>
            <w:tcW w:w="100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(iv)</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Shared power to dispose or to direct the disposition of:</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N/A</w:t>
            </w:r>
          </w:p>
        </w:tc>
      </w:tr>
      <w:tr>
        <w:trPr>
          <w:trHeight w:val="497"/>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OWNERSHIP OF FIVE PERCENT OR LESS OF A CLASS:</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N/A</w:t>
            </w:r>
          </w:p>
        </w:tc>
        <w:tc>
          <w:tcPr>
            <w:tcW w:w="5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6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OWNERSHIP OF MORE THAN FIVE PERCENT ON BEHALF OF ANOTHER PERSON:</w:t>
            </w:r>
          </w:p>
        </w:tc>
        <w:tc>
          <w:tcPr>
            <w:tcW w:w="1280" w:type="dxa"/>
            <w:vAlign w:val="bottom"/>
          </w:tcPr>
          <w:p>
            <w:pPr>
              <w:spacing w:after="0"/>
              <w:rPr>
                <w:sz w:val="24"/>
                <w:szCs w:val="24"/>
                <w:color w:val="auto"/>
              </w:rPr>
            </w:pPr>
          </w:p>
        </w:tc>
      </w:tr>
      <w:tr>
        <w:trPr>
          <w:trHeight w:val="331"/>
        </w:trPr>
        <w:tc>
          <w:tcPr>
            <w:tcW w:w="100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N/A</w:t>
            </w:r>
          </w:p>
        </w:tc>
        <w:tc>
          <w:tcPr>
            <w:tcW w:w="54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0" w:lineRule="exact"/>
        <w:rPr>
          <w:sz w:val="20"/>
          <w:szCs w:val="20"/>
          <w:color w:val="auto"/>
        </w:rPr>
      </w:pPr>
    </w:p>
    <w:p>
      <w:pPr>
        <w:spacing w:after="0" w:line="301"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3 of 4 pages</w:t>
      </w:r>
    </w:p>
    <w:p>
      <w:pPr>
        <w:sectPr>
          <w:pgSz w:w="11900" w:h="16838" w:orient="portrait"/>
          <w:cols w:equalWidth="0" w:num="1">
            <w:col w:w="10239"/>
          </w:cols>
          <w:pgMar w:left="220" w:top="616" w:right="1440" w:bottom="1440" w:gutter="0" w:footer="0" w:header="0"/>
        </w:sectPr>
      </w:pPr>
    </w:p>
    <w:bookmarkStart w:id="3" w:name="page4"/>
    <w:bookmarkEnd w:id="3"/>
    <w:p>
      <w:pPr>
        <w:ind w:left="1220" w:right="3779" w:hanging="1205"/>
        <w:spacing w:after="0" w:line="252" w:lineRule="auto"/>
        <w:tabs>
          <w:tab w:leader="none" w:pos="120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IDENTIFICATION AND CLASSIFICATION OF THE SUBSIDIARY WHICH ACQUIRED THE SECURITY BEING REPORTED ON BY THE PARENT HOLDING COMPANY:</w:t>
      </w:r>
    </w:p>
    <w:p>
      <w:pPr>
        <w:spacing w:after="0" w:line="16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A I</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M</w:t>
            </w:r>
          </w:p>
        </w:tc>
        <w:tc>
          <w:tcPr>
            <w:tcW w:w="2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Advisors, Inc., A I M Capital</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Management, Inc., and</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AIM</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Private Asset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Management, Inc.,</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Investment Advisers registered</w:t>
            </w:r>
          </w:p>
        </w:tc>
      </w:tr>
      <w:tr>
        <w:trPr>
          <w:trHeight w:val="166"/>
        </w:trPr>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under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Section 203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of the Investment</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Advisers Act</w:t>
            </w:r>
          </w:p>
        </w:tc>
      </w:tr>
    </w:tbl>
    <w:p>
      <w:pPr>
        <w:spacing w:after="0" w:line="17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IDENTIFICATION AND CLASSIFICATION OF MEMBERS OF THE GROUP:</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N/A</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NOTICE OF DISSOLUTION OF A GROUP:</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N/A</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CERTIFICATION:</w:t>
      </w:r>
    </w:p>
    <w:p>
      <w:pPr>
        <w:spacing w:after="0" w:line="173" w:lineRule="exact"/>
        <w:rPr>
          <w:sz w:val="20"/>
          <w:szCs w:val="20"/>
          <w:color w:val="auto"/>
        </w:rPr>
      </w:pPr>
    </w:p>
    <w:p>
      <w:pPr>
        <w:ind w:left="1220" w:right="3419"/>
        <w:spacing w:after="0" w:line="251" w:lineRule="auto"/>
        <w:rPr>
          <w:sz w:val="20"/>
          <w:szCs w:val="20"/>
          <w:color w:val="auto"/>
        </w:rPr>
      </w:pPr>
      <w:r>
        <w:rPr>
          <w:rFonts w:ascii="Courier New" w:cs="Courier New" w:eastAsia="Courier New" w:hAnsi="Courier New"/>
          <w:sz w:val="14"/>
          <w:szCs w:val="14"/>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1220" w:right="3339"/>
        <w:spacing w:after="0" w:line="252" w:lineRule="auto"/>
        <w:rPr>
          <w:sz w:val="20"/>
          <w:szCs w:val="20"/>
          <w:color w:val="auto"/>
        </w:rPr>
      </w:pPr>
      <w:r>
        <w:rPr>
          <w:rFonts w:ascii="Courier New" w:cs="Courier New" w:eastAsia="Courier New" w:hAnsi="Courier New"/>
          <w:sz w:val="14"/>
          <w:szCs w:val="14"/>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9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February 6, 2002</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CAROL F. RELIHAN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Signature</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Carol F. Relihan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Senior Vice President, Secretary and</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General Counsel</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 I M Management Group Inc.</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Name/Title</w:t>
      </w:r>
    </w:p>
    <w:p>
      <w:pPr>
        <w:spacing w:after="0" w:line="200" w:lineRule="exact"/>
        <w:rPr>
          <w:sz w:val="20"/>
          <w:szCs w:val="20"/>
          <w:color w:val="auto"/>
        </w:rPr>
      </w:pPr>
    </w:p>
    <w:p>
      <w:pPr>
        <w:spacing w:after="0" w:line="304" w:lineRule="exact"/>
        <w:rPr>
          <w:sz w:val="20"/>
          <w:szCs w:val="20"/>
          <w:color w:val="auto"/>
        </w:rPr>
      </w:pPr>
    </w:p>
    <w:p>
      <w:pPr>
        <w:ind w:right="3679" w:firstLine="8"/>
        <w:spacing w:after="0" w:line="255" w:lineRule="auto"/>
        <w:tabs>
          <w:tab w:leader="none" w:pos="25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call Jesse Frazier at (713) 214-4780 with questions regarding this filing.</w:t>
      </w:r>
    </w:p>
    <w:p>
      <w:pPr>
        <w:spacing w:after="0" w:line="200" w:lineRule="exact"/>
        <w:rPr>
          <w:sz w:val="20"/>
          <w:szCs w:val="20"/>
          <w:color w:val="auto"/>
        </w:rPr>
      </w:pPr>
    </w:p>
    <w:p>
      <w:pPr>
        <w:spacing w:after="0" w:line="291"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4 of 4 pages</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decimal"/>
      <w:start w:val="1"/>
    </w:lvl>
  </w:abstractNum>
  <w:abstractNum w:abstractNumId="1">
    <w:nsid w:val="625558EC"/>
    <w:multiLevelType w:val="hybridMultilevel"/>
    <w:lvl w:ilvl="0">
      <w:lvlJc w:val="left"/>
      <w:lvlText w:val="-"/>
      <w:numFmt w:val="bullet"/>
      <w:start w:val="1"/>
    </w:lvl>
    <w:lvl w:ilvl="1">
      <w:lvlJc w:val="left"/>
      <w:lvlText w:val="%2."/>
      <w:numFmt w:val="decimal"/>
      <w:start w:val="2"/>
    </w:lvl>
  </w:abstractNum>
  <w:abstractNum w:abstractNumId="2">
    <w:nsid w:val="238E1F29"/>
    <w:multiLevelType w:val="hybridMultilevel"/>
    <w:lvl w:ilvl="0">
      <w:lvlJc w:val="left"/>
      <w:lvlText w:val="-"/>
      <w:numFmt w:val="bullet"/>
      <w:start w:val="1"/>
    </w:lvl>
    <w:lvl w:ilvl="1">
      <w:lvlJc w:val="left"/>
      <w:lvlText w:val="%2."/>
      <w:numFmt w:val="decimal"/>
      <w:start w:val="3"/>
    </w:lvl>
  </w:abstractNum>
  <w:abstractNum w:abstractNumId="3">
    <w:nsid w:val="46E87CCD"/>
    <w:multiLevelType w:val="hybridMultilevel"/>
    <w:lvl w:ilvl="0">
      <w:lvlJc w:val="left"/>
      <w:lvlText w:val="-"/>
      <w:numFmt w:val="bullet"/>
      <w:start w:val="1"/>
    </w:lvl>
    <w:lvl w:ilvl="1">
      <w:lvlJc w:val="left"/>
      <w:lvlText w:val="%2."/>
      <w:numFmt w:val="decimal"/>
      <w:start w:val="10"/>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2019-12-11T17:29:01Z</dcterms:created>
  <dcterms:modified xsi:type="dcterms:W3CDTF">2019-12-11T17:29:01Z</dcterms:modified>
</cp:coreProperties>
</file>