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Analog Devices,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Payment of Filing Fee (Check all boxes that apply):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7"/>
          <w:szCs w:val="47"/>
          <w:color w:val="004878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5368925</wp:posOffset>
            </wp:positionH>
            <wp:positionV relativeFrom="page">
              <wp:posOffset>183515</wp:posOffset>
            </wp:positionV>
            <wp:extent cx="1903095" cy="18942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89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Your </w:t>
      </w:r>
      <w:r>
        <w:rPr>
          <w:rFonts w:ascii="Times New Roman" w:cs="Times New Roman" w:eastAsia="Times New Roman" w:hAnsi="Times New Roman"/>
          <w:sz w:val="47"/>
          <w:szCs w:val="47"/>
          <w:b w:val="1"/>
          <w:bCs w:val="1"/>
          <w:color w:val="004878"/>
        </w:rPr>
        <w:t>Vote</w:t>
      </w:r>
      <w:r>
        <w:rPr>
          <w:rFonts w:ascii="Times New Roman" w:cs="Times New Roman" w:eastAsia="Times New Roman" w:hAnsi="Times New Roman"/>
          <w:sz w:val="47"/>
          <w:szCs w:val="47"/>
          <w:color w:val="004878"/>
        </w:rPr>
        <w:t xml:space="preserve"> Counts!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004878"/>
        </w:rPr>
        <w:t>ANALOG DEVICES, INC.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ind w:left="3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4878"/>
        </w:rPr>
        <w:t>2023 Annual Meeting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left="3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>Vote by March 7, 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408940</wp:posOffset>
            </wp:positionH>
            <wp:positionV relativeFrom="paragraph">
              <wp:posOffset>-33020</wp:posOffset>
            </wp:positionV>
            <wp:extent cx="1388745" cy="402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left="3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>11:59 PM 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3623310</wp:posOffset>
            </wp:positionH>
            <wp:positionV relativeFrom="paragraph">
              <wp:posOffset>161290</wp:posOffset>
            </wp:positionV>
            <wp:extent cx="2459990" cy="18599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990" cy="185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3623310</wp:posOffset>
            </wp:positionH>
            <wp:positionV relativeFrom="paragraph">
              <wp:posOffset>161290</wp:posOffset>
            </wp:positionV>
            <wp:extent cx="2459990" cy="18599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990" cy="185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ANALOG DEVICES, INC.</w:t>
      </w:r>
    </w:p>
    <w:p>
      <w:pPr>
        <w:ind w:left="86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ATTN: INVESTOR RELATIONS DEPT.</w:t>
      </w:r>
    </w:p>
    <w:p>
      <w:pPr>
        <w:ind w:left="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ONE ANALOG WAY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WILMINGTON, MA 01887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6332220</wp:posOffset>
            </wp:positionH>
            <wp:positionV relativeFrom="paragraph">
              <wp:posOffset>47625</wp:posOffset>
            </wp:positionV>
            <wp:extent cx="659765" cy="14998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D94632-P82976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100965</wp:posOffset>
            </wp:positionV>
            <wp:extent cx="994410" cy="774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7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5089525</wp:posOffset>
            </wp:positionH>
            <wp:positionV relativeFrom="paragraph">
              <wp:posOffset>-86995</wp:posOffset>
            </wp:positionV>
            <wp:extent cx="1243330" cy="3429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4878"/>
        </w:rPr>
        <w:t>You invested in ANALOG DEVICES, INC. and it’s time to vote!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00" w:right="42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8"/>
        </w:rPr>
        <w:t xml:space="preserve">You have the right to vote on proposals being presented at the Annual Meeting.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04878"/>
        </w:rPr>
        <w:t>This is an important notice regarding the availability of proxy</w:t>
      </w:r>
      <w:r>
        <w:rPr>
          <w:rFonts w:ascii="Times New Roman" w:cs="Times New Roman" w:eastAsia="Times New Roman" w:hAnsi="Times New Roman"/>
          <w:sz w:val="18"/>
          <w:szCs w:val="18"/>
          <w:color w:val="004878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04878"/>
        </w:rPr>
        <w:t>material for the shareholder meeting to be held on March 8, 2023.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4878"/>
        </w:rPr>
        <w:t>Get informed before you vote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00" w:right="20"/>
        <w:spacing w:after="0" w:line="2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8"/>
        </w:rPr>
        <w:t>View the Notice and Proxy Statement and Annual Report online OR you can receive a free paper or email copy of the material(s) by requesting prior to February 22, 2023. If you would like to request a copy of the material(s) for this and/or future shareholder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130810</wp:posOffset>
            </wp:positionV>
            <wp:extent cx="6995160" cy="25114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51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* Please check the meeting materials for any special requirements for meeting attendance. At the meeting, you will need to request a ballot to vote these shares.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V1.1</w:t>
      </w:r>
    </w:p>
    <w:p>
      <w:pPr>
        <w:sectPr>
          <w:pgSz w:w="11900" w:h="16838" w:orient="portrait"/>
          <w:cols w:equalWidth="0" w:num="1">
            <w:col w:w="11020"/>
          </w:cols>
          <w:pgMar w:left="440" w:top="822" w:right="439" w:bottom="1440" w:gutter="0" w:footer="0" w:header="0"/>
        </w:sectPr>
      </w:pPr>
    </w:p>
    <w:bookmarkStart w:id="2" w:name="page3"/>
    <w:bookmarkEnd w:id="2"/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007BB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131445</wp:posOffset>
            </wp:positionV>
            <wp:extent cx="6995160" cy="431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54" w:right="4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4878"/>
        </w:rPr>
        <w:t>THIS IS NOT A VOTABLE BALLOT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8"/>
        </w:rPr>
        <w:t>This is an overview of the proposals being presented at the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8"/>
        </w:rPr>
        <w:t>upcoming shareholder meeting. Please follow the instructions on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8"/>
        </w:rPr>
        <w:t>the reverse side to 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004878"/>
        </w:rPr>
        <w:t>Voting 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30480</wp:posOffset>
            </wp:positionV>
            <wp:extent cx="6995160" cy="47834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783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004878"/>
        </w:rPr>
        <w:t>Board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004878"/>
        </w:rPr>
        <w:t>Recommends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280" w:space="720"/>
            <w:col w:w="1020"/>
          </w:cols>
          <w:pgMar w:left="440" w:top="254" w:right="439" w:bottom="1440" w:gutter="0" w:footer="0" w:header="0"/>
          <w:type w:val="continuous"/>
        </w:sectPr>
      </w:pPr>
    </w:p>
    <w:p>
      <w:pPr>
        <w:ind w:left="420" w:hanging="334"/>
        <w:spacing w:after="0"/>
        <w:tabs>
          <w:tab w:leader="none" w:pos="4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8"/>
          <w:szCs w:val="18"/>
          <w:color w:val="004878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8"/>
        </w:rPr>
        <w:t>The election to Analog Devices’ Board of Directors of the eleven nominees named in our Proxy Statement.</w:t>
      </w:r>
    </w:p>
    <w:p>
      <w:pPr>
        <w:spacing w:after="0" w:line="72" w:lineRule="exact"/>
        <w:rPr>
          <w:rFonts w:ascii="Times New Roman" w:cs="Times New Roman" w:eastAsia="Times New Roman" w:hAnsi="Times New Roman"/>
          <w:sz w:val="18"/>
          <w:szCs w:val="18"/>
          <w:color w:val="004878"/>
        </w:rPr>
      </w:pPr>
    </w:p>
    <w:p>
      <w:pPr>
        <w:ind w:left="420"/>
        <w:spacing w:after="0"/>
        <w:rPr>
          <w:rFonts w:ascii="Times New Roman" w:cs="Times New Roman" w:eastAsia="Times New Roman" w:hAnsi="Times New Roman"/>
          <w:sz w:val="18"/>
          <w:szCs w:val="18"/>
          <w:color w:val="004878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04878"/>
        </w:rPr>
        <w:t>Nominees: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320" w:type="dxa"/>
            <w:vAlign w:val="bottom"/>
            <w:tcBorders>
              <w:bottom w:val="single" w:sz="8" w:color="004878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1a.</w:t>
            </w:r>
          </w:p>
        </w:tc>
        <w:tc>
          <w:tcPr>
            <w:tcW w:w="94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Vincent Roche</w:t>
            </w:r>
          </w:p>
        </w:tc>
        <w:tc>
          <w:tcPr>
            <w:tcW w:w="1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18"/>
        </w:trPr>
        <w:tc>
          <w:tcPr>
            <w:tcW w:w="320" w:type="dxa"/>
            <w:vAlign w:val="bottom"/>
            <w:tcBorders>
              <w:bottom w:val="single" w:sz="8" w:color="004878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  <w:w w:val="97"/>
              </w:rPr>
              <w:t>1b.</w:t>
            </w:r>
          </w:p>
        </w:tc>
        <w:tc>
          <w:tcPr>
            <w:tcW w:w="94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James A. Champy</w:t>
            </w:r>
          </w:p>
        </w:tc>
        <w:tc>
          <w:tcPr>
            <w:tcW w:w="1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18"/>
        </w:trPr>
        <w:tc>
          <w:tcPr>
            <w:tcW w:w="320" w:type="dxa"/>
            <w:vAlign w:val="bottom"/>
            <w:tcBorders>
              <w:bottom w:val="single" w:sz="8" w:color="004878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1c.</w:t>
            </w:r>
          </w:p>
        </w:tc>
        <w:tc>
          <w:tcPr>
            <w:tcW w:w="94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André Andonian</w:t>
            </w:r>
          </w:p>
        </w:tc>
        <w:tc>
          <w:tcPr>
            <w:tcW w:w="1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18"/>
        </w:trPr>
        <w:tc>
          <w:tcPr>
            <w:tcW w:w="320" w:type="dxa"/>
            <w:vAlign w:val="bottom"/>
            <w:tcBorders>
              <w:bottom w:val="single" w:sz="8" w:color="004878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  <w:w w:val="97"/>
              </w:rPr>
              <w:t>1d.</w:t>
            </w:r>
          </w:p>
        </w:tc>
        <w:tc>
          <w:tcPr>
            <w:tcW w:w="94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Anantha P. Chandrakasan</w:t>
            </w:r>
          </w:p>
        </w:tc>
        <w:tc>
          <w:tcPr>
            <w:tcW w:w="1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18"/>
        </w:trPr>
        <w:tc>
          <w:tcPr>
            <w:tcW w:w="320" w:type="dxa"/>
            <w:vAlign w:val="bottom"/>
            <w:tcBorders>
              <w:bottom w:val="single" w:sz="8" w:color="004878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1e.</w:t>
            </w:r>
          </w:p>
        </w:tc>
        <w:tc>
          <w:tcPr>
            <w:tcW w:w="94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Edward H. Frank</w:t>
            </w:r>
          </w:p>
        </w:tc>
        <w:tc>
          <w:tcPr>
            <w:tcW w:w="1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18"/>
        </w:trPr>
        <w:tc>
          <w:tcPr>
            <w:tcW w:w="320" w:type="dxa"/>
            <w:vAlign w:val="bottom"/>
            <w:tcBorders>
              <w:bottom w:val="single" w:sz="8" w:color="004878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1f.</w:t>
            </w:r>
          </w:p>
        </w:tc>
        <w:tc>
          <w:tcPr>
            <w:tcW w:w="94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Laurie H. Glimcher</w:t>
            </w:r>
          </w:p>
        </w:tc>
        <w:tc>
          <w:tcPr>
            <w:tcW w:w="1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18"/>
        </w:trPr>
        <w:tc>
          <w:tcPr>
            <w:tcW w:w="320" w:type="dxa"/>
            <w:vAlign w:val="bottom"/>
            <w:tcBorders>
              <w:bottom w:val="single" w:sz="8" w:color="004878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  <w:w w:val="97"/>
              </w:rPr>
              <w:t>1g.</w:t>
            </w:r>
          </w:p>
        </w:tc>
        <w:tc>
          <w:tcPr>
            <w:tcW w:w="94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Karen M. Golz</w:t>
            </w:r>
          </w:p>
        </w:tc>
        <w:tc>
          <w:tcPr>
            <w:tcW w:w="1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18"/>
        </w:trPr>
        <w:tc>
          <w:tcPr>
            <w:tcW w:w="320" w:type="dxa"/>
            <w:vAlign w:val="bottom"/>
            <w:tcBorders>
              <w:bottom w:val="single" w:sz="8" w:color="004878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  <w:w w:val="97"/>
              </w:rPr>
              <w:t>1h.</w:t>
            </w:r>
          </w:p>
        </w:tc>
        <w:tc>
          <w:tcPr>
            <w:tcW w:w="94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Mercedes Johnson</w:t>
            </w:r>
          </w:p>
        </w:tc>
        <w:tc>
          <w:tcPr>
            <w:tcW w:w="1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18"/>
        </w:trPr>
        <w:tc>
          <w:tcPr>
            <w:tcW w:w="320" w:type="dxa"/>
            <w:vAlign w:val="bottom"/>
            <w:tcBorders>
              <w:bottom w:val="single" w:sz="8" w:color="004878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1i.</w:t>
            </w:r>
          </w:p>
        </w:tc>
        <w:tc>
          <w:tcPr>
            <w:tcW w:w="94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Kenton J. Sicchitano</w:t>
            </w:r>
          </w:p>
        </w:tc>
        <w:tc>
          <w:tcPr>
            <w:tcW w:w="1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18"/>
        </w:trPr>
        <w:tc>
          <w:tcPr>
            <w:tcW w:w="320" w:type="dxa"/>
            <w:vAlign w:val="bottom"/>
            <w:tcBorders>
              <w:bottom w:val="single" w:sz="8" w:color="004878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1j.</w:t>
            </w:r>
          </w:p>
        </w:tc>
        <w:tc>
          <w:tcPr>
            <w:tcW w:w="94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Ray Stata</w:t>
            </w:r>
          </w:p>
        </w:tc>
        <w:tc>
          <w:tcPr>
            <w:tcW w:w="1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18"/>
        </w:trPr>
        <w:tc>
          <w:tcPr>
            <w:tcW w:w="320" w:type="dxa"/>
            <w:vAlign w:val="bottom"/>
            <w:tcBorders>
              <w:bottom w:val="single" w:sz="8" w:color="004878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  <w:w w:val="97"/>
              </w:rPr>
              <w:t>1k.</w:t>
            </w:r>
          </w:p>
        </w:tc>
        <w:tc>
          <w:tcPr>
            <w:tcW w:w="94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Susie Wee</w:t>
            </w:r>
          </w:p>
        </w:tc>
        <w:tc>
          <w:tcPr>
            <w:tcW w:w="1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18"/>
        </w:trPr>
        <w:tc>
          <w:tcPr>
            <w:tcW w:w="320" w:type="dxa"/>
            <w:vAlign w:val="bottom"/>
            <w:tcBorders>
              <w:bottom w:val="single" w:sz="8" w:color="004878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2.</w:t>
            </w:r>
          </w:p>
        </w:tc>
        <w:tc>
          <w:tcPr>
            <w:tcW w:w="94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Advisory vote to approve the compensation of our named executive officers.</w:t>
            </w:r>
          </w:p>
        </w:tc>
        <w:tc>
          <w:tcPr>
            <w:tcW w:w="1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18"/>
        </w:trPr>
        <w:tc>
          <w:tcPr>
            <w:tcW w:w="320" w:type="dxa"/>
            <w:vAlign w:val="bottom"/>
            <w:tcBorders>
              <w:bottom w:val="single" w:sz="8" w:color="004878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3.</w:t>
            </w:r>
          </w:p>
        </w:tc>
        <w:tc>
          <w:tcPr>
            <w:tcW w:w="94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Advisory vote on the frequency of future advisory votes on the compensation of our named executive officers.</w:t>
            </w:r>
          </w:p>
        </w:tc>
        <w:tc>
          <w:tcPr>
            <w:tcW w:w="1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</w:rPr>
              <w:t>Year</w:t>
            </w:r>
          </w:p>
        </w:tc>
      </w:tr>
      <w:tr>
        <w:trPr>
          <w:trHeight w:val="318"/>
        </w:trPr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4.</w:t>
            </w:r>
          </w:p>
        </w:tc>
        <w:tc>
          <w:tcPr>
            <w:tcW w:w="9460" w:type="dxa"/>
            <w:vAlign w:val="bottom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Ratification of the selection of Ernst &amp; Young LLP as our independent registered public accounting firm for fiscal year 2023.</w:t>
            </w:r>
          </w:p>
        </w:tc>
        <w:tc>
          <w:tcPr>
            <w:tcW w:w="1240" w:type="dxa"/>
            <w:vAlign w:val="bottom"/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04878"/>
        </w:rPr>
        <w:t xml:space="preserve">NOTE: </w:t>
      </w:r>
      <w:r>
        <w:rPr>
          <w:rFonts w:ascii="Times New Roman" w:cs="Times New Roman" w:eastAsia="Times New Roman" w:hAnsi="Times New Roman"/>
          <w:sz w:val="18"/>
          <w:szCs w:val="18"/>
          <w:color w:val="004878"/>
        </w:rPr>
        <w:t>To transact such other business as may properly come before the meeting and at any adjournments or postponement at the meeting.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1356995</wp:posOffset>
            </wp:positionV>
            <wp:extent cx="6995160" cy="20574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0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FFFFFF"/>
        </w:rPr>
        <w:t>Prefer to receive an email instead? While voting on www.ProxyVote.com, be sure to click “Sign up for E-delivery”.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3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D94633-P82976</w:t>
      </w:r>
    </w:p>
    <w:sectPr>
      <w:pgSz w:w="11900" w:h="16838" w:orient="portrait"/>
      <w:cols w:equalWidth="0" w:num="1">
        <w:col w:w="11020"/>
      </w:cols>
      <w:pgMar w:left="440" w:top="254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2023-01-20T05:40:06Z</dcterms:created>
  <dcterms:modified xsi:type="dcterms:W3CDTF">2023-01-20T05:40:06Z</dcterms:modified>
</cp:coreProperties>
</file>