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324"/>
        <w:spacing w:after="0"/>
        <w:rPr>
          <w:sz w:val="20"/>
          <w:szCs w:val="20"/>
          <w:color w:val="auto"/>
        </w:rPr>
      </w:pPr>
      <w:r>
        <w:rPr>
          <w:rFonts w:ascii="Times New Roman" w:cs="Times New Roman" w:eastAsia="Times New Roman" w:hAnsi="Times New Roman"/>
          <w:sz w:val="17"/>
          <w:szCs w:val="17"/>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1424"/>
        <w:spacing w:after="0"/>
        <w:rPr>
          <w:sz w:val="20"/>
          <w:szCs w:val="20"/>
          <w:color w:val="auto"/>
        </w:rPr>
      </w:pPr>
      <w:r>
        <w:rPr>
          <w:rFonts w:ascii="Times New Roman" w:cs="Times New Roman" w:eastAsia="Times New Roman" w:hAnsi="Times New Roman"/>
          <w:sz w:val="17"/>
          <w:szCs w:val="17"/>
          <w:b w:val="1"/>
          <w:bCs w:val="1"/>
          <w:color w:val="auto"/>
        </w:rPr>
        <w:t>One Analog Way, Wilmington, MA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01887</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935-5565</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800"/>
          </w:cols>
          <w:pgMar w:left="440" w:top="293" w:right="459" w:bottom="1440" w:gutter="0" w:footer="0" w:header="0"/>
        </w:sect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October 9, 2024, Anelise Sacks notified Analog Devices, Inc. (the “Company”) of her decision to resign as Executive Vice President and Chief Customer Officer of the Company to explore other opportunities, effective as of March 31, 2025, or such earlier date as the Company appoints a new Chief Customer Officer. If the Company appoints a new Chief Customer Officer prior to March 31, 2025, Ms. Sacks will remain employed by the Company through such date to assist in the transition of her role and responsibilities.</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Ms. Sacks’ decision to resign as Executive Vice President and Chief Customer Officer does not relate to any disagreement with the Company or its board of directors on any matter relating to the Company’s operations, policies, practices, or financial performance.</w:t>
      </w:r>
    </w:p>
    <w:p>
      <w:pPr>
        <w:sectPr>
          <w:pgSz w:w="11900" w:h="16838" w:orient="portrait"/>
          <w:cols w:equalWidth="0" w:num="1">
            <w:col w:w="11000"/>
          </w:cols>
          <w:pgMar w:left="440" w:top="293" w:right="45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132" w:lineRule="exact"/>
        <w:rPr>
          <w:sz w:val="20"/>
          <w:szCs w:val="20"/>
          <w:color w:val="auto"/>
        </w:rPr>
      </w:pPr>
    </w:p>
    <w:p>
      <w:pPr>
        <w:sectPr>
          <w:pgSz w:w="11900" w:h="16838" w:orient="portrait"/>
          <w:cols w:equalWidth="0" w:num="2">
            <w:col w:w="760" w:space="440"/>
            <w:col w:w="980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000"/>
          </w:cols>
          <w:pgMar w:left="440" w:top="293" w:right="459" w:bottom="1440" w:gutter="0" w:footer="0" w:header="0"/>
          <w:type w:val="continuous"/>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1" w:lineRule="exact"/>
        <w:rPr>
          <w:sz w:val="20"/>
          <w:szCs w:val="20"/>
          <w:color w:val="auto"/>
        </w:rPr>
      </w:pPr>
    </w:p>
    <w:p>
      <w:pPr>
        <w:sectPr>
          <w:pgSz w:w="11900" w:h="16838" w:orient="portrait"/>
          <w:cols w:equalWidth="0" w:num="2">
            <w:col w:w="460" w:space="420"/>
            <w:col w:w="10120"/>
          </w:cols>
          <w:pgMar w:left="440" w:top="293" w:right="459" w:bottom="1440" w:gutter="0" w:footer="0" w:header="0"/>
          <w:type w:val="continuous"/>
        </w:sect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w:t>
      </w:r>
    </w:p>
    <w:p>
      <w:pPr>
        <w:sectPr>
          <w:pgSz w:w="11900" w:h="16838" w:orient="portrait"/>
          <w:cols w:equalWidth="0" w:num="1">
            <w:col w:w="11000"/>
          </w:cols>
          <w:pgMar w:left="440" w:top="293"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10, 2024</w:t>
            </w:r>
          </w:p>
        </w:tc>
        <w:tc>
          <w:tcPr>
            <w:tcW w:w="73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3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Janene I. Asgeirsson</w:t>
            </w:r>
          </w:p>
        </w:tc>
      </w:tr>
      <w:tr>
        <w:trPr>
          <w:trHeight w:val="205"/>
        </w:trPr>
        <w:tc>
          <w:tcPr>
            <w:tcW w:w="36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Janene I. Asgeirsson</w:t>
            </w:r>
          </w:p>
        </w:tc>
      </w:tr>
      <w:tr>
        <w:trPr>
          <w:trHeight w:val="216"/>
        </w:trPr>
        <w:tc>
          <w:tcPr>
            <w:tcW w:w="3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Legal Officer and Corporate</w:t>
            </w:r>
          </w:p>
        </w:tc>
      </w:tr>
      <w:tr>
        <w:trPr>
          <w:trHeight w:val="234"/>
        </w:trPr>
        <w:tc>
          <w:tcPr>
            <w:tcW w:w="36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2024-10-10T07:03:34Z</dcterms:created>
  <dcterms:modified xsi:type="dcterms:W3CDTF">2024-10-10T07:03:34Z</dcterms:modified>
</cp:coreProperties>
</file>