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2)*</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$.167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1"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(b)</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(c)</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(d)</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color w:val="auto"/>
        </w:rPr>
        <w:t>13G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CUSIP No. 032654105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818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820"/>
        <w:spacing w:after="0" w:line="295" w:lineRule="auto"/>
        <w:rPr>
          <w:rFonts w:ascii="Arial" w:cs="Arial" w:eastAsia="Arial" w:hAnsi="Arial"/>
          <w:sz w:val="18"/>
          <w:szCs w:val="18"/>
          <w:color w:val="auto"/>
        </w:rPr>
      </w:pPr>
      <w:r>
        <w:rPr>
          <w:rFonts w:ascii="Arial" w:cs="Arial" w:eastAsia="Arial" w:hAnsi="Arial"/>
          <w:sz w:val="16"/>
          <w:szCs w:val="16"/>
          <w:color w:val="auto"/>
        </w:rPr>
        <w:t>A I M Management Group Inc., on behalf of itself and its wholly-owned subsidiaries, A I M Advisors, Inc. and A I M Capital Management, Inc., and AIM Private Asset Management,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I.R.S. Identification Nos. of above persons (entities only):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74-1881407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553720</wp:posOffset>
            </wp:positionV>
            <wp:extent cx="71818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897" w:lineRule="exact"/>
        <w:rPr>
          <w:sz w:val="20"/>
          <w:szCs w:val="20"/>
          <w:color w:val="auto"/>
        </w:rPr>
      </w:pPr>
    </w:p>
    <w:p>
      <w:pPr>
        <w:sectPr>
          <w:pgSz w:w="11900" w:h="16838" w:orient="portrait"/>
          <w:cols w:equalWidth="0" w:num="2">
            <w:col w:w="4440" w:space="240"/>
            <w:col w:w="6620"/>
          </w:cols>
          <w:pgMar w:left="300" w:top="1320" w:right="299" w:bottom="1440" w:gutter="0" w:footer="0" w:header="0"/>
          <w:type w:val="continuous"/>
        </w:sectPr>
      </w:pPr>
    </w:p>
    <w:p>
      <w:pPr>
        <w:spacing w:after="0" w:line="213" w:lineRule="exact"/>
        <w:rPr>
          <w:sz w:val="20"/>
          <w:szCs w:val="20"/>
          <w:color w:val="auto"/>
        </w:rPr>
      </w:pPr>
    </w:p>
    <w:p>
      <w:pPr>
        <w:ind w:left="820" w:hanging="35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160" w:hanging="348"/>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20" w:hanging="35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13,140,770</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-718820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-718820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8912"/>
              <w:spacing w:after="0"/>
              <w:rPr>
                <w:sz w:val="20"/>
                <w:szCs w:val="20"/>
                <w:color w:val="auto"/>
              </w:rPr>
            </w:pPr>
            <w:r>
              <w:rPr>
                <w:rFonts w:ascii="Arial" w:cs="Arial" w:eastAsia="Arial" w:hAnsi="Arial"/>
                <w:sz w:val="18"/>
                <w:szCs w:val="18"/>
                <w:color w:val="auto"/>
              </w:rPr>
              <w:t>13,140,770</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hanging="336"/>
        <w:spacing w:after="0"/>
        <w:tabs>
          <w:tab w:leader="none" w:pos="15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13,140,770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434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3.6%</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1720" w:right="8100" w:hanging="570"/>
        <w:spacing w:after="0" w:line="422" w:lineRule="auto"/>
        <w:tabs>
          <w:tab w:leader="none" w:pos="1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Analog Devices, Inc.</w:t>
      </w:r>
    </w:p>
    <w:p>
      <w:pPr>
        <w:spacing w:after="0" w:line="1" w:lineRule="exact"/>
        <w:rPr>
          <w:rFonts w:ascii="Arial" w:cs="Arial" w:eastAsia="Arial" w:hAnsi="Arial"/>
          <w:sz w:val="16"/>
          <w:szCs w:val="16"/>
          <w:color w:val="auto"/>
        </w:rPr>
      </w:pPr>
    </w:p>
    <w:p>
      <w:pPr>
        <w:ind w:left="1720" w:hanging="570"/>
        <w:spacing w:after="0"/>
        <w:tabs>
          <w:tab w:leader="none" w:pos="1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720" w:right="7660"/>
        <w:spacing w:after="0" w:line="332" w:lineRule="auto"/>
        <w:rPr>
          <w:rFonts w:ascii="Arial" w:cs="Arial" w:eastAsia="Arial" w:hAnsi="Arial"/>
          <w:sz w:val="18"/>
          <w:szCs w:val="18"/>
          <w:color w:val="auto"/>
        </w:rPr>
      </w:pPr>
      <w:r>
        <w:rPr>
          <w:rFonts w:ascii="Arial" w:cs="Arial" w:eastAsia="Arial" w:hAnsi="Arial"/>
          <w:sz w:val="16"/>
          <w:szCs w:val="16"/>
          <w:color w:val="auto"/>
        </w:rPr>
        <w:t>One Technology Way Norwood, MA 02062-9106</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A I M Management Group Inc.</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1720" w:right="7460"/>
        <w:spacing w:after="0" w:line="332" w:lineRule="auto"/>
        <w:rPr>
          <w:rFonts w:ascii="Arial" w:cs="Arial" w:eastAsia="Arial" w:hAnsi="Arial"/>
          <w:sz w:val="18"/>
          <w:szCs w:val="18"/>
          <w:color w:val="auto"/>
        </w:rPr>
      </w:pPr>
      <w:r>
        <w:rPr>
          <w:rFonts w:ascii="Arial" w:cs="Arial" w:eastAsia="Arial" w:hAnsi="Arial"/>
          <w:sz w:val="16"/>
          <w:szCs w:val="16"/>
          <w:color w:val="auto"/>
        </w:rPr>
        <w:t>11 Greenway Plaza, Suite 100 Houston, Texas 77046</w:t>
      </w:r>
    </w:p>
    <w:p>
      <w:pPr>
        <w:spacing w:after="0" w:line="247" w:lineRule="exact"/>
        <w:rPr>
          <w:rFonts w:ascii="Arial" w:cs="Arial" w:eastAsia="Arial" w:hAnsi="Arial"/>
          <w:sz w:val="18"/>
          <w:szCs w:val="18"/>
          <w:color w:val="auto"/>
        </w:rPr>
      </w:pPr>
    </w:p>
    <w:p>
      <w:pPr>
        <w:ind w:left="1720" w:right="8320" w:hanging="570"/>
        <w:spacing w:after="0" w:line="422" w:lineRule="auto"/>
        <w:tabs>
          <w:tab w:leader="none" w:pos="1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State of Delaware</w:t>
      </w:r>
    </w:p>
    <w:p>
      <w:pPr>
        <w:spacing w:after="0" w:line="1" w:lineRule="exact"/>
        <w:rPr>
          <w:rFonts w:ascii="Arial" w:cs="Arial" w:eastAsia="Arial" w:hAnsi="Arial"/>
          <w:sz w:val="16"/>
          <w:szCs w:val="16"/>
          <w:color w:val="auto"/>
        </w:rPr>
      </w:pPr>
    </w:p>
    <w:p>
      <w:pPr>
        <w:ind w:left="1720" w:hanging="570"/>
        <w:spacing w:after="0"/>
        <w:tabs>
          <w:tab w:leader="none" w:pos="1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Common Stock, $.167 par value per share</w:t>
      </w:r>
    </w:p>
    <w:p>
      <w:pPr>
        <w:spacing w:after="0" w:line="117" w:lineRule="exact"/>
        <w:rPr>
          <w:rFonts w:ascii="Arial" w:cs="Arial" w:eastAsia="Arial" w:hAnsi="Arial"/>
          <w:sz w:val="18"/>
          <w:szCs w:val="18"/>
          <w:color w:val="auto"/>
        </w:rPr>
      </w:pPr>
    </w:p>
    <w:p>
      <w:pPr>
        <w:ind w:left="1720" w:right="8420" w:hanging="570"/>
        <w:spacing w:after="0" w:line="472" w:lineRule="auto"/>
        <w:tabs>
          <w:tab w:leader="none" w:pos="1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032654105</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110" w:lineRule="exact"/>
        <w:rPr>
          <w:sz w:val="20"/>
          <w:szCs w:val="20"/>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Broker or dealer registered under section 15 of the Act (15 U.S.C. 78o).</w:t>
      </w:r>
    </w:p>
    <w:p>
      <w:pPr>
        <w:spacing w:after="0" w:line="98" w:lineRule="exact"/>
        <w:rPr>
          <w:rFonts w:ascii="Arial" w:cs="Arial" w:eastAsia="Arial" w:hAnsi="Arial"/>
          <w:sz w:val="18"/>
          <w:szCs w:val="18"/>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Bank as defined in section 3(a)(6) of the Act (15 U.S.C. 78c).</w:t>
      </w:r>
    </w:p>
    <w:p>
      <w:pPr>
        <w:spacing w:after="0" w:line="98" w:lineRule="exact"/>
        <w:rPr>
          <w:rFonts w:ascii="Arial" w:cs="Arial" w:eastAsia="Arial" w:hAnsi="Arial"/>
          <w:sz w:val="18"/>
          <w:szCs w:val="18"/>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Insurance company as defined in section 3(a)(19) of the Act (15 U.S.C. 78c).</w:t>
      </w:r>
    </w:p>
    <w:p>
      <w:pPr>
        <w:spacing w:after="0" w:line="98" w:lineRule="exact"/>
        <w:rPr>
          <w:rFonts w:ascii="Arial" w:cs="Arial" w:eastAsia="Arial" w:hAnsi="Arial"/>
          <w:sz w:val="18"/>
          <w:szCs w:val="18"/>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Investment company registered under section 8 of the Investment Company Act of 1940 (15 U.S.C. 80a-8).</w:t>
      </w:r>
    </w:p>
    <w:p>
      <w:pPr>
        <w:spacing w:after="0" w:line="98" w:lineRule="exact"/>
        <w:rPr>
          <w:rFonts w:ascii="Arial" w:cs="Arial" w:eastAsia="Arial" w:hAnsi="Arial"/>
          <w:sz w:val="18"/>
          <w:szCs w:val="18"/>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investment adviser in accordance with §240.13d-1(b)(1)(ii)(E);</w:t>
      </w:r>
    </w:p>
    <w:p>
      <w:pPr>
        <w:spacing w:after="0" w:line="98" w:lineRule="exact"/>
        <w:rPr>
          <w:rFonts w:ascii="Arial" w:cs="Arial" w:eastAsia="Arial" w:hAnsi="Arial"/>
          <w:sz w:val="18"/>
          <w:szCs w:val="18"/>
          <w:color w:val="auto"/>
        </w:rPr>
      </w:pPr>
    </w:p>
    <w:p>
      <w:pPr>
        <w:ind w:left="1720" w:hanging="570"/>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An employee benefit plan or endowment fund in accordance with §240.13d-1(b)(1)(ii)(F);</w:t>
      </w:r>
    </w:p>
    <w:p>
      <w:pPr>
        <w:spacing w:after="0" w:line="72" w:lineRule="exact"/>
        <w:rPr>
          <w:sz w:val="20"/>
          <w:szCs w:val="20"/>
          <w:color w:val="auto"/>
        </w:rPr>
      </w:pPr>
    </w:p>
    <w:p>
      <w:pPr>
        <w:ind w:left="1160"/>
        <w:spacing w:after="0" w:line="242" w:lineRule="exact"/>
        <w:tabs>
          <w:tab w:leader="none" w:pos="1700" w:val="left"/>
          <w:tab w:leader="none" w:pos="2260" w:val="left"/>
        </w:tabs>
        <w:rPr>
          <w:sz w:val="20"/>
          <w:szCs w:val="20"/>
          <w:color w:val="auto"/>
        </w:rPr>
      </w:pPr>
      <w:r>
        <w:rPr>
          <w:rFonts w:ascii="Arial" w:cs="Arial" w:eastAsia="Arial" w:hAnsi="Arial"/>
          <w:sz w:val="18"/>
          <w:szCs w:val="18"/>
          <w:color w:val="auto"/>
        </w:rPr>
        <w:t>(g)</w:t>
      </w:r>
      <w:r>
        <w:rPr>
          <w:sz w:val="20"/>
          <w:szCs w:val="20"/>
          <w:color w:val="auto"/>
        </w:rPr>
        <w:tab/>
      </w:r>
      <w:r>
        <w:rPr>
          <w:rFonts w:ascii="MS PGothic" w:cs="MS PGothic" w:eastAsia="MS PGothic" w:hAnsi="MS PGothic"/>
          <w:sz w:val="21"/>
          <w:szCs w:val="21"/>
          <w:color w:val="auto"/>
        </w:rPr>
        <w:t>☒</w:t>
      </w:r>
      <w:r>
        <w:rPr>
          <w:sz w:val="20"/>
          <w:szCs w:val="20"/>
          <w:color w:val="auto"/>
        </w:rPr>
        <w:tab/>
      </w:r>
      <w:r>
        <w:rPr>
          <w:rFonts w:ascii="Arial" w:cs="Arial" w:eastAsia="Arial" w:hAnsi="Arial"/>
          <w:sz w:val="16"/>
          <w:szCs w:val="16"/>
          <w:color w:val="auto"/>
        </w:rPr>
        <w:t>A parent holding company or control person in accordance with § 240.13d-1(b)(1)(ii)(G);</w:t>
      </w:r>
    </w:p>
    <w:p>
      <w:pPr>
        <w:spacing w:after="0" w:line="150" w:lineRule="exact"/>
        <w:rPr>
          <w:sz w:val="20"/>
          <w:szCs w:val="20"/>
          <w:color w:val="auto"/>
        </w:rPr>
      </w:pPr>
    </w:p>
    <w:p>
      <w:pPr>
        <w:ind w:left="1720" w:hanging="570"/>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5"/>
          <w:szCs w:val="15"/>
          <w:color w:val="auto"/>
        </w:rPr>
        <w:t>A savings associations as defined in Section 3(b) of the Federal Deposit Insurance Act (12 U.S.C. 1813);</w:t>
      </w:r>
    </w:p>
    <w:p>
      <w:pPr>
        <w:spacing w:after="0" w:line="111"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360" w:type="dxa"/>
            <w:vAlign w:val="bottom"/>
            <w:vMerge w:val="restart"/>
          </w:tcPr>
          <w:p>
            <w:pPr>
              <w:spacing w:after="0"/>
              <w:rPr>
                <w:sz w:val="20"/>
                <w:szCs w:val="20"/>
                <w:color w:val="auto"/>
              </w:rPr>
            </w:pPr>
            <w:r>
              <w:rPr>
                <w:rFonts w:ascii="Arial" w:cs="Arial" w:eastAsia="Arial" w:hAnsi="Arial"/>
                <w:sz w:val="18"/>
                <w:szCs w:val="18"/>
                <w:color w:val="auto"/>
              </w:rPr>
              <w:t>(i)</w:t>
            </w:r>
          </w:p>
        </w:tc>
        <w:tc>
          <w:tcPr>
            <w:tcW w:w="540" w:type="dxa"/>
            <w:vAlign w:val="bottom"/>
            <w:vMerge w:val="restart"/>
          </w:tcPr>
          <w:p>
            <w:pPr>
              <w:ind w:left="200"/>
              <w:spacing w:after="0"/>
              <w:rPr>
                <w:sz w:val="20"/>
                <w:szCs w:val="20"/>
                <w:color w:val="auto"/>
              </w:rPr>
            </w:pPr>
            <w:r>
              <w:rPr>
                <w:rFonts w:ascii="Arial" w:cs="Arial" w:eastAsia="Arial" w:hAnsi="Arial"/>
                <w:sz w:val="22"/>
                <w:szCs w:val="22"/>
                <w:color w:val="auto"/>
              </w:rPr>
              <w:t>o</w:t>
            </w:r>
          </w:p>
        </w:tc>
        <w:tc>
          <w:tcPr>
            <w:tcW w:w="9240" w:type="dxa"/>
            <w:vAlign w:val="bottom"/>
          </w:tcPr>
          <w:p>
            <w:pPr>
              <w:ind w:left="22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140"/>
        </w:trPr>
        <w:tc>
          <w:tcPr>
            <w:tcW w:w="3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240" w:type="dxa"/>
            <w:vAlign w:val="bottom"/>
            <w:vMerge w:val="restart"/>
          </w:tcPr>
          <w:p>
            <w:pPr>
              <w:ind w:left="220"/>
              <w:spacing w:after="0"/>
              <w:rPr>
                <w:sz w:val="20"/>
                <w:szCs w:val="20"/>
                <w:color w:val="auto"/>
              </w:rPr>
            </w:pPr>
            <w:r>
              <w:rPr>
                <w:rFonts w:ascii="Arial" w:cs="Arial" w:eastAsia="Arial" w:hAnsi="Arial"/>
                <w:sz w:val="18"/>
                <w:szCs w:val="18"/>
                <w:color w:val="auto"/>
              </w:rPr>
              <w:t>Act of 1940 (15 U.S.C. 80a-3);</w:t>
            </w:r>
          </w:p>
        </w:tc>
        <w:tc>
          <w:tcPr>
            <w:tcW w:w="0" w:type="dxa"/>
            <w:vAlign w:val="bottom"/>
          </w:tcPr>
          <w:p>
            <w:pPr>
              <w:spacing w:after="0"/>
              <w:rPr>
                <w:sz w:val="1"/>
                <w:szCs w:val="1"/>
                <w:color w:val="auto"/>
              </w:rPr>
            </w:pPr>
          </w:p>
        </w:tc>
      </w:tr>
      <w:tr>
        <w:trPr>
          <w:trHeight w:val="83"/>
        </w:trPr>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720" w:hanging="570"/>
        <w:spacing w:after="0"/>
        <w:tabs>
          <w:tab w:leader="none" w:pos="1720" w:val="left"/>
        </w:tabs>
        <w:numPr>
          <w:ilvl w:val="0"/>
          <w:numId w:val="10"/>
        </w:numPr>
        <w:rPr>
          <w:rFonts w:ascii="Arial" w:cs="Arial" w:eastAsia="Arial" w:hAnsi="Arial"/>
          <w:sz w:val="18"/>
          <w:szCs w:val="18"/>
          <w:color w:val="auto"/>
        </w:rPr>
      </w:pPr>
      <w:r>
        <w:rPr>
          <w:rFonts w:ascii="Arial" w:cs="Arial" w:eastAsia="Arial" w:hAnsi="Arial"/>
          <w:sz w:val="22"/>
          <w:szCs w:val="22"/>
          <w:color w:val="auto"/>
        </w:rPr>
        <w:t>o</w:t>
      </w:r>
      <w:r>
        <w:rPr>
          <w:rFonts w:ascii="Arial" w:cs="Arial" w:eastAsia="Arial" w:hAnsi="Arial"/>
          <w:sz w:val="16"/>
          <w:szCs w:val="16"/>
          <w:color w:val="auto"/>
        </w:rPr>
        <w:t>Group, in accordance with §240.13d-1(b)(1)(ii)(J).</w:t>
      </w:r>
    </w:p>
    <w:p>
      <w:pPr>
        <w:spacing w:after="0" w:line="200" w:lineRule="exact"/>
        <w:rPr>
          <w:rFonts w:ascii="Arial" w:cs="Arial" w:eastAsia="Arial" w:hAnsi="Arial"/>
          <w:sz w:val="18"/>
          <w:szCs w:val="18"/>
          <w:color w:val="auto"/>
        </w:rPr>
      </w:pPr>
    </w:p>
    <w:p>
      <w:pPr>
        <w:spacing w:after="0" w:line="39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41" w:right="2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720" w:right="7480" w:hanging="570"/>
        <w:spacing w:after="0" w:line="375" w:lineRule="auto"/>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13,140,770</w:t>
      </w:r>
    </w:p>
    <w:p>
      <w:pPr>
        <w:spacing w:after="0" w:line="1" w:lineRule="exact"/>
        <w:rPr>
          <w:rFonts w:ascii="Arial" w:cs="Arial" w:eastAsia="Arial" w:hAnsi="Arial"/>
          <w:sz w:val="18"/>
          <w:szCs w:val="18"/>
          <w:color w:val="auto"/>
        </w:rPr>
      </w:pPr>
    </w:p>
    <w:p>
      <w:pPr>
        <w:ind w:left="1720" w:hanging="570"/>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3.6%</w:t>
      </w:r>
    </w:p>
    <w:p>
      <w:pPr>
        <w:spacing w:after="0" w:line="117" w:lineRule="exact"/>
        <w:rPr>
          <w:rFonts w:ascii="Arial" w:cs="Arial" w:eastAsia="Arial" w:hAnsi="Arial"/>
          <w:sz w:val="18"/>
          <w:szCs w:val="18"/>
          <w:color w:val="auto"/>
        </w:rPr>
      </w:pPr>
    </w:p>
    <w:p>
      <w:pPr>
        <w:ind w:left="1720" w:hanging="570"/>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280" w:right="6120" w:hanging="563"/>
        <w:spacing w:after="0" w:line="375" w:lineRule="auto"/>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13,140,770</w:t>
      </w:r>
    </w:p>
    <w:p>
      <w:pPr>
        <w:spacing w:after="0" w:line="1" w:lineRule="exact"/>
        <w:rPr>
          <w:rFonts w:ascii="Arial" w:cs="Arial" w:eastAsia="Arial" w:hAnsi="Arial"/>
          <w:sz w:val="18"/>
          <w:szCs w:val="18"/>
          <w:color w:val="auto"/>
        </w:rPr>
      </w:pPr>
    </w:p>
    <w:p>
      <w:pPr>
        <w:ind w:left="2280" w:right="5960" w:hanging="563"/>
        <w:spacing w:after="0" w:line="375" w:lineRule="auto"/>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N/A</w:t>
      </w:r>
    </w:p>
    <w:p>
      <w:pPr>
        <w:spacing w:after="0" w:line="1" w:lineRule="exact"/>
        <w:rPr>
          <w:rFonts w:ascii="Arial" w:cs="Arial" w:eastAsia="Arial" w:hAnsi="Arial"/>
          <w:sz w:val="18"/>
          <w:szCs w:val="18"/>
          <w:color w:val="auto"/>
        </w:rPr>
      </w:pPr>
    </w:p>
    <w:p>
      <w:pPr>
        <w:ind w:left="2280" w:right="5240" w:hanging="563"/>
        <w:spacing w:after="0" w:line="375" w:lineRule="auto"/>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13,140,770</w:t>
      </w:r>
    </w:p>
    <w:p>
      <w:pPr>
        <w:spacing w:after="0" w:line="1" w:lineRule="exact"/>
        <w:rPr>
          <w:rFonts w:ascii="Arial" w:cs="Arial" w:eastAsia="Arial" w:hAnsi="Arial"/>
          <w:sz w:val="18"/>
          <w:szCs w:val="18"/>
          <w:color w:val="auto"/>
        </w:rPr>
      </w:pPr>
    </w:p>
    <w:p>
      <w:pPr>
        <w:ind w:left="2280" w:hanging="563"/>
        <w:spacing w:after="0"/>
        <w:tabs>
          <w:tab w:leader="none" w:pos="2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00" w:lineRule="exact"/>
        <w:rPr>
          <w:sz w:val="20"/>
          <w:szCs w:val="20"/>
          <w:color w:val="auto"/>
        </w:rPr>
      </w:pPr>
    </w:p>
    <w:p>
      <w:pPr>
        <w:spacing w:after="0" w:line="247" w:lineRule="exact"/>
        <w:rPr>
          <w:sz w:val="20"/>
          <w:szCs w:val="20"/>
          <w:color w:val="auto"/>
        </w:rPr>
      </w:pPr>
    </w:p>
    <w:p>
      <w:pPr>
        <w:spacing w:after="0" w:line="242"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21"/>
          <w:szCs w:val="21"/>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pacing w:after="0" w:line="2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 I M Advisors, Inc. and A I M Capital Management, Inc., and AIM Private Asset Management, Inc., Investment Advisers registered under Section 203 of the Investment Advisers Act</w:t>
      </w:r>
    </w:p>
    <w:p>
      <w:pPr>
        <w:spacing w:after="0" w:line="3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300" w:top="941" w:right="3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13G</w:t>
      </w:r>
    </w:p>
    <w:p>
      <w:pPr>
        <w:spacing w:after="0" w:line="381" w:lineRule="exact"/>
        <w:rPr>
          <w:sz w:val="20"/>
          <w:szCs w:val="20"/>
          <w:color w:val="auto"/>
        </w:rPr>
      </w:pPr>
    </w:p>
    <w:p>
      <w:pPr>
        <w:ind w:left="60"/>
        <w:spacing w:after="0"/>
        <w:tabs>
          <w:tab w:leader="none" w:pos="12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47" w:lineRule="exact"/>
        <w:rPr>
          <w:sz w:val="20"/>
          <w:szCs w:val="20"/>
          <w:color w:val="auto"/>
        </w:rPr>
      </w:pPr>
    </w:p>
    <w:p>
      <w:pPr>
        <w:jc w:val="both"/>
        <w:ind w:left="60" w:right="38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3720" w:type="dxa"/>
            <w:vAlign w:val="bottom"/>
          </w:tcPr>
          <w:p>
            <w:pPr>
              <w:spacing w:after="0"/>
              <w:rPr>
                <w:sz w:val="20"/>
                <w:szCs w:val="20"/>
                <w:color w:val="auto"/>
              </w:rPr>
            </w:pPr>
            <w:r>
              <w:rPr>
                <w:rFonts w:ascii="Arial" w:cs="Arial" w:eastAsia="Arial" w:hAnsi="Arial"/>
                <w:sz w:val="18"/>
                <w:szCs w:val="18"/>
                <w:color w:val="auto"/>
              </w:rPr>
              <w:t>February 10, 2003</w:t>
            </w: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Company Name(s):</w:t>
            </w: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A I M Management Group Inc.</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3720" w:type="dxa"/>
            <w:vAlign w:val="bottom"/>
          </w:tcPr>
          <w:p>
            <w:pPr>
              <w:spacing w:after="0"/>
              <w:rPr>
                <w:sz w:val="20"/>
                <w:szCs w:val="20"/>
                <w:color w:val="auto"/>
              </w:rPr>
            </w:pPr>
            <w:r>
              <w:rPr>
                <w:rFonts w:ascii="Arial" w:cs="Arial" w:eastAsia="Arial" w:hAnsi="Arial"/>
                <w:sz w:val="18"/>
                <w:szCs w:val="18"/>
                <w:color w:val="auto"/>
              </w:rPr>
              <w:t>/s/ CAROL F. RELIHAN</w:t>
            </w: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720" w:type="dxa"/>
            <w:vAlign w:val="bottom"/>
          </w:tcPr>
          <w:p>
            <w:pPr>
              <w:spacing w:after="0"/>
              <w:rPr>
                <w:sz w:val="20"/>
                <w:szCs w:val="20"/>
                <w:color w:val="auto"/>
              </w:rPr>
            </w:pPr>
            <w:r>
              <w:rPr>
                <w:rFonts w:ascii="Arial" w:cs="Arial" w:eastAsia="Arial" w:hAnsi="Arial"/>
                <w:sz w:val="18"/>
                <w:szCs w:val="18"/>
                <w:color w:val="auto"/>
              </w:rPr>
              <w:t>Carol F. Relihan</w:t>
            </w:r>
          </w:p>
        </w:tc>
        <w:tc>
          <w:tcPr>
            <w:tcW w:w="0" w:type="dxa"/>
            <w:vAlign w:val="bottom"/>
          </w:tcPr>
          <w:p>
            <w:pPr>
              <w:spacing w:after="0"/>
              <w:rPr>
                <w:sz w:val="1"/>
                <w:szCs w:val="1"/>
                <w:color w:val="auto"/>
              </w:rPr>
            </w:pPr>
          </w:p>
        </w:tc>
      </w:tr>
      <w:tr>
        <w:trPr>
          <w:trHeight w:val="96"/>
        </w:trPr>
        <w:tc>
          <w:tcPr>
            <w:tcW w:w="840" w:type="dxa"/>
            <w:vAlign w:val="bottom"/>
            <w:vMerge w:val="continue"/>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84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720" w:type="dxa"/>
            <w:vAlign w:val="bottom"/>
          </w:tcPr>
          <w:p>
            <w:pPr>
              <w:spacing w:after="0"/>
              <w:rPr>
                <w:sz w:val="20"/>
                <w:szCs w:val="20"/>
                <w:color w:val="auto"/>
              </w:rPr>
            </w:pPr>
            <w:r>
              <w:rPr>
                <w:rFonts w:ascii="Arial" w:cs="Arial" w:eastAsia="Arial" w:hAnsi="Arial"/>
                <w:sz w:val="18"/>
                <w:szCs w:val="18"/>
                <w:color w:val="auto"/>
              </w:rPr>
              <w:t>Senior Vice President, Secretary and General</w:t>
            </w:r>
          </w:p>
        </w:tc>
        <w:tc>
          <w:tcPr>
            <w:tcW w:w="0" w:type="dxa"/>
            <w:vAlign w:val="bottom"/>
          </w:tcPr>
          <w:p>
            <w:pPr>
              <w:spacing w:after="0"/>
              <w:rPr>
                <w:sz w:val="1"/>
                <w:szCs w:val="1"/>
                <w:color w:val="auto"/>
              </w:rPr>
            </w:pPr>
          </w:p>
        </w:tc>
      </w:tr>
      <w:tr>
        <w:trPr>
          <w:trHeight w:val="222"/>
        </w:trPr>
        <w:tc>
          <w:tcPr>
            <w:tcW w:w="840" w:type="dxa"/>
            <w:vAlign w:val="bottom"/>
            <w:vMerge w:val="continue"/>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Counsel</w:t>
            </w: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3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**Please call Jesse Frazier at (713) 214-7230 with questions regarding this filing.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9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lvl w:ilvl="1">
      <w:lvlJc w:val="left"/>
      <w:lvlText w:val="(%2)"/>
      <w:numFmt w:val="lowerLetter"/>
      <w:start w:val="1"/>
    </w:lvl>
  </w:abstractNum>
  <w:abstractNum w:abstractNumId="3">
    <w:nsid w:val="79E2A9E3"/>
    <w:multiLevelType w:val="hybridMultilevel"/>
    <w:lvl w:ilvl="0">
      <w:lvlJc w:val="left"/>
      <w:lvlText w:val="%1"/>
      <w:numFmt w:val="decimal"/>
      <w:start w:val="1"/>
    </w:lvl>
    <w:lvl w:ilvl="1">
      <w:lvlJc w:val="left"/>
      <w:lvlText w:val="%2."/>
      <w:numFmt w:val="decimal"/>
      <w:start w:val="8"/>
    </w:lvl>
  </w:abstractNum>
  <w:abstractNum w:abstractNumId="4">
    <w:nsid w:val="7545E146"/>
    <w:multiLevelType w:val="hybridMultilevel"/>
    <w:lvl w:ilvl="0">
      <w:lvlJc w:val="left"/>
      <w:lvlText w:val="%1."/>
      <w:numFmt w:val="decimal"/>
      <w:start w:val="9"/>
    </w:lvl>
    <w:lvl w:ilvl="1">
      <w:lvlJc w:val="left"/>
      <w:lvlText w:val="%2"/>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8"/>
    </w:lvl>
  </w:abstractNum>
  <w:abstractNum w:abstractNumId="9">
    <w:nsid w:val="216231B"/>
    <w:multiLevelType w:val="hybridMultilevel"/>
    <w:lvl w:ilvl="0">
      <w:lvlJc w:val="left"/>
      <w:lvlText w:val="(%1)"/>
      <w:numFmt w:val="lowerLetter"/>
      <w:start w:val="10"/>
    </w:lvl>
  </w:abstractNum>
  <w:abstractNum w:abstractNumId="10">
    <w:nsid w:val="1F16E9E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2019-12-20T03:44:58Z</dcterms:created>
  <dcterms:modified xsi:type="dcterms:W3CDTF">2019-12-20T03:44:58Z</dcterms:modified>
</cp:coreProperties>
</file>