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As filed with the Securities and Exchange Commission on December 7, 2000</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Registration Statement No. 333-48928</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AMENDMENT NO. 1 TO</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FORM S-3</w:t>
      </w:r>
    </w:p>
    <w:p>
      <w:pPr>
        <w:jc w:val="center"/>
        <w:ind w:right="187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jc w:val="center"/>
        <w:ind w:right="1999"/>
        <w:spacing w:after="0" w:line="238" w:lineRule="auto"/>
        <w:rPr>
          <w:sz w:val="20"/>
          <w:szCs w:val="20"/>
          <w:color w:val="auto"/>
        </w:rPr>
      </w:pPr>
      <w:r>
        <w:rPr>
          <w:rFonts w:ascii="Courier New" w:cs="Courier New" w:eastAsia="Courier New" w:hAnsi="Courier New"/>
          <w:sz w:val="18"/>
          <w:szCs w:val="18"/>
          <w:color w:val="auto"/>
        </w:rPr>
        <w:t>ANALOG DEVICES, INC.</w:t>
      </w: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852" w:right="1440" w:bottom="0" w:gutter="0" w:footer="0" w:header="0"/>
        </w:sectPr>
      </w:pPr>
    </w:p>
    <w:p>
      <w:pPr>
        <w:ind w:left="1280"/>
        <w:spacing w:after="0" w:line="238" w:lineRule="auto"/>
        <w:rPr>
          <w:sz w:val="20"/>
          <w:szCs w:val="20"/>
          <w:color w:val="auto"/>
        </w:rPr>
      </w:pPr>
      <w:r>
        <w:rPr>
          <w:rFonts w:ascii="Courier New" w:cs="Courier New" w:eastAsia="Courier New" w:hAnsi="Courier New"/>
          <w:sz w:val="18"/>
          <w:szCs w:val="18"/>
          <w:color w:val="auto"/>
        </w:rPr>
        <w:t>Massachusetts</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jc w:val="center"/>
        <w:ind w:right="1999"/>
        <w:spacing w:after="0" w:line="238" w:lineRule="auto"/>
        <w:rPr>
          <w:sz w:val="20"/>
          <w:szCs w:val="20"/>
          <w:color w:val="auto"/>
        </w:rPr>
      </w:pPr>
      <w:r>
        <w:rPr>
          <w:rFonts w:ascii="Courier New" w:cs="Courier New" w:eastAsia="Courier New" w:hAnsi="Courier New"/>
          <w:sz w:val="18"/>
          <w:szCs w:val="18"/>
          <w:color w:val="auto"/>
        </w:rPr>
        <w:t>04-2348234</w:t>
      </w:r>
    </w:p>
    <w:p>
      <w:pPr>
        <w:spacing w:after="0" w:line="5"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55" w:orient="portrait"/>
          <w:cols w:equalWidth="0" w:num="2">
            <w:col w:w="3720" w:space="720"/>
            <w:col w:w="5779"/>
          </w:cols>
          <w:pgMar w:left="240" w:top="852" w:right="1440" w:bottom="0" w:gutter="0" w:footer="0" w:header="0"/>
          <w:type w:val="continuous"/>
        </w:sectPr>
      </w:pPr>
    </w:p>
    <w:p>
      <w:pPr>
        <w:spacing w:after="0" w:line="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One Technology Way</w:t>
      </w:r>
    </w:p>
    <w:p>
      <w:pPr>
        <w:jc w:val="center"/>
        <w:ind w:right="1899"/>
        <w:spacing w:after="0" w:line="238" w:lineRule="auto"/>
        <w:rPr>
          <w:sz w:val="20"/>
          <w:szCs w:val="20"/>
          <w:color w:val="auto"/>
        </w:rPr>
      </w:pPr>
      <w:r>
        <w:rPr>
          <w:rFonts w:ascii="Courier New" w:cs="Courier New" w:eastAsia="Courier New" w:hAnsi="Courier New"/>
          <w:sz w:val="18"/>
          <w:szCs w:val="18"/>
          <w:color w:val="auto"/>
        </w:rPr>
        <w:t>Norwood, Massachusetts 02062-9106</w:t>
      </w:r>
    </w:p>
    <w:p>
      <w:pPr>
        <w:jc w:val="center"/>
        <w:ind w:right="1999"/>
        <w:spacing w:after="0"/>
        <w:rPr>
          <w:sz w:val="20"/>
          <w:szCs w:val="20"/>
          <w:color w:val="auto"/>
        </w:rPr>
      </w:pPr>
      <w:r>
        <w:rPr>
          <w:rFonts w:ascii="Courier New" w:cs="Courier New" w:eastAsia="Courier New" w:hAnsi="Courier New"/>
          <w:sz w:val="18"/>
          <w:szCs w:val="18"/>
          <w:color w:val="auto"/>
        </w:rPr>
        <w:t>(781) 329-4700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area code, of registrant's principal executive offices)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Paul P. Brountas</w:t>
      </w:r>
    </w:p>
    <w:p>
      <w:pPr>
        <w:ind w:left="3280"/>
        <w:spacing w:after="0"/>
        <w:rPr>
          <w:sz w:val="20"/>
          <w:szCs w:val="20"/>
          <w:color w:val="auto"/>
        </w:rPr>
      </w:pPr>
      <w:r>
        <w:rPr>
          <w:rFonts w:ascii="Courier New" w:cs="Courier New" w:eastAsia="Courier New" w:hAnsi="Courier New"/>
          <w:sz w:val="18"/>
          <w:szCs w:val="18"/>
          <w:color w:val="auto"/>
        </w:rPr>
        <w:t>Hale and Dorr LLP</w:t>
      </w:r>
    </w:p>
    <w:p>
      <w:pPr>
        <w:ind w:left="3380"/>
        <w:spacing w:after="0" w:line="237" w:lineRule="auto"/>
        <w:rPr>
          <w:sz w:val="20"/>
          <w:szCs w:val="20"/>
          <w:color w:val="auto"/>
        </w:rPr>
      </w:pPr>
      <w:r>
        <w:rPr>
          <w:rFonts w:ascii="Courier New" w:cs="Courier New" w:eastAsia="Courier New" w:hAnsi="Courier New"/>
          <w:sz w:val="18"/>
          <w:szCs w:val="18"/>
          <w:color w:val="auto"/>
        </w:rPr>
        <w:t>60 State Street</w:t>
      </w:r>
    </w:p>
    <w:p>
      <w:pPr>
        <w:ind w:left="2740"/>
        <w:spacing w:after="0" w:line="238" w:lineRule="auto"/>
        <w:rPr>
          <w:sz w:val="20"/>
          <w:szCs w:val="20"/>
          <w:color w:val="auto"/>
        </w:rPr>
      </w:pPr>
      <w:r>
        <w:rPr>
          <w:rFonts w:ascii="Courier New" w:cs="Courier New" w:eastAsia="Courier New" w:hAnsi="Courier New"/>
          <w:sz w:val="18"/>
          <w:szCs w:val="18"/>
          <w:color w:val="auto"/>
        </w:rPr>
        <w:t>Boston, Massachusetts 02109</w:t>
      </w:r>
    </w:p>
    <w:p>
      <w:pPr>
        <w:ind w:left="3380"/>
        <w:spacing w:after="0"/>
        <w:rPr>
          <w:sz w:val="20"/>
          <w:szCs w:val="20"/>
          <w:color w:val="auto"/>
        </w:rPr>
      </w:pPr>
      <w:r>
        <w:rPr>
          <w:rFonts w:ascii="Courier New" w:cs="Courier New" w:eastAsia="Courier New" w:hAnsi="Courier New"/>
          <w:sz w:val="18"/>
          <w:szCs w:val="18"/>
          <w:color w:val="auto"/>
        </w:rPr>
        <w:t>(617) 526-6000</w:t>
      </w:r>
    </w:p>
    <w:p>
      <w:pPr>
        <w:spacing w:after="0" w:line="4" w:lineRule="exact"/>
        <w:rPr>
          <w:sz w:val="24"/>
          <w:szCs w:val="24"/>
          <w:color w:val="auto"/>
        </w:rPr>
      </w:pPr>
    </w:p>
    <w:p>
      <w:pPr>
        <w:ind w:left="1900" w:right="3039" w:hanging="739"/>
        <w:spacing w:after="0" w:line="290" w:lineRule="auto"/>
        <w:tabs>
          <w:tab w:leader="none" w:pos="18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6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As soon as practicable after this registration statement becomes effective.</w:t>
      </w:r>
    </w:p>
    <w:p>
      <w:pPr>
        <w:spacing w:after="0" w:line="208" w:lineRule="exact"/>
        <w:rPr>
          <w:sz w:val="24"/>
          <w:szCs w:val="24"/>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Proposed</w:t>
            </w:r>
          </w:p>
        </w:tc>
        <w:tc>
          <w:tcPr>
            <w:tcW w:w="132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Title of Each</w:t>
            </w:r>
          </w:p>
        </w:tc>
        <w:tc>
          <w:tcPr>
            <w:tcW w:w="1320" w:type="dxa"/>
            <w:vAlign w:val="bottom"/>
            <w:gridSpan w:val="2"/>
          </w:tcPr>
          <w:p>
            <w:pPr>
              <w:jc w:val="center"/>
              <w:ind w:right="292"/>
              <w:spacing w:after="0" w:line="203" w:lineRule="exact"/>
              <w:rPr>
                <w:sz w:val="20"/>
                <w:szCs w:val="20"/>
                <w:color w:val="auto"/>
              </w:rPr>
            </w:pPr>
            <w:r>
              <w:rPr>
                <w:rFonts w:ascii="Courier New" w:cs="Courier New" w:eastAsia="Courier New" w:hAnsi="Courier New"/>
                <w:sz w:val="18"/>
                <w:szCs w:val="18"/>
                <w:color w:val="auto"/>
                <w:w w:val="99"/>
              </w:rPr>
              <w:t>Class of</w:t>
            </w:r>
          </w:p>
        </w:tc>
        <w:tc>
          <w:tcPr>
            <w:tcW w:w="1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Amount</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Aggregate</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00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rPr>
              <w:t>be</w:t>
            </w:r>
          </w:p>
        </w:tc>
        <w:tc>
          <w:tcPr>
            <w:tcW w:w="1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to be</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Price Per</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Registered</w:t>
            </w:r>
          </w:p>
        </w:tc>
        <w:tc>
          <w:tcPr>
            <w:tcW w:w="1000" w:type="dxa"/>
            <w:vAlign w:val="bottom"/>
          </w:tcPr>
          <w:p>
            <w:pPr>
              <w:spacing w:after="0"/>
              <w:rPr>
                <w:sz w:val="17"/>
                <w:szCs w:val="17"/>
                <w:color w:val="auto"/>
              </w:rPr>
            </w:pP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Registered</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Unit(1)</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Offering Price</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Fee(1)</w:t>
            </w:r>
          </w:p>
        </w:tc>
      </w:tr>
    </w:tbl>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4.75% Convertible Subor-</w:t>
      </w:r>
    </w:p>
    <w:p>
      <w:pPr>
        <w:sectPr>
          <w:pgSz w:w="11900" w:h="16855" w:orient="portrait"/>
          <w:cols w:equalWidth="0" w:num="1">
            <w:col w:w="10219"/>
          </w:cols>
          <w:pgMar w:left="240" w:top="852" w:right="1440" w:bottom="0" w:gutter="0" w:footer="0" w:header="0"/>
          <w:type w:val="continuous"/>
        </w:sectPr>
      </w:pPr>
    </w:p>
    <w:bookmarkStart w:id="1" w:name="page2"/>
    <w:bookmarkEnd w:id="1"/>
    <w:tbl>
      <w:tblPr>
        <w:tblLayout w:type="fixed"/>
        <w:tblInd w:w="120" w:type="dxa"/>
        <w:tblCellMar>
          <w:top w:w="0" w:type="dxa"/>
          <w:left w:w="0" w:type="dxa"/>
          <w:bottom w:w="0" w:type="dxa"/>
          <w:right w:w="0" w:type="dxa"/>
        </w:tblCellMar>
      </w:tblPr>
      <w:tr>
        <w:trPr>
          <w:trHeight w:val="204"/>
        </w:trPr>
        <w:tc>
          <w:tcPr>
            <w:tcW w:w="2840" w:type="dxa"/>
            <w:vAlign w:val="bottom"/>
          </w:tcPr>
          <w:p>
            <w:pPr>
              <w:spacing w:after="0"/>
              <w:rPr>
                <w:sz w:val="20"/>
                <w:szCs w:val="20"/>
                <w:color w:val="auto"/>
              </w:rPr>
            </w:pPr>
            <w:r>
              <w:rPr>
                <w:rFonts w:ascii="Courier New" w:cs="Courier New" w:eastAsia="Courier New" w:hAnsi="Courier New"/>
                <w:sz w:val="18"/>
                <w:szCs w:val="18"/>
                <w:color w:val="auto"/>
              </w:rPr>
              <w:t>dinated Notes Due</w:t>
            </w:r>
          </w:p>
        </w:tc>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$1,200,000,000</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   $1,200,000,000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$316,800(2)</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 $0.16 2/3</w:t>
      </w:r>
    </w:p>
    <w:p>
      <w:pPr>
        <w:ind w:left="120"/>
        <w:spacing w:after="0"/>
        <w:tabs>
          <w:tab w:leader="none" w:pos="2720" w:val="left"/>
          <w:tab w:leader="none" w:pos="5260" w:val="left"/>
          <w:tab w:leader="none" w:pos="7160" w:val="left"/>
          <w:tab w:leader="none" w:pos="8420" w:val="left"/>
        </w:tabs>
        <w:rPr>
          <w:sz w:val="20"/>
          <w:szCs w:val="20"/>
          <w:color w:val="auto"/>
        </w:rPr>
      </w:pPr>
      <w:r>
        <w:rPr>
          <w:rFonts w:ascii="Courier New" w:cs="Courier New" w:eastAsia="Courier New" w:hAnsi="Courier New"/>
          <w:sz w:val="18"/>
          <w:szCs w:val="18"/>
          <w:color w:val="auto"/>
        </w:rPr>
        <w:t>par value per share....</w:t>
        <w:tab/>
        <w:t>9,246,720 shares (3)</w:t>
      </w:r>
      <w:r>
        <w:rPr>
          <w:sz w:val="20"/>
          <w:szCs w:val="20"/>
          <w:color w:val="auto"/>
        </w:rPr>
        <w:tab/>
      </w: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6"/>
          <w:szCs w:val="16"/>
          <w:color w:val="auto"/>
        </w:rPr>
        <w:t>n/a</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20" w:right="199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registered hereunder are issuable upon conversion of the 4.75% Convertible Subordinated Notes due 2005 registered hereunder. Pursuant to Rule 457(i) under the Securities Act, there is no filing fee with respect to the shares of Common Stock issuable upon conversion of the exercise of the conversion privilege.</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6"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such additional indeterminate number of shares as may become issuable upon conversion of the 4.75% Convertible Subordinated Notes due 2005 registered hereunder by means of adjustment to the conversion price applicable thereto.</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+The information in this preliminary prospectus is not complete and may be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+changed. These securities may</w:t>
            </w: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be sold until the registration statement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+filed with the Securities and</w:t>
            </w: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Exchange Commission is effective. This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+preliminary prospectus is not</w:t>
            </w: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 offer to sell these securities, and we 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+not soliciting offers to buy these securities in any jurisdiction where the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+offer or sale is not permitted.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Subject to Completion. Dated December 7,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$1,200,000,000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Principal Amount of 4.75% Convertible</w:t>
      </w:r>
    </w:p>
    <w:p>
      <w:pPr>
        <w:ind w:left="2740"/>
        <w:spacing w:after="0"/>
        <w:rPr>
          <w:sz w:val="20"/>
          <w:szCs w:val="20"/>
          <w:color w:val="auto"/>
        </w:rPr>
      </w:pPr>
      <w:r>
        <w:rPr>
          <w:rFonts w:ascii="Courier New" w:cs="Courier New" w:eastAsia="Courier New" w:hAnsi="Courier New"/>
          <w:sz w:val="18"/>
          <w:szCs w:val="18"/>
          <w:color w:val="auto"/>
        </w:rPr>
        <w:t>Subordinated Notes Due 2005</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9,246,720 Shares of Common Stock,</w:t>
      </w:r>
    </w:p>
    <w:p>
      <w:pPr>
        <w:jc w:val="center"/>
        <w:ind w:right="1879"/>
        <w:spacing w:after="0" w:line="238" w:lineRule="auto"/>
        <w:rPr>
          <w:sz w:val="20"/>
          <w:szCs w:val="20"/>
          <w:color w:val="auto"/>
        </w:rPr>
      </w:pPr>
      <w:r>
        <w:rPr>
          <w:rFonts w:ascii="Courier New" w:cs="Courier New" w:eastAsia="Courier New" w:hAnsi="Courier New"/>
          <w:sz w:val="18"/>
          <w:szCs w:val="18"/>
          <w:color w:val="auto"/>
        </w:rPr>
        <w:t>$0.16 2/3 Par Value Per Share</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prospectus relates to $1,200,000,000 in aggregate principal amount of 4.75% Convertible Subordinated Notes due 2005 of Analog Devices, Inc. and 9,246,720 shares of common stock of Analog, which are initially issuable upon conversion of the notes, plus an indeterminate number of shares as may become issuable upon conversion as a result of adjustments to the conversion rate. The notes and shares are to be offered for the account of the holders thereof. The notes were originally issued and sold by Analog to Goldman, Sachs &amp; Co., SG Cowen Securities Corporation and Salomon Smith Barney Inc. in a private placement.</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principal terms of the notes include the following:</w:t>
      </w:r>
    </w:p>
    <w:p>
      <w:pPr>
        <w:spacing w:after="0" w:line="201" w:lineRule="exact"/>
        <w:rPr>
          <w:sz w:val="20"/>
          <w:szCs w:val="20"/>
          <w:color w:val="auto"/>
        </w:rPr>
      </w:pPr>
    </w:p>
    <w:p>
      <w:pPr>
        <w:ind w:left="120"/>
        <w:spacing w:after="0"/>
        <w:tabs>
          <w:tab w:leader="none" w:pos="230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accrues from October 2, 2000 at the</w:t>
      </w:r>
    </w:p>
    <w:p>
      <w:pPr>
        <w:ind w:left="2220"/>
        <w:spacing w:after="0" w:line="238" w:lineRule="auto"/>
        <w:rPr>
          <w:sz w:val="20"/>
          <w:szCs w:val="20"/>
          <w:color w:val="auto"/>
        </w:rPr>
      </w:pPr>
      <w:r>
        <w:rPr>
          <w:rFonts w:ascii="Courier New" w:cs="Courier New" w:eastAsia="Courier New" w:hAnsi="Courier New"/>
          <w:sz w:val="18"/>
          <w:szCs w:val="18"/>
          <w:color w:val="auto"/>
        </w:rPr>
        <w:t>rate of 4.75% per year, payable</w:t>
      </w:r>
    </w:p>
    <w:p>
      <w:pPr>
        <w:ind w:left="2220"/>
        <w:spacing w:after="0"/>
        <w:rPr>
          <w:sz w:val="20"/>
          <w:szCs w:val="20"/>
          <w:color w:val="auto"/>
        </w:rPr>
      </w:pPr>
      <w:r>
        <w:rPr>
          <w:rFonts w:ascii="Courier New" w:cs="Courier New" w:eastAsia="Courier New" w:hAnsi="Courier New"/>
          <w:sz w:val="18"/>
          <w:szCs w:val="18"/>
          <w:color w:val="auto"/>
        </w:rPr>
        <w:t>semi-annually on each April 1 and</w:t>
      </w:r>
    </w:p>
    <w:p>
      <w:pPr>
        <w:ind w:left="2220"/>
        <w:spacing w:after="0" w:line="237" w:lineRule="auto"/>
        <w:rPr>
          <w:sz w:val="20"/>
          <w:szCs w:val="20"/>
          <w:color w:val="auto"/>
        </w:rPr>
      </w:pPr>
      <w:r>
        <w:rPr>
          <w:rFonts w:ascii="Courier New" w:cs="Courier New" w:eastAsia="Courier New" w:hAnsi="Courier New"/>
          <w:sz w:val="18"/>
          <w:szCs w:val="18"/>
          <w:color w:val="auto"/>
        </w:rPr>
        <w:t>October 1, beginning April 1, 2001</w:t>
      </w:r>
    </w:p>
    <w:p>
      <w:pPr>
        <w:spacing w:after="0" w:line="207" w:lineRule="exact"/>
        <w:rPr>
          <w:sz w:val="20"/>
          <w:szCs w:val="20"/>
          <w:color w:val="auto"/>
        </w:rPr>
      </w:pPr>
    </w:p>
    <w:p>
      <w:pPr>
        <w:ind w:left="2220" w:right="4619" w:hanging="2106"/>
        <w:spacing w:after="0" w:line="235" w:lineRule="auto"/>
        <w:tabs>
          <w:tab w:leader="none" w:pos="2200" w:val="left"/>
        </w:tabs>
        <w:rPr>
          <w:sz w:val="20"/>
          <w:szCs w:val="20"/>
          <w:color w:val="auto"/>
        </w:rPr>
      </w:pPr>
      <w:r>
        <w:rPr>
          <w:rFonts w:ascii="Courier New" w:cs="Courier New" w:eastAsia="Courier New" w:hAnsi="Courier New"/>
          <w:sz w:val="18"/>
          <w:szCs w:val="18"/>
          <w:color w:val="auto"/>
        </w:rPr>
        <w:t>.Maturity Date:...</w:t>
        <w:tab/>
        <w:t>October 1, 2005, unless earlier redeemed or repurchased</w:t>
      </w:r>
    </w:p>
    <w:p>
      <w:pPr>
        <w:sectPr>
          <w:pgSz w:w="11900" w:h="16838" w:orient="portrait"/>
          <w:cols w:equalWidth="0" w:num="1">
            <w:col w:w="10219"/>
          </w:cols>
          <w:pgMar w:left="240" w:top="723" w:right="1440" w:bottom="0" w:gutter="0" w:footer="0" w:header="0"/>
        </w:sectPr>
      </w:pP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.Conversion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7.7056 shares of common stock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$1,000 principal amount of</w:t>
      </w:r>
    </w:p>
    <w:p>
      <w:pPr>
        <w:spacing w:after="0" w:line="238" w:lineRule="auto"/>
        <w:rPr>
          <w:sz w:val="20"/>
          <w:szCs w:val="20"/>
          <w:color w:val="auto"/>
        </w:rPr>
      </w:pPr>
      <w:r>
        <w:rPr>
          <w:rFonts w:ascii="Courier New" w:cs="Courier New" w:eastAsia="Courier New" w:hAnsi="Courier New"/>
          <w:sz w:val="18"/>
          <w:szCs w:val="18"/>
          <w:color w:val="auto"/>
        </w:rPr>
        <w:t>notes, subject to adjustment</w:t>
      </w:r>
    </w:p>
    <w:p>
      <w:pPr>
        <w:spacing w:after="0" w:line="200" w:lineRule="exact"/>
        <w:rPr>
          <w:sz w:val="20"/>
          <w:szCs w:val="20"/>
          <w:color w:val="auto"/>
        </w:rPr>
      </w:pPr>
    </w:p>
    <w:p>
      <w:pPr>
        <w:sectPr>
          <w:pgSz w:w="11900" w:h="16838" w:orient="portrait"/>
          <w:cols w:equalWidth="0" w:num="2">
            <w:col w:w="1900" w:space="320"/>
            <w:col w:w="7999"/>
          </w:cols>
          <w:pgMar w:left="240" w:top="723" w:right="1440" w:bottom="0" w:gutter="0" w:footer="0" w:header="0"/>
          <w:type w:val="continuous"/>
        </w:sectPr>
      </w:pPr>
    </w:p>
    <w:p>
      <w:pPr>
        <w:spacing w:after="0" w:line="2" w:lineRule="exact"/>
        <w:rPr>
          <w:sz w:val="20"/>
          <w:szCs w:val="20"/>
          <w:color w:val="auto"/>
        </w:rPr>
      </w:pPr>
    </w:p>
    <w:p>
      <w:pPr>
        <w:ind w:left="120"/>
        <w:spacing w:after="0"/>
        <w:tabs>
          <w:tab w:leader="none" w:pos="2300" w:val="left"/>
        </w:tabs>
        <w:rPr>
          <w:sz w:val="20"/>
          <w:szCs w:val="20"/>
          <w:color w:val="auto"/>
        </w:rPr>
      </w:pPr>
      <w:r>
        <w:rPr>
          <w:rFonts w:ascii="Courier New" w:cs="Courier New" w:eastAsia="Courier New" w:hAnsi="Courier New"/>
          <w:sz w:val="18"/>
          <w:szCs w:val="18"/>
          <w:color w:val="auto"/>
        </w:rPr>
        <w:t>.Subordination:...</w:t>
      </w:r>
      <w:r>
        <w:rPr>
          <w:sz w:val="20"/>
          <w:szCs w:val="20"/>
          <w:color w:val="auto"/>
        </w:rPr>
        <w:tab/>
      </w:r>
      <w:r>
        <w:rPr>
          <w:rFonts w:ascii="Courier New" w:cs="Courier New" w:eastAsia="Courier New" w:hAnsi="Courier New"/>
          <w:sz w:val="16"/>
          <w:szCs w:val="16"/>
          <w:color w:val="auto"/>
        </w:rPr>
        <w:t>subordinated to our senior debt;</w:t>
      </w:r>
    </w:p>
    <w:p>
      <w:pPr>
        <w:ind w:left="2220"/>
        <w:spacing w:after="0" w:line="238" w:lineRule="auto"/>
        <w:rPr>
          <w:sz w:val="20"/>
          <w:szCs w:val="20"/>
          <w:color w:val="auto"/>
        </w:rPr>
      </w:pPr>
      <w:r>
        <w:rPr>
          <w:rFonts w:ascii="Courier New" w:cs="Courier New" w:eastAsia="Courier New" w:hAnsi="Courier New"/>
          <w:sz w:val="18"/>
          <w:szCs w:val="18"/>
          <w:color w:val="auto"/>
        </w:rPr>
        <w:t>effectively subordinated in right</w:t>
      </w:r>
    </w:p>
    <w:p>
      <w:pPr>
        <w:ind w:left="2220"/>
        <w:spacing w:after="0"/>
        <w:rPr>
          <w:sz w:val="20"/>
          <w:szCs w:val="20"/>
          <w:color w:val="auto"/>
        </w:rPr>
      </w:pPr>
      <w:r>
        <w:rPr>
          <w:rFonts w:ascii="Courier New" w:cs="Courier New" w:eastAsia="Courier New" w:hAnsi="Courier New"/>
          <w:sz w:val="18"/>
          <w:szCs w:val="18"/>
          <w:color w:val="auto"/>
        </w:rPr>
        <w:t>of payment to all indebtedness and</w:t>
      </w:r>
    </w:p>
    <w:p>
      <w:pPr>
        <w:ind w:left="2220"/>
        <w:spacing w:after="0" w:line="237" w:lineRule="auto"/>
        <w:rPr>
          <w:sz w:val="20"/>
          <w:szCs w:val="20"/>
          <w:color w:val="auto"/>
        </w:rPr>
      </w:pPr>
      <w:r>
        <w:rPr>
          <w:rFonts w:ascii="Courier New" w:cs="Courier New" w:eastAsia="Courier New" w:hAnsi="Courier New"/>
          <w:sz w:val="18"/>
          <w:szCs w:val="18"/>
          <w:color w:val="auto"/>
        </w:rPr>
        <w:t>other liabilities of our</w:t>
      </w:r>
    </w:p>
    <w:p>
      <w:pPr>
        <w:ind w:left="2220"/>
        <w:spacing w:after="0" w:line="238" w:lineRule="auto"/>
        <w:rPr>
          <w:sz w:val="20"/>
          <w:szCs w:val="20"/>
          <w:color w:val="auto"/>
        </w:rPr>
      </w:pPr>
      <w:r>
        <w:rPr>
          <w:rFonts w:ascii="Courier New" w:cs="Courier New" w:eastAsia="Courier New" w:hAnsi="Courier New"/>
          <w:sz w:val="18"/>
          <w:szCs w:val="18"/>
          <w:color w:val="auto"/>
        </w:rPr>
        <w:t>subsidiaries; no restriction on</w:t>
      </w:r>
    </w:p>
    <w:p>
      <w:pPr>
        <w:ind w:left="2220"/>
        <w:spacing w:after="0"/>
        <w:rPr>
          <w:sz w:val="20"/>
          <w:szCs w:val="20"/>
          <w:color w:val="auto"/>
        </w:rPr>
      </w:pPr>
      <w:r>
        <w:rPr>
          <w:rFonts w:ascii="Courier New" w:cs="Courier New" w:eastAsia="Courier New" w:hAnsi="Courier New"/>
          <w:sz w:val="18"/>
          <w:szCs w:val="18"/>
          <w:color w:val="auto"/>
        </w:rPr>
        <w:t>incurrence of additional</w:t>
      </w:r>
    </w:p>
    <w:p>
      <w:pPr>
        <w:ind w:left="2220"/>
        <w:spacing w:after="0" w:line="237" w:lineRule="auto"/>
        <w:rPr>
          <w:sz w:val="20"/>
          <w:szCs w:val="20"/>
          <w:color w:val="auto"/>
        </w:rPr>
      </w:pPr>
      <w:r>
        <w:rPr>
          <w:rFonts w:ascii="Courier New" w:cs="Courier New" w:eastAsia="Courier New" w:hAnsi="Courier New"/>
          <w:sz w:val="18"/>
          <w:szCs w:val="18"/>
          <w:color w:val="auto"/>
        </w:rPr>
        <w:t>indebtedness</w:t>
      </w:r>
    </w:p>
    <w:p>
      <w:pPr>
        <w:spacing w:after="0" w:line="202" w:lineRule="exact"/>
        <w:rPr>
          <w:sz w:val="20"/>
          <w:szCs w:val="20"/>
          <w:color w:val="auto"/>
        </w:rPr>
      </w:pPr>
    </w:p>
    <w:p>
      <w:pPr>
        <w:ind w:left="120"/>
        <w:spacing w:after="0"/>
        <w:tabs>
          <w:tab w:leader="none" w:pos="2300" w:val="left"/>
        </w:tabs>
        <w:rPr>
          <w:sz w:val="20"/>
          <w:szCs w:val="20"/>
          <w:color w:val="auto"/>
        </w:rPr>
      </w:pP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6"/>
          <w:szCs w:val="16"/>
          <w:color w:val="auto"/>
        </w:rPr>
        <w:t>redeemable by Analog or the holders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notes are currently designated for trading on the Private Offerings, Resales and Trading through Automated Linkages, or PORTAL, Market. The notes are issued in $1,000 principal amount and integral multiples of $1,000. Analog's common stock is traded on the New York Stock Exchange under the symbol "ADI". On December 5, 2000, the last reported sale price for the common stock on the New York Stock Exchange was $56.13 per share.</w:t>
      </w:r>
    </w:p>
    <w:p>
      <w:pPr>
        <w:spacing w:after="0" w:line="210" w:lineRule="exact"/>
        <w:rPr>
          <w:sz w:val="20"/>
          <w:szCs w:val="20"/>
          <w:color w:val="auto"/>
        </w:rPr>
      </w:pPr>
    </w:p>
    <w:p>
      <w:pPr>
        <w:ind w:right="2519" w:firstLine="211"/>
        <w:spacing w:after="0" w:line="279" w:lineRule="auto"/>
        <w:rPr>
          <w:sz w:val="20"/>
          <w:szCs w:val="20"/>
          <w:color w:val="auto"/>
        </w:rPr>
      </w:pPr>
      <w:r>
        <w:rPr>
          <w:rFonts w:ascii="Courier New" w:cs="Courier New" w:eastAsia="Courier New" w:hAnsi="Courier New"/>
          <w:sz w:val="16"/>
          <w:szCs w:val="16"/>
          <w:color w:val="auto"/>
        </w:rPr>
        <w:t>The securities offered by this prospectus may be offered in negotiated transactions, ordinary brokerage transactions or otherwise, at negotiated prices or at the market prices prevailing at the time of sale.</w:t>
      </w:r>
    </w:p>
    <w:p>
      <w:pPr>
        <w:spacing w:after="0" w:line="178"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INVESTING IN THE NOTES OR OUR COMMON STOCK INVOLVES RISKS. SEE "RISK FACTORS" BEGINNING ON PAGE 4.</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SECURITIES AND EXCHANGE COMMISSION AND STATE SECURITIES REGULATORS HAVE NOT APPROVED OR DISAPPROVED THESE SECURITIES OR DETERMINED IF THIS PROSPECTUS</w:t>
      </w:r>
    </w:p>
    <w:p>
      <w:pPr>
        <w:sectPr>
          <w:pgSz w:w="11900" w:h="16838" w:orient="portrait"/>
          <w:cols w:equalWidth="0" w:num="1">
            <w:col w:w="10219"/>
          </w:cols>
          <w:pgMar w:left="240" w:top="723" w:right="1440" w:bottom="0" w:gutter="0" w:footer="0" w:header="0"/>
          <w:type w:val="continuous"/>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IS TRUTHFUL OR COMPLETE. ANY REPRESENTATION TO THE CONTRARY IS A CRIMINAL OFFENSE.</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w w:val="96"/>
              </w:rPr>
              <w:t>The date of this Prospectus</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2000.</w:t>
            </w:r>
          </w:p>
        </w:tc>
      </w:tr>
    </w:tbl>
    <w:p>
      <w:pPr>
        <w:sectPr>
          <w:pgSz w:w="11900" w:h="16838" w:orient="portrait"/>
          <w:cols w:equalWidth="0" w:num="1">
            <w:col w:w="10219"/>
          </w:cols>
          <w:pgMar w:left="240" w:top="14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This prospectus incorporates important business information about Analog</w:t>
      </w:r>
    </w:p>
    <w:p>
      <w:pPr>
        <w:spacing w:after="0" w:line="238" w:lineRule="auto"/>
        <w:rPr>
          <w:sz w:val="20"/>
          <w:szCs w:val="20"/>
          <w:color w:val="auto"/>
        </w:rPr>
      </w:pPr>
      <w:r>
        <w:rPr>
          <w:rFonts w:ascii="Courier New" w:cs="Courier New" w:eastAsia="Courier New" w:hAnsi="Courier New"/>
          <w:sz w:val="18"/>
          <w:szCs w:val="18"/>
          <w:color w:val="auto"/>
        </w:rPr>
        <w:t>that is not included or delivered with this document. This information is</w:t>
      </w:r>
    </w:p>
    <w:p>
      <w:pPr>
        <w:spacing w:after="0"/>
        <w:rPr>
          <w:sz w:val="20"/>
          <w:szCs w:val="20"/>
          <w:color w:val="auto"/>
        </w:rPr>
      </w:pPr>
      <w:r>
        <w:rPr>
          <w:rFonts w:ascii="Courier New" w:cs="Courier New" w:eastAsia="Courier New" w:hAnsi="Courier New"/>
          <w:sz w:val="18"/>
          <w:szCs w:val="18"/>
          <w:color w:val="auto"/>
        </w:rPr>
        <w:t>available without charge to stockholders upon written or oral request. Please</w:t>
      </w:r>
    </w:p>
    <w:p>
      <w:pPr>
        <w:spacing w:after="0" w:line="237" w:lineRule="auto"/>
        <w:rPr>
          <w:sz w:val="20"/>
          <w:szCs w:val="20"/>
          <w:color w:val="auto"/>
        </w:rPr>
      </w:pPr>
      <w:r>
        <w:rPr>
          <w:rFonts w:ascii="Courier New" w:cs="Courier New" w:eastAsia="Courier New" w:hAnsi="Courier New"/>
          <w:sz w:val="18"/>
          <w:szCs w:val="18"/>
          <w:color w:val="auto"/>
        </w:rPr>
        <w:t>contact Analog at One Technology Way, Norwood, Massachusetts 02062, attention:</w:t>
      </w:r>
    </w:p>
    <w:p>
      <w:pPr>
        <w:spacing w:after="0" w:line="238" w:lineRule="auto"/>
        <w:rPr>
          <w:sz w:val="20"/>
          <w:szCs w:val="20"/>
          <w:color w:val="auto"/>
        </w:rPr>
      </w:pPr>
      <w:r>
        <w:rPr>
          <w:rFonts w:ascii="Courier New" w:cs="Courier New" w:eastAsia="Courier New" w:hAnsi="Courier New"/>
          <w:sz w:val="18"/>
          <w:szCs w:val="18"/>
          <w:color w:val="auto"/>
        </w:rPr>
        <w:t>Joseph E. McDonough, Vice President--Finance, (781) 329-4700. Also see "Where</w:t>
      </w:r>
    </w:p>
    <w:p>
      <w:pPr>
        <w:spacing w:after="0"/>
        <w:rPr>
          <w:sz w:val="20"/>
          <w:szCs w:val="20"/>
          <w:color w:val="auto"/>
        </w:rPr>
      </w:pPr>
      <w:r>
        <w:rPr>
          <w:rFonts w:ascii="Courier New" w:cs="Courier New" w:eastAsia="Courier New" w:hAnsi="Courier New"/>
          <w:sz w:val="18"/>
          <w:szCs w:val="18"/>
          <w:color w:val="auto"/>
        </w:rPr>
        <w:t>You Can Find More Information" in this prospectus.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Analog Devices</w:t>
      </w:r>
      <w:r>
        <w:rPr>
          <w:sz w:val="20"/>
          <w:szCs w:val="20"/>
          <w:color w:val="auto"/>
        </w:rPr>
        <w:tab/>
      </w:r>
      <w:r>
        <w:rPr>
          <w:rFonts w:ascii="Courier New" w:cs="Courier New" w:eastAsia="Courier New" w:hAnsi="Courier New"/>
          <w:sz w:val="16"/>
          <w:szCs w:val="16"/>
          <w:color w:val="auto"/>
        </w:rPr>
        <w:t>3</w:t>
      </w:r>
    </w:p>
    <w:p>
      <w:pPr>
        <w:spacing w:after="0"/>
        <w:tabs>
          <w:tab w:leader="dot" w:pos="832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4</w:t>
      </w:r>
    </w:p>
    <w:p>
      <w:pPr>
        <w:spacing w:after="0"/>
        <w:tabs>
          <w:tab w:leader="dot" w:pos="83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Ratio of Earnings to Fixed Charges</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Selected Consolidated Financial Data</w:t>
      </w:r>
      <w:r>
        <w:rPr>
          <w:sz w:val="20"/>
          <w:szCs w:val="20"/>
          <w:color w:val="auto"/>
        </w:rPr>
        <w:tab/>
      </w:r>
      <w:r>
        <w:rPr>
          <w:rFonts w:ascii="Courier New" w:cs="Courier New" w:eastAsia="Courier New" w:hAnsi="Courier New"/>
          <w:sz w:val="16"/>
          <w:szCs w:val="16"/>
          <w:color w:val="auto"/>
        </w:rPr>
        <w:t>9</w:t>
      </w:r>
    </w:p>
    <w:p>
      <w:pPr>
        <w:spacing w:after="0"/>
        <w:tabs>
          <w:tab w:leader="dot" w:pos="8200" w:val="left"/>
        </w:tabs>
        <w:rPr>
          <w:sz w:val="20"/>
          <w:szCs w:val="20"/>
          <w:color w:val="auto"/>
        </w:rPr>
      </w:pPr>
      <w:r>
        <w:rPr>
          <w:rFonts w:ascii="Courier New" w:cs="Courier New" w:eastAsia="Courier New" w:hAnsi="Courier New"/>
          <w:sz w:val="18"/>
          <w:szCs w:val="18"/>
          <w:color w:val="auto"/>
        </w:rPr>
        <w:t>Description of Notes</w:t>
      </w:r>
      <w:r>
        <w:rPr>
          <w:sz w:val="20"/>
          <w:szCs w:val="20"/>
          <w:color w:val="auto"/>
        </w:rPr>
        <w:tab/>
      </w:r>
      <w:r>
        <w:rPr>
          <w:rFonts w:ascii="Courier New" w:cs="Courier New" w:eastAsia="Courier New" w:hAnsi="Courier New"/>
          <w:sz w:val="18"/>
          <w:szCs w:val="18"/>
          <w:color w:val="auto"/>
        </w:rPr>
        <w:t>10</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Material United States Federal Income Tax Considerations</w:t>
      </w:r>
      <w:r>
        <w:rPr>
          <w:sz w:val="20"/>
          <w:szCs w:val="20"/>
          <w:color w:val="auto"/>
        </w:rPr>
        <w:tab/>
      </w:r>
      <w:r>
        <w:rPr>
          <w:rFonts w:ascii="Courier New" w:cs="Courier New" w:eastAsia="Courier New" w:hAnsi="Courier New"/>
          <w:sz w:val="18"/>
          <w:szCs w:val="18"/>
          <w:color w:val="auto"/>
        </w:rPr>
        <w:t>26</w:t>
      </w:r>
    </w:p>
    <w:p>
      <w:pPr>
        <w:spacing w:after="0"/>
        <w:tabs>
          <w:tab w:leader="dot" w:pos="820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8"/>
          <w:szCs w:val="18"/>
          <w:color w:val="auto"/>
        </w:rPr>
        <w:t>36</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Selling Securityholders</w:t>
      </w:r>
      <w:r>
        <w:rPr>
          <w:sz w:val="20"/>
          <w:szCs w:val="20"/>
          <w:color w:val="auto"/>
        </w:rPr>
        <w:tab/>
      </w:r>
      <w:r>
        <w:rPr>
          <w:rFonts w:ascii="Courier New" w:cs="Courier New" w:eastAsia="Courier New" w:hAnsi="Courier New"/>
          <w:sz w:val="18"/>
          <w:szCs w:val="18"/>
          <w:color w:val="auto"/>
        </w:rPr>
        <w:t>39</w:t>
      </w:r>
    </w:p>
    <w:p>
      <w:pPr>
        <w:spacing w:after="0"/>
        <w:tabs>
          <w:tab w:leader="dot" w:pos="82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44</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8"/>
          <w:szCs w:val="18"/>
          <w:color w:val="auto"/>
        </w:rPr>
        <w:t>46</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46</w:t>
      </w:r>
    </w:p>
    <w:p>
      <w:pPr>
        <w:spacing w:after="0"/>
        <w:tabs>
          <w:tab w:leader="dot" w:pos="8200" w:val="left"/>
        </w:tabs>
        <w:rPr>
          <w:sz w:val="20"/>
          <w:szCs w:val="20"/>
          <w:color w:val="auto"/>
        </w:rPr>
      </w:pPr>
      <w:r>
        <w:rPr>
          <w:rFonts w:ascii="Courier New" w:cs="Courier New" w:eastAsia="Courier New" w:hAnsi="Courier New"/>
          <w:sz w:val="18"/>
          <w:szCs w:val="18"/>
          <w:color w:val="auto"/>
        </w:rPr>
        <w:t>Additional Filings and Company Information</w:t>
      </w:r>
      <w:r>
        <w:rPr>
          <w:sz w:val="20"/>
          <w:szCs w:val="20"/>
          <w:color w:val="auto"/>
        </w:rPr>
        <w:tab/>
      </w:r>
      <w:r>
        <w:rPr>
          <w:rFonts w:ascii="Courier New" w:cs="Courier New" w:eastAsia="Courier New" w:hAnsi="Courier New"/>
          <w:sz w:val="18"/>
          <w:szCs w:val="18"/>
          <w:color w:val="auto"/>
        </w:rPr>
        <w:t>46</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8"/>
          <w:szCs w:val="18"/>
          <w:color w:val="auto"/>
        </w:rPr>
        <w:t>47</w:t>
      </w:r>
    </w:p>
    <w:p>
      <w:pPr>
        <w:spacing w:after="0"/>
        <w:tabs>
          <w:tab w:leader="dot" w:pos="8200" w:val="left"/>
        </w:tabs>
        <w:rPr>
          <w:sz w:val="20"/>
          <w:szCs w:val="20"/>
          <w:color w:val="auto"/>
        </w:rPr>
      </w:pPr>
      <w:r>
        <w:rPr>
          <w:rFonts w:ascii="Courier New" w:cs="Courier New" w:eastAsia="Courier New" w:hAnsi="Courier New"/>
          <w:sz w:val="18"/>
          <w:szCs w:val="18"/>
          <w:color w:val="auto"/>
        </w:rPr>
        <w:t>Cautionary Statement Concerning Forward-Looking Information</w:t>
      </w:r>
      <w:r>
        <w:rPr>
          <w:sz w:val="20"/>
          <w:szCs w:val="20"/>
          <w:color w:val="auto"/>
        </w:rPr>
        <w:tab/>
      </w: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59"/>
        <w:spacing w:after="0"/>
        <w:rPr>
          <w:sz w:val="20"/>
          <w:szCs w:val="20"/>
          <w:color w:val="auto"/>
        </w:rPr>
      </w:pPr>
      <w:r>
        <w:rPr>
          <w:rFonts w:ascii="Courier New" w:cs="Courier New" w:eastAsia="Courier New" w:hAnsi="Courier New"/>
          <w:sz w:val="18"/>
          <w:szCs w:val="18"/>
          <w:color w:val="auto"/>
        </w:rPr>
        <w:t>ANALOG DEVICES</w:t>
      </w:r>
    </w:p>
    <w:p>
      <w:pPr>
        <w:spacing w:after="0" w:line="207" w:lineRule="exact"/>
        <w:rPr>
          <w:sz w:val="20"/>
          <w:szCs w:val="20"/>
          <w:color w:val="auto"/>
        </w:rPr>
      </w:pPr>
    </w:p>
    <w:p>
      <w:pPr>
        <w:jc w:val="both"/>
        <w:ind w:right="2419" w:firstLine="316"/>
        <w:spacing w:after="0" w:line="236" w:lineRule="auto"/>
        <w:rPr>
          <w:sz w:val="20"/>
          <w:szCs w:val="20"/>
          <w:color w:val="auto"/>
        </w:rPr>
      </w:pPr>
      <w:r>
        <w:rPr>
          <w:rFonts w:ascii="Courier New" w:cs="Courier New" w:eastAsia="Courier New" w:hAnsi="Courier New"/>
          <w:sz w:val="18"/>
          <w:szCs w:val="18"/>
          <w:color w:val="auto"/>
        </w:rPr>
        <w:t>We are a world leader in the design, manufacture and marketing of high-performance analog, mixed-signal and digital signal processing integrated circuits used in signal processing applications.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During the first nine months of fiscal 2000, approximately 40-45% of our net sales came from the communications market, making it our largest and fastest growing served market. Communications applications include wireless handsets and base stations, as well as products used for high-speed access to the Internet, including integrated circuits used in asynchronous digital subscriber lines, which are broadband telecommunications lines, cable modems and central office networking equipment.</w:t>
      </w:r>
    </w:p>
    <w:p>
      <w:pPr>
        <w:spacing w:after="0" w:line="211"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serve the personal computer market with products that monitor and manage power usage, process signals used in flat panel displays and LCD projectors and enable personal computers to provide high-quality digital audio. We also serve the high-end consumer market with products used in digital cameras and camcorders, DVD players and surround sound audio systems. We provide a broad array of products to the industrial market, including products for automatic test equipment and for the digital speed control of AC motors.</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products are sold worldwide through a direct sales force, third-party industrial distributors and independent sales representatives. We have direct sales offices in 18 countries, including the United States. In the first nine months of fiscal 2000, approximately 44% of net sales came from customers in North America, while most of the balance came from customers in Western Europe and Asia.</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are headquartered near Boston, in Norwood, Massachusetts, and have manufacturing facilities in Massachusetts, California, North Carolina, Ireland, the Philippines and Taiwan. Founded in 1965, we employ approximately 8,600 people worldwide. Our stock is listed on the New York Stock Exchange under the symbol ADI and is included in the Standard &amp; Poor's 500 Index.</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You should carefully consider the following risks before making an investment decision. You should also refer to the other information set forth in this prospectus and incorporated by reference in this prospectus. This prospectus contains forward-looking statements that involve risks and uncertainties. Our actual results could vary significantly from the results discussed in the forward-looking statements. Some risks that could cause our results to vary are disclosed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experience material fluctuations in future operating results.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future success depends upon our ability to develop and market new products and enter new markets.</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39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may not be able to compete successfully in the semiconductor industry in the future.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may not be able to satisfy increasing demand for our products, and increased production may lead to overcapacity and lower prices.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cyclical nature of the semiconductor industry has resulted in sustained or short-term periods when demand for our products has increased or decreased rapidly. We and the semiconductor industry have experienced a period of rapid increases in demand during fiscal 1999 and during the current fiscal year. We have increased our manufacturing capacity over the past three years through both expansion of our production facilities and increased access to third-party foundries. However,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could lead to overcapacity in our target markets, which could lead to price erosion that would adversely affect our operating results.</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rely on third-party subcontractors and manufacturers for some industry-standard wafers and therefore cannot control their availability or conditions of supply.</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Also, noncompliance with "take or pay" covenants in supply agreements could adversely impact our operating results.</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Our revenues may not increase enough to offset the expense of additional capacity.</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rely on manufacturing capacity located in geologically unstable areas, which could affect the availability of supplies and services.</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w:t>
      </w:r>
    </w:p>
    <w:p>
      <w:pPr>
        <w:spacing w:after="0" w:line="18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We are exposed to economic and political risks through our significant international operations.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the first nine months of fiscal 2000, 56% of our revenues were derived from customers in international markets. We have manufacturing facilities outside the U.S. in Ireland,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are involved in frequent litigation regarding intellectual property rights, which could be costly to undertake and could require us to redesign products or pay significant royalties.</w:t>
      </w:r>
    </w:p>
    <w:p>
      <w:pPr>
        <w:spacing w:after="0" w:line="209" w:lineRule="exact"/>
        <w:rPr>
          <w:sz w:val="20"/>
          <w:szCs w:val="20"/>
          <w:color w:val="auto"/>
        </w:rPr>
      </w:pPr>
    </w:p>
    <w:p>
      <w:pPr>
        <w:ind w:right="2199" w:firstLine="316"/>
        <w:spacing w:after="0" w:line="275"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ind w:right="1879"/>
        <w:spacing w:after="0" w:line="238" w:lineRule="auto"/>
        <w:rPr>
          <w:sz w:val="20"/>
          <w:szCs w:val="20"/>
          <w:color w:val="auto"/>
        </w:rPr>
      </w:pPr>
      <w:r>
        <w:rPr>
          <w:rFonts w:ascii="Courier New" w:cs="Courier New" w:eastAsia="Courier New" w:hAnsi="Courier New"/>
          <w:sz w:val="18"/>
          <w:szCs w:val="18"/>
          <w:color w:val="auto"/>
        </w:rPr>
        <w:t>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contained in our Form 10-K for the fiscal year ended October 30, 1999 incorporated by reference in this prospectus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 price of our common stock and therefore the price of our notes may fluctuate significantly, which may result in losses for investors.</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market price for our common stock has been and may continue to be volatile. For example, during the 52-week period ended December 5, 2000, the closing prices of our common stock as reported on the New York Stock Exchange ranged from a high of $103.00 to a low of $32.88. We expect our stock price to be subject to fluctuations as a result of a variety of factors, including factors beyond our control. These factors include: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actual or anticipated variations in our quarterly operating results;</w:t>
      </w:r>
    </w:p>
    <w:p>
      <w:pPr>
        <w:spacing w:after="0" w:line="207" w:lineRule="exact"/>
        <w:rPr>
          <w:sz w:val="20"/>
          <w:szCs w:val="20"/>
          <w:color w:val="auto"/>
        </w:rPr>
      </w:pPr>
    </w:p>
    <w:p>
      <w:pPr>
        <w:ind w:left="420" w:right="2099" w:hanging="201"/>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products or services by us or our competitors;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announcements relating to strategic relationships or acquisitions;</w:t>
      </w:r>
    </w:p>
    <w:p>
      <w:pPr>
        <w:spacing w:after="0" w:line="207" w:lineRule="exact"/>
        <w:rPr>
          <w:sz w:val="20"/>
          <w:szCs w:val="20"/>
          <w:color w:val="auto"/>
        </w:rPr>
      </w:pPr>
    </w:p>
    <w:p>
      <w:pPr>
        <w:ind w:left="420" w:right="3039" w:hanging="201"/>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financial estimates or other statements by securities analysts;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changes in general economic conditions;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conditions or trends affecting the semiconductor industry; and</w:t>
      </w:r>
    </w:p>
    <w:p>
      <w:pPr>
        <w:spacing w:after="0" w:line="207" w:lineRule="exact"/>
        <w:rPr>
          <w:sz w:val="20"/>
          <w:szCs w:val="20"/>
          <w:color w:val="auto"/>
        </w:rPr>
      </w:pPr>
    </w:p>
    <w:p>
      <w:pPr>
        <w:ind w:left="420" w:right="2519" w:hanging="201"/>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economic performance and/or market valuations of other semiconductor and high-technology companies.</w:t>
      </w:r>
    </w:p>
    <w:p>
      <w:pPr>
        <w:spacing w:after="0" w:line="208" w:lineRule="exact"/>
        <w:rPr>
          <w:sz w:val="20"/>
          <w:szCs w:val="20"/>
          <w:color w:val="auto"/>
        </w:rPr>
      </w:pPr>
    </w:p>
    <w:p>
      <w:pPr>
        <w:ind w:right="2319" w:firstLine="316"/>
        <w:spacing w:after="0" w:line="279" w:lineRule="auto"/>
        <w:rPr>
          <w:sz w:val="20"/>
          <w:szCs w:val="20"/>
          <w:color w:val="auto"/>
        </w:rPr>
      </w:pPr>
      <w:r>
        <w:rPr>
          <w:rFonts w:ascii="Courier New" w:cs="Courier New" w:eastAsia="Courier New" w:hAnsi="Courier New"/>
          <w:sz w:val="16"/>
          <w:szCs w:val="16"/>
          <w:color w:val="auto"/>
        </w:rPr>
        <w:t>Because of this volatility, we may fail to meet the expectations of our stockholders or of securities analysts at some time in the future, and our stock price and therefore the price of our notes could decline as a result.</w:t>
      </w:r>
    </w:p>
    <w:p>
      <w:pPr>
        <w:spacing w:after="0" w:line="17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addition, the stock market has experienced significant price and volume fluctuations that have particularly affected the trading prices of equity securities of many high technology companies. These fluctuations have often been unrelated or disproportionate to changes in the operating performance of these companies. Any negative change in the public's perception of semiconductor companies could depress our stock price regardless of our operating results.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Leverage and debt service obligations may adversely affect our cash flow.</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a substantial amount of outstanding indebtedness as a result of the issuance of the notes. There is the possibility that we may be unable to generate cash sufficient to pay the principal of, interest on and other amounts due in respect of the notes when due.</w:t>
      </w:r>
    </w:p>
    <w:p>
      <w:pPr>
        <w:spacing w:after="0" w:line="207"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Our substantial leverage could have significant negative consequences, including:</w:t>
      </w:r>
    </w:p>
    <w:p>
      <w:pPr>
        <w:spacing w:after="0" w:line="208" w:lineRule="exact"/>
        <w:rPr>
          <w:sz w:val="20"/>
          <w:szCs w:val="20"/>
          <w:color w:val="auto"/>
        </w:rPr>
      </w:pPr>
    </w:p>
    <w:p>
      <w:pPr>
        <w:ind w:left="420" w:right="2519" w:hanging="201"/>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increasing our vulnerability to general adverse economic and industry conditions;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left="420" w:right="2199" w:hanging="201"/>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expected cash flow from operations to service our indebtedness, thereby reducing the amount of our expected cash flow available for other purposes, including capital expenditures; and</w:t>
      </w:r>
    </w:p>
    <w:p>
      <w:pPr>
        <w:spacing w:after="0" w:line="207" w:lineRule="exact"/>
        <w:rPr>
          <w:sz w:val="20"/>
          <w:szCs w:val="20"/>
          <w:color w:val="auto"/>
        </w:rPr>
      </w:pPr>
    </w:p>
    <w:p>
      <w:pPr>
        <w:ind w:left="420" w:right="2199" w:hanging="201"/>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industry in which we compete.</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notes rank below our senior debt, and we may be unable to repay our obligations under the notes.</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notes are unsecured and subordinated in right of payment to all of our senior debt. Because the notes are subordinate to our senior debt, if we experience: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bankruptcy, liquidation or reorganization;</w:t>
      </w:r>
    </w:p>
    <w:p>
      <w:pPr>
        <w:spacing w:after="0" w:line="207" w:lineRule="exact"/>
        <w:rPr>
          <w:sz w:val="20"/>
          <w:szCs w:val="20"/>
          <w:color w:val="auto"/>
        </w:rPr>
      </w:pPr>
    </w:p>
    <w:p>
      <w:pPr>
        <w:ind w:left="420" w:right="2939" w:hanging="201"/>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acceleration of the notes due to an event of default under the indenture; or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other specified events;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will be permitted to make payments on the notes only after we have satisfied all of our senior debt obligations. Therefore, we may not have sufficient assets remaining to pay amounts due on any or all of the notes. In addition, the notes effectively are subordinate to all liabilities, including trade payables, of our subsidiaries and any subsidiaries that we may in the future acquire or establish. Consequently, our right to receive assets of any subsidiaries upon their liquidation or reorganization, and the rights of the holders of the notes to share in those assets, would be subordinate to the claims of the subsidiaries' creditors.</w:t>
      </w:r>
    </w:p>
    <w:p>
      <w:pPr>
        <w:spacing w:after="0" w:line="214"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notes are our obligations exclusively. The indenture for the notes does not limit our ability, or that of any of our presently existing or future subsidiaries, to incur senior debt, other indebtedness and other liabilities. We may have difficulty paying what we owe under the notes if we, or any of our subsidiaries, incur additional indebtedness or other liabilities. As of July 29, 2000, we had senior debt outstanding of approximately $5 million, and our subsidiaries had approximately $385 million of outstanding liabilities, excluding intercompany liabilities. From time to time we and our subsidiaries may incur additional indebtedness, including senior debt, which could adversely affect our ability to pay our obligations under the notes.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be unable to repay or repurchase the notes.</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At maturity, the entire outstanding principal amount of the notes will become due and payable. In addition, if we experience a change in control, as described in "Description of the Notes--Repurchase at Option of Holders Upon a Change in Control", each holder of the notes may require us to repurchase all or a portion of that holder's notes. At maturity or if a change in control occurs, we may not have sufficient funds or may be unable to arrange for additional financing to pay the principal amount or repurchase price due. Under the terms of the indenture for the notes, we may elect, if we meet some conditions, to pay the repurchase price with shares of common stock. Any future borrowing arrangements or agreements relating to senior debt to which we become a party may contain restrictions on, or prohibitions against, our repayments or repurchases of the notes. If the maturity date or change in control occurs at a time when our other arrangements prohibit us from repaying or repurchasing the notes, we could try to obtain the consent of the lenders under those arrangements, or we could attempt to refinance the borrowings that contain the restrictions. If we do not obtain the necessary consents or refinance these borrowings, we will be unable to repay or repurchase the notes. In that case, our failure to repurchase any tendered notes or repay the notes due upon maturity would constitute an event of default under the indenture. Any such default, in turn, may cause a default under the terms of our senior debt. As a result, in those circumstances, the subordination provisions of the indenture would, absent a waiver, prohibit any repayment or repurchase of the notes until we pay the senior debt in full.</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All of the notes and the shares of our common stock issuable upon conversion of the notes are being sold by the selling securityholders or by their pledgees, donees, transferees or other successors in interest. We will not receive any proceeds from the sale of the notes or the shares of our common stock issuable upon conversion of the notes.</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Fiscal Year Ended</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120" w:type="dxa"/>
            <w:vAlign w:val="bottom"/>
            <w:gridSpan w:val="2"/>
          </w:tcPr>
          <w:p>
            <w:pPr>
              <w:spacing w:after="0"/>
              <w:rPr>
                <w:sz w:val="20"/>
                <w:szCs w:val="20"/>
                <w:color w:val="auto"/>
              </w:rPr>
            </w:pPr>
            <w:r>
              <w:rPr>
                <w:rFonts w:ascii="Courier New" w:cs="Courier New" w:eastAsia="Courier New" w:hAnsi="Courier New"/>
                <w:sz w:val="8"/>
                <w:szCs w:val="8"/>
                <w:color w:val="auto"/>
                <w:w w:val="74"/>
              </w:rPr>
              <w:t>-----------------------------------------------------------</w:t>
            </w: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1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October 28, November 2, November 1, October 31, October 30, July 31, July 29,</w:t>
            </w:r>
          </w:p>
        </w:tc>
      </w:tr>
      <w:tr>
        <w:trPr>
          <w:trHeight w:val="203"/>
        </w:trPr>
        <w:tc>
          <w:tcPr>
            <w:tcW w:w="1280" w:type="dxa"/>
            <w:vAlign w:val="bottom"/>
          </w:tcPr>
          <w:p>
            <w:pPr>
              <w:jc w:val="right"/>
              <w:ind w:right="46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1280" w:type="dxa"/>
            <w:vAlign w:val="bottom"/>
          </w:tcPr>
          <w:p>
            <w:pPr>
              <w:jc w:val="right"/>
              <w:ind w:right="462"/>
              <w:spacing w:after="0"/>
              <w:rPr>
                <w:sz w:val="20"/>
                <w:szCs w:val="20"/>
                <w:color w:val="auto"/>
              </w:rPr>
            </w:pPr>
            <w:r>
              <w:rPr>
                <w:rFonts w:ascii="Courier New" w:cs="Courier New" w:eastAsia="Courier New" w:hAnsi="Courier New"/>
                <w:sz w:val="18"/>
                <w:szCs w:val="18"/>
                <w:color w:val="auto"/>
              </w:rPr>
              <w:t>29.6</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19.3</w:t>
            </w:r>
          </w:p>
        </w:tc>
        <w:tc>
          <w:tcPr>
            <w:tcW w:w="19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15.0</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11.1</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28.2</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18.4</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141.1</w:t>
            </w: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ratio of earnings to fixed charges is computed by dividing income before taxes, net of dividends and income/loss on our equity interest in WaferTech, LLC, a joint venture with Taiwan Semiconductor Manufacturing Company and other investors, adjusted for fixed charges by fixed charges. Fixed charges consist of interest expense, whether expensed or capitalized, plus the portion of rent expense under operating leases that we consider to be representative of the interest factor, plus amortization of debt issuance costs.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1" w:name="page12"/>
    <w:bookmarkEnd w:id="11"/>
    <w:p>
      <w:pPr>
        <w:ind w:left="2320"/>
        <w:spacing w:after="0"/>
        <w:rPr>
          <w:sz w:val="20"/>
          <w:szCs w:val="20"/>
          <w:color w:val="auto"/>
        </w:rPr>
      </w:pPr>
      <w:r>
        <w:rPr>
          <w:rFonts w:ascii="Courier New" w:cs="Courier New" w:eastAsia="Courier New" w:hAnsi="Courier New"/>
          <w:sz w:val="18"/>
          <w:szCs w:val="18"/>
          <w:color w:val="auto"/>
        </w:rPr>
        <w:t>SELECTED CONSOLIDATED FINANCIAL DATA</w:t>
      </w:r>
    </w:p>
    <w:p>
      <w:pPr>
        <w:ind w:left="2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selected consolidated financial data set forth below for each of the fiscal years in the three-year period ended October 30, 1999 and as at October 31, 1998 and October 30, 1999 have been derived from our audited consolidated financial statements in the Annual Report on Form 10-K for the fiscal year ended October 30, 1999, incorporated by reference into this prospectus. The selected consolidated financial data set forth below for each of the fiscal years in the two-year period ended November 2, 1996 and as at October 28, 1995, November 2, 1996, and November 1, 1997 are derived from our audited consolidated financial statements that are neither included in nor incorporated by reference into this prospectus. We have prepared our consolidated financial statements in accordance with U.S. generally accepted accounting principles. The following data should be read in conjunction with our audited consolidated financial statements and notes thereto and "Management Analysis" in the Annual Report on Form 10-K for the fiscal year ended October 30, 1999,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Year Ended</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64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20" w:type="dxa"/>
            <w:vAlign w:val="bottom"/>
          </w:tcPr>
          <w:p>
            <w:pPr>
              <w:spacing w:after="0"/>
              <w:rPr>
                <w:sz w:val="17"/>
                <w:szCs w:val="17"/>
                <w:color w:val="auto"/>
              </w:rPr>
            </w:pPr>
          </w:p>
        </w:tc>
        <w:tc>
          <w:tcPr>
            <w:tcW w:w="51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October 28, November 2, November 1, October 31,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30,</w:t>
            </w:r>
          </w:p>
        </w:tc>
      </w:tr>
      <w:tr>
        <w:trPr>
          <w:trHeight w:val="203"/>
        </w:trPr>
        <w:tc>
          <w:tcPr>
            <w:tcW w:w="26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6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2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Data:</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$941,546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$1,193,786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$1,243,494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$1,230,571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$1,450,379</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before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119,270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171,901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178,219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119,488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196,819</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(37,080)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after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119,270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171,901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178,219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82,408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196,819</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Basic..................</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0.58</w:t>
            </w: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Diluted................</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0.55</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amounts with</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change in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related to revenue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recognition applied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retroactively:</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$1,183,186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$1,214,602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$1,230,571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168,328</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167,515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119,488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Basic..................</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0.53</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Diluted................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20" w:type="dxa"/>
            <w:vAlign w:val="bottom"/>
          </w:tcPr>
          <w:p>
            <w:pPr>
              <w:spacing w:after="0"/>
              <w:rPr>
                <w:sz w:val="24"/>
                <w:szCs w:val="24"/>
                <w:color w:val="auto"/>
              </w:rPr>
            </w:pPr>
          </w:p>
        </w:tc>
        <w:tc>
          <w:tcPr>
            <w:tcW w:w="51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9"/>
              </w:rPr>
              <w:t>October 28, November 2, November 1, October 31,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October 30,</w:t>
            </w:r>
          </w:p>
        </w:tc>
      </w:tr>
      <w:tr>
        <w:trPr>
          <w:trHeight w:val="203"/>
        </w:trPr>
        <w:tc>
          <w:tcPr>
            <w:tcW w:w="26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6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2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$993,349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$1,508,272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$1,763,853</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$1,861,730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$2,218,354</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and non-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obligations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under capital leases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353,666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348,852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340,758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16,214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420" w:right="2099" w:hanging="412"/>
        <w:spacing w:after="0" w:line="236"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 and per share information gives effect to our two-for-one stock split, distributed to stockholders as a 100% stock dividend, on March 15, 2000.</w:t>
      </w:r>
    </w:p>
    <w:p>
      <w:pPr>
        <w:spacing w:after="0" w:line="208" w:lineRule="exact"/>
        <w:rPr>
          <w:rFonts w:ascii="Courier New" w:cs="Courier New" w:eastAsia="Courier New" w:hAnsi="Courier New"/>
          <w:sz w:val="18"/>
          <w:szCs w:val="18"/>
          <w:color w:val="auto"/>
        </w:rPr>
      </w:pPr>
    </w:p>
    <w:p>
      <w:pPr>
        <w:ind w:left="420" w:right="303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was not available in sufficient detail to provide pro forma information for fiscal 1995.</w:t>
      </w:r>
    </w:p>
    <w:p>
      <w:pPr>
        <w:sectPr>
          <w:pgSz w:w="11900" w:h="16838" w:orient="portrait"/>
          <w:cols w:equalWidth="0" w:num="1">
            <w:col w:w="10219"/>
          </w:cols>
          <w:pgMar w:left="240" w:top="717" w:right="1440" w:bottom="0" w:gutter="0" w:footer="0" w:header="0"/>
        </w:sectPr>
      </w:pPr>
    </w:p>
    <w:bookmarkStart w:id="12" w:name="page13"/>
    <w:bookmarkEnd w:id="12"/>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3" w:name="page14"/>
    <w:bookmarkEnd w:id="13"/>
    <w:p>
      <w:pPr>
        <w:jc w:val="center"/>
        <w:ind w:right="1759"/>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issued the notes under a document called the "Indenture". The Indenture is a contract between us and State Street Bank and Trust Company, as Trustee. The Indenture and the notes are governed by New York law. Because this section is a summary, it does not describe every aspect of the notes and the Indenture that may be important to you. In this section, we use capitalized words to signify defined terms that have been given special meaning in the Indenture. We describe the meaning of only the more important terms. You should read the Indenture itself for a full description of the terms of the notes. Wherever we refer to particular defined terms, those defined terms are incorporated by reference here. In this section, references to "Analog", "we", "our" or "us" refer solely to Analog Devices, Inc. and not its subsidiaries.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notes are general, unsecured obligations of Analog. The notes are subordinated, which means that they rank behind some of our indebtedness as described below. The notes are limited to $1,200,000,000 aggregate principal amount. We are required to repay the principal amount of the notes in full on October 1, 2005. The notes bear interest at the rate of 4.75% per annum. Interest is computed on the basis of a 360 day year of twelve thirty day months. We will pay interest on the notes on April 1 and October 1 of each year, commencing on April 1, 2001.</w:t>
      </w:r>
    </w:p>
    <w:p>
      <w:pPr>
        <w:spacing w:after="0" w:line="212"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A holder of notes may convert the notes into shares of our common stock initially at the conversion rate of 7.7056 shares per $1,000 in principal amount of the notes at any time before the close of business on the business day preceding October 1, 2005, unless the notes have been previously redeemed or repurchased. The conversion rate may be adjusted as described below.</w:t>
      </w:r>
    </w:p>
    <w:p>
      <w:pPr>
        <w:spacing w:after="0" w:line="185"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may redeem the notes at our option at any time on or after October 1, 2003, in whole or in part, at the redemption prices set forth below under "-- Optional Redemption by Analog", plus accrued and unpaid interest to the redemption date. If there is a Change in Control of Analog, a holder of notes may have the right to require us to repurchase its notes as described below under "--Repurchase at Option of Holders Upon a Change in Control".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Transfer, Exchange and Book-Entry Procedures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notes are issued:</w:t>
      </w:r>
    </w:p>
    <w:p>
      <w:pPr>
        <w:spacing w:after="0" w:line="201" w:lineRule="exact"/>
        <w:rPr>
          <w:sz w:val="20"/>
          <w:szCs w:val="20"/>
          <w:color w:val="auto"/>
        </w:rPr>
      </w:pPr>
    </w:p>
    <w:p>
      <w:pPr>
        <w:ind w:left="420" w:hanging="201"/>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only in fully registered form;</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and greater multiples.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notes are evidenced by one or more global notes which were deposited with the Trustee as custodian for DTC and registered in the name of Cede &amp; Co., which we refer to as Cede, as nominee of DTC. The global note and any notes issued in exchange for the global note are subject to restrictions on transfer and will bear legends regarding those restrictions. Except as set forth below, record ownership of the global note may be transferred, in whole or in part, only to another nominee of DTC or to a successor of DTC or its nominee.</w:t>
      </w:r>
    </w:p>
    <w:p>
      <w:pPr>
        <w:spacing w:after="0" w:line="1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global note will not be registered in the name of any person, or exchanged for notes that are registered in the name of any person, other than DTC or its nominee unless either of the following occurs:</w:t>
      </w:r>
    </w:p>
    <w:p>
      <w:pPr>
        <w:spacing w:after="0" w:line="209" w:lineRule="exact"/>
        <w:rPr>
          <w:sz w:val="20"/>
          <w:szCs w:val="20"/>
          <w:color w:val="auto"/>
        </w:rPr>
      </w:pPr>
    </w:p>
    <w:p>
      <w:pPr>
        <w:ind w:left="420" w:right="2419" w:hanging="201"/>
        <w:spacing w:after="0" w:line="235"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notifies us that it is unwilling, unable or no longer qualified to continue acting as the depositary for the global note;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4" w:name="page15"/>
    <w:bookmarkEnd w:id="14"/>
    <w:p>
      <w:pPr>
        <w:ind w:left="420" w:right="2319" w:hanging="201"/>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with respect to the notes represented by the global note has occurred and is continuing.</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those circumstances, DTC will determine in whose names any securities issued in exchange for the global note will be registered.</w:t>
      </w:r>
    </w:p>
    <w:p>
      <w:pPr>
        <w:spacing w:after="0" w:line="208"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DTC or its nominee will be considered the sole owner and holder of the global note for all purposes, and as a result:</w:t>
      </w:r>
    </w:p>
    <w:p>
      <w:pPr>
        <w:spacing w:after="0" w:line="208" w:lineRule="exact"/>
        <w:rPr>
          <w:sz w:val="20"/>
          <w:szCs w:val="20"/>
          <w:color w:val="auto"/>
        </w:rPr>
      </w:pPr>
    </w:p>
    <w:p>
      <w:pPr>
        <w:ind w:left="420" w:right="2519" w:hanging="201"/>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notes cannot get notes registered in its name if they are represented by the global note;</w:t>
      </w:r>
    </w:p>
    <w:p>
      <w:pPr>
        <w:spacing w:after="0" w:line="208" w:lineRule="exact"/>
        <w:rPr>
          <w:sz w:val="20"/>
          <w:szCs w:val="20"/>
          <w:color w:val="auto"/>
        </w:rPr>
      </w:pPr>
    </w:p>
    <w:p>
      <w:pPr>
        <w:ind w:left="420" w:right="2939" w:hanging="201"/>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notes cannot receive certificated (physical) notes in exchange for its beneficial interest in the global notes;</w:t>
      </w:r>
    </w:p>
    <w:p>
      <w:pPr>
        <w:spacing w:after="0" w:line="208" w:lineRule="exact"/>
        <w:rPr>
          <w:sz w:val="20"/>
          <w:szCs w:val="20"/>
          <w:color w:val="auto"/>
        </w:rPr>
      </w:pPr>
    </w:p>
    <w:p>
      <w:pPr>
        <w:ind w:left="420" w:right="2099" w:hanging="201"/>
        <w:spacing w:after="0" w:line="235"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notes will not be considered to be the owner or holder of the global note or any note it represents for any purpose; and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all payments on the global note will be made to DTC or its nominee.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laws of some jurisdictions require that some kinds of purchasers (for example, some insurance companies) can only own securities in definitive (certificated) form. These laws may limit the ability of a holder of notes to transfer its beneficial interests in the global note to these types of purchasers.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Only institutions (such as a securities broker or dealer) that have accounts with DTC or its nominee, which are referred to as participants, and persons that may hold beneficial interests through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210"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We will make cash payments of interest on and principal of and the redemption or repurchase price of the global note, as well as any payment of Liquidated Damages, to Cede, the nominee for DTC, as the registered owner of the global note. We will make these payments by wire transfer of immediately available funds on each payment date.</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have been informed that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w:t>
      </w:r>
    </w:p>
    <w:p>
      <w:pPr>
        <w:spacing w:after="0" w:line="211"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will send any redemption notices to Cede. We understand that if less than all the notes are being redeemed, DTC's practice is to determine by lot the amount of the holdings of each participant to be redeemed.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 w:name="page16"/>
    <w:bookmarkEnd w:id="15"/>
    <w:p>
      <w:pPr>
        <w:ind w:right="1879" w:firstLine="316"/>
        <w:spacing w:after="0" w:line="237" w:lineRule="auto"/>
        <w:rPr>
          <w:sz w:val="20"/>
          <w:szCs w:val="20"/>
          <w:color w:val="auto"/>
        </w:rPr>
      </w:pPr>
      <w:r>
        <w:rPr>
          <w:rFonts w:ascii="Courier New" w:cs="Courier New" w:eastAsia="Courier New" w:hAnsi="Courier New"/>
          <w:sz w:val="18"/>
          <w:szCs w:val="18"/>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DTC has advised us that it will take any action permitted to be taken by a holder of notes (including the presentation of notes for exchange) only at the direction of one or more participants to whose account DTC interests in the global note are credited and only in respect of the portion of the principal amount of the notes represented by the global note as to which the participant or participants has or have given the direction.</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DTC has also advised us as follows: DTC is a limited purpose trust company organized under the laws of the State of New York, a member of the Federal Reserve System,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other organizations. Some of these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w:t>
      </w:r>
    </w:p>
    <w:p>
      <w:pPr>
        <w:spacing w:after="0" w:line="208" w:lineRule="exact"/>
        <w:rPr>
          <w:sz w:val="20"/>
          <w:szCs w:val="20"/>
          <w:color w:val="auto"/>
        </w:rPr>
      </w:pPr>
    </w:p>
    <w:p>
      <w:pPr>
        <w:ind w:right="2199" w:firstLine="316"/>
        <w:spacing w:after="0" w:line="271" w:lineRule="auto"/>
        <w:rPr>
          <w:sz w:val="20"/>
          <w:szCs w:val="20"/>
          <w:color w:val="auto"/>
        </w:rPr>
      </w:pPr>
      <w:r>
        <w:rPr>
          <w:rFonts w:ascii="Courier New" w:cs="Courier New" w:eastAsia="Courier New" w:hAnsi="Courier New"/>
          <w:sz w:val="16"/>
          <w:szCs w:val="16"/>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holder of notes may, at its option, convert any portion of the principal amount of any note that is an integral multiple of $1,000 into shares of our common stock at any time on or prior to the close of business on the business day prior to the maturity date, unless the notes have been previously redeemed or repurchased, at a conversion rate of 7.7056 shares of common stock per $1,000 principal amount of notes. The conversion rate is equivalent to a conversion price of approximately $129.78. The right of a holder of notes to convert a note called for redemption or delivered for repurchase will terminate at the close of business on the business day prior to the redemption date or repurchase date for that note, unless we default in making the payment due upon redemption or repurchase.</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holder of notes may convert all or part of any note by delivering the note at the Corporate Trust Office of the Trustee in the Borough of Manhattan, The City of New York, accompanied by a duly signed and completed notice of conversion, a copy of which may be obtained by the Trustee. The conversion date will be the date on which the note and the duly signed and completed notice of conversion are so delivered.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right="1879" w:firstLine="316"/>
        <w:spacing w:after="0" w:line="271" w:lineRule="auto"/>
        <w:rPr>
          <w:sz w:val="20"/>
          <w:szCs w:val="20"/>
          <w:color w:val="auto"/>
        </w:rPr>
      </w:pPr>
      <w:r>
        <w:rPr>
          <w:rFonts w:ascii="Courier New" w:cs="Courier New" w:eastAsia="Courier New" w:hAnsi="Courier New"/>
          <w:sz w:val="16"/>
          <w:szCs w:val="16"/>
          <w:color w:val="auto"/>
        </w:rPr>
        <w:t>As promptly as practicable on or after the conversion date, we will issue and deliver to the Trustee a certificate or certificates for the number of full shares of our common stock issuable upon conversion, together with payment in lieu of any fraction of a share. The certificate will then be sent by the Trustee to the conversion agent for delivery to the holder. The shares of our common stock issuable upon conversion of the notes will be fully paid and nonassessable and will rank equally with the other shares of our common stock.</w:t>
      </w:r>
    </w:p>
    <w:p>
      <w:pPr>
        <w:spacing w:after="0" w:line="18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If a holder of notes surrenders a note for conversion on a date that is not an Interest Payment Date, the holder will not be entitled to receive any interest for the period from the next preceding Interest Payment Date to the conversion date, except as described below in this paragraph. Any note surrendered for conversion during the period from the close of business on any Regular Record Date to the opening of business on the next succeeding Interest Payment Date (except notes (or portions thereof) called for redemption on a redemption date for which the right to convert would terminate during that period) must be accompanied by payment of an amount equal to the interest payable on the Interest Payment Date on the principal amount of notes being surrendered for conversion. In the case of any note which has been converted after any Regular Record Date (as described below under "--Payment and Conversion") but before the next succeeding Interest Payment Date, interest payable on the Interest Payment Date shall be payable on the Interest Payment Date notwithstanding the conversion, and the interest shall be paid to the holder of the note on the Regular Record Date.</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No other payment or adjustment for interest, or for any dividends in respect of our common stock, will be made upon conversion. Holders of our common stock issued upon conversion will not be entitled to receive any dividends payable to holders of our common stock as of any record time or date before the close of business on the conversion date. We will not issue fractional shares upon conversion. Instead, we will pay cash based on the market price of our common stock at the close of business on the conversion date.</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holder of notes will not be required to pay any taxes or duties relating to the issue or delivery of our common stock on conversion but will be required to pay any tax or duty relating to any transfer involved in the issue or delivery of our common stock in a name other than that of the holder. Certificates representing shares of our common stock will not be issued or delivered unless all taxes and duties, if any, payable by the holder have been paid.</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conversion rate will be subject to adjustment for, among other things:</w:t>
      </w:r>
    </w:p>
    <w:p>
      <w:pPr>
        <w:spacing w:after="0" w:line="207" w:lineRule="exact"/>
        <w:rPr>
          <w:sz w:val="20"/>
          <w:szCs w:val="20"/>
          <w:color w:val="auto"/>
        </w:rPr>
      </w:pPr>
    </w:p>
    <w:p>
      <w:pPr>
        <w:ind w:left="420" w:right="2099" w:hanging="201"/>
        <w:spacing w:after="0" w:line="235"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other distributions) payable in our common stock on shares of our capital stock,</w:t>
      </w:r>
    </w:p>
    <w:p>
      <w:pPr>
        <w:spacing w:after="0" w:line="208" w:lineRule="exact"/>
        <w:rPr>
          <w:sz w:val="20"/>
          <w:szCs w:val="20"/>
          <w:color w:val="auto"/>
        </w:rPr>
      </w:pPr>
    </w:p>
    <w:p>
      <w:pPr>
        <w:ind w:left="420" w:right="2199" w:hanging="201"/>
        <w:spacing w:after="0" w:line="23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to all holders of our common stock of rights, options or warrants entitling them to subscribe for or purchase our common stock at less than the then Current Market Price of the common stock (determined as provided in the Indenture) as of the record date for shareholders entitled to receive those rights, options or warrants,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subdivisions, combinations and reclassifications of our common stock,</w:t>
      </w:r>
    </w:p>
    <w:p>
      <w:pPr>
        <w:spacing w:after="0" w:line="207" w:lineRule="exact"/>
        <w:rPr>
          <w:sz w:val="20"/>
          <w:szCs w:val="20"/>
          <w:color w:val="auto"/>
        </w:rPr>
      </w:pPr>
    </w:p>
    <w:p>
      <w:pPr>
        <w:ind w:left="420" w:right="2099" w:hanging="201"/>
        <w:spacing w:after="0" w:line="237"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to all holders of our common stock of evidences of indebtedness of Analog, shares of capital stock, cash or assets (including securities, but excluding those dividends, rights, options, warrants and distributions referred to above, dividends and distributions paid exclusively in cash and distributions upon mergers or consolidations),</w:t>
      </w:r>
    </w:p>
    <w:p>
      <w:pPr>
        <w:spacing w:after="0" w:line="210" w:lineRule="exact"/>
        <w:rPr>
          <w:sz w:val="20"/>
          <w:szCs w:val="20"/>
          <w:color w:val="auto"/>
        </w:rPr>
      </w:pPr>
    </w:p>
    <w:p>
      <w:pPr>
        <w:ind w:left="420" w:right="2099" w:hanging="201"/>
        <w:spacing w:after="0" w:line="236"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consisting exclusively of cash (excluding any cash portion of distributions referred to in the immediately preceding clause, or cash distributed upon a merger or consolidation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 w:name="page18"/>
    <w:bookmarkEnd w:id="17"/>
    <w:p>
      <w:pPr>
        <w:ind w:left="320" w:right="2099"/>
        <w:spacing w:after="0" w:line="271" w:lineRule="auto"/>
        <w:rPr>
          <w:sz w:val="20"/>
          <w:szCs w:val="20"/>
          <w:color w:val="auto"/>
        </w:rPr>
      </w:pPr>
      <w:r>
        <w:rPr>
          <w:rFonts w:ascii="Courier New" w:cs="Courier New" w:eastAsia="Courier New" w:hAnsi="Courier New"/>
          <w:sz w:val="16"/>
          <w:szCs w:val="16"/>
          <w:color w:val="auto"/>
        </w:rPr>
        <w:t>discussed below) to all holders of our common stock in an aggregate amount that, combined together with (1) other all-cash distributions made within the preceding 365-day period in respect of which no adjustment has been made and (2) any cash and the fair market value of other consideration payable in connection with any tender offer by us or any of our subsidiaries for our common stock concluded within the preceding 365-day period in respect of which no adjustment has been made, exceeds 12.5% of our market capitalization (being the product of the Current Market Price per share of the common stock on the record date for the distribution and the number of shares of common stock then outstanding), and</w:t>
      </w:r>
    </w:p>
    <w:p>
      <w:pPr>
        <w:spacing w:after="0" w:line="386" w:lineRule="exact"/>
        <w:rPr>
          <w:sz w:val="20"/>
          <w:szCs w:val="20"/>
          <w:color w:val="auto"/>
        </w:rPr>
      </w:pPr>
    </w:p>
    <w:p>
      <w:pPr>
        <w:ind w:left="420" w:right="2099" w:hanging="201"/>
        <w:spacing w:after="0" w:line="271"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successful completion of a tender offer made by us or any of our subsidiaries for our common stock which involves an aggregate consideration that, together with any cash and other consideration payable in a tender offer by us or any of our subsidiaries for our common stock expiring within the 365-day period preceding the expiration of the tender offer in respect of which no adjustment has been made, exceeds 15% of our market capitalization on the expiration of the tender offer.</w:t>
      </w:r>
    </w:p>
    <w:p>
      <w:pPr>
        <w:spacing w:after="0" w:line="18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We reserve the right to effect increases in the conversion rate in addition to those required by the foregoing provisions as we consider to be advisable in order that any event treated for United States federal income tax purposes as a dividend of stock or stock rights will not be taxable to the recipients. We will not be required to make any adjustment to the conversion rate until the cumulative adjustments amount to 1.0% or more of the conversion rate. We will compute all adjustments to the conversion rate and will give notice by mail to holders of the registered notes of any adjustments.</w:t>
      </w:r>
    </w:p>
    <w:p>
      <w:pPr>
        <w:spacing w:after="0" w:line="1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case of any consolidation or merger of Analog with or into another entity or any merger of another entity into Analog (other than a merger which does not result in any reclassification, conversion, exchange or cancellation of our common stock), or in case of any sale or transfer of all or substantially all of our assets, each note then outstanding will become convertible only into the kind and amount of securities, cash and other property receivable upon the consolidation, merger, sale or transfer by a holder of the number of shares of common stock into which the notes were convertible immediately prior to the consolidation or merger or sale or transfer.</w:t>
      </w:r>
    </w:p>
    <w:p>
      <w:pPr>
        <w:spacing w:after="0" w:line="215"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may increase the conversion rate for any period of at least 20 days, upon at least 15 days' notice, if our Board of Directors determines that the increase would be in our best interest. The Board of Directors' determination in this regard will be conclusive. We will give holders of notes at least 15 days' notice of such an increase in the conversion rate. Any increase, however, will not be taken into account for purposes of determining whether the closing price of our common stock exceeds the conversion price by 105% in connection with an event which otherwise would be a Change in Control as defined below.</w:t>
      </w:r>
    </w:p>
    <w:p>
      <w:pPr>
        <w:spacing w:after="0" w:line="214"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We may also increase the conversion rate for the remaining term of the notes or any shorter period in order to avoid or diminish any income tax to any holders of shares of common stock resulting from any dividend or distribution of stock or issuance of rights or warrants to purchase or subscribe for stock or from any event treated as such for income tax purposes. If at any time we make a distribution of property to our stockholders that would be taxable to stockholders as a dividend for United States federal income tax purposes, such as distributions of evidences of indebtedness or assets of Analog, but generally not stock dividends on common stock or rights to subscribe for common stock, and, pursuant to the adjustment provisions of the Indenture, the number of shares into which notes are convertible is increased, that increase may be deemed for United States federal income tax purposes to be the payment of a taxable dividend to holders of notes. See "Material United States Federal Income Tax Consequences--U.S. Holders".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notes are subordinated and, as a result, the payment of the principal, any premium and interest (including Liquidated Damages) on the notes, including amounts payable on any redemption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rPr>
        <w:t>or repurchase, will be subordinated to the prior payment in full, in cash or other payment satisfactory to holders of Senior Debt, of all of our Senior Debt. The notes are also effectively subordinated to any debt or other liabilities of our subsidiaries. On July 29, 2000 we had approximately $5 million outstanding Senior Debt and the aggregate amount of liabilities of our subsidiaries was approximately $385 million, excluding intercompany liabilities.</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"Senior Debt" is defined in the Indenture to mean: the principal of (and premium, if any) and interest (including all interest accruing subsequent to the commencement of any bankruptcy or similar proceeding, whether or not a claim for post-petition interest is allowable as a claim in any such proceeding) on, and all fees and other amounts payable in connection with, the following, whether absolute or contingent, secured or unsecured, due or to become due, outstanding on the date of the Indenture or thereafter created, incurred or assumed:</w:t>
      </w:r>
    </w:p>
    <w:p>
      <w:pPr>
        <w:spacing w:after="0" w:line="212" w:lineRule="exact"/>
        <w:rPr>
          <w:sz w:val="20"/>
          <w:szCs w:val="20"/>
          <w:color w:val="auto"/>
        </w:rPr>
      </w:pPr>
    </w:p>
    <w:p>
      <w:pPr>
        <w:ind w:left="420" w:right="2519" w:hanging="201"/>
        <w:spacing w:after="0" w:line="235"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indebtedness evidenced by a credit or loan agreement, note, bond, debenture or other written obligation,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all of our obligations for money borrowed,</w:t>
      </w:r>
    </w:p>
    <w:p>
      <w:pPr>
        <w:spacing w:after="0" w:line="207" w:lineRule="exact"/>
        <w:rPr>
          <w:sz w:val="20"/>
          <w:szCs w:val="20"/>
          <w:color w:val="auto"/>
        </w:rPr>
      </w:pPr>
    </w:p>
    <w:p>
      <w:pPr>
        <w:ind w:left="420" w:right="2099" w:hanging="201"/>
        <w:spacing w:after="0" w:line="236"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obligations evidenced by a note or similar instrument given in connection with the acquisition of any businesses, properties or assets of any kind,</w:t>
      </w:r>
    </w:p>
    <w:p>
      <w:pPr>
        <w:spacing w:after="0" w:line="209" w:lineRule="exact"/>
        <w:rPr>
          <w:sz w:val="20"/>
          <w:szCs w:val="20"/>
          <w:color w:val="auto"/>
        </w:rPr>
      </w:pPr>
    </w:p>
    <w:p>
      <w:pPr>
        <w:ind w:left="420" w:right="2199" w:hanging="201"/>
        <w:spacing w:after="0" w:line="237"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obligations (1) as lessee under leases required to be capitalized on the balance sheet of the lessee under generally accepted accounting principles or (2) as lessee under other leases for facilities, capital equipment or related assets, whether or not capitalized, entered into or leased for financing purposes,</w:t>
      </w:r>
    </w:p>
    <w:p>
      <w:pPr>
        <w:spacing w:after="0" w:line="209" w:lineRule="exact"/>
        <w:rPr>
          <w:sz w:val="20"/>
          <w:szCs w:val="20"/>
          <w:color w:val="auto"/>
        </w:rPr>
      </w:pPr>
    </w:p>
    <w:p>
      <w:pPr>
        <w:ind w:left="420" w:right="2619" w:hanging="201"/>
        <w:spacing w:after="0" w:line="236" w:lineRule="auto"/>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obligations under interest rate and currency swaps, caps, floors, collars, hedge agreements, forward contracts or similar agreements or arrangements,</w:t>
      </w:r>
    </w:p>
    <w:p>
      <w:pPr>
        <w:spacing w:after="0" w:line="209" w:lineRule="exact"/>
        <w:rPr>
          <w:sz w:val="20"/>
          <w:szCs w:val="20"/>
          <w:color w:val="auto"/>
        </w:rPr>
      </w:pPr>
    </w:p>
    <w:p>
      <w:pPr>
        <w:ind w:left="420" w:right="2319" w:hanging="201"/>
        <w:spacing w:after="0" w:line="236"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obligations with respect to letters of credit, bankers' acceptances and similar facilities (including reimbursement obligations with respect to the foregoing),</w:t>
      </w:r>
    </w:p>
    <w:p>
      <w:pPr>
        <w:spacing w:after="0" w:line="209" w:lineRule="exact"/>
        <w:rPr>
          <w:sz w:val="20"/>
          <w:szCs w:val="20"/>
          <w:color w:val="auto"/>
        </w:rPr>
      </w:pPr>
    </w:p>
    <w:p>
      <w:pPr>
        <w:ind w:left="420" w:right="2099" w:hanging="201"/>
        <w:spacing w:after="0" w:line="236"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209" w:lineRule="exact"/>
        <w:rPr>
          <w:sz w:val="20"/>
          <w:szCs w:val="20"/>
          <w:color w:val="auto"/>
        </w:rPr>
      </w:pPr>
    </w:p>
    <w:p>
      <w:pPr>
        <w:ind w:left="420" w:right="2319" w:hanging="201"/>
        <w:spacing w:after="0" w:line="237" w:lineRule="auto"/>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the type referred to in the above clauses of another person and all dividends of another person, the payment of which, in either case, we have assumed or guaranteed, or for which we are responsible or liable, directly or indirectly, jointly or severally, as obligor, guarantor or otherwise, or which are secured by a lien on our property, and</w:t>
      </w:r>
    </w:p>
    <w:p>
      <w:pPr>
        <w:spacing w:after="0" w:line="210" w:lineRule="exact"/>
        <w:rPr>
          <w:sz w:val="20"/>
          <w:szCs w:val="20"/>
          <w:color w:val="auto"/>
        </w:rPr>
      </w:pPr>
    </w:p>
    <w:p>
      <w:pPr>
        <w:ind w:left="420" w:right="2199" w:hanging="201"/>
        <w:spacing w:after="0" w:line="237"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renewals, extensions, modifications, replacements, restatements and refundings of, or any indebtedness or obligation issued in exchange for, any indebtedness or obligation described in the above clauses of this definition.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Senior Debt will not include the notes or any other indebtedness or obligation if its terms or the terms of the instrument under which or pursuant to which it is issued expressly provide that it is not superior in right of payment to the notes.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We may not make any payment on account of principal, premium or interest (including Liquidated Damages, if any) on the notes, or redemption or repurchase of the notes, if either of the following occurs:</w:t>
      </w:r>
    </w:p>
    <w:p>
      <w:pPr>
        <w:spacing w:after="0" w:line="209" w:lineRule="exact"/>
        <w:rPr>
          <w:sz w:val="20"/>
          <w:szCs w:val="20"/>
          <w:color w:val="auto"/>
        </w:rPr>
      </w:pPr>
    </w:p>
    <w:p>
      <w:pPr>
        <w:ind w:left="420" w:right="2099" w:hanging="201"/>
        <w:spacing w:after="0" w:line="237" w:lineRule="auto"/>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default on our obligations to pay principal, premium, interest or other amounts on our Senior Debt, including a default under any redemption or repurchase obligation, and the default continues beyond any grace period that we may have to make those payments; 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left="420" w:right="2099" w:hanging="201"/>
        <w:spacing w:after="0" w:line="237" w:lineRule="auto"/>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default occurs and is continuing on any Designated Senior Debt (as described below) and (1) the default permits the holders of the Designated Senior Debt to accelerate its maturity and (2) the Trustee has received a notice, which is referred to as a Payment Blockage Notice, of the default from Analog, the holder of the debt or any other person permitted to give this notice under the Indenture.</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payments on the notes have been blocked by a payment default on Senior Debt, payments on the notes may resume when the payment default has been cured or waived or ceases to exist. If payments on the notes have been blocked by a nonpayment default, payments on the notes may resume on the earlier of (1) the date the nonpayment default is cured or waived or ceases to exist or (2) 179 days after the Payment Blockage Notice is received.</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No nonpayment default that existed on the day a Payment Blockage Notice was delivered to the Trustee can be used as the basis for any subsequent Payment Blockage Notice. In addition, once a holder of Designated Senior Debt has blocked payment on the notes by giving a Payment Blockage Notice, no new period of payment blockage can be commenced pursuant to a subsequent Payment Blockage Notice until both of the following are satisfied:</w:t>
      </w:r>
    </w:p>
    <w:p>
      <w:pPr>
        <w:spacing w:after="0" w:line="210" w:lineRule="exact"/>
        <w:rPr>
          <w:sz w:val="20"/>
          <w:szCs w:val="20"/>
          <w:color w:val="auto"/>
        </w:rPr>
      </w:pPr>
    </w:p>
    <w:p>
      <w:pPr>
        <w:ind w:left="420" w:right="2419" w:hanging="201"/>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365 days have elapsed since the effectiveness of the immediately prior Payment Blockage Notice; and</w:t>
      </w:r>
    </w:p>
    <w:p>
      <w:pPr>
        <w:spacing w:after="0" w:line="208" w:lineRule="exact"/>
        <w:rPr>
          <w:sz w:val="20"/>
          <w:szCs w:val="20"/>
          <w:color w:val="auto"/>
        </w:rPr>
      </w:pPr>
    </w:p>
    <w:p>
      <w:pPr>
        <w:ind w:left="420" w:right="2319" w:hanging="201"/>
        <w:spacing w:after="0" w:line="290" w:lineRule="auto"/>
        <w:tabs>
          <w:tab w:leader="none" w:pos="4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scheduled payments of principal, any premium and interest with respect to the notes that have come due have been paid in full in cash.</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"Designated Senior Debt" means our obligations under any particular Senior Debt in which the instrument creating or evidencing the same or the assumption or guarantee thereof (or related agreements or documents to which we are a party), whether or not executed contemporaneously with the incurrence of that Senior Debt, expressly provides that the indebtedness shall be "Designated Senior Debt" for purposes of the Indenture. The instrument, agreement or other document evidencing any Designated Senior Debt may place limitations and conditions on the right of that Senior Debt to exercise the rights of Designated Senior Debt.</w:t>
      </w:r>
    </w:p>
    <w:p>
      <w:pPr>
        <w:spacing w:after="0" w:line="214"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addition, upon any acceleration of the principal due on the notes as a result of an Event of Default or upon any payment or distribution of our assets to creditors upon any dissolution, winding up, liquidation or reorganization, whether voluntary or involuntary, marshaling of assets, assignment for the benefit of creditors, or in bankruptcy, insolvency, receivership or other similar proceedings, all principal, premium, if any, interest and other amounts due on all Senior Debt must be paid in full before a holder of notes is entitled to receive any payment. By reason of this subordination, in the event of insolvency, our creditors who are holders of Senior Debt are likely to recover more, ratably, than a holder of notes is, and a holder of notes will likely experience a reduction or elimination of payments on the notes.</w:t>
      </w:r>
    </w:p>
    <w:p>
      <w:pPr>
        <w:spacing w:after="0" w:line="39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notes are "structurally subordinated" to all indebtedness and other liabilities, including trade payables and lease obligations, of our subsidiaries. This occurs because any right of Analog to receive any assets of any of our subsidiaries upon the subsidiary's liquidation or reorganization, and the right of the holders of the notes to participate in those assets, will be effectively subordinated to the claims of that subsidiary's creditors, including trade creditors, except to the extent that Analog itself is recognized as a creditor of that subsidiary, in which case the claims of Analog would still be subordinate to any security interest in the assets of the subsidiary and any indebtedness of the subsidiary senior to that held by Analog.</w:t>
      </w:r>
    </w:p>
    <w:p>
      <w:pPr>
        <w:spacing w:after="0" w:line="216"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The Indenture does not limit our ability to incur Senior Debt or our ability or the ability of our subsidiaries to incur any other indebtedness.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Optional Redemption by Analog</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On or after October 1, 2003 we may redeem the notes, in whole or in part, at the prices set forth below. If we elect to redeem all or part of the notes, we will give at least 30 but no more than 60 days notice to the holders of notes.</w:t>
      </w:r>
    </w:p>
    <w:p>
      <w:pPr>
        <w:spacing w:after="0" w:line="178"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The redemption price, expressed as a percentage of principal amount, is as follows for the 12-month periods beginning on October 1 of the following years:</w:t>
      </w:r>
    </w:p>
    <w:p>
      <w:pPr>
        <w:spacing w:after="0" w:line="200" w:lineRule="exact"/>
        <w:rPr>
          <w:sz w:val="20"/>
          <w:szCs w:val="20"/>
          <w:color w:val="auto"/>
        </w:rPr>
      </w:pP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00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Redemption</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00" w:type="dxa"/>
            <w:vAlign w:val="bottom"/>
          </w:tcPr>
          <w:p>
            <w:pPr>
              <w:spacing w:after="0"/>
              <w:rPr>
                <w:sz w:val="20"/>
                <w:szCs w:val="20"/>
                <w:color w:val="auto"/>
              </w:rPr>
            </w:pPr>
            <w:r>
              <w:rPr>
                <w:rFonts w:ascii="Courier New" w:cs="Courier New" w:eastAsia="Courier New" w:hAnsi="Courier New"/>
                <w:sz w:val="18"/>
                <w:szCs w:val="18"/>
                <w:color w:val="auto"/>
                <w:w w:val="97"/>
              </w:rPr>
              <w:t>2003..............................................................</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101.90%</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2004..............................................................</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100.95%</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and thereafter is equal to 100% of the principal amount, in each case together with accrued interest to the date of redemption.</w:t>
      </w:r>
    </w:p>
    <w:p>
      <w:pPr>
        <w:spacing w:after="0" w:line="208"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No sinking fund is provided for the notes, which means that the Indenture does not require us to redeem or retire the notes periodically.</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may, to the extent permitted by applicable law, at any time purchase notes in the open market, by tender at any price or by private agreement. Any note that we purchase may, to the extent permitted by applicable law and subject to restrictions contained in the purchase agreement with the initial purchasers, be re-issued or resold or may, at our option, be surrendered to the Trustee for cancellation. Any notes surrendered for cancellation may not be re-issued or resold and will be canceled promptly.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and Conversion</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We will make all payments of principal and interest on registered notes by U.S. dollar check drawn on an account maintained at a bank in The City of New York. If a holder of notes holds registered notes with a face value greater than $2,000,000, at the request of the holder we will make payments of principal or interest to the holder by wire transfer to an account maintained by the holder at a bank in The City of New York. Payment of any interest on the notes will be made to the person in whose name the note, or any predecessor note, is registered at the close of business on the March 15 or the September</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15 (whether or not a business day) immediately preceding the relevant Interest Payment Date, referred to as a Regular Record Date. If a holder of notes holds registered notes with a face value in excess of $2,000,000 and the holder would like to receive payments by wire transfer, the holder will be required to provide the Trustee with wire transfer instructions at least 15 days prior to the relevant payment date.</w:t>
      </w:r>
    </w:p>
    <w:p>
      <w:pPr>
        <w:spacing w:after="0" w:line="210"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 (1) 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2" w:lineRule="exact"/>
        <w:rPr>
          <w:sz w:val="20"/>
          <w:szCs w:val="20"/>
          <w:color w:val="auto"/>
        </w:rPr>
      </w:pPr>
    </w:p>
    <w:p>
      <w:pPr>
        <w:ind w:right="1879" w:firstLine="8"/>
        <w:spacing w:after="0" w:line="235" w:lineRule="auto"/>
        <w:tabs>
          <w:tab w:leader="none" w:pos="4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matter relating to the actions and practices of DTC or any of its participants or indirect participants.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1" w:name="page22"/>
    <w:bookmarkEnd w:id="21"/>
    <w:p>
      <w:pPr>
        <w:ind w:right="1879" w:firstLine="316"/>
        <w:spacing w:after="0" w:line="237" w:lineRule="auto"/>
        <w:rPr>
          <w:sz w:val="20"/>
          <w:szCs w:val="20"/>
          <w:color w:val="auto"/>
        </w:rPr>
      </w:pPr>
      <w:r>
        <w:rPr>
          <w:rFonts w:ascii="Courier New" w:cs="Courier New" w:eastAsia="Courier New" w:hAnsi="Courier New"/>
          <w:sz w:val="18"/>
          <w:szCs w:val="18"/>
          <w:color w:val="auto"/>
        </w:rPr>
        <w:t>We will not be required to make any payment on the notes due on any day which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Notes may be surrendered for conversion at the Corporate Trust Office of the Trustee in the Borough of Manhattan, The City of New York. Notes surrendered for conversion must be accompanied by appropriate notices and any payments in respect of interest or taxes, as applicable, as described above under "-- Conversion Rights".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initially appointed the Trustee as paying agent and conversion agent. We may terminate the appointment of any paying agent or conversion agent and appoint additional or other paying agents and conversion agents. However, until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The City of New York for surrender of notes for conversion. Notice of any termination or appointment and of any change in the office through which any paying agent or conversion agent will act will be given in accordance with "--Notices" below.</w:t>
      </w:r>
    </w:p>
    <w:p>
      <w:pPr>
        <w:spacing w:after="0" w:line="21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All moneys deposited with the Trustee or any paying agent, or then held by us, in trust for the payment of principal of, premium, if any, or interest on any notes which remain unclaimed at the end of two years after the payment has become due and payable will be repaid to us, and a holder of notes will then look only to us for payment.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in Control</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 Change in Control as defined below occurs, a holder of notes will have the right, at its option, to require us to repurchase all of its notes not previously called for redemption, or any portion of the principal amount thereof, that is equal to $1,000 or an integral multiple of $1,000. The price we are required to pay is 100% of the principal amount of the notes to be repurchased, together with interest accrued to, but excluding, the repurchase date.</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the repurchase price in our common stock valued at 95% of the average of the closing prices of our common stock for the five trading days immediately preceding and including the fifth trading day prior to the repurchase date. We may only pay the repurchase price in our common stock if we satisfy conditions provided in the Indenture.</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Within 30 days after the occurrence of a Change in Control, we are obligated to give to the holders of notes notice of the Change in Control and of the repurchase right arising as a result of the Change in Control. We must also deliver a copy of this notice to the Trustee. To exercise the repurchase right, a holder of notes must deliver on or before the 30th day after the date of our notice irrevocable written notice to the Trustee of the holder's exercise of its repurchase right, together with the notes with respect to which the right is being exercised. We are required to repurchase the notes on the date that is 45 days after the date of our notice.</w:t>
      </w:r>
    </w:p>
    <w:p>
      <w:pPr>
        <w:spacing w:after="0" w:line="214"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A Change in Control will be deemed to have occurred at the time after the notes are originally issued that any of the following occurs:</w:t>
      </w:r>
    </w:p>
    <w:p>
      <w:pPr>
        <w:spacing w:after="0" w:line="208" w:lineRule="exact"/>
        <w:rPr>
          <w:sz w:val="20"/>
          <w:szCs w:val="20"/>
          <w:color w:val="auto"/>
        </w:rPr>
      </w:pPr>
    </w:p>
    <w:p>
      <w:pPr>
        <w:ind w:left="220" w:right="2099" w:firstLine="315"/>
        <w:spacing w:after="0" w:line="237" w:lineRule="auto"/>
        <w:tabs>
          <w:tab w:leader="none" w:pos="95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including any syndicate or group deemed to be a "person" under Section 13(d)(3) of the Exchange Act, acquires beneficial ownership, directly or indirectly, through a purchase, merger or other acquisition transaction or series of transactions, of shares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left="220" w:right="2199"/>
        <w:spacing w:after="0" w:line="237" w:lineRule="auto"/>
        <w:rPr>
          <w:sz w:val="20"/>
          <w:szCs w:val="20"/>
          <w:color w:val="auto"/>
        </w:rPr>
      </w:pPr>
      <w:r>
        <w:rPr>
          <w:rFonts w:ascii="Courier New" w:cs="Courier New" w:eastAsia="Courier New" w:hAnsi="Courier New"/>
          <w:sz w:val="18"/>
          <w:szCs w:val="18"/>
          <w:color w:val="auto"/>
        </w:rPr>
        <w:t>of our capital stock entitling the person to exercise 50% or more of the total voting power of all shares of our capital stock that is entitled to vote generally in elections of directors, other than an acquisition by us, any of our subsidiaries or any of our employee benefit plans; or</w:t>
      </w:r>
    </w:p>
    <w:p>
      <w:pPr>
        <w:spacing w:after="0" w:line="207" w:lineRule="exact"/>
        <w:rPr>
          <w:sz w:val="20"/>
          <w:szCs w:val="20"/>
          <w:color w:val="auto"/>
        </w:rPr>
      </w:pPr>
    </w:p>
    <w:p>
      <w:pPr>
        <w:ind w:left="220" w:right="2099" w:firstLine="315"/>
        <w:spacing w:after="0" w:line="237" w:lineRule="auto"/>
        <w:tabs>
          <w:tab w:leader="none" w:pos="95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merge or consolidate with or into any other person, any merger of another person into us, or we convey, sell, transfer or lease all or substantially all of our assets to another person, other than any transaction:</w:t>
      </w:r>
    </w:p>
    <w:p>
      <w:pPr>
        <w:spacing w:after="0" w:line="207" w:lineRule="exact"/>
        <w:rPr>
          <w:sz w:val="20"/>
          <w:szCs w:val="20"/>
          <w:color w:val="auto"/>
        </w:rPr>
      </w:pPr>
    </w:p>
    <w:p>
      <w:pPr>
        <w:ind w:left="420" w:right="2519" w:hanging="201"/>
        <w:spacing w:after="0" w:line="235"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does not result in any reclassification, conversion, exchange or cancellation of outstanding shares of our capital stock, or</w:t>
      </w:r>
    </w:p>
    <w:p>
      <w:pPr>
        <w:spacing w:after="0" w:line="208" w:lineRule="exact"/>
        <w:rPr>
          <w:sz w:val="20"/>
          <w:szCs w:val="20"/>
          <w:color w:val="auto"/>
        </w:rPr>
      </w:pPr>
    </w:p>
    <w:p>
      <w:pPr>
        <w:ind w:left="420" w:right="2099" w:hanging="201"/>
        <w:spacing w:after="0" w:line="273" w:lineRule="auto"/>
        <w:tabs>
          <w:tab w:leader="none" w:pos="4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which the holders of our common stock immediately prior to the transaction have the entitlement to exercise, directly or indirectly, 50% or more of the total voting power of all shares of capital stock entitled to vote generally in the election of directors of the continuing or surviving corporation immediately after the transaction, or</w:t>
      </w:r>
    </w:p>
    <w:p>
      <w:pPr>
        <w:spacing w:after="0" w:line="185" w:lineRule="exact"/>
        <w:rPr>
          <w:sz w:val="20"/>
          <w:szCs w:val="20"/>
          <w:color w:val="auto"/>
        </w:rPr>
      </w:pPr>
    </w:p>
    <w:p>
      <w:pPr>
        <w:ind w:left="420" w:right="2199" w:hanging="201"/>
        <w:spacing w:after="0" w:line="237"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effected solely to change our jurisdiction of incorporation and results in a reclassification, conversion or exchange of outstanding shares of our common stock solely into shares of common stock of the surviving entity.</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However, a Change in Control will not be deemed to have occurred if either</w:t>
      </w:r>
    </w:p>
    <w:p>
      <w:pPr>
        <w:spacing w:after="0" w:line="21" w:lineRule="exact"/>
        <w:rPr>
          <w:sz w:val="20"/>
          <w:szCs w:val="20"/>
          <w:color w:val="auto"/>
        </w:rPr>
      </w:pPr>
    </w:p>
    <w:p>
      <w:pPr>
        <w:ind w:right="1999" w:firstLine="8"/>
        <w:spacing w:after="0" w:line="238"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per share of our common stock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Change in Control relating to a merger, consolidation or asset sale, equals or exceeds 105% of the conversion price of the notes in effect on each of those trading days or (B) all of the consideration (excluding cash payments for fractional shares and cash payments made pursuant to dissenters' appraisal rights) in a merger or consolidation otherwise constituting a Change in Control under clause (1) and/or clause (2) above consists of shares of common stock traded on a national securities exchange or quoted on the Nasdaq National Market (or will be so traded or quoted immediately following the merger or consolidation) and as a result of the merger or consolidation the notes become convertible into such common stock.</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 purposes of these provisions:</w:t>
      </w:r>
    </w:p>
    <w:p>
      <w:pPr>
        <w:spacing w:after="0" w:line="201" w:lineRule="exact"/>
        <w:rPr>
          <w:sz w:val="20"/>
          <w:szCs w:val="20"/>
          <w:color w:val="auto"/>
        </w:rPr>
      </w:pPr>
    </w:p>
    <w:p>
      <w:pPr>
        <w:ind w:left="540" w:hanging="321"/>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is equal to $1,000 divided by the conversion rate;</w:t>
      </w:r>
    </w:p>
    <w:p>
      <w:pPr>
        <w:spacing w:after="0" w:line="207" w:lineRule="exact"/>
        <w:rPr>
          <w:sz w:val="20"/>
          <w:szCs w:val="20"/>
          <w:color w:val="auto"/>
        </w:rPr>
      </w:pPr>
    </w:p>
    <w:p>
      <w:pPr>
        <w:ind w:left="540" w:right="3159" w:hanging="321"/>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 person is a "beneficial owner" will be determined in accordance with Rule 13d-3 under the Exchange Act; and</w:t>
      </w:r>
    </w:p>
    <w:p>
      <w:pPr>
        <w:spacing w:after="0" w:line="208" w:lineRule="exact"/>
        <w:rPr>
          <w:sz w:val="20"/>
          <w:szCs w:val="20"/>
          <w:color w:val="auto"/>
        </w:rPr>
      </w:pPr>
    </w:p>
    <w:p>
      <w:pPr>
        <w:ind w:left="540" w:right="2419" w:hanging="321"/>
        <w:spacing w:after="0" w:line="235"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includes any syndicate or group that would be deemed to be a "person" under Section 13(d)(3) of the Exchange Act.</w:t>
      </w:r>
    </w:p>
    <w:p>
      <w:pPr>
        <w:spacing w:after="0" w:line="208"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Rule 13e-4 under the Exchange Act requires the dissemination of prescribed information to security holders in the event of an issuer tender offer and may apply in the event that the repurchase option becomes available to the holders of notes. We will comply with this rule to the extent it applies at that time.</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definition of Change in Control includes a phrase relating to the conveyance, transfer, sale, lease or disposition of "all or substantially all" of our assets. There is no precise, established definition of the phrase "substantially all" under applicable law. Accordingly, the ability of a holder of notes to require us to repurchase its notes as a result of the conveyance, transfer, sale, lease or other disposition of less than all of our assets may be uncertain.</w:t>
      </w:r>
    </w:p>
    <w:p>
      <w:pPr>
        <w:spacing w:after="0" w:line="211"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foregoing provisions would not necessarily provide the holders of notes with protection if we are involved in a highly leveraged or other transaction that may adversely affect the 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23" w:name="page24"/>
    <w:bookmarkEnd w:id="23"/>
    <w:p>
      <w:pPr>
        <w:ind w:right="1879" w:firstLine="316"/>
        <w:spacing w:after="0" w:line="269" w:lineRule="auto"/>
        <w:rPr>
          <w:sz w:val="20"/>
          <w:szCs w:val="20"/>
          <w:color w:val="auto"/>
        </w:rPr>
      </w:pPr>
      <w:r>
        <w:rPr>
          <w:rFonts w:ascii="Courier New" w:cs="Courier New" w:eastAsia="Courier New" w:hAnsi="Courier New"/>
          <w:sz w:val="16"/>
          <w:szCs w:val="16"/>
          <w:color w:val="auto"/>
        </w:rPr>
        <w:t>Our ability to repurchase notes upon the occurrence of a Change in Control is subject to important limitations. Some of the events constituting a Change in Control could result in an event of default under our Senior Debt. Moreover, a Change in Control could cause an event of default under, or be prohibited or limited by, the terms of our Senior Debt. As a result, unless we were to obtain a waiver, a repurchase of the notes in cash could be prohibited under the subordination provisions of the Indenture until the Senior Debt is paid in full. Although we have the right to repurchase the notes with our common stock, subject to certain conditions, we cannot assure the holders of notes that we would have the financial resources, or would be able to arrange financing, to pay the repurchase price in cash for all the notes that might be delivered by holders of notes seeking to exercise the repurchase right. If we were to fail to repurchase the notes when required following a Change in Control, an Event of Default under the Indenture would occur, whether or not the repurchase is permitted by the subordination provisions of the Indenture. Any such default may, in turn, cause a default under our Senior Debt. See "--Subordination".</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Mergers and Sales of Assets</w:t>
      </w:r>
    </w:p>
    <w:p>
      <w:pPr>
        <w:spacing w:after="0" w:line="207"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We may not (1) consolidate with or merge into any other person or convey, transfer, sell or lease our properties and assets substantially as an entirety to any person, (2) permit any person to consolidate with or merge into us or</w:t>
      </w:r>
    </w:p>
    <w:p>
      <w:pPr>
        <w:spacing w:after="0" w:line="1" w:lineRule="exact"/>
        <w:rPr>
          <w:sz w:val="20"/>
          <w:szCs w:val="20"/>
          <w:color w:val="auto"/>
        </w:rPr>
      </w:pPr>
    </w:p>
    <w:p>
      <w:pPr>
        <w:ind w:right="2839" w:firstLine="8"/>
        <w:spacing w:after="0" w:line="290"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any person to convey, transfer, sell or lease that person's properties and assets substantially as an entirety to us unless:</w:t>
      </w:r>
    </w:p>
    <w:p>
      <w:pPr>
        <w:spacing w:after="0" w:line="170" w:lineRule="exact"/>
        <w:rPr>
          <w:sz w:val="20"/>
          <w:szCs w:val="20"/>
          <w:color w:val="auto"/>
        </w:rPr>
      </w:pPr>
    </w:p>
    <w:p>
      <w:pPr>
        <w:ind w:left="420" w:right="2199" w:hanging="201"/>
        <w:spacing w:after="0" w:line="237"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(1) and (2) above, the person formed by the consolidation or into which we are merged or the person to which our properties and assets are so conveyed, transferred, sold or leased, shall be a corporation, limited liability company, partnership or trust organized and existing under the laws of the United States, any State within the United States or the District of Columbia and, if we are not the surviving person, the surviving person assumes the payment of the principal of, premium, if any, and interest on the notes and the performance of our other covenants under the Indenture, and</w:t>
      </w:r>
    </w:p>
    <w:p>
      <w:pPr>
        <w:spacing w:after="0" w:line="214" w:lineRule="exact"/>
        <w:rPr>
          <w:sz w:val="20"/>
          <w:szCs w:val="20"/>
          <w:color w:val="auto"/>
        </w:rPr>
      </w:pPr>
    </w:p>
    <w:p>
      <w:pPr>
        <w:ind w:left="420" w:right="2519" w:hanging="201"/>
        <w:spacing w:after="0" w:line="237"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cases, immediately after giving effect to the transaction, no Event of Default, and no event that, after notice or lapse of time or both, would become an Event of Default, will have occurred and be continuing.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will be Events of Default under the Indenture:</w:t>
      </w:r>
    </w:p>
    <w:p>
      <w:pPr>
        <w:spacing w:after="0" w:line="207" w:lineRule="exact"/>
        <w:rPr>
          <w:sz w:val="20"/>
          <w:szCs w:val="20"/>
          <w:color w:val="auto"/>
        </w:rPr>
      </w:pPr>
    </w:p>
    <w:p>
      <w:pPr>
        <w:ind w:left="420" w:right="2519" w:hanging="201"/>
        <w:spacing w:after="0" w:line="236"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of or premium, if any, on any note when due, whether or not prohibited by the subordination provisions of the Indenture;</w:t>
      </w:r>
    </w:p>
    <w:p>
      <w:pPr>
        <w:spacing w:after="0" w:line="209" w:lineRule="exact"/>
        <w:rPr>
          <w:sz w:val="20"/>
          <w:szCs w:val="20"/>
          <w:color w:val="auto"/>
        </w:rPr>
      </w:pPr>
    </w:p>
    <w:p>
      <w:pPr>
        <w:ind w:left="420" w:right="2519" w:hanging="201"/>
        <w:spacing w:after="0" w:line="236" w:lineRule="auto"/>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including any Liquidated Damages, on any note when due, which failure continues for 30 days, whether or not prohibited by the subordination provisions of the Indenture;</w:t>
      </w:r>
    </w:p>
    <w:p>
      <w:pPr>
        <w:spacing w:after="0" w:line="209" w:lineRule="exact"/>
        <w:rPr>
          <w:sz w:val="20"/>
          <w:szCs w:val="20"/>
          <w:color w:val="auto"/>
        </w:rPr>
      </w:pPr>
    </w:p>
    <w:p>
      <w:pPr>
        <w:ind w:left="420" w:right="2419" w:hanging="201"/>
        <w:spacing w:after="0" w:line="290" w:lineRule="auto"/>
        <w:tabs>
          <w:tab w:leader="none" w:pos="4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provide notice of a Change in Control, whether or not the notice is prohibited by the subordination provisions of the Indenture;</w:t>
      </w:r>
    </w:p>
    <w:p>
      <w:pPr>
        <w:spacing w:after="0" w:line="170" w:lineRule="exact"/>
        <w:rPr>
          <w:sz w:val="20"/>
          <w:szCs w:val="20"/>
          <w:color w:val="auto"/>
        </w:rPr>
      </w:pPr>
    </w:p>
    <w:p>
      <w:pPr>
        <w:ind w:left="420" w:right="2199" w:hanging="201"/>
        <w:spacing w:after="0" w:line="290" w:lineRule="auto"/>
        <w:tabs>
          <w:tab w:leader="none" w:pos="4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perform any other covenant in the Indenture, which failure continues for 60 days after written notice as provided in the Indenture;</w:t>
      </w:r>
    </w:p>
    <w:p>
      <w:pPr>
        <w:spacing w:after="0" w:line="170" w:lineRule="exact"/>
        <w:rPr>
          <w:sz w:val="20"/>
          <w:szCs w:val="20"/>
          <w:color w:val="auto"/>
        </w:rPr>
      </w:pPr>
    </w:p>
    <w:p>
      <w:pPr>
        <w:ind w:left="420" w:right="2099" w:hanging="201"/>
        <w:spacing w:after="0" w:line="237" w:lineRule="auto"/>
        <w:tabs>
          <w:tab w:leader="none" w:pos="4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under any bonds, debentures, notes or other evidences of indebtedness for money borrowed (or any guarantee thereof) by us or any of our significant subsidiaries in an aggregate principal amount in excess of $45,000,000 is not paid when due either at its stated maturity or upon acceleration thereof, and the indebtedness is not discharged, or the acceleration is not rescinded or annulled, within a period of 30 days after notice as provided in the Indenture;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4" w:name="page25"/>
    <w:bookmarkEnd w:id="24"/>
    <w:p>
      <w:pPr>
        <w:ind w:left="420" w:right="2319" w:hanging="201"/>
        <w:spacing w:after="0" w:line="235"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bankruptcy, insolvency or reorganization involving us or any of our significant subsidiaries.</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holder, unless the holder shall have offered reasonable indemnity to the Trustee. Subject to providing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w:t>
      </w:r>
    </w:p>
    <w:p>
      <w:pPr>
        <w:spacing w:after="0" w:line="3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If an Event of Default other than an Event of Default arising from events of insolvency, bankruptcy or reorganization with respect to Analog occurs and is continuing, either the Trustee or the holders of at least 25% in principal amount of the outstanding notes may, subject to the subordination provisions of the Indenture, accelerate the maturity of all notes. However, after an acceleration, but before a judgment or decree based on acceleration, the holders of a majority in aggregate principal amount of outstanding notes may, under certain circumstances, rescind and annul the acceleration if all Events of Default, other than the non-payment of principal of the notes which have become due solely by the declaration of acceleration, have been cured or waived as provided in the Indenture. If an Event of Default arising from events of insolvency, bankruptcy or reorganization with respect to Analog occurs, then the principal of, and accrued interest on, all the notes will automatically become immediately due and payable without any declaration or other act on the part of the holders of the notes or the Trustee. For information as to waiver of defaults, see "--Meetings, Modification and Waiver".</w:t>
      </w:r>
    </w:p>
    <w:p>
      <w:pPr>
        <w:spacing w:after="0" w:line="39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 holder of notes will not have any right to institute any proceeding with respect to the Indenture, or for any remedy under the Indenture, unless the holder gives the Trustee written notice of a continuing Event of Default and the holders of at least 25% in aggregate principal amount of the outstanding notes have made written request, and offered reasonable indemnity, to the Trustee to institute proceedings, and the Trustee has not received from the holders of a majority in aggregate principal amount of the outstanding notes direction inconsistent with the written request and shall have failed to institute the proceeding within 60 days. However, these limitations do not apply to a suit instituted by a holder of notes for the enforcement of payment of the principal of, premium, if any, or interest, including Liquidated Damages, on the holder's note on or after the respective due dates expressed in its note or the holder's right to convert its note in accordance with the Indenture.</w:t>
      </w:r>
    </w:p>
    <w:p>
      <w:pPr>
        <w:spacing w:after="0" w:line="20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will be required to furnish to the Trustee annually a statement as to our performance of some of our obligations under the Indenture and as to any default in such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Modification and Waiver</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Indenture contains provisions for convening meetings of the holders of notes to consider matters affecting their interests.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Certain limited modifications of the Indenture may be made without the necessity of obtaining the consent of the holders of the notes. Other modifications and amendments of the Indenture may be made, and certain past defaults by us may be waived, either (i) with the written consent of the holders of not less than a majority in aggregate principal amount of the notes at the time outstanding or (ii) by the adoption of a resolution, at a meeting of holders of the notes at which a quorum is present, by the holders of at least 66 2/3% in aggregate principal amount of the notes represented at the meeting or, if less, holders of not less than a majority in aggregate principal amount of the notes at the time outstanding. The quorum at any meeting called to adopt a resolution will be persons holding or representing a majority in aggregate principal amount of the notes at the time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35" w:lineRule="auto"/>
        <w:rPr>
          <w:sz w:val="20"/>
          <w:szCs w:val="20"/>
          <w:color w:val="auto"/>
        </w:rPr>
      </w:pPr>
      <w:r>
        <w:rPr>
          <w:rFonts w:ascii="Courier New" w:cs="Courier New" w:eastAsia="Courier New" w:hAnsi="Courier New"/>
          <w:sz w:val="18"/>
          <w:szCs w:val="18"/>
          <w:color w:val="auto"/>
        </w:rPr>
        <w:t>outstanding and, at any reconvened meeting adjourned for lack of a quorum, 25% of the aggregate principal amount.</w:t>
      </w:r>
    </w:p>
    <w:p>
      <w:pPr>
        <w:spacing w:after="0" w:line="208"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However, a modification or amendment requires the consent of the holder of each outstanding note affected if it would: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change the stated maturity of the principal or interest of a note;</w:t>
      </w:r>
    </w:p>
    <w:p>
      <w:pPr>
        <w:spacing w:after="0" w:line="201" w:lineRule="exact"/>
        <w:rPr>
          <w:sz w:val="20"/>
          <w:szCs w:val="20"/>
          <w:color w:val="auto"/>
        </w:rPr>
      </w:pPr>
    </w:p>
    <w:p>
      <w:pPr>
        <w:ind w:left="420" w:hanging="201"/>
        <w:spacing w:after="0"/>
        <w:tabs>
          <w:tab w:leader="none" w:pos="4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any note;</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payable upon a redemption or mandatory repurchase;</w:t>
      </w:r>
    </w:p>
    <w:p>
      <w:pPr>
        <w:spacing w:after="0" w:line="207" w:lineRule="exact"/>
        <w:rPr>
          <w:sz w:val="20"/>
          <w:szCs w:val="20"/>
          <w:color w:val="auto"/>
        </w:rPr>
      </w:pPr>
    </w:p>
    <w:p>
      <w:pPr>
        <w:ind w:left="420" w:right="2099" w:hanging="201"/>
        <w:spacing w:after="0" w:line="235"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provisions with respect to the repurchase rights of holders of notes in a manner adverse to the holders;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change the place or currency of payment on a note;</w:t>
      </w:r>
    </w:p>
    <w:p>
      <w:pPr>
        <w:spacing w:after="0" w:line="207" w:lineRule="exact"/>
        <w:rPr>
          <w:sz w:val="20"/>
          <w:szCs w:val="20"/>
          <w:color w:val="auto"/>
        </w:rPr>
      </w:pPr>
    </w:p>
    <w:p>
      <w:pPr>
        <w:ind w:left="420" w:right="2199" w:hanging="201"/>
        <w:spacing w:after="0" w:line="235"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any note;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modify our obligation to maintain an office or agency in New York City;</w:t>
      </w:r>
    </w:p>
    <w:p>
      <w:pPr>
        <w:spacing w:after="0" w:line="207" w:lineRule="exact"/>
        <w:rPr>
          <w:sz w:val="20"/>
          <w:szCs w:val="20"/>
          <w:color w:val="auto"/>
        </w:rPr>
      </w:pPr>
    </w:p>
    <w:p>
      <w:pPr>
        <w:ind w:left="420" w:right="2419" w:hanging="201"/>
        <w:spacing w:after="0" w:line="235"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subordination provisions in a manner that is adverse to the holders of the notes;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adversely affect the right to convert the notes;</w:t>
      </w:r>
    </w:p>
    <w:p>
      <w:pPr>
        <w:spacing w:after="0" w:line="207" w:lineRule="exact"/>
        <w:rPr>
          <w:sz w:val="20"/>
          <w:szCs w:val="20"/>
          <w:color w:val="auto"/>
        </w:rPr>
      </w:pPr>
    </w:p>
    <w:p>
      <w:pPr>
        <w:ind w:left="420" w:right="2199" w:hanging="201"/>
        <w:spacing w:after="0" w:line="237"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our obligation to deliver information required under Rule 144A to permit resales of the notes and common stock issued upon conversion of the notes if we cease to be subject to the reporting requirements under the Exchange Act;</w:t>
      </w:r>
    </w:p>
    <w:p>
      <w:pPr>
        <w:spacing w:after="0" w:line="207" w:lineRule="exact"/>
        <w:rPr>
          <w:sz w:val="20"/>
          <w:szCs w:val="20"/>
          <w:color w:val="auto"/>
        </w:rPr>
      </w:pPr>
    </w:p>
    <w:p>
      <w:pPr>
        <w:ind w:left="420" w:right="2099" w:hanging="201"/>
        <w:spacing w:after="0" w:line="235" w:lineRule="auto"/>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above-stated percentage of the principal amount of the holders whose consent is needed to modify or amend the Indenture;</w:t>
      </w:r>
    </w:p>
    <w:p>
      <w:pPr>
        <w:spacing w:after="0" w:line="208" w:lineRule="exact"/>
        <w:rPr>
          <w:sz w:val="20"/>
          <w:szCs w:val="20"/>
          <w:color w:val="auto"/>
        </w:rPr>
      </w:pPr>
    </w:p>
    <w:p>
      <w:pPr>
        <w:ind w:left="420" w:right="2619" w:hanging="201"/>
        <w:spacing w:after="0" w:line="236" w:lineRule="auto"/>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the principal amount of the holders whose consent is needed to waive compliance with certain provisions of the Indenture or to waive certain defaults; or</w:t>
      </w:r>
    </w:p>
    <w:p>
      <w:pPr>
        <w:spacing w:after="0" w:line="209" w:lineRule="exact"/>
        <w:rPr>
          <w:sz w:val="20"/>
          <w:szCs w:val="20"/>
          <w:color w:val="auto"/>
        </w:rPr>
      </w:pPr>
    </w:p>
    <w:p>
      <w:pPr>
        <w:ind w:left="420" w:right="2199" w:hanging="201"/>
        <w:spacing w:after="0" w:line="236" w:lineRule="auto"/>
        <w:tabs>
          <w:tab w:leader="none" w:pos="4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required for the adoption of a resolution or the quorum required at any meeting of holders of notes at which a resolution is adopted.</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holders of a majority in aggregate principal amount of the outstanding notes may waive compliance by us with certain restrictive provisions of the Indenture by written consent. Holders of at least 66 2/3% in aggregate principal amount of notes represented at a meeting or, if less, holders of not less than a majority in aggregate principal amount of the notes at the time outstanding may also waive compliance by us with certain restrictive provisions of the Indenture by the adoption of a resolution at the meeting if a quorum of holders is present and certain other conditions are met. The holders of a majority in aggregate principal amount of the outstanding notes also may waive by written consent any past default under the Indenture, except a default in the payment of principal, premium, if any, or interest which has not been cured.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registration statement of which this prospectus forms a part has been filed under the terms of a Registration Rights Agreement, which we entered into with the initial purchasers of the notes. In the Registration Rights Agreement we agreed, for the benefit of the holders of the notes and the shares of common stock issuable upon conversion of the notes, which we refer to together as the Registrable Securities, that we would, at our expense:</w:t>
      </w:r>
    </w:p>
    <w:p>
      <w:pPr>
        <w:spacing w:after="0" w:line="210" w:lineRule="exact"/>
        <w:rPr>
          <w:sz w:val="20"/>
          <w:szCs w:val="20"/>
          <w:color w:val="auto"/>
        </w:rPr>
      </w:pPr>
    </w:p>
    <w:p>
      <w:pPr>
        <w:ind w:left="420" w:right="2099" w:hanging="201"/>
        <w:spacing w:after="0" w:line="237" w:lineRule="auto"/>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SEC, within 90 days after the date the notes were originally issued, a shelf registration statement covering resales of the Registrable Securities, subject to our right to postpone the filing of the shelf registration statement for an additional 90 days in limited circumstances;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970" w:gutter="0" w:footer="0" w:header="0"/>
        </w:sectPr>
      </w:pPr>
    </w:p>
    <w:bookmarkStart w:id="26" w:name="page27"/>
    <w:bookmarkEnd w:id="26"/>
    <w:p>
      <w:pPr>
        <w:ind w:left="420" w:right="2199" w:hanging="201"/>
        <w:spacing w:after="0" w:line="237"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reasonable efforts to cause the shelf registration statement to be declared effective under the Securities Act within 180 days after the date the notes are originally issued, subject to our right to postpone having the shelf registration statement declared effective for an additional 90 days in limited circumstances; and</w:t>
      </w:r>
    </w:p>
    <w:p>
      <w:pPr>
        <w:spacing w:after="0" w:line="209" w:lineRule="exact"/>
        <w:rPr>
          <w:sz w:val="20"/>
          <w:szCs w:val="20"/>
          <w:color w:val="auto"/>
        </w:rPr>
      </w:pPr>
    </w:p>
    <w:p>
      <w:pPr>
        <w:ind w:left="420" w:right="2199" w:hanging="201"/>
        <w:spacing w:after="0" w:line="237" w:lineRule="auto"/>
        <w:tabs>
          <w:tab w:leader="none" w:pos="4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reasonable efforts to keep effective the shelf registration statement until two years after the date the notes are issued or, if earlier, until there are no outstanding Registrable Securities, which is referred to as the Effectiveness Period.</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be permitted to suspend the use of this prospectus, which is part of the shelf registration statement, in connection with the sales of Registrable Securities during prescribed periods of time for reasons relating to pending corporate developments, public filings with the SEC and other events. Following the effectiveness of the registration statement of which this prospectus forms a part, we will provide to each holder of Registrable Securities copies of this prospectus, notify each holder that the shelf registration statement has become effective and take certain other actions required to permit public resales of the Registrable Securities.</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may, upon written notice to all the holders of Registrable Securities, postpone having the shelf registration statement declared effective for a reasonable period not to exceed 90 days if we possess material non-public information the disclosure of which would have a material adverse effect on us and our subsidiaries taken as a whole. Notwithstanding any such postponement, additional interest, which is referred to as Liquidated Damages, will accrue on the notes (or on the common stock into which any notes have been converted) if either of the following events, which are referred to as Registration Defaults, occurs:</w:t>
      </w:r>
    </w:p>
    <w:p>
      <w:pPr>
        <w:spacing w:after="0" w:line="214" w:lineRule="exact"/>
        <w:rPr>
          <w:sz w:val="20"/>
          <w:szCs w:val="20"/>
          <w:color w:val="auto"/>
        </w:rPr>
      </w:pPr>
    </w:p>
    <w:p>
      <w:pPr>
        <w:ind w:left="420" w:right="2319" w:hanging="201"/>
        <w:spacing w:after="0" w:line="236" w:lineRule="auto"/>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90 days following the date the notes were originally issued, a shelf registration statement has not been filed with the SEC; or</w:t>
      </w:r>
    </w:p>
    <w:p>
      <w:pPr>
        <w:spacing w:after="0" w:line="209" w:lineRule="exact"/>
        <w:rPr>
          <w:sz w:val="20"/>
          <w:szCs w:val="20"/>
          <w:color w:val="auto"/>
        </w:rPr>
      </w:pPr>
    </w:p>
    <w:p>
      <w:pPr>
        <w:ind w:left="420" w:right="2619" w:hanging="201"/>
        <w:spacing w:after="0" w:line="290" w:lineRule="auto"/>
        <w:tabs>
          <w:tab w:leader="none" w:pos="4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180 days following the date the notes were originally issued, the shelf registration statement is not declared effective.</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that case, Liquidated Damages will accrue on the Registrable Securities from and including the day following the Registration Default to but excluding the day on which the Registration Default has been cured. Liquidated Damages will be paid semi-annually in arrears, with the first semi-annual payment due on the first Interest Payment Date following the date on which the Liquidated Damages began to accrue. Liquidated Damages accrue either on the principal amount of the notes or based on the conversion price of common stock issued upon conversion of the notes.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rates at which Liquidated Damages will accrue will be as follows:</w:t>
      </w:r>
    </w:p>
    <w:p>
      <w:pPr>
        <w:spacing w:after="0" w:line="207" w:lineRule="exact"/>
        <w:rPr>
          <w:sz w:val="20"/>
          <w:szCs w:val="20"/>
          <w:color w:val="auto"/>
        </w:rPr>
      </w:pPr>
    </w:p>
    <w:p>
      <w:pPr>
        <w:ind w:left="420" w:right="2199" w:hanging="201"/>
        <w:spacing w:after="0" w:line="235" w:lineRule="auto"/>
        <w:tabs>
          <w:tab w:leader="none" w:pos="4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0.25% of the principal amount (or the conversion price) per annum to and including the 90th day after the Registration Default; and</w:t>
      </w:r>
    </w:p>
    <w:p>
      <w:pPr>
        <w:spacing w:after="0" w:line="208" w:lineRule="exact"/>
        <w:rPr>
          <w:sz w:val="20"/>
          <w:szCs w:val="20"/>
          <w:color w:val="auto"/>
        </w:rPr>
      </w:pPr>
    </w:p>
    <w:p>
      <w:pPr>
        <w:ind w:left="420" w:right="2419" w:hanging="201"/>
        <w:spacing w:after="0" w:line="235" w:lineRule="auto"/>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0.50% of the principal amount (or the conversion price) per annum from and after the 91st day after the Registration Default.</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addition, Liquidated Damages will accrue if:</w:t>
      </w:r>
    </w:p>
    <w:p>
      <w:pPr>
        <w:spacing w:after="0" w:line="207" w:lineRule="exact"/>
        <w:rPr>
          <w:sz w:val="20"/>
          <w:szCs w:val="20"/>
          <w:color w:val="auto"/>
        </w:rPr>
      </w:pPr>
    </w:p>
    <w:p>
      <w:pPr>
        <w:ind w:left="420" w:right="2099" w:hanging="201"/>
        <w:spacing w:after="0" w:line="237"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ceases to be effective, or we otherwise prevent or restrict holders of Registrable Securities from making sales under the shelf registration statement, for more than 45 days, whether or not consecutive, during any 90-day period; or</w:t>
      </w:r>
    </w:p>
    <w:p>
      <w:pPr>
        <w:spacing w:after="0" w:line="207" w:lineRule="exact"/>
        <w:rPr>
          <w:sz w:val="20"/>
          <w:szCs w:val="20"/>
          <w:color w:val="auto"/>
        </w:rPr>
      </w:pPr>
    </w:p>
    <w:p>
      <w:pPr>
        <w:ind w:left="420" w:right="2099" w:hanging="201"/>
        <w:spacing w:after="0" w:line="237"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ceases to be effective, or we otherwise prevent or restrict holders of Registrable Securities from making sales under the shelf registration statement, for more than 90 days, whether or not consecutive, during any 12-month period.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7" w:name="page28"/>
    <w:bookmarkEnd w:id="27"/>
    <w:p>
      <w:pPr>
        <w:ind w:right="2099" w:firstLine="316"/>
        <w:spacing w:after="0" w:line="237" w:lineRule="auto"/>
        <w:rPr>
          <w:sz w:val="20"/>
          <w:szCs w:val="20"/>
          <w:color w:val="auto"/>
        </w:rPr>
      </w:pPr>
      <w:r>
        <w:rPr>
          <w:rFonts w:ascii="Courier New" w:cs="Courier New" w:eastAsia="Courier New" w:hAnsi="Courier New"/>
          <w:sz w:val="18"/>
          <w:szCs w:val="18"/>
          <w:color w:val="auto"/>
        </w:rPr>
        <w:t>In either event, the interest rate on the notes will increase by an additional 0.50% per annum from the 46th day of the 90-day period or the 91st day of the 12-month period. The Liquidated Damages will continue to accrue until the earlier of the following:</w:t>
      </w:r>
    </w:p>
    <w:p>
      <w:pPr>
        <w:spacing w:after="0" w:line="207" w:lineRule="exact"/>
        <w:rPr>
          <w:sz w:val="20"/>
          <w:szCs w:val="20"/>
          <w:color w:val="auto"/>
        </w:rPr>
      </w:pPr>
    </w:p>
    <w:p>
      <w:pPr>
        <w:ind w:left="420" w:right="2199" w:hanging="201"/>
        <w:spacing w:after="0" w:line="237"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the shelf registration statement again becomes effective or the holders of Registrable Securities are again able to make sales under the shelf registration statement, depending on which event triggered the increase in interest rate; or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date the Effectiveness Period expires.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 holder who elects to sell any Registrable Securities pursuant to the shelf registration statement of which this prospectus forms a part is required to be named as a selling securityholder in this prospectus, may be required to deliver a prospectus to purchasers, may be subject to certain civil liability provisions under the Securities Act in connection with those sales and is bound by the provisions of the Registration Rights Agreement that apply to a holder making this election, including indemnification provisions.</w:t>
      </w:r>
    </w:p>
    <w:p>
      <w:pPr>
        <w:spacing w:after="0" w:line="18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No holder of Registrable Securities is entitled to be named as a selling securityholder in this prospectus and no holder of Registrable Securities is entitled to use this prospectus for offers and resales of Registrable Securities at any time, unless the holder has returned a completed and signed Notice and Questionnaire to us.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Beneficial owners of Registrable Securities who have not returned a Notice and Questionnaire to us may receive another Notice and Questionnaire from us upon request. Following our receipt of a completed and signed Notice and Questionnaire, we will include the Registrable Securities covered thereby in the shelf registration statement, subject to restrictions on the timing and number of supplements to the shelf registration statement provided in the Registration Rights Agreement.</w:t>
      </w:r>
    </w:p>
    <w:p>
      <w:pPr>
        <w:spacing w:after="0" w:line="211"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agreed in the Registration Rights Agreement to use our reasonable efforts to cause the shares of common stock issuable upon conversion of the notes to be listed on the New York Stock Exchange. However, if the common stock is not then listed on the New York Stock Exchange, we will use our reasonable efforts to cause the shares of common stock issuable upon conversion of the notes to be quoted or listed on whichever market or exchange the common stock is then quoted or listed, upon effectiveness of the shelf registration statement.</w:t>
      </w:r>
    </w:p>
    <w:p>
      <w:pPr>
        <w:spacing w:after="0" w:line="188" w:lineRule="exact"/>
        <w:rPr>
          <w:sz w:val="20"/>
          <w:szCs w:val="20"/>
          <w:color w:val="auto"/>
        </w:rPr>
      </w:pPr>
    </w:p>
    <w:p>
      <w:pPr>
        <w:ind w:right="1999" w:firstLine="316"/>
        <w:spacing w:after="0" w:line="279" w:lineRule="auto"/>
        <w:rPr>
          <w:sz w:val="20"/>
          <w:szCs w:val="20"/>
          <w:color w:val="auto"/>
        </w:rPr>
      </w:pPr>
      <w:r>
        <w:rPr>
          <w:rFonts w:ascii="Courier New" w:cs="Courier New" w:eastAsia="Courier New" w:hAnsi="Courier New"/>
          <w:sz w:val="16"/>
          <w:szCs w:val="16"/>
          <w:color w:val="auto"/>
        </w:rPr>
        <w:t>This summary of certain provisions of the Registration Rights Agreement may not contain all the information important to the holders of notes. Holders of notes may request from us a copy of the Registration Rights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Notice to holders of the registered notes will be given by mail to the addresses as they appear in the security register. Notices will be deemed to have been given on the date of mailing.</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Notice of a redemption of notes will be given not less than 30 nor more than</w:t>
      </w:r>
    </w:p>
    <w:p>
      <w:pPr>
        <w:spacing w:after="0" w:line="2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60 days prior to the redemption date and will specify the redemption date. A notice of redemption of the notes will be irrevocable.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Notes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replace any note that becomes mutilated, destroyed, stolen or lost at the expense of the holder upon delivery to the Trustee of the mutilated notes or evidence of the loss, theft or destruction satisfactory to us and the Trustee. In the case of a lost, stolen or destroyed note, indemnity satisfactory to the Trustee and us may be required at the expense of the holder of the note before a replacement note will be issued.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Payment of Stamp and Other Taxes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paid all stamp and other duties, if any, which may have been imposed by the United States or any political subdivision thereof or taxing authority thereof or therein with respect to the issuance of the notes. We were not required to make any payment with respect to any other tax, assessment or governmental charge imposed by any government or any political subdivision thereof or taxing authority thereof or therein.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The Indenture and the notes are governed by and construed in accordance with the laws of the State of New York, United States of America.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 Event of Default occurs and is continuing, the Trustee will be required to use the degree of care of a prudent person in the conduct of his own affairs in the exercise of its powers. Subject to these provisions, the Trustee will be under no obligation to exercise any of its rights or powers under the Indenture at the request of any of the holders of notes, unless they shall have offered to the Trustee reasonable security or indemnity.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29" w:name="page30"/>
    <w:bookmarkEnd w:id="29"/>
    <w:p>
      <w:pPr>
        <w:ind w:left="1280"/>
        <w:spacing w:after="0"/>
        <w:rPr>
          <w:sz w:val="20"/>
          <w:szCs w:val="20"/>
          <w:color w:val="auto"/>
        </w:rPr>
      </w:pPr>
      <w:r>
        <w:rPr>
          <w:rFonts w:ascii="Courier New" w:cs="Courier New" w:eastAsia="Courier New" w:hAnsi="Courier New"/>
          <w:sz w:val="18"/>
          <w:szCs w:val="18"/>
          <w:color w:val="auto"/>
        </w:rPr>
        <w:t>MATERIAL UNITED STATES FEDERAL INCOME TAX CONSIDERATIONS</w:t>
      </w:r>
    </w:p>
    <w:p>
      <w:pPr>
        <w:spacing w:after="0" w:line="207"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The following is a summary of material United States federal income tax considerations relating to the purchase, ownership and disposition of the notes and the common stock into which the notes may be converted. This summary is not a complete analysis of all the potential tax considerations relating thereto.</w:t>
      </w:r>
    </w:p>
    <w:p>
      <w:pPr>
        <w:spacing w:after="0" w:line="18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based this summary on the provisions of the Internal Revenue Code of 1986, as amended, or the Code, the applicable U.S. Treasury regulations promulgated or proposed thereunder, judicial authority and current administrative rulings and practice, all of which are subject to change, possibly on a retroactive basis, or to different interpretations.</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This summary applies to you only if you hold the notes and common stock as capital assets. A capital asset is generally an asset held for investment rather than as inventory or as property used in a trade or business. This summary also does not discuss the particular tax consequences that might be relevant to you if you are subject to special rules under the federal income tax laws. Special rules apply, for example, if you are:</w:t>
      </w:r>
    </w:p>
    <w:p>
      <w:pPr>
        <w:spacing w:after="0" w:line="186" w:lineRule="exact"/>
        <w:rPr>
          <w:sz w:val="20"/>
          <w:szCs w:val="20"/>
          <w:color w:val="auto"/>
        </w:rPr>
      </w:pPr>
    </w:p>
    <w:p>
      <w:pPr>
        <w:ind w:left="420" w:right="2099" w:hanging="201"/>
        <w:spacing w:after="0" w:line="235"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 thrift, insurance company, regulated investment company, or other financial institution or financial service company,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broker or dealer in securities or foreign currency,</w:t>
      </w:r>
    </w:p>
    <w:p>
      <w:pPr>
        <w:spacing w:after="0" w:line="201" w:lineRule="exact"/>
        <w:rPr>
          <w:sz w:val="20"/>
          <w:szCs w:val="20"/>
          <w:color w:val="auto"/>
        </w:rPr>
      </w:pPr>
    </w:p>
    <w:p>
      <w:pPr>
        <w:ind w:left="420" w:hanging="201"/>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that has a functional currency other than the U.S. dollar,</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partnership or other flow-through entity,</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subchapter S corporation,</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subject to alternative minimum tax,</w:t>
      </w:r>
    </w:p>
    <w:p>
      <w:pPr>
        <w:spacing w:after="0" w:line="207" w:lineRule="exact"/>
        <w:rPr>
          <w:sz w:val="20"/>
          <w:szCs w:val="20"/>
          <w:color w:val="auto"/>
        </w:rPr>
      </w:pPr>
    </w:p>
    <w:p>
      <w:pPr>
        <w:ind w:left="420" w:right="2839" w:hanging="201"/>
        <w:spacing w:after="0" w:line="279" w:lineRule="auto"/>
        <w:tabs>
          <w:tab w:leader="none" w:pos="4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who owns the notes or common stock as part of a straddle, hedging transaction, conversion transaction, constructive sale transaction or other risk-reduction transaction,</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tax-exempt entity,</w:t>
      </w:r>
    </w:p>
    <w:p>
      <w:pPr>
        <w:spacing w:after="0" w:line="207" w:lineRule="exact"/>
        <w:rPr>
          <w:sz w:val="20"/>
          <w:szCs w:val="20"/>
          <w:color w:val="auto"/>
        </w:rPr>
      </w:pPr>
    </w:p>
    <w:p>
      <w:pPr>
        <w:ind w:left="420" w:right="2099" w:hanging="201"/>
        <w:spacing w:after="0" w:line="235"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who has ceased to be a United States citizen or to be taxed as a resident alien, or</w:t>
      </w:r>
    </w:p>
    <w:p>
      <w:pPr>
        <w:spacing w:after="0" w:line="208" w:lineRule="exact"/>
        <w:rPr>
          <w:sz w:val="20"/>
          <w:szCs w:val="20"/>
          <w:color w:val="auto"/>
        </w:rPr>
      </w:pPr>
    </w:p>
    <w:p>
      <w:pPr>
        <w:ind w:left="420" w:right="2319" w:hanging="201"/>
        <w:spacing w:after="0" w:line="235"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who acquires the notes or common stock in connection with your employment or other performance of services.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following summary does not address all possible tax consequences. In particular, except as specifically provided, it does not discuss any estate, gift, generation-skipping, transfer, state, local or foreign tax consequences. We have not sought any ruling from the Internal Revenue Service, or IRS, with respect to the statements made and the conclusions reached in the following summary, and there can be no assurance that the IRS will agree with these statements and conclusions. For all these reasons, we urge you to consult with your tax advisor about the federal income tax and other tax consequences of the acquisition, ownership and disposition of the notes and common stock.</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INVESTORS CONSIDERING THE PURCHASE OF THE NOTES SHOULD CONSULT THEIR OWN TAX ADVISORS WITH RESPECT TO THE APPLICATION OF THE UNITED STATES FEDERAL INCOME TAX LAWS TO THEIR PARTICULAR SITUATIONS AS WELL AS ANY TAX CONSEQUENCES ARISING UNDER THE LAWS OF ANY STATE, LOCAL OR FOREIGN TAXING JURISDICTION OR UNDER ANY APPLICABLE TAX TREATY.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General</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 have treated the notes as indebtedness for federal income tax purposes.</w:t>
      </w:r>
    </w:p>
    <w:p>
      <w:pPr>
        <w:spacing w:after="0" w:line="238" w:lineRule="auto"/>
        <w:rPr>
          <w:sz w:val="20"/>
          <w:szCs w:val="20"/>
          <w:color w:val="auto"/>
        </w:rPr>
      </w:pPr>
      <w:r>
        <w:rPr>
          <w:rFonts w:ascii="Courier New" w:cs="Courier New" w:eastAsia="Courier New" w:hAnsi="Courier New"/>
          <w:sz w:val="18"/>
          <w:szCs w:val="18"/>
          <w:color w:val="auto"/>
        </w:rPr>
        <w:t>This summary assumes that the IRS will respect this classification.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explained below, the federal income tax consequences of acquiring, owning and disposing of the notes and common stock depend on whether or not you are a U.S. holder. For purposes of this summary, you are a U.S. holder if you are a beneficial owner of the notes or common stock and for federal income tax purposes are:</w:t>
      </w:r>
    </w:p>
    <w:p>
      <w:pPr>
        <w:spacing w:after="0" w:line="209" w:lineRule="exact"/>
        <w:rPr>
          <w:sz w:val="20"/>
          <w:szCs w:val="20"/>
          <w:color w:val="auto"/>
        </w:rPr>
      </w:pPr>
    </w:p>
    <w:p>
      <w:pPr>
        <w:ind w:left="420" w:right="2099" w:hanging="201"/>
        <w:spacing w:after="0" w:line="279" w:lineRule="auto"/>
        <w:tabs>
          <w:tab w:leader="none" w:pos="4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 including an alien individual who is a lawful permanent resident of the United States or who meets the substantial presence residency test under the federal income tax laws,</w:t>
      </w:r>
    </w:p>
    <w:p>
      <w:pPr>
        <w:spacing w:after="0" w:line="178" w:lineRule="exact"/>
        <w:rPr>
          <w:sz w:val="20"/>
          <w:szCs w:val="20"/>
          <w:color w:val="auto"/>
        </w:rPr>
      </w:pPr>
    </w:p>
    <w:p>
      <w:pPr>
        <w:ind w:left="420" w:right="2099" w:hanging="201"/>
        <w:spacing w:after="0" w:line="275" w:lineRule="auto"/>
        <w:tabs>
          <w:tab w:leader="none" w:pos="4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partnership or other entity treated as a corporation or partnership for federal income tax purposes, that is created or organized in or under the laws of the United States, any of the fifty states or the District of Columbia, unless otherwise provided by Treasury regulations,</w:t>
      </w:r>
    </w:p>
    <w:p>
      <w:pPr>
        <w:spacing w:after="0" w:line="182" w:lineRule="exact"/>
        <w:rPr>
          <w:sz w:val="20"/>
          <w:szCs w:val="20"/>
          <w:color w:val="auto"/>
        </w:rPr>
      </w:pPr>
    </w:p>
    <w:p>
      <w:pPr>
        <w:ind w:left="420" w:right="2739" w:hanging="201"/>
        <w:spacing w:after="0" w:line="235"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federal income taxation regardless of its source, or</w:t>
      </w:r>
    </w:p>
    <w:p>
      <w:pPr>
        <w:spacing w:after="0" w:line="208" w:lineRule="exact"/>
        <w:rPr>
          <w:sz w:val="20"/>
          <w:szCs w:val="20"/>
          <w:color w:val="auto"/>
        </w:rPr>
      </w:pPr>
    </w:p>
    <w:p>
      <w:pPr>
        <w:ind w:left="420" w:right="2099" w:hanging="201"/>
        <w:spacing w:after="0" w:line="237"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court within the United States is able to exercise primary supervision over the administration of the trust and one or more United States persons have the authority to control all substantial decisions of the trust,</w:t>
      </w:r>
    </w:p>
    <w:p>
      <w:pPr>
        <w:spacing w:after="0" w:line="207"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and if your status as a U.S. holder is not overridden under the provisions of an applicable tax treaty. Conversely, you are a non-U.S. holder if you are a beneficial owner of the notes or common stock and are not a U.S. holder.</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a partnership holds notes or common stock, the tax treatment of a partner will generally depend upon the status of the partner and upon the activities of the partnership. If you are a partner in that partnership, you should consult your tax advisor.</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1999" w:firstLine="316"/>
        <w:spacing w:after="0" w:line="290" w:lineRule="auto"/>
        <w:rPr>
          <w:sz w:val="20"/>
          <w:szCs w:val="20"/>
          <w:color w:val="auto"/>
        </w:rPr>
      </w:pPr>
      <w:r>
        <w:rPr>
          <w:rFonts w:ascii="Courier New" w:cs="Courier New" w:eastAsia="Courier New" w:hAnsi="Courier New"/>
          <w:sz w:val="16"/>
          <w:szCs w:val="16"/>
          <w:color w:val="auto"/>
        </w:rPr>
        <w:t>All of the notes bear interest at a stated fixed rate. You generally must include this stated interest in your gross income as ordinary interest income:</w:t>
      </w:r>
    </w:p>
    <w:p>
      <w:pPr>
        <w:spacing w:after="0" w:line="170" w:lineRule="exact"/>
        <w:rPr>
          <w:sz w:val="20"/>
          <w:szCs w:val="20"/>
          <w:color w:val="auto"/>
        </w:rPr>
      </w:pPr>
    </w:p>
    <w:p>
      <w:pPr>
        <w:ind w:left="420" w:right="2099" w:hanging="201"/>
        <w:spacing w:after="0" w:line="235" w:lineRule="auto"/>
        <w:tabs>
          <w:tab w:leader="none" w:pos="4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you receive it, if you use the cash method of accounting for federal income tax purposes, or</w:t>
      </w:r>
    </w:p>
    <w:p>
      <w:pPr>
        <w:spacing w:after="0" w:line="208" w:lineRule="exact"/>
        <w:rPr>
          <w:sz w:val="20"/>
          <w:szCs w:val="20"/>
          <w:color w:val="auto"/>
        </w:rPr>
      </w:pPr>
    </w:p>
    <w:p>
      <w:pPr>
        <w:ind w:left="420" w:right="2199" w:hanging="201"/>
        <w:spacing w:after="0" w:line="235"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it accrues, if you use the accrual method of accounting for federal income tax purposes.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some circumstances, we may be obligated to pay you amounts in excess of stated interest or principal on the notes. For example, we would have to pay liquidated damages in some circumstances described in "Description of Notes-- Registration Rights". In addition, in some cases we will be able to call the notes for redemption at a price that will include an additional amount in excess of the principal of the notes. According to Treasury regulations, the possibility of liquidated damages being paid to you will not affect the amount of interest income you recognize, in advance of the payment of any liquidated damages, if there is only a remote chance as of the date the notes were issued that you will receive liquidated damages. We believe that the likelihood that we will pay liquidated damages is remote. Therefore, we do not intend to treat the potential payment of liquidated damages as part of the yield to maturity of any notes. Similarly, we intend to take the position that the likelihood of a redemption or repurchase of the notes is remote and likewise do not intend to treat the possibility of any premium payable on a redemption or repurchase as affecting the yield to maturity of any notes. Our determination that these contingencies are remote is binding on you unless you disclose your contrary position in the manner required by applicable Treasury regulations. Our determination is not, however, binding on the IRS. In the event a contingency occurs, it would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rPr>
        <w:t>affect the amount and timing of the income that you must recognize. If we pay liquidated damages on the notes, you will be required to recognize additional income. If we pay a redemption premium, the premium could be treated as capital gain under the rules described under "--Sale, Exchange or Redemption of Notes or Shares of Common Stock".</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Amortizable Bond Premium on Notes</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If you acquire a note and your adjusted tax basis in the note upon acquisition is greater than its principal amount, then you will be treated as having acquired that note with bond premium equal to the excess. Amortizable bond premium, however, will not include any premium attributable to the value of the note's conversion feature. You generally may elect to amortize the bond premium over the remaining term of the note on a constant yield method. The amount amortized in any year will be treated as a reduction of your interest income from the note for that year. If you do not make the election, your bond premium on a note will decrease the gain or increase the loss that you otherwise recognize on the note's disposition. Any election to amortize bond premium applies to all debt obligations, other than debt obligations the interest on which is excludable from gross income, that you hold at the beginning of the first taxable year to which the election applies or that you thereafter acquire. You may not revoke an election to amortize bond premium without the consent of the IRS. We urge you to consult with your tax advisor regarding this election.</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Market Discount on Notes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you acquire a note and your adjusted tax basis upon acquisition is less than its principal amount, then you will be treated as having acquired that note at a market discount equal to the difference. The foregoing does not apply if the amount of the market discount is less than the de minimis amount specified under the Code. Under the market discount rules, you will be required to treat any gain on the sale, exchange, redemption, retirement or other taxable disposition of a note, or any appreciation in a note in the case of a nontaxable disposition, such as a gift, as ordinary income to the extent of the market discount that has not previously been included in income and that is treated as having accrued on the note at the time of the payment or disposition. In addition, you may be required to defer, until the maturity of the note or earlier taxable disposition, the deduction of all or a portion of interest expense on any indebtedness incurred or continued to purchase or carry the note.</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Any market discount will be considered to accrue evenly during the period from the day after your acquisition to the maturity date of the note, unless you elect to accrue the market discount on a constant yield method. You may also elect to include market discount in income currently as it accrues, on either an even or constant yield method. In that event, your basis in the note will increase by the amounts you so include in your income. If you make this election, the rules described above regarding ordinary income on dispositions and deferral of interest deductions will not apply. This election to include market discount in income currently, once made, applies to all market discount obligations acquired on or after the first taxable year to which the election applies. You may not revoke a market discount election without the consent of the IRS. We urge you to consult with your tax advisor regarding these market discount elections.</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You should consult your own tax advisors concerning the existence of, and tax consequences of, market discount and amortizable bond premium.</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 generally will not recognize gain or loss on the conversion of the notes solely into common stock, except with respect to cash received in lieu of fractional shares. Your tax basis in the shares of common stock received upon conversion of the notes will be equal to your adjusted tax basis in the notes exchanged for those shares, less any portion thereof allocable to cash received in lieu of a fractional share of common stock. The holding period of the common stock will generally include the period during which you held the notes prior to conversion.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2" w:name="page33"/>
    <w:bookmarkEnd w:id="32"/>
    <w:p>
      <w:pPr>
        <w:ind w:right="1879" w:firstLine="316"/>
        <w:spacing w:after="0" w:line="270" w:lineRule="auto"/>
        <w:rPr>
          <w:sz w:val="20"/>
          <w:szCs w:val="20"/>
          <w:color w:val="auto"/>
        </w:rPr>
      </w:pPr>
      <w:r>
        <w:rPr>
          <w:rFonts w:ascii="Courier New" w:cs="Courier New" w:eastAsia="Courier New" w:hAnsi="Courier New"/>
          <w:sz w:val="16"/>
          <w:szCs w:val="16"/>
          <w:color w:val="auto"/>
        </w:rPr>
        <w:t>Under the current ruling policy of the IRS, cash received in lieu of a fractional share of common stock generally should be treated as a payment in exchange for the fractional share rather than as a dividend. Accordingly, the receipt of cash in lieu of a fractional share of common stock generally will result in gain or loss (measured by the difference between the cash you receive for the fractional share and your adjusted tax basis in the fractional share). Any gain would be ordinary income to the extent of any accrued market discount on your notes that you have not previously included in your income, and otherwise would be capital gain. Any accrued market discount not previously included in income as of the date of the conversion of the notes will carry over to the common stock received on conversion and will give rise to ordinary income upon the subsequent disposition of that stock.</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 Exchange or Redemption of Notes or Shares of Common Stock</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You generally will recognize gain or loss upon the sale, exchange, redemption, retirement or other disposition of notes (other than a conversion) measured by the difference between:</w:t>
      </w:r>
    </w:p>
    <w:p>
      <w:pPr>
        <w:spacing w:after="0" w:line="209" w:lineRule="exact"/>
        <w:rPr>
          <w:sz w:val="20"/>
          <w:szCs w:val="20"/>
          <w:color w:val="auto"/>
        </w:rPr>
      </w:pPr>
    </w:p>
    <w:p>
      <w:pPr>
        <w:ind w:left="540" w:right="2099" w:hanging="321"/>
        <w:spacing w:after="0" w:line="237"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proceeds and the fair market value of any property you receive (except to the extent attributable to accrued interest income and market discount not previously included in income, which will generally be taxable as ordinary income, or attributable to accrued interest previously included in income, which amount may be received without generating further income), and</w:t>
      </w:r>
    </w:p>
    <w:p>
      <w:pPr>
        <w:spacing w:after="0" w:line="204" w:lineRule="exact"/>
        <w:rPr>
          <w:sz w:val="20"/>
          <w:szCs w:val="20"/>
          <w:color w:val="auto"/>
        </w:rPr>
      </w:pPr>
    </w:p>
    <w:p>
      <w:pPr>
        <w:ind w:left="640" w:hanging="421"/>
        <w:spacing w:after="0"/>
        <w:tabs>
          <w:tab w:leader="none" w:pos="6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adjusted tax basis in the notes.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Your adjusted tax basis in the notes generally will equal your acquisition cost of the notes after reduction for amounts allocated to prior accrued stated interest, increased by any market discount included in your income, and reduced by any bond premium you amortized and principal payments you received. Subject to the market discount rules described above, the capital gain or loss will be long-term if your holding period is more than 12 months and will be short-term if your holding period is equal to or less than 12 months. In general, for individuals, long-term capital gains are taxed at a maximum rate of 20% and short-term capital gains are taxed at a maximum rate of 39.6%.</w:t>
      </w:r>
    </w:p>
    <w:p>
      <w:pPr>
        <w:spacing w:after="0" w:line="17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Constructive Dividends on Notes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Under Treasury regulations, an adjustment in the conversion price, or the failure to make an adjustment, may, under particular circumstances, be treated as a constructive taxable dividend to the extent of our current or accumulated earnings and profits. Adjustments to the conversion price made pursuant to a bona fide reasonable adjustment formula which has the effect of preventing the dilution of your interest as a holder of the notes generally will not be considered to result in a constructive distribution of stock where the adjustment does not compensate you for taxable distributions to other stockholders. However, if at any time</w:t>
      </w:r>
    </w:p>
    <w:p>
      <w:pPr>
        <w:spacing w:after="0" w:line="214" w:lineRule="exact"/>
        <w:rPr>
          <w:sz w:val="20"/>
          <w:szCs w:val="20"/>
          <w:color w:val="auto"/>
        </w:rPr>
      </w:pPr>
    </w:p>
    <w:p>
      <w:pPr>
        <w:ind w:left="540" w:right="2319" w:hanging="321"/>
        <w:spacing w:after="0" w:line="237" w:lineRule="auto"/>
        <w:tabs>
          <w:tab w:leader="none" w:pos="5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make a distribution of cash or property to our stockholders or a purchase of common stock and the distribution or purchase would be taxable to our stockholders as a dividend for United States federal income tax purposes (e.g., distributions of evidences of our indebtedness or assets, but generally not stock dividends or rights to subscribe for common stock) and, pursuant to the anti-dilution provisions of the Indenture, the conversion price (as defined in the Indenture) of the notes is reduced,</w:t>
      </w:r>
    </w:p>
    <w:p>
      <w:pPr>
        <w:spacing w:after="0" w:line="212" w:lineRule="exact"/>
        <w:rPr>
          <w:sz w:val="20"/>
          <w:szCs w:val="20"/>
          <w:color w:val="auto"/>
        </w:rPr>
      </w:pPr>
    </w:p>
    <w:p>
      <w:pPr>
        <w:ind w:left="540" w:right="2099" w:hanging="321"/>
        <w:spacing w:after="0" w:line="235" w:lineRule="auto"/>
        <w:tabs>
          <w:tab w:leader="none" w:pos="5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is reduced pursuant to a formula that is not a bona fide reasonable adjustment formula, or</w:t>
      </w:r>
    </w:p>
    <w:p>
      <w:pPr>
        <w:spacing w:after="0" w:line="203" w:lineRule="exact"/>
        <w:rPr>
          <w:sz w:val="20"/>
          <w:szCs w:val="20"/>
          <w:color w:val="auto"/>
        </w:rPr>
      </w:pPr>
    </w:p>
    <w:p>
      <w:pPr>
        <w:ind w:left="540" w:hanging="321"/>
        <w:spacing w:after="0"/>
        <w:tabs>
          <w:tab w:leader="none" w:pos="5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of the notes is reduced at our discretion,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reduction in conversion price may be deemed to be the payment of a taxable dividend to you as a holder of the notes (pursuant to Section 305 of the Code). You could therefore have taxable income as a result of an event pursuant to which you received no cash or property. Your tax basis in a note, however, generally will be increased by the amount of any constructive dividend included in your income.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97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Distributions on Common Stock</w:t>
      </w:r>
    </w:p>
    <w:p>
      <w:pPr>
        <w:spacing w:after="0" w:line="207" w:lineRule="exact"/>
        <w:rPr>
          <w:sz w:val="20"/>
          <w:szCs w:val="20"/>
          <w:color w:val="auto"/>
        </w:rPr>
      </w:pPr>
    </w:p>
    <w:p>
      <w:pPr>
        <w:ind w:right="1999" w:firstLine="316"/>
        <w:spacing w:after="0" w:line="279" w:lineRule="auto"/>
        <w:rPr>
          <w:sz w:val="20"/>
          <w:szCs w:val="20"/>
          <w:color w:val="auto"/>
        </w:rPr>
      </w:pPr>
      <w:r>
        <w:rPr>
          <w:rFonts w:ascii="Courier New" w:cs="Courier New" w:eastAsia="Courier New" w:hAnsi="Courier New"/>
          <w:sz w:val="16"/>
          <w:szCs w:val="16"/>
          <w:color w:val="auto"/>
        </w:rPr>
        <w:t>The amount of any distribution by us on the common stock will be equal to the amount of cash and the fair market value, on the date of distribution, of any property distributed. Generally, distributions will be treated as follows:</w:t>
      </w:r>
    </w:p>
    <w:p>
      <w:pPr>
        <w:spacing w:after="0" w:line="178" w:lineRule="exact"/>
        <w:rPr>
          <w:sz w:val="20"/>
          <w:szCs w:val="20"/>
          <w:color w:val="auto"/>
        </w:rPr>
      </w:pPr>
    </w:p>
    <w:p>
      <w:pPr>
        <w:ind w:left="420" w:right="2319" w:hanging="201"/>
        <w:spacing w:after="0" w:line="235" w:lineRule="auto"/>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as ordinary dividend income to the extent paid out of our current or accumulated earnings and profits,</w:t>
      </w:r>
    </w:p>
    <w:p>
      <w:pPr>
        <w:spacing w:after="0" w:line="208" w:lineRule="exact"/>
        <w:rPr>
          <w:sz w:val="20"/>
          <w:szCs w:val="20"/>
          <w:color w:val="auto"/>
        </w:rPr>
      </w:pPr>
    </w:p>
    <w:p>
      <w:pPr>
        <w:jc w:val="both"/>
        <w:ind w:left="420" w:right="2519" w:hanging="201"/>
        <w:spacing w:after="0" w:line="290" w:lineRule="auto"/>
        <w:tabs>
          <w:tab w:leader="none" w:pos="4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next as a nontaxable return of capital that reduces your basis in the stock dollar-for-dollar until the basis has been reduced to zero, and</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finally as capital gain from the sale or exchange of the stock.</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if you are a corporate U.S. holder, you will qualify for the 70% dividends-received deduction if you own less than 20% of the voting power and value of our stock (other than any non-voting, non-convertible, non-participating preferred stock). If you are a corporate U.S. holder that owns 20% or more of the voting power and value of our stock (other than any non-voting, non-convertible, non-participating preferred stock), generally you will qualify for an 80% dividends-received deduction. The dividends-received deduction is subject, however, to holding period requirements and taxable income and other limitations.</w:t>
      </w:r>
    </w:p>
    <w:p>
      <w:pPr>
        <w:spacing w:after="0" w:line="21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 failure to adjust fully the conversion price of the notes to reflect a stock dividend or other event increasing the proportionate interest of holders of common stock in our earnings and profits or assets could, in some circumstances, be deemed to result in the payment of a taxable dividend to holders of common stock.</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 of Common Stock</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Subject to the market discount rules discussed above, your sale or other taxable disposition of common stock will generally result in capital gain or loss equal to the difference between the amount of cash or property you receive and your adjusted tax basis in the stock. Such capital gain or loss will be long-term if your holding period is more than 12 months and will be short-term if your holding period is equal to or less than 12 months. In general, for individuals, long-term capital gains are taxed at a maximum rate of 20% and short-term capital gains are taxed at a maximum rate of 39.6%. Your basis and holding period in common stock received upon conversion of a convertible note are determined as discussed above under "--Conversion of Notes."</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Information Reporting and Backup Withholding Tax</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information reporting requirements will apply to "reportable payments" to certain noncorporate U.S. holders of principal and interest on a note, dividends on common stock, the proceeds of the sale of a note and the proceeds of the sale of common stock. If you are a noncorporate U.S. holder you may be subject to backup withholding at a 31% rate when you receive interest and dividends with respect to the notes or common stock, or when you receive proceeds upon the sale, exchange, redemption, retirement or other disposition of the notes or common stock. In general, you can avoid this backup withholding by properly executing under penalties of perjury an IRS Form W-9 or substantially similar form that provides: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your correct taxpayer identification number, and</w:t>
      </w:r>
    </w:p>
    <w:p>
      <w:pPr>
        <w:spacing w:after="0" w:line="207" w:lineRule="exact"/>
        <w:rPr>
          <w:sz w:val="20"/>
          <w:szCs w:val="20"/>
          <w:color w:val="auto"/>
        </w:rPr>
      </w:pPr>
    </w:p>
    <w:p>
      <w:pPr>
        <w:ind w:left="420" w:right="2199" w:hanging="201"/>
        <w:spacing w:after="0" w:line="268" w:lineRule="auto"/>
        <w:tabs>
          <w:tab w:leader="none" w:pos="4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certification that (a) you are exempt from backup withholding because you are a corporation or come within another enumerated exempt category,</w:t>
      </w:r>
    </w:p>
    <w:p>
      <w:pPr>
        <w:ind w:left="420" w:right="2199" w:firstLine="9"/>
        <w:spacing w:after="0" w:line="236" w:lineRule="auto"/>
        <w:tabs>
          <w:tab w:leader="none" w:pos="841"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not been notified by the IRS that you are subject to backup withholding, or (c) you have been notified by the IRS that you are no longer subject to backup withholding.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34" w:name="page35"/>
    <w:bookmarkEnd w:id="34"/>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If you do not provide your correct taxpayer identification number on the IRS Form W-9 or substantially similar form, you may be subject to penalties imposed by the IRS.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Backup withholding will not apply, however, with respect to payments made to certain holders, including corporations, tax exempt organizations and certain foreign persons, provided their exemptions from backup withholding are properly established.</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Amounts withheld are generally not an additional tax and may be refunded or credited against your federal income tax liability, provided you furnish the required information to the IRS.</w:t>
      </w:r>
    </w:p>
    <w:p>
      <w:pPr>
        <w:spacing w:after="0" w:line="209"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We will report to the U.S. holders of notes and common stock and to the IRS the amount of any "reportable payments" for each calendar year and the amount of tax withheld, if any, with respect to these payments.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As used herein, the term "non-U.S. holder" means any beneficial owner of a note or common stock that is not a U.S. holder.</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Generally, if you are a non-U.S. holder, interest income that is not effectively connected with a United States trade or business will not be subject to a U.S. withholding tax under the "portfolio interest exemption" provided that:</w:t>
      </w:r>
    </w:p>
    <w:p>
      <w:pPr>
        <w:spacing w:after="0" w:line="207" w:lineRule="exact"/>
        <w:rPr>
          <w:sz w:val="20"/>
          <w:szCs w:val="20"/>
          <w:color w:val="auto"/>
        </w:rPr>
      </w:pPr>
    </w:p>
    <w:p>
      <w:pPr>
        <w:jc w:val="both"/>
        <w:ind w:left="540" w:right="2419" w:hanging="321"/>
        <w:spacing w:after="0" w:line="279" w:lineRule="auto"/>
        <w:tabs>
          <w:tab w:leader="none" w:pos="5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do not actually or constructively own (pursuant to the conversion feature of the notes or otherwise) 10% or more of the combined voting power of all of our classes of stock entitled to vote,</w:t>
      </w:r>
    </w:p>
    <w:p>
      <w:pPr>
        <w:spacing w:after="0" w:line="178" w:lineRule="exact"/>
        <w:rPr>
          <w:sz w:val="20"/>
          <w:szCs w:val="20"/>
          <w:color w:val="auto"/>
        </w:rPr>
      </w:pPr>
    </w:p>
    <w:p>
      <w:pPr>
        <w:ind w:left="540" w:right="2319" w:hanging="321"/>
        <w:spacing w:after="0" w:line="235" w:lineRule="auto"/>
        <w:tabs>
          <w:tab w:leader="none" w:pos="5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 controlled foreign corporation related to us actually or constructively through stock ownership,</w:t>
      </w:r>
    </w:p>
    <w:p>
      <w:pPr>
        <w:spacing w:after="0" w:line="208" w:lineRule="exact"/>
        <w:rPr>
          <w:sz w:val="20"/>
          <w:szCs w:val="20"/>
          <w:color w:val="auto"/>
        </w:rPr>
      </w:pPr>
    </w:p>
    <w:p>
      <w:pPr>
        <w:ind w:left="540" w:right="2419" w:hanging="321"/>
        <w:spacing w:after="0" w:line="236" w:lineRule="auto"/>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 bank which acquired the notes in consideration for an extension of credit made pursuant to a loan agreement entered into in the ordinary course of business, and</w:t>
      </w:r>
    </w:p>
    <w:p>
      <w:pPr>
        <w:spacing w:after="0" w:line="209" w:lineRule="exact"/>
        <w:rPr>
          <w:sz w:val="20"/>
          <w:szCs w:val="20"/>
          <w:color w:val="auto"/>
        </w:rPr>
      </w:pPr>
    </w:p>
    <w:p>
      <w:pPr>
        <w:ind w:left="540" w:right="2319" w:hanging="321"/>
        <w:spacing w:after="0" w:line="271" w:lineRule="auto"/>
        <w:tabs>
          <w:tab w:leader="none" w:pos="5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you provide a Form W-8BEN (or a suitable substitution form) signed under penalties of perjury that includes your name and address and certifies as to your non-United States status, or (b) a securities clearing organization, bank or other financial institution that holds customers' securities in the ordinary course of its trade or business, provides a statement to us or our agent under penalties of perjury in which it certifies that a Form W-8BEN or W-8IMY (or a suitable substitute) has been received by it from you or a qualifying intermediary and furnishes us or our agent with a copy of such form.</w:t>
      </w:r>
    </w:p>
    <w:p>
      <w:pPr>
        <w:spacing w:after="0" w:line="18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Interest on notes not exempted from U.S. withholding tax as described above and not effectively connected with a United States trade or business generally will be subject to U.S. withholding tax at a 30% rate, except where an applicable tax treaty provides for the reduction or elimination of that withholding tax. We may be required to report annually to the IRS and to each non-U.S. holder the amount of interest paid to, and the tax withheld, if any, with respect to, each non-U.S. holder.</w:t>
      </w:r>
    </w:p>
    <w:p>
      <w:pPr>
        <w:spacing w:after="0" w:line="211"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Except to the extent that an applicable treaty otherwise provides, generally you will be taxed in the same manner as a U.S. holder with respect to interest if the interest income is effectively connected with your conduct of a United States trade or business. If you are a corporate non-U.S. holder, you may also, under certain circumstances, be subject to an additional "branch profits tax" at a 30% rate (or, if applicable, a lower treaty rate). Even though the effectively connected interest is subject to income tax, and may be subject to the branch profits tax, it may not be subject to withholding tax if you deliver a properly executed IRS Form W-8ECI to the payor.</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5" w:name="page36"/>
    <w:bookmarkEnd w:id="35"/>
    <w:p>
      <w:pPr>
        <w:ind w:right="1999" w:firstLine="316"/>
        <w:spacing w:after="0" w:line="270" w:lineRule="auto"/>
        <w:rPr>
          <w:sz w:val="20"/>
          <w:szCs w:val="20"/>
          <w:color w:val="auto"/>
        </w:rPr>
      </w:pPr>
      <w:r>
        <w:rPr>
          <w:rFonts w:ascii="Courier New" w:cs="Courier New" w:eastAsia="Courier New" w:hAnsi="Courier New"/>
          <w:sz w:val="16"/>
          <w:szCs w:val="16"/>
          <w:color w:val="auto"/>
        </w:rPr>
        <w:t>To claim the benefit of a tax treaty or to claim exemption from withholding because the income is U.S. trade or business income, the non-U.S. holder must provide a properly executed IRS Form 1001 or IRS Form 4224 (or any successor forms that the IRS designates), as applicable, prior to the payment of interest. Under recently issued Treasury regulations that generally will be effective on and after January 1, 2001, the non-U.S. holder must provide a properly executed Form W-8BEN or W-8ECI in order to continue to claim such benefit or exemption for payments made after December 31, 2000. Under the new regulations, a non-U.S. holder may in some circumstances be required to obtain a U.S. taxpayer identification number and make some certifications to us. Special procedures are provided in the new regulations for payments through qualified intermediaries. Prospective investors should consult their tax advisors regarding the effect, if any, of the new regulations.</w:t>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 Exchange or Redemption of Notes</w:t>
      </w:r>
    </w:p>
    <w:p>
      <w:pPr>
        <w:spacing w:after="0" w:line="207" w:lineRule="exact"/>
        <w:rPr>
          <w:sz w:val="20"/>
          <w:szCs w:val="20"/>
          <w:color w:val="auto"/>
        </w:rPr>
      </w:pPr>
    </w:p>
    <w:p>
      <w:pPr>
        <w:jc w:val="both"/>
        <w:ind w:right="1879" w:firstLine="316"/>
        <w:spacing w:after="0" w:line="275" w:lineRule="auto"/>
        <w:rPr>
          <w:sz w:val="20"/>
          <w:szCs w:val="20"/>
          <w:color w:val="auto"/>
        </w:rPr>
      </w:pPr>
      <w:r>
        <w:rPr>
          <w:rFonts w:ascii="Courier New" w:cs="Courier New" w:eastAsia="Courier New" w:hAnsi="Courier New"/>
          <w:sz w:val="16"/>
          <w:szCs w:val="16"/>
          <w:color w:val="auto"/>
        </w:rPr>
        <w:t>If you are a non-U.S. holder of a note, generally you will not be subject to United States federal income tax or withholding tax on any gain realized on the sale, exchange or redemption of the note, including the receipt of cash in lieu of fractional shares upon conversion of a note into common stock, unless</w:t>
      </w:r>
    </w:p>
    <w:p>
      <w:pPr>
        <w:spacing w:after="0" w:line="182" w:lineRule="exact"/>
        <w:rPr>
          <w:sz w:val="20"/>
          <w:szCs w:val="20"/>
          <w:color w:val="auto"/>
        </w:rPr>
      </w:pPr>
    </w:p>
    <w:p>
      <w:pPr>
        <w:ind w:left="540" w:right="2319" w:hanging="321"/>
        <w:spacing w:after="0" w:line="235"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gain is effectively connected with your conduct of a United States trade or business,</w:t>
      </w:r>
    </w:p>
    <w:p>
      <w:pPr>
        <w:spacing w:after="0" w:line="208" w:lineRule="exact"/>
        <w:rPr>
          <w:sz w:val="20"/>
          <w:szCs w:val="20"/>
          <w:color w:val="auto"/>
        </w:rPr>
      </w:pPr>
    </w:p>
    <w:p>
      <w:pPr>
        <w:ind w:left="540" w:right="2199" w:hanging="321"/>
        <w:spacing w:after="0" w:line="236" w:lineRule="auto"/>
        <w:tabs>
          <w:tab w:leader="none" w:pos="5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an individual and are present in the United States for a period or periods aggregating 183 days or more during the taxable year of the disposition and certain other conditions are met,</w:t>
      </w:r>
    </w:p>
    <w:p>
      <w:pPr>
        <w:spacing w:after="0" w:line="209" w:lineRule="exact"/>
        <w:rPr>
          <w:sz w:val="20"/>
          <w:szCs w:val="20"/>
          <w:color w:val="auto"/>
        </w:rPr>
      </w:pPr>
    </w:p>
    <w:p>
      <w:pPr>
        <w:ind w:left="540" w:right="2099" w:hanging="321"/>
        <w:spacing w:after="0" w:line="235" w:lineRule="auto"/>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subject to tax pursuant to the provisions of the Code applicable to certain United States expatriates, or</w:t>
      </w:r>
    </w:p>
    <w:p>
      <w:pPr>
        <w:spacing w:after="0" w:line="208" w:lineRule="exact"/>
        <w:rPr>
          <w:sz w:val="20"/>
          <w:szCs w:val="20"/>
          <w:color w:val="auto"/>
        </w:rPr>
      </w:pPr>
    </w:p>
    <w:p>
      <w:pPr>
        <w:ind w:left="540" w:right="2099" w:hanging="321"/>
        <w:spacing w:after="0" w:line="237" w:lineRule="auto"/>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or have been at any time, within the shorter of the five year period preceding the sale or other disposition and the period you held the note, a United States real property holding corporation within the meaning of Section 897 of the Code. We do not believe that we are currently a "United States real property holding corporation" within the meaning of Section 897 of the Code and do not expect that we will become one in the future. See "--United States Real Property Holding Corporations" below.</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general, if you are a non-U.S. holder, no United States federal income tax or withholding tax will be imposed upon the conversion of a note into common stock. However, cash (if any) received in lieu of a fractional share will be subject to U.S. federal income tax if it is U.S. trade or business income. Cash received in lieu of a fractional share may give rise to gain that would be subject to the rules described above for the sale of notes.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 or Exchange of Common Stock</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As a non-U.S. holder, generally you will not be subject to United States federal income tax or withholding tax on the sale or exchange of common stock unless any of the conditions described above under "--Sale, Exchange or Redemption of Notes" are satisfied.</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are a non-U.S. holder, you will be subject to United States federal withholding tax at a 30% rate (or lower rate provided under any applicable income tax treaty) on distributions by us with respect to the common stock that are treated as dividends paid (or dividends deemed paid on the</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notes or common stock, as described above under "U.S. Holders--Constructive Dividends on Notes"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6" w:name="page37"/>
    <w:bookmarkEnd w:id="36"/>
    <w:p>
      <w:pPr>
        <w:ind w:right="1879"/>
        <w:spacing w:after="0" w:line="238" w:lineRule="auto"/>
        <w:rPr>
          <w:sz w:val="20"/>
          <w:szCs w:val="20"/>
          <w:color w:val="auto"/>
        </w:rPr>
      </w:pPr>
      <w:r>
        <w:rPr>
          <w:rFonts w:ascii="Courier New" w:cs="Courier New" w:eastAsia="Courier New" w:hAnsi="Courier New"/>
          <w:sz w:val="18"/>
          <w:szCs w:val="18"/>
          <w:color w:val="auto"/>
        </w:rPr>
        <w:t>and "U.S. Holders--Distributions on Common Stock") (excluding dividends that are effectively connected with the conduct by you of a trade or business in the United States and that are taxable as described below). Except to the extent that an applicable tax treaty otherwise provides, generally you will be taxed in the same manner as a U.S. holder on dividends paid (or deemed paid) that are effectively connected with your conduct of a trade or business in the United States. If you are a foreign corporation, you may also be subject to a United States branch profits tax on such effectively connected income at a 30% rate or such lower rate as may be specified in an applicable income tax treaty. Even though such effectively connected dividends are subject to income tax, and may be subject to the branch profits tax, they will not be subject to U.S. withholding tax if you deliver the appropriate IRS Form W-8ECI to the payor, as discussed above.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Under Treasury regulations applicable for payments made after December 31, 2000, if you are a non-U.S. holder of common stock and wish to claim the benefit of an applicable treaty rate, you will be required to satisfy certain certification requirements.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Death of a Non-U.S. Holder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are an individual who is not a citizen or resident of the United States and you hold a note at the time of your death, it will not be includable in your gross estate for United States estate tax purposes, provided that you do not at the time of death actually or constructively own 10% or more of the combined voting power of all of our classes of stock entitled to vote, and provided that, at the time of death, payments with respect to that note would not have been effectively connected with your conduct of a trade or business within the United States.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Common stock actually or beneficially held by you at the time of your death (or previously transferred subject to certain retained rights or powers) will be subject to United States federal estate tax unless otherwise provided by an applicable estate tax treaty.</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Information Reporting and Backup Withholding Tax</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are a non-U.S. holder, United States information reporting requirements and backup withholding tax will not apply to payments of interest on a note if you provide the statement described under "--Payment of Interest", provided that the payor does not have actual knowledge that you are a United States person.</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Information reporting will not apply to any payment of the proceeds of the sale of a note, or any payment of the proceeds of the sale of common stock effected outside the United States by a foreign office of a "broker" (as defined in applicable Treasury regulations), unless the broker</w:t>
      </w:r>
    </w:p>
    <w:p>
      <w:pPr>
        <w:spacing w:after="0" w:line="202" w:lineRule="exact"/>
        <w:rPr>
          <w:sz w:val="20"/>
          <w:szCs w:val="20"/>
          <w:color w:val="auto"/>
        </w:rPr>
      </w:pPr>
    </w:p>
    <w:p>
      <w:pPr>
        <w:ind w:left="960" w:hanging="425"/>
        <w:spacing w:after="0"/>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United States person,</w:t>
      </w:r>
    </w:p>
    <w:p>
      <w:pPr>
        <w:spacing w:after="0" w:line="206"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foreign person that derives 50% or more of its gross income for certain periods from the conduct of a trade or business in the United States,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controlled foreign corporation for United States federal income tax purposes, or</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payments made after December 31, 2000, is a foreign partnership, if at any time during its tax year, one or more of its partners are U.S. persons (as defined in Treasury regulations) who in the aggregate hold more than 50% of the income or capital interests in the partnership or if, at any time during its tax year, the foreign partnership is engaged in a United States trade or business.</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Payment of the proceeds of any such sale effected outside the United States by a foreign office of any broker that is described in (1), (2), (3) or (4) of the preceding sentence will be subject to information reporting requirements unless the broker has documentary evidence in its records that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37" w:name="page38"/>
    <w:bookmarkEnd w:id="37"/>
    <w:p>
      <w:pPr>
        <w:ind w:right="1879"/>
        <w:spacing w:after="0" w:line="237" w:lineRule="auto"/>
        <w:rPr>
          <w:sz w:val="20"/>
          <w:szCs w:val="20"/>
          <w:color w:val="auto"/>
        </w:rPr>
      </w:pPr>
      <w:r>
        <w:rPr>
          <w:rFonts w:ascii="Courier New" w:cs="Courier New" w:eastAsia="Courier New" w:hAnsi="Courier New"/>
          <w:sz w:val="18"/>
          <w:szCs w:val="18"/>
          <w:color w:val="auto"/>
        </w:rPr>
        <w:t>you are a non-U.S. holder and certain other conditions are met, or you otherwise establish an exemption. Temporary Treasury regulations indicate that these payments are not currently subject to backup withholding. Payment of the proceeds of any such sale to or through the United States office of a broker is subject to information reporting and backup withholding requirements, unless you provide the statement described in "--Payment of Interest" or otherwise establish an exemption.</w:t>
      </w:r>
    </w:p>
    <w:p>
      <w:pPr>
        <w:spacing w:after="0" w:line="211"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If paid to an address outside the United States, dividends on common stock held by you as a non-U.S. holder will generally not be subject to the information reporting and backup withholding requirements described in this section. However, under recently issued Treasury regulations, dividend payments made after December 31, 2000 will be subject to information reporting and backup withholding unless applicable certification requirements are satisfied.</w:t>
      </w:r>
    </w:p>
    <w:p>
      <w:pPr>
        <w:spacing w:after="0" w:line="186"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Treasury regulations that apply to payments made after December 31, 2000 will modify current information reporting and backup withholding procedures and requirements. These regulations provide presumptions regarding the status of holders when payments to the holders cannot be reliably associated with appropriate documentation provided to the payor. For payments made after December 31, 2000, a holder must provide certification, if applicable, that conforms to the requirements of the regulations. Holders of a note or common stock should consult with their tax advisors regarding the application of the backup withholding rules to their particular situation, the availability of an exemption, the procedure for obtaining any available exemption and the impact of these new regulations on payments made with respect to notes or common stock after December 31, 2000.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United States Real Property Holding Corporations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discussion of the United States taxation of non-U.S. holders of notes and common stock assumes that we are at no time a United States real property holding corporation within the meaning of Section 897(c) of the Code. Under present law, we would not be a United States real property holding corporation so long as the fair market value of our United States real property interests is less than 50% of the sum of</w:t>
      </w:r>
    </w:p>
    <w:p>
      <w:pPr>
        <w:spacing w:after="0" w:line="204" w:lineRule="exact"/>
        <w:rPr>
          <w:sz w:val="20"/>
          <w:szCs w:val="20"/>
          <w:color w:val="auto"/>
        </w:rPr>
      </w:pPr>
    </w:p>
    <w:p>
      <w:pPr>
        <w:ind w:left="640" w:hanging="316"/>
        <w:spacing w:after="0"/>
        <w:tabs>
          <w:tab w:leader="none" w:pos="6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our United States real property interests,</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interests in real property located outside the United States, and</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other assets which are used or held for use in a trade or business.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believe that we are not a United States real property holding corporation and do not expect to become one. If we become a United States real property holding corporation, gain recognized by you as a non-U.S. holder on a disposition of notes or common stock would be subject to United States federal income tax unless</w:t>
      </w:r>
    </w:p>
    <w:p>
      <w:pPr>
        <w:spacing w:after="0" w:line="209" w:lineRule="exact"/>
        <w:rPr>
          <w:sz w:val="20"/>
          <w:szCs w:val="20"/>
          <w:color w:val="auto"/>
        </w:rPr>
      </w:pPr>
    </w:p>
    <w:p>
      <w:pPr>
        <w:ind w:left="540" w:right="2739" w:hanging="321"/>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common stock is "regularly traded on an established securities market" within the meaning of the Code and</w:t>
      </w:r>
    </w:p>
    <w:p>
      <w:pPr>
        <w:spacing w:after="0" w:line="208" w:lineRule="exact"/>
        <w:rPr>
          <w:sz w:val="20"/>
          <w:szCs w:val="20"/>
          <w:color w:val="auto"/>
        </w:rPr>
      </w:pPr>
    </w:p>
    <w:p>
      <w:pPr>
        <w:ind w:left="540" w:right="2319" w:hanging="321"/>
        <w:spacing w:after="0" w:line="237" w:lineRule="auto"/>
        <w:tabs>
          <w:tab w:leader="none" w:pos="5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(A) you do not own, actually or constructively, at any time during the five-year period preceding the disposition, more than 5% of the common stock, or (B) in the case of a disposition of notes, you do not own, actually or constructively, notes which, as of any date on which you acquired notes, had a fair market value greater than that of 5% of the common stock.</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Our Deductions for Interest on the Notes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Under Section 279 of the Code, deductions otherwise allowable to a corporation for interest may be reduced or eliminated in the case of corporate acquisition indebtedness. This is defined generally to include subordinated convertible debt issued to provide consideration for the acquisition of stock or a substantial portion of the assets of another corporation, if either</w:t>
      </w:r>
    </w:p>
    <w:p>
      <w:pPr>
        <w:spacing w:after="0" w:line="185" w:lineRule="exact"/>
        <w:rPr>
          <w:sz w:val="20"/>
          <w:szCs w:val="20"/>
          <w:color w:val="auto"/>
        </w:rPr>
      </w:pPr>
    </w:p>
    <w:p>
      <w:pPr>
        <w:ind w:left="540" w:right="2099" w:hanging="321"/>
        <w:spacing w:after="0" w:line="235" w:lineRule="auto"/>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acquiring corporation has a debt to equity ratio that exceeds 2 to 1 or</w:t>
      </w:r>
    </w:p>
    <w:p>
      <w:pPr>
        <w:spacing w:after="0" w:line="208" w:lineRule="exact"/>
        <w:rPr>
          <w:sz w:val="20"/>
          <w:szCs w:val="20"/>
          <w:color w:val="auto"/>
        </w:rPr>
      </w:pPr>
    </w:p>
    <w:p>
      <w:pPr>
        <w:jc w:val="both"/>
        <w:ind w:left="540" w:right="2319" w:hanging="321"/>
        <w:spacing w:after="0" w:line="236" w:lineRule="auto"/>
        <w:tabs>
          <w:tab w:leader="none" w:pos="5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projected earnings of the corporation (the average annual earnings for the three-year period ending on the test date) do not exceed three times the annual interest costs of the corporation.</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deductions for interest on the notes could be reduced or eliminated if the notes meet the definition of corporate acquisition indebtedness in the year of issue. We did not fail either the debt/equity or the earnings coverage test for the year ended October 28, 2000, and accordingly we believe that interest deductions on the notes will not be disallowed. However, there can be no assurance that interest deductions on the notes may not be disallowed in whole or in part in the future. The notes could become corporate acquisition indebtedness in a subsequent year if we initially meet the debt/equity ratio and earnings coverage tests, but later fail one or both tests in a year during which we issue additional indebtedness for corporate acquisitions. Our ability to deduct all of the interest payable on the notes will depend on the application of the foregoing tests to us. The availability of an interest deduction with respect to the notes was not determinative on our issuance of the notes.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Under Section 163(l) of the Code, no deduction is permitted for interest paid or accrued or any indebtedness of a corporation that is "payable in equity" of the issuer or a related party. Debt is treated as debt payable in equity of the issuer if the debt is part of an arrangement designed to result in payment of the instrument with or by reference to the equity. Such arrangements could include debt instruments that are convertible at the holder's option if it is substantially certain that the option will be exercised. The legislative history indicates that it is not expected the provision will affect debt with a conversion feature where the conversion price is significantly higher than the market price of the stock on the date of the debt issuance. Accordingly, we do not believe that our interest deduction with respect to interest payments on the notes will be adversely affected by the application of these rules to the holder's option to convert the notes. Similarly, we do not believe that our interest deduction with respect to interest payments on the notes will be adversely affected by the application of these rules to our option to satisfy our obligation under the repurchase right triggered by a Change in Control with common stock.</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preceding discussion of material United States federal income tax consequences is for general information only and is not tax advice. Accordingly, each investor should consult its own tax advisor as to particular tax consequences to it of purchasing, holding and disposing of the notes and the common stock, including the applicability and effect of any state, local or foreign tax laws, and of any proposed changes in applicable laws.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39" w:name="page40"/>
    <w:bookmarkEnd w:id="39"/>
    <w:p>
      <w:pPr>
        <w:jc w:val="center"/>
        <w:ind w:right="175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We are authorized to issue up to 600,000,000 shares of common stock, par value $.16 2/3 per share, and 471,934 shares of preferred stock, par value $1.00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199" w:firstLine="316"/>
        <w:spacing w:after="0" w:line="290" w:lineRule="auto"/>
        <w:rPr>
          <w:sz w:val="20"/>
          <w:szCs w:val="20"/>
          <w:color w:val="auto"/>
        </w:rPr>
      </w:pPr>
      <w:r>
        <w:rPr>
          <w:rFonts w:ascii="Courier New" w:cs="Courier New" w:eastAsia="Courier New" w:hAnsi="Courier New"/>
          <w:sz w:val="16"/>
          <w:szCs w:val="16"/>
          <w:color w:val="auto"/>
        </w:rPr>
        <w:t>As of October 28, 2000, there were 357,923,824 shares of our common stock outstanding that were held of record by approximately 4,358 stockholders.</w:t>
      </w:r>
    </w:p>
    <w:p>
      <w:pPr>
        <w:spacing w:after="0" w:line="170"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Holders of our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any dividends that may be declared by the Board of Directors out of funds legally available therefor, subject to any preferential dividend rights of outstanding preferred stock. In the event of our liquidation, dissolution or winding up, the holders of common stock are entitled to share ratably in our net assets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we may designate and issue in the future. There are no shares of preferred stock outstanding.</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Our Board of Directors is authorized, subject to some limitations prescribed by law, without further stockholder approval to issue from time to time up to an aggregate of 471,934 shares of preferred stock in one or more series and to fix or alter the designations, preferences, rights and any qualifications, limitations or restrictions of the shares of each series, including the dividend rights, dividend rates, conversion rights, voting rights, terms of redemption (including sinking fund provisions), redemption price or prices, liquidation preferences and the number of shares constituting any series or designation of that series. The issuance of preferred stock may have the effect of delaying, deferring or preventing a change of control of Analog. We have no present plans to issue any shares of preferred stock.</w:t>
      </w:r>
    </w:p>
    <w:p>
      <w:pPr>
        <w:spacing w:after="0" w:line="39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Massachusetts Law and Certain Provisions of Our Restated Articles of Organization and By-Laws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Because we have more than 200 stockholders of record, we are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w:t>
      </w:r>
    </w:p>
    <w:p>
      <w:pPr>
        <w:spacing w:after="0" w:line="210" w:lineRule="exact"/>
        <w:rPr>
          <w:sz w:val="20"/>
          <w:szCs w:val="20"/>
          <w:color w:val="auto"/>
        </w:rPr>
      </w:pPr>
    </w:p>
    <w:p>
      <w:pPr>
        <w:ind w:left="420" w:right="2099" w:hanging="201"/>
        <w:spacing w:after="0" w:line="235" w:lineRule="auto"/>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interested stockholder obtains the approval of the Board of Directors prior to becoming an interested stockholder,</w:t>
      </w:r>
    </w:p>
    <w:p>
      <w:pPr>
        <w:spacing w:after="0" w:line="208" w:lineRule="exact"/>
        <w:rPr>
          <w:sz w:val="20"/>
          <w:szCs w:val="20"/>
          <w:color w:val="auto"/>
        </w:rPr>
      </w:pPr>
    </w:p>
    <w:p>
      <w:pPr>
        <w:ind w:left="420" w:right="2319" w:hanging="201"/>
        <w:spacing w:after="0" w:line="236"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interested stockholder acquires 90% of the outstanding voting stock of the corporation (excluding shares held by some affiliates of the corporation) at the time it becomes an interested stockholder, or</w:t>
      </w:r>
    </w:p>
    <w:p>
      <w:pPr>
        <w:spacing w:after="0" w:line="209" w:lineRule="exact"/>
        <w:rPr>
          <w:sz w:val="20"/>
          <w:szCs w:val="20"/>
          <w:color w:val="auto"/>
        </w:rPr>
      </w:pPr>
    </w:p>
    <w:p>
      <w:pPr>
        <w:ind w:left="420" w:right="2319" w:hanging="201"/>
        <w:spacing w:after="0" w:line="236" w:lineRule="auto"/>
        <w:tabs>
          <w:tab w:leader="none" w:pos="4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combination is approved by both the Board of Directors and the holders of two-thirds of the outstanding voting stock of the corporation (excluding shares held by the interested stockholder).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0" w:name="page41"/>
    <w:bookmarkEnd w:id="40"/>
    <w:p>
      <w:pPr>
        <w:ind w:right="2099" w:firstLine="316"/>
        <w:spacing w:after="0" w:line="273" w:lineRule="auto"/>
        <w:rPr>
          <w:sz w:val="20"/>
          <w:szCs w:val="20"/>
          <w:color w:val="auto"/>
        </w:rPr>
      </w:pPr>
      <w:r>
        <w:rPr>
          <w:rFonts w:ascii="Courier New" w:cs="Courier New" w:eastAsia="Courier New" w:hAnsi="Courier New"/>
          <w:sz w:val="16"/>
          <w:szCs w:val="16"/>
          <w:color w:val="auto"/>
        </w:rPr>
        <w:t>An "interested stockholder" is a person who, together with affiliates and associates, owns (or at any time within the prior three years did own) 5% or more of the outstanding voting stock of the corporation. A "business combination" includes a merger, a stock or asset sale, and some other transactions resulting in a financial benefit to the interested stockholders.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Massachusetts General Laws Chapter 156B, Section 50A generally requires that a publicly-held Massachusetts corporation have a classified board of directors consisting of three classes as nearly equal in size as possible, unless the corporation elects to opt out of the statute's coverage. Our By-Laws contain provisions which give effect to Section 50A.</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By-Laws include a provision excluding us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that stock unless the stockholders of the corporation so authorize. The Board of Directors may amend our By-Laws at any time to subject us to this statute prospectively.</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Restated Articles of Organization, as amended, provide that we shall indemnify our directors and officers to the fullest extent authorized by Massachusetts law, as it now exists or may in the future be amended, against all liabilities and expenses incurred in connection with service for us or on our behalf. In addition, the Articles of Organization provide that our directors will not be personally liable for monetary damages to us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Rights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March 1998, the Board of Directors adopted a Stockholder Rights Plan that replaced a plan adopted by the Board in 1988. Pursuant to the Stockholder Rights Plan, each share of common stock has an associated right. Under certain circumstances, each right would entitle the registered holder to purchase from us one one-thousandth share of Series A Junior Participating Preferred Stock at a purchase price of $90 in cash, subject to adjustment.</w:t>
      </w:r>
    </w:p>
    <w:p>
      <w:pPr>
        <w:spacing w:after="0" w:line="21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rights are not exercisable and cannot be transferred separately from the common stock until ten business days (or such later date as may be determined by the Board of Directors) after</w:t>
      </w:r>
    </w:p>
    <w:p>
      <w:pPr>
        <w:spacing w:after="0" w:line="209" w:lineRule="exact"/>
        <w:rPr>
          <w:sz w:val="20"/>
          <w:szCs w:val="20"/>
          <w:color w:val="auto"/>
        </w:rPr>
      </w:pPr>
    </w:p>
    <w:p>
      <w:pPr>
        <w:jc w:val="both"/>
        <w:ind w:left="420" w:right="3159" w:hanging="201"/>
        <w:spacing w:after="0" w:line="279" w:lineRule="auto"/>
        <w:tabs>
          <w:tab w:leader="none" w:pos="4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announcement that a person or group of affiliated or associated persons has acquired (or obtained rights to acquire) beneficial ownership of 15% or more of our common stock or</w:t>
      </w:r>
    </w:p>
    <w:p>
      <w:pPr>
        <w:spacing w:after="0" w:line="178" w:lineRule="exact"/>
        <w:rPr>
          <w:sz w:val="20"/>
          <w:szCs w:val="20"/>
          <w:color w:val="auto"/>
        </w:rPr>
      </w:pPr>
    </w:p>
    <w:p>
      <w:pPr>
        <w:ind w:left="420" w:right="2099" w:hanging="201"/>
        <w:spacing w:after="0" w:line="236" w:lineRule="auto"/>
        <w:tabs>
          <w:tab w:leader="none" w:pos="4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of a tender offer or exchange offer that would result in a person or group beneficially owning 20% or more of the outstanding common stock.</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and when the rights become exercisable, each holder of a right shall have the right to receive, upon exercise, that number of common stock (or in certain circumstances, cash, property or other of our securities) that equals the price of the right divided by 50% of the current market price (as defined in the Stockholder Rights Plan) per share of common stock at the date of the occurrence of the event. In the event at any time after any person becomes an acquiring person,</w:t>
      </w:r>
    </w:p>
    <w:p>
      <w:pPr>
        <w:spacing w:after="0" w:line="211" w:lineRule="exact"/>
        <w:rPr>
          <w:sz w:val="20"/>
          <w:szCs w:val="20"/>
          <w:color w:val="auto"/>
        </w:rPr>
      </w:pPr>
    </w:p>
    <w:p>
      <w:pPr>
        <w:jc w:val="both"/>
        <w:ind w:left="540" w:right="2099" w:hanging="321"/>
        <w:spacing w:after="0" w:line="275" w:lineRule="auto"/>
        <w:tabs>
          <w:tab w:leader="none" w:pos="5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consolidated with, or merged with and into, another entity and we are not the surviving entity of the consolidation or merger or if we are the surviving entity, shares of our outstanding common stock are changed or exchanged for stock or securities or cash or any other property, or</w:t>
      </w:r>
    </w:p>
    <w:p>
      <w:pPr>
        <w:spacing w:after="0" w:line="182" w:lineRule="exact"/>
        <w:rPr>
          <w:sz w:val="20"/>
          <w:szCs w:val="20"/>
          <w:color w:val="auto"/>
        </w:rPr>
      </w:pPr>
    </w:p>
    <w:p>
      <w:pPr>
        <w:ind w:left="4120" w:right="2839" w:hanging="3901"/>
        <w:spacing w:after="0" w:line="470" w:lineRule="auto"/>
        <w:tabs>
          <w:tab w:leader="none" w:pos="433"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or more of our assets or earning power is sold or transferred, 37</w:t>
      </w:r>
    </w:p>
    <w:p>
      <w:pPr>
        <w:sectPr>
          <w:pgSz w:w="11900" w:h="16838" w:orient="portrait"/>
          <w:cols w:equalWidth="0" w:num="1">
            <w:col w:w="10219"/>
          </w:cols>
          <w:pgMar w:left="240" w:top="723" w:right="1440" w:bottom="1440" w:gutter="0" w:footer="0" w:header="0"/>
        </w:sectPr>
      </w:pPr>
    </w:p>
    <w:bookmarkStart w:id="41" w:name="page42"/>
    <w:bookmarkEnd w:id="41"/>
    <w:p>
      <w:pPr>
        <w:ind w:right="1879"/>
        <w:spacing w:after="0" w:line="237" w:lineRule="auto"/>
        <w:rPr>
          <w:sz w:val="20"/>
          <w:szCs w:val="20"/>
          <w:color w:val="auto"/>
        </w:rPr>
      </w:pPr>
      <w:r>
        <w:rPr>
          <w:rFonts w:ascii="Courier New" w:cs="Courier New" w:eastAsia="Courier New" w:hAnsi="Courier New"/>
          <w:sz w:val="18"/>
          <w:szCs w:val="18"/>
          <w:color w:val="auto"/>
        </w:rPr>
        <w:t>each holder of a right shall thereafter have the right to receive upon exercise that number of shares of common stock of the acquiring company that equals the exercise price of the right divided by 50% of the current market price of the common stock at the date of the occurrence of the event.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rights have anti-takeover effects, in that they would cause substantial dilution to a person or group that attempts to acquire a significant interest in our stock on terms not approved by the Board of Directors. The rights expire on March 17, 2008 but may be redeemed by us for $.0005 per right at any time prior to the tenth day following a person's acquisition of 15% or more of our then outstanding common stock. So long as the rights are not separately transferable, each new share of common stock issued will have a right associated with it.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2" w:name="page43"/>
    <w:bookmarkEnd w:id="42"/>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originally sold the notes on October 2, 2000 to Goldman, Sachs &amp; Co., SG Cowen Securities Corporation and Salomon Smith Barney Inc. The initial purchasers of the notes have advised us that the notes were resold in transactions exempt from the registration requirements of the Securities Act to "qualified institutional buyers", as defined in Rule 144A of the Securities Act. These subsequent purchasers, or their transferees, pledgees, donees or successors, may from time to time offer and sell any or all of the notes and/or shares of the common stock issuable upon conversion of the notes pursuant to this prospectus.</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notes and the shares of common stock issuable upon conversion of the notes have been registered in accordance with the registration rights agreement. Pursuant to the registration rights agreement, we are required to file a registration statement with regard to the notes and the shares of our common stock issuable upon conversion of the notes and to keep the registration statement effective until the earlier of:</w:t>
      </w:r>
    </w:p>
    <w:p>
      <w:pPr>
        <w:spacing w:after="0" w:line="210" w:lineRule="exact"/>
        <w:rPr>
          <w:sz w:val="20"/>
          <w:szCs w:val="20"/>
          <w:color w:val="auto"/>
        </w:rPr>
      </w:pPr>
    </w:p>
    <w:p>
      <w:pPr>
        <w:ind w:left="640" w:right="2099" w:hanging="421"/>
        <w:spacing w:after="0" w:line="235" w:lineRule="auto"/>
        <w:tabs>
          <w:tab w:leader="none" w:pos="6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these securities under Rule 144(k) under the Securities Act with respect to persons who are not our affiliates; and</w:t>
      </w:r>
    </w:p>
    <w:p>
      <w:pPr>
        <w:spacing w:after="0" w:line="208" w:lineRule="exact"/>
        <w:rPr>
          <w:rFonts w:ascii="Courier New" w:cs="Courier New" w:eastAsia="Courier New" w:hAnsi="Courier New"/>
          <w:sz w:val="18"/>
          <w:szCs w:val="18"/>
          <w:color w:val="auto"/>
        </w:rPr>
      </w:pPr>
    </w:p>
    <w:p>
      <w:pPr>
        <w:ind w:left="640" w:right="3039" w:hanging="421"/>
        <w:spacing w:after="0" w:line="235" w:lineRule="auto"/>
        <w:tabs>
          <w:tab w:leader="none" w:pos="6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20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selling securityholders may choose to sell notes and/or the shares of common stock issuable upon conversion of the notes from time to time. See "Plan of Distribution".</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w:t>
      </w:r>
    </w:p>
    <w:p>
      <w:pPr>
        <w:spacing w:after="0" w:line="207" w:lineRule="exact"/>
        <w:rPr>
          <w:sz w:val="20"/>
          <w:szCs w:val="20"/>
          <w:color w:val="auto"/>
        </w:rPr>
      </w:pPr>
    </w:p>
    <w:p>
      <w:pPr>
        <w:ind w:left="640" w:right="2099" w:hanging="421"/>
        <w:spacing w:after="0" w:line="237" w:lineRule="auto"/>
        <w:tabs>
          <w:tab w:leader="none" w:pos="6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securityholder who has provided us with notice as of the date of this prospectus pursuant to the registration rights agreement of their intent to sell or otherwise dispose of notes and/or shares of common stock issuable upon conversion of the notes pursuant to the registration statement,</w:t>
      </w:r>
    </w:p>
    <w:p>
      <w:pPr>
        <w:spacing w:after="0" w:line="208" w:lineRule="exact"/>
        <w:rPr>
          <w:rFonts w:ascii="Courier New" w:cs="Courier New" w:eastAsia="Courier New" w:hAnsi="Courier New"/>
          <w:sz w:val="18"/>
          <w:szCs w:val="18"/>
          <w:color w:val="auto"/>
        </w:rPr>
      </w:pPr>
    </w:p>
    <w:p>
      <w:pPr>
        <w:jc w:val="both"/>
        <w:ind w:left="640" w:right="2419" w:hanging="421"/>
        <w:spacing w:after="0" w:line="236" w:lineRule="auto"/>
        <w:tabs>
          <w:tab w:leader="none" w:pos="6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notes and the number of shares of our common stock issuable upon conversion of the notes which they may sell from time to time pursuant to the registration statement, and</w:t>
      </w:r>
    </w:p>
    <w:p>
      <w:pPr>
        <w:spacing w:after="0" w:line="208" w:lineRule="exact"/>
        <w:rPr>
          <w:rFonts w:ascii="Courier New" w:cs="Courier New" w:eastAsia="Courier New" w:hAnsi="Courier New"/>
          <w:sz w:val="18"/>
          <w:szCs w:val="18"/>
          <w:color w:val="auto"/>
        </w:rPr>
      </w:pPr>
    </w:p>
    <w:p>
      <w:pPr>
        <w:ind w:left="640" w:right="2099" w:hanging="421"/>
        <w:spacing w:after="0" w:line="236" w:lineRule="auto"/>
        <w:tabs>
          <w:tab w:leader="none" w:pos="6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outstanding notes and our common stock beneficially owned by the selling securityholder prior to the offering, assuming no conversion of the notes.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our knowledge, no selling securityholder nor any of its affiliates has held any position or office with, been employed by or otherwise has had any material relationship with us or our affiliates during the three years prior to the date of this prospectus.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selling securityholder may offer all or some portion of the notes and shares of the common stock issuable upon conversion of the notes. Accordingly, no estimate can be given as to the amount or percentage of notes or our common stock that will be held by the selling securityholders upon termination of sales pursuant to this prospectus. In addition, the selling securityholders identified below may have sold, transferred or disposed of all or a portion of their notes since the date on which they provided the information regarding their holdings in transactions exempt from the registration requirements of the Securities Act.</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contained under the column heading "Shares That May be Sold" assumes conversion of the full amount of the notes held by the holder at the initial rate of 7.7056 shares of common stock per each $1,000 principal amount of notes.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43" w:name="page44"/>
    <w:bookmarkEnd w:id="43"/>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AIG/National Union Fire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$ 1,030,000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$ 1,030,000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276,100(2)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Life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13,100,000</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276,100(2) 100,943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Amaranth Securities L.L.C...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Century Equity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Fidelity Assurance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Amerisure Companies/Michigan</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Arbitex Master Fund, 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(Bermuda)</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Convertible Arbitrage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Ltd...................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Arkansas PERS...............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 Electric &amp; Gas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Limited...........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BBT Fund, 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Bancroft Convertible Fund,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Life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New York........</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Trust Company as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for DaimlerChrysler</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 EMP #1 Pension Plan</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DTD 4/1/89.................</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6,355,000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48,969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Bay County PERS.............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Bear, Stearns &amp; Co., 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18,250,000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18,250,000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140,627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Black Diamond Offshore,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Cross Blue Shield of</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Association Inter-</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CALAMOS Convertible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Technology Fund - CALAMOS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Trust...........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CGU Life Insurance Company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America.................</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Arbitrage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CapitalCare, 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CareFirst of Maryland,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Birmingham</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&amp; Relief</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Clinton Riverside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Portfolio</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Annuity Assurance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Company-Multi-Bucket</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Annuity Convertible Bond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Fund Group--</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bl>
    <w:p>
      <w:pPr>
        <w:sectPr>
          <w:pgSz w:w="11900" w:h="16838" w:orient="portrait"/>
          <w:cols w:equalWidth="0" w:num="1">
            <w:col w:w="10219"/>
          </w:cols>
          <w:pgMar w:left="240" w:top="1122" w:right="1440"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D.E. Shaw Investments,</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D.E. Shaw Valence, 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67,809</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Delaware PERS...............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2,305,000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17,761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125,500,000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125,500,000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967,052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Double Black Diamond</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Offshore, LDC..............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3,849,000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3,849,000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29,658</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Ellsworth Convertible Growth</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and Income Fund, 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 Convertible Securities</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First Republic Bank.........</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115,000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and Marshall</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College....................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FreeState Health Plan,</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Granville Capital</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Corporation................</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77,315,000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77,315,000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595,758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Great-West Life &amp; Annuity</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Hospitalization and</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Medical Services, Inc. ....</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Healthcare Underwriters</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608"/>
        </w:trPr>
        <w:tc>
          <w:tcPr>
            <w:tcW w:w="3160" w:type="dxa"/>
            <w:vAlign w:val="bottom"/>
          </w:tcPr>
          <w:p>
            <w:pPr>
              <w:spacing w:after="0"/>
              <w:rPr>
                <w:sz w:val="24"/>
                <w:szCs w:val="24"/>
                <w:color w:val="auto"/>
              </w:rPr>
            </w:pP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w:t>
            </w: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45" w:name="page46"/>
    <w:bookmarkEnd w:id="45"/>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Highbridge International</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LLC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281,254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ICI</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Holdings</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9,516</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IL Annuity &amp; Insurance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470,041</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Island Holdings.............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Island Insurance Convertible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Account....................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JMG</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Partners,</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142,553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JMG</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Triton Offshore Fund,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Ltd</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J.P. Morgan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30,219,000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30,219,000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232,855</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Julius Baer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10,556</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KBC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Financial Products,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61,644</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Kerr-McGee 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Aerojet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Charitable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Charitable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EB</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Field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Foundation of Illinois.....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Key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Key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Fixed 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Omnova</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Solutions..................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Parker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Key/Convertible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Union Security</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Victory</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Victory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Quality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California State</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Automobile Inter-</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Retirement Pension.........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the Health Foundation of</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Greater Cincinnati.........</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JCPenney Life Insurance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Potlatch-First 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 of St. Paul........</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Standard Insurance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University of South</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Florida 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150,259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Lipper Convertibles,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608"/>
        </w:trPr>
        <w:tc>
          <w:tcPr>
            <w:tcW w:w="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w:t>
            </w: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47" w:name="page48"/>
    <w:bookmarkEnd w:id="47"/>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ind w:left="280"/>
              <w:spacing w:after="0"/>
              <w:rPr>
                <w:sz w:val="20"/>
                <w:szCs w:val="20"/>
                <w:color w:val="auto"/>
              </w:rPr>
            </w:pPr>
            <w:r>
              <w:rPr>
                <w:rFonts w:ascii="Courier New" w:cs="Courier New" w:eastAsia="Courier New" w:hAnsi="Courier New"/>
                <w:sz w:val="18"/>
                <w:szCs w:val="18"/>
                <w:color w:val="auto"/>
              </w:rPr>
              <w:t>Shares Of</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00" w:type="dxa"/>
            <w:vAlign w:val="bottom"/>
          </w:tcPr>
          <w:p>
            <w:pPr>
              <w:spacing w:after="0"/>
              <w:rPr>
                <w:sz w:val="17"/>
                <w:szCs w:val="17"/>
                <w:color w:val="auto"/>
              </w:rPr>
            </w:pPr>
          </w:p>
        </w:tc>
        <w:tc>
          <w:tcPr>
            <w:tcW w:w="23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Amount Of</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00" w:type="dxa"/>
            <w:vAlign w:val="bottom"/>
          </w:tcPr>
          <w:p>
            <w:pPr>
              <w:spacing w:after="0"/>
              <w:rPr>
                <w:sz w:val="17"/>
                <w:szCs w:val="17"/>
                <w:color w:val="auto"/>
              </w:rPr>
            </w:pPr>
          </w:p>
        </w:tc>
        <w:tc>
          <w:tcPr>
            <w:tcW w:w="23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Notes That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2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5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2860" w:hanging="1799"/>
        <w:spacing w:after="0"/>
        <w:tabs>
          <w:tab w:leader="none" w:pos="28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Lipper Convertibles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Series II, L.P..........</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Offshore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Convertibles, L.P.......</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Lutheran Brotherhood.....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13,430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Lydian Overseas Partners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Master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MAG Mutual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MFS Total Return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Medical Liability Mutual</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Fenner &amp; Smith, Inc.....</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Nalco Chemical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Nashville Electric</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NCMIC 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NORCAL Mutual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Northern Income Equity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Northwestern Mutual</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111,600(3)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OHIC 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Oppenheimer Convertible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Paloma Securities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 .................</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11,800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Pell Rudman Trust</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4,335,000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4,335,000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534,052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33,403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Penn Treaty Network</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America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515,000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515,000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Physicians' Reciprocal</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Insurers Account #7.....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PIMCO Convertible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PRIM Board...............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Primerica Life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2,226,000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2,226,000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Quattro Fund, LLC .......</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RET Pension Plan of the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California State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Automobile Association..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Robertson Stephens.......</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14,800,000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SG Cowen Securities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134,848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Salomon Brothers Asset</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Inc. .......</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4,550,000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Farm Bureau Life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Starvest Combined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Starvest Managed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Oregon/Equity...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7,450,000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7,450,000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Bank as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Custodian for GE Pension</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3,135,000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3,135,000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24,157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Sun America Style Select</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Series Equity Income....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Toronto Dominion (New</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York), Inc..............</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300,518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Transamerica Life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and Annuity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Indemnity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7,223,000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7,223,000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55,657</w:t>
            </w:r>
          </w:p>
        </w:tc>
      </w:tr>
    </w:tbl>
    <w:p>
      <w:pPr>
        <w:sectPr>
          <w:pgSz w:w="11900" w:h="16838" w:orient="portrait"/>
          <w:cols w:equalWidth="0" w:num="1">
            <w:col w:w="10219"/>
          </w:cols>
          <w:pgMar w:left="240" w:top="1122" w:right="1440"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The Travelers Insurance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Company--Life...........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3,772,000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3,772,000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Company Separate Account</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TLAC....................</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428,000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Life and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Annuity Company.........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451,000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Convertible Bond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Portfolio...............</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 Managed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Assets Trust............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UBFAM Arbitrage Fund Ltd.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Healthcare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Virginia Insurance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Reciprocal..............</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Convertible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Fund, Inc...............</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Van Kampen Harbor Fund...</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8,100,000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5,003,250(4)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62,415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White River Securities,</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L.L.C...................</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18,250,000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140,627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Worldwide Transactions,</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Ltd.....................</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1,433</w:t>
            </w: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Zeneca Holdings Trust....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7,243</w:t>
            </w: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Unknown (5)..............</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266,331,000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266,331,000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2,052,302</w:t>
            </w:r>
          </w:p>
        </w:tc>
      </w:tr>
      <w:tr>
        <w:trPr>
          <w:trHeight w:val="608"/>
        </w:trPr>
        <w:tc>
          <w:tcPr>
            <w:tcW w:w="2860" w:type="dxa"/>
            <w:vAlign w:val="bottom"/>
          </w:tcPr>
          <w:p>
            <w:pPr>
              <w:spacing w:after="0"/>
              <w:rPr>
                <w:sz w:val="24"/>
                <w:szCs w:val="24"/>
                <w:color w:val="auto"/>
              </w:rPr>
            </w:pP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519" w:hanging="412"/>
        <w:spacing w:after="0" w:line="235" w:lineRule="auto"/>
        <w:tabs>
          <w:tab w:leader="none" w:pos="4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Life Insurance Company is a subsidiary of Allstate Insurance Company.</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169,500 shares of common stock held by Allstate Insurance Company, 14,100 shares of common stock held by Allstate Life Insurance Company, and 92,500 shares of common stock held by affiliates of Allstate Insurance Company and Allstate Life Insurance Company.</w:t>
      </w:r>
    </w:p>
    <w:p>
      <w:pPr>
        <w:spacing w:after="0" w:line="207" w:lineRule="exact"/>
        <w:rPr>
          <w:rFonts w:ascii="Courier New" w:cs="Courier New" w:eastAsia="Courier New" w:hAnsi="Courier New"/>
          <w:sz w:val="18"/>
          <w:szCs w:val="18"/>
          <w:color w:val="auto"/>
        </w:rPr>
      </w:pPr>
    </w:p>
    <w:p>
      <w:pPr>
        <w:ind w:left="420" w:right="2099" w:hanging="412"/>
        <w:spacing w:after="0" w:line="279" w:lineRule="auto"/>
        <w:tabs>
          <w:tab w:leader="none" w:pos="4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Northwestern Mutual Life Insurance Company is the indirect beneficial owner with shared investment and voting power of these shares of common stock, which are currently held by affiliated entities.</w:t>
      </w:r>
    </w:p>
    <w:p>
      <w:pPr>
        <w:spacing w:after="0" w:line="178" w:lineRule="exact"/>
        <w:rPr>
          <w:rFonts w:ascii="Courier New" w:cs="Courier New" w:eastAsia="Courier New" w:hAnsi="Courier New"/>
          <w:sz w:val="16"/>
          <w:szCs w:val="16"/>
          <w:color w:val="auto"/>
        </w:rPr>
      </w:pPr>
    </w:p>
    <w:p>
      <w:pPr>
        <w:ind w:left="420" w:right="2199" w:hanging="412"/>
        <w:spacing w:after="0" w:line="235" w:lineRule="auto"/>
        <w:tabs>
          <w:tab w:leader="none" w:pos="4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these shares of common stock are held by entities affiliated with Van Kampen Harbor Fund.</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"Unknown" represents the remaining selling securityholders. We are unable to provide the names of these securityholders because certain of these notes are currently evidenced by a global note which has been deposited with DTC and registered in the name of Cede &amp; Co. as DTC's nominee.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after the date of this prospectus, a securityholder notifies us pursuant to the registration rights agreement of its intent to dispose of notes pursuant to the registration statement, we may supplement this prospectus to include that 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1325" w:right="1440" w:bottom="1440" w:gutter="0" w:footer="0" w:header="0"/>
        </w:sectPr>
      </w:pPr>
    </w:p>
    <w:bookmarkStart w:id="50" w:name="page51"/>
    <w:bookmarkEnd w:id="50"/>
    <w:p>
      <w:pPr>
        <w:jc w:val="center"/>
        <w:ind w:right="175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are registering the notes and the shares of our common stock issuable upon conversion of the notes to permit public secondary trading of these securities by the holders from time to time after the date of this prospectus. We have agreed, among other things, to bear all expenses, other than underwriting discounts and selling commissions, in connection with the registration and sale of the notes and the shares of our common stock issuable upon conversion of the notes covered by this prospectus.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not receive any of the proceeds from the offering of the notes or the shares of our common stock issuable upon conversion of the notes by the selling securityholders. The notes and shares of common stock issuable upon conversion of the notes may be sold from time to time directly by any selling securityholder or, alternatively, through underwriters, broker-dealers or agents. If notes or shares of common stock issuable upon conversion of the notes are sold through underwriters or broker-dealers, the selling securityholder will be responsible for underwriting discounts or commissions or agents' commissions.</w:t>
      </w:r>
    </w:p>
    <w:p>
      <w:pPr>
        <w:spacing w:after="0" w:line="214"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The notes or shares of common stock issuable upon conversion of the notes may be sold:</w:t>
      </w:r>
    </w:p>
    <w:p>
      <w:pPr>
        <w:spacing w:after="0" w:line="203" w:lineRule="exact"/>
        <w:rPr>
          <w:sz w:val="20"/>
          <w:szCs w:val="20"/>
          <w:color w:val="auto"/>
        </w:rPr>
      </w:pPr>
    </w:p>
    <w:p>
      <w:pPr>
        <w:ind w:left="540" w:hanging="321"/>
        <w:spacing w:after="0"/>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one or more transactions at fixed prices,</w:t>
      </w:r>
    </w:p>
    <w:p>
      <w:pPr>
        <w:spacing w:after="0" w:line="201" w:lineRule="exact"/>
        <w:rPr>
          <w:sz w:val="20"/>
          <w:szCs w:val="20"/>
          <w:color w:val="auto"/>
        </w:rPr>
      </w:pPr>
    </w:p>
    <w:p>
      <w:pPr>
        <w:ind w:left="540" w:hanging="321"/>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prevailing market prices at the time of sale,</w:t>
      </w:r>
    </w:p>
    <w:p>
      <w:pPr>
        <w:spacing w:after="0" w:line="201" w:lineRule="exact"/>
        <w:rPr>
          <w:sz w:val="20"/>
          <w:szCs w:val="20"/>
          <w:color w:val="auto"/>
        </w:rPr>
      </w:pPr>
    </w:p>
    <w:p>
      <w:pPr>
        <w:ind w:left="540" w:hanging="321"/>
        <w:spacing w:after="0"/>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varying prices determined at the time of sale or</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negotiated prices.</w:t>
      </w:r>
    </w:p>
    <w:p>
      <w:pPr>
        <w:spacing w:after="0" w:line="207"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These sales may be effected in transactions, which may involve block trades or transactions in which the broker acts as agent for the seller and the buyer:</w:t>
      </w:r>
    </w:p>
    <w:p>
      <w:pPr>
        <w:spacing w:after="0" w:line="170" w:lineRule="exact"/>
        <w:rPr>
          <w:sz w:val="20"/>
          <w:szCs w:val="20"/>
          <w:color w:val="auto"/>
        </w:rPr>
      </w:pPr>
    </w:p>
    <w:p>
      <w:pPr>
        <w:jc w:val="both"/>
        <w:ind w:left="540" w:right="2419" w:hanging="321"/>
        <w:spacing w:after="0" w:line="236" w:lineRule="auto"/>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or shares of common stock issuable upon conversion of the notes may be listed or quoted at the time of sale,</w:t>
      </w:r>
    </w:p>
    <w:p>
      <w:pPr>
        <w:spacing w:after="0" w:line="203" w:lineRule="exact"/>
        <w:rPr>
          <w:sz w:val="20"/>
          <w:szCs w:val="20"/>
          <w:color w:val="auto"/>
        </w:rPr>
      </w:pPr>
    </w:p>
    <w:p>
      <w:pPr>
        <w:ind w:left="540" w:hanging="321"/>
        <w:spacing w:after="0"/>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w:t>
      </w:r>
    </w:p>
    <w:p>
      <w:pPr>
        <w:spacing w:after="0" w:line="207" w:lineRule="exact"/>
        <w:rPr>
          <w:sz w:val="20"/>
          <w:szCs w:val="20"/>
          <w:color w:val="auto"/>
        </w:rPr>
      </w:pPr>
    </w:p>
    <w:p>
      <w:pPr>
        <w:ind w:left="540" w:right="2619" w:hanging="321"/>
        <w:spacing w:after="0" w:line="235" w:lineRule="auto"/>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a national securities exchange or quotation service or in the over-the-counter market or</w:t>
      </w:r>
    </w:p>
    <w:p>
      <w:pPr>
        <w:spacing w:after="0" w:line="203" w:lineRule="exact"/>
        <w:rPr>
          <w:sz w:val="20"/>
          <w:szCs w:val="20"/>
          <w:color w:val="auto"/>
        </w:rPr>
      </w:pPr>
    </w:p>
    <w:p>
      <w:pPr>
        <w:ind w:left="540" w:hanging="321"/>
        <w:spacing w:after="0"/>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writing of options.</w:t>
      </w:r>
    </w:p>
    <w:p>
      <w:pPr>
        <w:spacing w:after="0" w:line="207" w:lineRule="exact"/>
        <w:rPr>
          <w:sz w:val="20"/>
          <w:szCs w:val="20"/>
          <w:color w:val="auto"/>
        </w:rPr>
      </w:pPr>
    </w:p>
    <w:p>
      <w:pPr>
        <w:ind w:right="2319" w:firstLine="316"/>
        <w:spacing w:after="0" w:line="290" w:lineRule="auto"/>
        <w:rPr>
          <w:sz w:val="20"/>
          <w:szCs w:val="20"/>
          <w:color w:val="auto"/>
        </w:rPr>
      </w:pPr>
      <w:r>
        <w:rPr>
          <w:rFonts w:ascii="Courier New" w:cs="Courier New" w:eastAsia="Courier New" w:hAnsi="Courier New"/>
          <w:sz w:val="16"/>
          <w:szCs w:val="16"/>
          <w:color w:val="auto"/>
        </w:rPr>
        <w:t>In connection with sales of the notes or shares of common stock issuable upon conversion of the notes or otherwise, any selling securityholder may:</w:t>
      </w:r>
    </w:p>
    <w:p>
      <w:pPr>
        <w:spacing w:after="0" w:line="170" w:lineRule="exact"/>
        <w:rPr>
          <w:sz w:val="20"/>
          <w:szCs w:val="20"/>
          <w:color w:val="auto"/>
        </w:rPr>
      </w:pPr>
    </w:p>
    <w:p>
      <w:pPr>
        <w:ind w:left="540" w:right="2099" w:hanging="321"/>
        <w:spacing w:after="0" w:line="237" w:lineRule="auto"/>
        <w:tabs>
          <w:tab w:leader="none" w:pos="5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hedging transactions with broker-dealers, which may in turn engage in short sales of the notes or shares of common stock issuable upon conversion of the notes in the course of hedging the positions they assume,</w:t>
      </w:r>
    </w:p>
    <w:p>
      <w:pPr>
        <w:spacing w:after="0" w:line="207" w:lineRule="exact"/>
        <w:rPr>
          <w:sz w:val="20"/>
          <w:szCs w:val="20"/>
          <w:color w:val="auto"/>
        </w:rPr>
      </w:pPr>
    </w:p>
    <w:p>
      <w:pPr>
        <w:ind w:left="540" w:right="2519" w:hanging="321"/>
        <w:spacing w:after="0" w:line="235" w:lineRule="auto"/>
        <w:tabs>
          <w:tab w:leader="none" w:pos="5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short and deliver notes or shares of common stock issuable upon conversion of the notes to close out the short positions or</w:t>
      </w:r>
    </w:p>
    <w:p>
      <w:pPr>
        <w:spacing w:after="0" w:line="208" w:lineRule="exact"/>
        <w:rPr>
          <w:sz w:val="20"/>
          <w:szCs w:val="20"/>
          <w:color w:val="auto"/>
        </w:rPr>
      </w:pPr>
    </w:p>
    <w:p>
      <w:pPr>
        <w:ind w:left="540" w:right="2199" w:hanging="321"/>
        <w:spacing w:after="0" w:line="290" w:lineRule="auto"/>
        <w:tabs>
          <w:tab w:leader="none" w:pos="54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or pledge notes or shares of common stock issuable upon conversion of the notes to broker-dealers that in turn may sell the securities.</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outstanding common stock is publicly traded on the New York Stock Exchange. The initial purchasers of the notes have advised us that certain of the initial purchasers are making and currently intend to continue making a market in the notes; however, they are not obligated to do so and any market-making of this type may be discontinued at any time without notice, in the sole discretion of the initial purchasers. We do not intend to apply for listing of the notes on the New York Stock Exchange or any securities exchange. Accordingly, we cannot assure that any trading market will develop or have any liquidity.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51" w:name="page52"/>
    <w:bookmarkEnd w:id="51"/>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securityholders and any broker-dealers, agents or underwriters that participate with the selling securityholders in the distribution of the notes or the shares of common stock issuable upon conversion of the notes may be deemed to be "underwriters" within the meaning of the Securities Act, in which event any commissions received by these broker-dealers, agents or underwriters and any profits realized by the selling securityholders on the resales of the notes or the shares may be deemed to be underwriting commissions or discounts under the Securities Act.</w:t>
      </w:r>
    </w:p>
    <w:p>
      <w:pPr>
        <w:spacing w:after="0" w:line="212"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In addition, any securities covered by this prospectus which qualify for sale pursuant to Rule 144, Rule 144A or any other available exemption from registration under the Securities Act may be sold under Rule 144, Rule 144A or any of the other available exemptions rather than pursuant to this prospectus.</w:t>
      </w:r>
    </w:p>
    <w:p>
      <w:pPr>
        <w:spacing w:after="0" w:line="182"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There is no assurance that any selling securityholder will sell any or all of the notes or shares of common stock issuable upon conversion of the notes described in this prospectus, and any selling securityholder may transfer, devise or gift the securities by other means not described in this prospectus.</w:t>
      </w:r>
    </w:p>
    <w:p>
      <w:pPr>
        <w:spacing w:after="0" w:line="18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originally sold the notes to the initial purchasers in October 2000 in a private placement. We agreed to indemnify and hold the initial purchasers of the notes harmless against certain liabilities under the Securities Act that could arise in connection with the sale of the notes by the initial purchasers. The registration rights agreement provides for us and the selling securityholders to indemnify each other against certain liabilities arising under the Securities Act.</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agreed pursuant to the registration rights agreement to use reasonable efforts to cause the registration statement to which this prospectus relates to become effective within 180 days after the date the notes were originally issued and to keep the registration statement effective until the earlier of:</w:t>
      </w:r>
    </w:p>
    <w:p>
      <w:pPr>
        <w:spacing w:after="0" w:line="207" w:lineRule="exact"/>
        <w:rPr>
          <w:sz w:val="20"/>
          <w:szCs w:val="20"/>
          <w:color w:val="auto"/>
        </w:rPr>
      </w:pPr>
    </w:p>
    <w:p>
      <w:pPr>
        <w:ind w:left="540" w:right="2199" w:hanging="321"/>
        <w:spacing w:after="0" w:line="235" w:lineRule="auto"/>
        <w:tabs>
          <w:tab w:leader="none" w:pos="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208" w:lineRule="exact"/>
        <w:rPr>
          <w:sz w:val="20"/>
          <w:szCs w:val="20"/>
          <w:color w:val="auto"/>
        </w:rPr>
      </w:pPr>
    </w:p>
    <w:p>
      <w:pPr>
        <w:ind w:left="540" w:right="2099" w:hanging="321"/>
        <w:spacing w:after="0" w:line="236" w:lineRule="auto"/>
        <w:tabs>
          <w:tab w:leader="none" w:pos="54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 securities under Rule 144(k) under the Securities Act with respect to persons who are not our affiliates, and</w:t>
      </w:r>
    </w:p>
    <w:p>
      <w:pPr>
        <w:spacing w:after="0" w:line="209" w:lineRule="exact"/>
        <w:rPr>
          <w:sz w:val="20"/>
          <w:szCs w:val="20"/>
          <w:color w:val="auto"/>
        </w:rPr>
      </w:pPr>
    </w:p>
    <w:p>
      <w:pPr>
        <w:ind w:left="540" w:right="3159" w:hanging="321"/>
        <w:spacing w:after="0" w:line="235" w:lineRule="auto"/>
        <w:tabs>
          <w:tab w:leader="none" w:pos="54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registration rights agreement provides that we may suspend the use of this prospectus in connection with sales of notes and shares of common stock issuable upon conversion of the notes by holders for a period not to exceed an aggregate of 45 days in any 90-day period or 90 days in any 12-month period if any event occurs or any fact exists that would render the registration statement materially misleading. We will bear the expenses of preparing and filing the registration statement and all post-effective amendments.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2" w:name="page53"/>
    <w:bookmarkEnd w:id="52"/>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validity of the notes and the shares of common stock issuable upon conversion of the notes offered hereby will be passed upon for Analog by Hale and Dorr LLP, a limited liability partnership including professional corporations, 60 State Street, Boston, Massachusetts 02109. Paul P. Brountas, a partner of Hale and Dorr LLP, is Clerk of Analog and owns 70,000 shares of common stock of Analog.</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financial statement schedule of Analog Devices, Inc. incorporated by reference and included, respectively, in Analog Devices, Inc.'s Annual Report on Form 10-K for the year ended October 30, 1999, have been audited by Ernst &amp; Young LLP, independent auditors, as set forth in their reports thereon incorporated by reference and included therein, respectively, and incorporated herein by reference. Such consolidated financial statements and financial statement schedule are incorporated herein by reference in reliance upon such reports given on the authority of such firm as experts in accounting and auditing.</w:t>
      </w:r>
    </w:p>
    <w:p>
      <w:pPr>
        <w:spacing w:after="0" w:line="20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ADDITIONAL FILINGS AND COMPANY INFORMATION</w:t>
      </w:r>
    </w:p>
    <w:p>
      <w:pPr>
        <w:spacing w:after="0" w:line="207"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We file reports, proxy statements, information statements and other information with the Securities and Exchange Commission. You may read and copy this information, for a copying fee, at the Commission's Public Reference Room at 450 Fifth Street, N.W., Washington, D.C. 20549, and at the regional offices of the Commission located at Citicorp Center, 500 West Madison Street,</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Suite 1400, Chicago, Illinois 60661 and Seven World Trade Center, Suite 1300, New York, New York 10048. Please call the Commission at 1-800-SEC-0330 for more information on its public reference rooms. Our Commission filings are also available to the public from commercial document retrieval services and at the web site maintained by the Commission at http://www.sec.gov.</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Our common stock is traded on the New York Stock Exchange and, therefore, the information we file with the Commission may also be inspected at the offices of the New York Stock Exchange, located at 20 Broad Street, New York, NY 10005.</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filed with the Commission a registration statement on Form S-3 to register with the Commission the resale of the notes and shares of our common stock described in this prospectus. This prospectus is part of that registration statement, and provides you with a general description of the notes and shares of common stock being registered, but does not include all of the information you can find in the registration statement or the exhibits. You should refer to the registration statement and its exhibits for more information about Analog, the notes and the shares of common stock being registered.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1440" w:gutter="0" w:footer="0" w:header="0"/>
        </w:sectPr>
      </w:pPr>
    </w:p>
    <w:bookmarkStart w:id="53" w:name="page54"/>
    <w:bookmarkEnd w:id="53"/>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Commission allows us to "incorporate by reference" information into this prospectus, which means that we can disclose important information to you by referring to another document filed separately with the Commission. The information incorporated by reference is deemed to be part of this prospectus, except for information superseded by this prospectus. The prospectus incorporates by reference the documents set forth below that we have previously filed with the Commission. These documents contain important information about Analog and its finances.</w:t>
      </w:r>
    </w:p>
    <w:p>
      <w:pPr>
        <w:spacing w:after="0" w:line="207" w:lineRule="exact"/>
        <w:rPr>
          <w:sz w:val="20"/>
          <w:szCs w:val="20"/>
          <w:color w:val="auto"/>
        </w:rPr>
      </w:pPr>
    </w:p>
    <w:p>
      <w:pPr>
        <w:ind w:left="640" w:hanging="421"/>
        <w:spacing w:after="0"/>
        <w:tabs>
          <w:tab w:leader="none" w:pos="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year ended October 30, 1999;</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January 29, 2000;</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April 29, 2000;</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July 29, 2000; and</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dated October 6, 2000.</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are also incorporating by reference additional documents that we may file with the Commission under Section 13(a), 13(c), 14 or 15(d) of the Securities Exchange Act prior to the termination of this offering.</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you are a stockholder, we may have sent you some of the documents incorporated by reference, but you can obtain any of them through us or the Commission. Documents incorporated by reference are available from us without charge, except exhibits, unless we have specifically incorporated by reference an exhibit into a document that this prospectus incorporates. Stockholders may obtain documents incorporated by reference into this prospectus by requesting them in writing or by telephone from:</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Analog Devices, Inc.</w:t>
      </w:r>
    </w:p>
    <w:p>
      <w:pPr>
        <w:ind w:left="540"/>
        <w:spacing w:after="0" w:line="238" w:lineRule="auto"/>
        <w:rPr>
          <w:sz w:val="20"/>
          <w:szCs w:val="20"/>
          <w:color w:val="auto"/>
        </w:rPr>
      </w:pPr>
      <w:r>
        <w:rPr>
          <w:rFonts w:ascii="Courier New" w:cs="Courier New" w:eastAsia="Courier New" w:hAnsi="Courier New"/>
          <w:sz w:val="18"/>
          <w:szCs w:val="18"/>
          <w:color w:val="auto"/>
        </w:rPr>
        <w:t>Attention: Joseph E. McDonough, Vice President-Finance</w:t>
      </w:r>
    </w:p>
    <w:p>
      <w:pPr>
        <w:ind w:left="540"/>
        <w:spacing w:after="0"/>
        <w:rPr>
          <w:sz w:val="20"/>
          <w:szCs w:val="20"/>
          <w:color w:val="auto"/>
        </w:rPr>
      </w:pPr>
      <w:r>
        <w:rPr>
          <w:rFonts w:ascii="Courier New" w:cs="Courier New" w:eastAsia="Courier New" w:hAnsi="Courier New"/>
          <w:sz w:val="18"/>
          <w:szCs w:val="18"/>
          <w:color w:val="auto"/>
        </w:rPr>
        <w:t>One Technology Way</w:t>
      </w:r>
    </w:p>
    <w:p>
      <w:pPr>
        <w:ind w:left="540"/>
        <w:spacing w:after="0" w:line="237" w:lineRule="auto"/>
        <w:rPr>
          <w:sz w:val="20"/>
          <w:szCs w:val="20"/>
          <w:color w:val="auto"/>
        </w:rPr>
      </w:pPr>
      <w:r>
        <w:rPr>
          <w:rFonts w:ascii="Courier New" w:cs="Courier New" w:eastAsia="Courier New" w:hAnsi="Courier New"/>
          <w:sz w:val="18"/>
          <w:szCs w:val="18"/>
          <w:color w:val="auto"/>
        </w:rPr>
        <w:t>Norwood, MA 02062-9106</w:t>
      </w:r>
    </w:p>
    <w:p>
      <w:pPr>
        <w:ind w:left="540"/>
        <w:spacing w:after="0" w:line="238" w:lineRule="auto"/>
        <w:rPr>
          <w:sz w:val="20"/>
          <w:szCs w:val="20"/>
          <w:color w:val="auto"/>
        </w:rPr>
      </w:pPr>
      <w:r>
        <w:rPr>
          <w:rFonts w:ascii="Courier New" w:cs="Courier New" w:eastAsia="Courier New" w:hAnsi="Courier New"/>
          <w:sz w:val="18"/>
          <w:szCs w:val="18"/>
          <w:color w:val="auto"/>
        </w:rPr>
        <w:t>Telephone: (781) 329-4700</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CAUTIONARY STATEMENT CONCERNING FORWARD-LOOKING INFORMATION</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Some statements in this prospectus and in the documents incorporated by reference may constitute "forward-looking statements" within the meaning of the Private Securities Litigation Reform Act of 1995. These statements are subject to risks and uncertainties and are based on beliefs and assumptions of Analog, based on information currently available to the company's management. For this purpose, any statements contained herein or incorporated herein that are not statements of historical fact may be deemed to be forward-looking statements. Without limiting the foregoing, the words "believes", "plans", "expects" and similar expressions are intended to identify forward-looking statements. Actual results may vary materially from those we express in forward looking statements. Factors which could cause actual results to differ from expectations include those set forth under "Risk Factors".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1440" w:gutter="0" w:footer="0" w:header="0"/>
        </w:sectPr>
      </w:pPr>
    </w:p>
    <w:bookmarkStart w:id="54" w:name="page55"/>
    <w:bookmarkEnd w:id="54"/>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following table sets forth the various expenses to be incurred in connection with the sale and distribution of the securities being registered hereby, all of which will be borne by the Registrant (except expenses incurred by the Selling Securityholders for brokerage fees, selling commissions and expenses incurred by the Selling Securityholders for legal services).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120" w:type="dxa"/>
            <w:vAlign w:val="bottom"/>
          </w:tcPr>
          <w:p>
            <w:pPr>
              <w:jc w:val="right"/>
              <w:spacing w:after="0"/>
              <w:rPr>
                <w:sz w:val="20"/>
                <w:szCs w:val="20"/>
                <w:color w:val="auto"/>
              </w:rPr>
            </w:pPr>
            <w:r>
              <w:rPr>
                <w:rFonts w:ascii="Courier New" w:cs="Courier New" w:eastAsia="Courier New" w:hAnsi="Courier New"/>
                <w:sz w:val="18"/>
                <w:szCs w:val="18"/>
                <w:color w:val="auto"/>
                <w:w w:val="97"/>
              </w:rPr>
              <w:t>Securities and Exchange Commission filing fee......................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$316,800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w:t>
            </w:r>
          </w:p>
        </w:tc>
      </w:tr>
      <w:tr>
        <w:trPr>
          <w:trHeight w:val="203"/>
        </w:trPr>
        <w:tc>
          <w:tcPr>
            <w:tcW w:w="7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Expenses...................................................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$349,800</w:t>
            </w:r>
          </w:p>
        </w:tc>
      </w:tr>
      <w:tr>
        <w:trPr>
          <w:trHeight w:val="203"/>
        </w:trPr>
        <w:tc>
          <w:tcPr>
            <w:tcW w:w="7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55" w:name="page56"/>
    <w:bookmarkEnd w:id="55"/>
    <w:p>
      <w:pPr>
        <w:ind w:right="2199" w:firstLine="316"/>
        <w:spacing w:after="0" w:line="268" w:lineRule="auto"/>
        <w:rPr>
          <w:sz w:val="20"/>
          <w:szCs w:val="20"/>
          <w:color w:val="auto"/>
        </w:rPr>
      </w:pPr>
      <w:r>
        <w:rPr>
          <w:rFonts w:ascii="Courier New" w:cs="Courier New" w:eastAsia="Courier New" w:hAnsi="Courier New"/>
          <w:sz w:val="16"/>
          <w:szCs w:val="16"/>
          <w:color w:val="auto"/>
        </w:rPr>
        <w:t>Article 6D of the Registrant's Articles of Organization provides that no director shall be liable to the Registrant or its stockholders for monetary damages for breach of his fiduciary duty as a director, except for liability</w:t>
      </w:r>
    </w:p>
    <w:p>
      <w:pPr>
        <w:spacing w:after="0" w:line="1" w:lineRule="exact"/>
        <w:rPr>
          <w:sz w:val="20"/>
          <w:szCs w:val="20"/>
          <w:color w:val="auto"/>
        </w:rPr>
      </w:pPr>
    </w:p>
    <w:p>
      <w:pPr>
        <w:ind w:right="1879" w:firstLine="8"/>
        <w:spacing w:after="0" w:line="237" w:lineRule="auto"/>
        <w:tabs>
          <w:tab w:leader="none" w:pos="42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209"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LIST OF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1879" w:hanging="631"/>
        <w:spacing w:after="0" w:line="236" w:lineRule="auto"/>
        <w:tabs>
          <w:tab w:leader="none" w:pos="720" w:val="left"/>
        </w:tabs>
        <w:rPr>
          <w:sz w:val="20"/>
          <w:szCs w:val="20"/>
          <w:color w:val="auto"/>
        </w:rPr>
      </w:pPr>
      <w:r>
        <w:rPr>
          <w:rFonts w:ascii="Courier New" w:cs="Courier New" w:eastAsia="Courier New" w:hAnsi="Courier New"/>
          <w:sz w:val="18"/>
          <w:szCs w:val="18"/>
          <w:color w:val="auto"/>
        </w:rPr>
        <w:t>4.1*</w:t>
        <w:tab/>
        <w:t>Indenture dated as of October 2, 2000 by and between Registrant, as Issuer, and State Street Bank and Trust Company, as Trustee, relating to the Registrant's 4.75% Convertible Subordinated Notes due 2005.</w:t>
      </w:r>
    </w:p>
    <w:p>
      <w:pPr>
        <w:spacing w:after="0" w:line="203"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Specimen Note for Registrant's 4.75% Convertible Subordinated Notes due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2005 (included in pages 16 to 29 of the Indenture filed as Exhibit 4.1).</w:t>
      </w:r>
    </w:p>
    <w:p>
      <w:pPr>
        <w:spacing w:after="0" w:line="224" w:lineRule="exact"/>
        <w:rPr>
          <w:sz w:val="20"/>
          <w:szCs w:val="20"/>
          <w:color w:val="auto"/>
        </w:rPr>
      </w:pPr>
    </w:p>
    <w:p>
      <w:pPr>
        <w:ind w:left="740" w:right="1879" w:hanging="631"/>
        <w:spacing w:after="0" w:line="237" w:lineRule="auto"/>
        <w:tabs>
          <w:tab w:leader="none" w:pos="720" w:val="left"/>
        </w:tabs>
        <w:rPr>
          <w:sz w:val="20"/>
          <w:szCs w:val="20"/>
          <w:color w:val="auto"/>
        </w:rPr>
      </w:pPr>
      <w:r>
        <w:rPr>
          <w:rFonts w:ascii="Courier New" w:cs="Courier New" w:eastAsia="Courier New" w:hAnsi="Courier New"/>
          <w:sz w:val="18"/>
          <w:szCs w:val="18"/>
          <w:color w:val="auto"/>
        </w:rPr>
        <w:t>4.3*</w:t>
        <w:tab/>
        <w:t>Registration Rights Agreement dated October 2, 2000 by and between Registrant, Goldman, Sachs &amp; Co., SG Cowen Securities Corporation and Salomon Smith Barney Inc. relating to the Registrant's 4.75% Convertible Subordinated Notes due 2005.</w:t>
      </w:r>
    </w:p>
    <w:p>
      <w:pPr>
        <w:spacing w:after="0" w:line="202"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Hale and Dorr LLP.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12.1* Statement of Computation of Ratios of Earnings to Fixed Charges.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23.1* Consent of Hale and Dorr LLP (included in Exhibit 5.1).</w:t>
      </w:r>
    </w:p>
    <w:p>
      <w:pPr>
        <w:spacing w:after="0" w:line="201"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24.1* Power of Attorney.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25.1* Statement of Eligibility of Trustee on Form 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7899" w:firstLine="8"/>
        <w:spacing w:after="0" w:line="536" w:lineRule="auto"/>
        <w:tabs>
          <w:tab w:leader="none" w:pos="316"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ITEM 17. UNDERTAKINGS.</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420" w:right="1879" w:hanging="412"/>
        <w:spacing w:after="0" w:line="235"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640" w:right="3159" w:hanging="421"/>
        <w:spacing w:after="0" w:line="290" w:lineRule="auto"/>
        <w:tabs>
          <w:tab w:leader="none" w:pos="64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as amended (the "Securities Act");</w:t>
      </w:r>
    </w:p>
    <w:p>
      <w:pPr>
        <w:spacing w:after="0" w:line="169" w:lineRule="exact"/>
        <w:rPr>
          <w:rFonts w:ascii="Courier New" w:cs="Courier New" w:eastAsia="Courier New" w:hAnsi="Courier New"/>
          <w:sz w:val="16"/>
          <w:szCs w:val="16"/>
          <w:color w:val="auto"/>
        </w:rPr>
      </w:pPr>
    </w:p>
    <w:p>
      <w:pPr>
        <w:ind w:left="740" w:right="2099" w:hanging="521"/>
        <w:spacing w:after="0" w:line="238" w:lineRule="auto"/>
        <w:tabs>
          <w:tab w:leader="none" w:pos="74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7" w:lineRule="exact"/>
        <w:rPr>
          <w:rFonts w:ascii="Courier New" w:cs="Courier New" w:eastAsia="Courier New" w:hAnsi="Courier New"/>
          <w:sz w:val="18"/>
          <w:szCs w:val="18"/>
          <w:color w:val="auto"/>
        </w:rPr>
      </w:pPr>
    </w:p>
    <w:p>
      <w:pPr>
        <w:ind w:left="860" w:right="2199" w:hanging="641"/>
        <w:spacing w:after="0" w:line="237" w:lineRule="auto"/>
        <w:tabs>
          <w:tab w:leader="none" w:pos="86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362" w:gutter="0" w:footer="0" w:header="0"/>
        </w:sectPr>
      </w:pPr>
    </w:p>
    <w:bookmarkStart w:id="56" w:name="page57"/>
    <w:bookmarkEnd w:id="56"/>
    <w:p>
      <w:pPr>
        <w:ind w:left="220" w:right="2199"/>
        <w:spacing w:after="0" w:line="237" w:lineRule="auto"/>
        <w:rPr>
          <w:sz w:val="20"/>
          <w:szCs w:val="20"/>
          <w:color w:val="auto"/>
        </w:rPr>
      </w:pPr>
      <w:r>
        <w:rPr>
          <w:rFonts w:ascii="Courier New" w:cs="Courier New" w:eastAsia="Courier New" w:hAnsi="Courier New"/>
          <w:sz w:val="18"/>
          <w:szCs w:val="18"/>
          <w:color w:val="auto"/>
        </w:rPr>
        <w:t>provided, however, that paragraphs (i) and (ii)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as amended (the "Exchange Act"), that are incorporated by reference in the Registration Statement.</w:t>
      </w:r>
    </w:p>
    <w:p>
      <w:pPr>
        <w:spacing w:after="0" w:line="211" w:lineRule="exact"/>
        <w:rPr>
          <w:sz w:val="20"/>
          <w:szCs w:val="20"/>
          <w:color w:val="auto"/>
        </w:rPr>
      </w:pPr>
    </w:p>
    <w:p>
      <w:pPr>
        <w:ind w:left="420" w:right="1879" w:hanging="412"/>
        <w:spacing w:after="0" w:line="237" w:lineRule="auto"/>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left="420" w:right="2099" w:hanging="412"/>
        <w:spacing w:after="0" w:line="236" w:lineRule="auto"/>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925" w:right="1440" w:bottom="1440" w:gutter="0" w:footer="0" w:header="0"/>
        </w:sectPr>
      </w:pPr>
    </w:p>
    <w:bookmarkStart w:id="57" w:name="page58"/>
    <w:bookmarkEnd w:id="57"/>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to the Registration Statement to be signed on its behalf by the undersigned, thereunto duly authorized, in the City of Norwood, Commonwealth of Massachusetts, on this 7th day of December, 2000.</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Joseph E. McDonough</w:t>
      </w:r>
    </w:p>
    <w:p>
      <w:pPr>
        <w:ind w:left="4440"/>
        <w:spacing w:after="0" w:line="238" w:lineRule="auto"/>
        <w:rPr>
          <w:sz w:val="20"/>
          <w:szCs w:val="20"/>
          <w:color w:val="auto"/>
        </w:rPr>
      </w:pPr>
      <w:r>
        <w:rPr>
          <w:rFonts w:ascii="Courier New" w:cs="Courier New" w:eastAsia="Courier New" w:hAnsi="Courier New"/>
          <w:sz w:val="18"/>
          <w:szCs w:val="18"/>
          <w:color w:val="auto"/>
        </w:rPr>
        <w:t>By: _________________________________</w:t>
      </w:r>
    </w:p>
    <w:p>
      <w:pPr>
        <w:spacing w:after="0" w:line="202"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Joseph E. McDonough</w:t>
      </w:r>
    </w:p>
    <w:p>
      <w:pPr>
        <w:spacing w:after="0" w:line="201"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Vice President--Finance and</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Pursuant to the requirements of the Securities Act of 1933, this</w:t>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Registration Statement has been signed by the following persons in the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capacities and on the date indicated.</w:t>
            </w:r>
          </w:p>
        </w:tc>
        <w:tc>
          <w:tcPr>
            <w:tcW w:w="29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810"/>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Signature</w:t>
            </w:r>
          </w:p>
        </w:tc>
        <w:tc>
          <w:tcPr>
            <w:tcW w:w="2940" w:type="dxa"/>
            <w:vAlign w:val="bottom"/>
          </w:tcPr>
          <w:p>
            <w:pPr>
              <w:ind w:left="1140"/>
              <w:spacing w:after="0"/>
              <w:rPr>
                <w:sz w:val="20"/>
                <w:szCs w:val="20"/>
                <w:color w:val="auto"/>
              </w:rPr>
            </w:pPr>
            <w:r>
              <w:rPr>
                <w:rFonts w:ascii="Courier New" w:cs="Courier New" w:eastAsia="Courier New" w:hAnsi="Courier New"/>
                <w:sz w:val="18"/>
                <w:szCs w:val="18"/>
                <w:color w:val="auto"/>
              </w:rPr>
              <w:t>Title</w:t>
            </w:r>
          </w:p>
        </w:tc>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29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President, Chief Executive</w:t>
            </w:r>
          </w:p>
        </w:tc>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December 7, 2000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80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Jerald G. Fishman</w:t>
            </w: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18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c>
          <w:tcPr>
            <w:tcW w:w="180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 and</w:t>
            </w:r>
          </w:p>
        </w:tc>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December 7, 2000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Ray Stata</w:t>
            </w:r>
          </w:p>
        </w:tc>
        <w:tc>
          <w:tcPr>
            <w:tcW w:w="29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 Joseph E. McDonough</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President-Finance and</w:t>
            </w:r>
          </w:p>
        </w:tc>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December 7, 2000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80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Joseph E. McDonough</w:t>
            </w: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18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2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80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December 7, 2000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9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John L. Doyle</w:t>
            </w:r>
          </w:p>
        </w:tc>
        <w:tc>
          <w:tcPr>
            <w:tcW w:w="29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II-4</w:t>
            </w:r>
          </w:p>
        </w:tc>
        <w:tc>
          <w:tcPr>
            <w:tcW w:w="18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jc w:val="right"/>
              <w:ind w:right="1532"/>
              <w:spacing w:after="0"/>
              <w:rPr>
                <w:sz w:val="20"/>
                <w:szCs w:val="20"/>
                <w:color w:val="auto"/>
              </w:rPr>
            </w:pPr>
            <w:r>
              <w:rPr>
                <w:rFonts w:ascii="Courier New" w:cs="Courier New" w:eastAsia="Courier New" w:hAnsi="Courier New"/>
                <w:sz w:val="18"/>
                <w:szCs w:val="18"/>
                <w:color w:val="auto"/>
              </w:rPr>
              <w:t>Signature</w:t>
            </w:r>
          </w:p>
        </w:tc>
        <w:tc>
          <w:tcPr>
            <w:tcW w:w="2320" w:type="dxa"/>
            <w:vAlign w:val="bottom"/>
          </w:tcPr>
          <w:p>
            <w:pPr>
              <w:ind w:left="1100"/>
              <w:spacing w:after="0"/>
              <w:rPr>
                <w:sz w:val="20"/>
                <w:szCs w:val="20"/>
                <w:color w:val="auto"/>
              </w:rPr>
            </w:pPr>
            <w:r>
              <w:rPr>
                <w:rFonts w:ascii="Courier New" w:cs="Courier New" w:eastAsia="Courier New" w:hAnsi="Courier New"/>
                <w:sz w:val="18"/>
                <w:szCs w:val="18"/>
                <w:color w:val="auto"/>
              </w:rPr>
              <w:t>Title</w:t>
            </w:r>
          </w:p>
        </w:tc>
        <w:tc>
          <w:tcPr>
            <w:tcW w:w="23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40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2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0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3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December 7, 2000</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Charles O. Holliday, Jr.</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40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3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December 7, 2000</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Joel Moses</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40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3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December 7, 2000</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 Grant Saviers</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40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3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December 7, 2000</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Lester C. Thurow</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608"/>
        </w:trPr>
        <w:tc>
          <w:tcPr>
            <w:tcW w:w="40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/s/ Joseph E. McDonough</w:t>
            </w:r>
          </w:p>
        </w:tc>
        <w:tc>
          <w:tcPr>
            <w:tcW w:w="2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05"/>
        </w:trPr>
        <w:tc>
          <w:tcPr>
            <w:tcW w:w="406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7"/>
              </w:rPr>
              <w:t>*By: ___________________________</w:t>
            </w:r>
          </w:p>
        </w:tc>
        <w:tc>
          <w:tcPr>
            <w:tcW w:w="2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05"/>
        </w:trPr>
        <w:tc>
          <w:tcPr>
            <w:tcW w:w="406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Joseph E. McDonough</w:t>
            </w:r>
          </w:p>
        </w:tc>
        <w:tc>
          <w:tcPr>
            <w:tcW w:w="2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3"/>
        </w:trPr>
        <w:tc>
          <w:tcPr>
            <w:tcW w:w="40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Attorney-in-fact</w:t>
            </w: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122" w:right="1440" w:bottom="1440" w:gutter="0" w:footer="0" w:header="0"/>
        </w:sectPr>
      </w:pPr>
    </w:p>
    <w:bookmarkStart w:id="59" w:name="page60"/>
    <w:bookmarkEnd w:id="59"/>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1879" w:hanging="631"/>
        <w:spacing w:after="0" w:line="236" w:lineRule="auto"/>
        <w:tabs>
          <w:tab w:leader="none" w:pos="720" w:val="left"/>
        </w:tabs>
        <w:rPr>
          <w:sz w:val="20"/>
          <w:szCs w:val="20"/>
          <w:color w:val="auto"/>
        </w:rPr>
      </w:pPr>
      <w:r>
        <w:rPr>
          <w:rFonts w:ascii="Courier New" w:cs="Courier New" w:eastAsia="Courier New" w:hAnsi="Courier New"/>
          <w:sz w:val="18"/>
          <w:szCs w:val="18"/>
          <w:color w:val="auto"/>
        </w:rPr>
        <w:t>4.1*</w:t>
        <w:tab/>
        <w:t>Indenture dated as of October 2, 2000 by and between Registrant, as Issuer, and State Street Bank and Trust Company, as Trustee, relating to the Registrant's 4.75% Convertible Subordinated Notes due 2005.</w:t>
      </w:r>
    </w:p>
    <w:p>
      <w:pPr>
        <w:spacing w:after="0" w:line="203"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Specimen Note for Registrant's 4.75% Convertible Subordinated Notes due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2005 (included in pages 16 to 29 of the Indenture filed as Exhibit 4.1).</w:t>
      </w:r>
    </w:p>
    <w:p>
      <w:pPr>
        <w:spacing w:after="0" w:line="224" w:lineRule="exact"/>
        <w:rPr>
          <w:sz w:val="20"/>
          <w:szCs w:val="20"/>
          <w:color w:val="auto"/>
        </w:rPr>
      </w:pPr>
    </w:p>
    <w:p>
      <w:pPr>
        <w:ind w:left="740" w:right="1879" w:hanging="631"/>
        <w:spacing w:after="0" w:line="237" w:lineRule="auto"/>
        <w:tabs>
          <w:tab w:leader="none" w:pos="720" w:val="left"/>
        </w:tabs>
        <w:rPr>
          <w:sz w:val="20"/>
          <w:szCs w:val="20"/>
          <w:color w:val="auto"/>
        </w:rPr>
      </w:pPr>
      <w:r>
        <w:rPr>
          <w:rFonts w:ascii="Courier New" w:cs="Courier New" w:eastAsia="Courier New" w:hAnsi="Courier New"/>
          <w:sz w:val="18"/>
          <w:szCs w:val="18"/>
          <w:color w:val="auto"/>
        </w:rPr>
        <w:t>4.3*</w:t>
        <w:tab/>
        <w:t>Registration Rights Agreement dated October 2, 2000 by and between Registrant, Goldman, Sachs &amp; Co., SG Cowen Securities Corporation and Salomon Smith Barney Inc. relating to the Registrant's 4.75% Convertible Subordinated Notes due 2005.</w:t>
      </w:r>
    </w:p>
    <w:p>
      <w:pPr>
        <w:spacing w:after="0" w:line="202"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Hale and Dorr LLP.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12.1* Statement of Computation of Ratios of Earnings to Fixed Charges.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23.1* Consent of Hale and Dorr LLP (included in Exhibit 5.1).</w:t>
      </w:r>
    </w:p>
    <w:p>
      <w:pPr>
        <w:spacing w:after="0" w:line="201"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24.1* Power of Attorney.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25.1* Statement of Eligibility of Trustee on Form 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w:t>
      </w:r>
    </w:p>
    <w:p>
      <w:pPr>
        <w:sectPr>
          <w:pgSz w:w="11900" w:h="16838" w:orient="portrait"/>
          <w:cols w:equalWidth="0" w:num="1">
            <w:col w:w="10219"/>
          </w:cols>
          <w:pgMar w:left="240" w:top="717" w:right="1440" w:bottom="1440" w:gutter="0" w:footer="0" w:header="0"/>
        </w:sectPr>
      </w:pPr>
    </w:p>
    <w:bookmarkStart w:id="60" w:name="page61"/>
    <w:bookmarkEnd w:id="60"/>
    <w:p>
      <w:pPr>
        <w:ind w:left="6540"/>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consent to the reference to our firm under the caption "Experts" in</w:t>
      </w:r>
    </w:p>
    <w:p>
      <w:pPr>
        <w:spacing w:after="0" w:line="238" w:lineRule="auto"/>
        <w:rPr>
          <w:sz w:val="20"/>
          <w:szCs w:val="20"/>
          <w:color w:val="auto"/>
        </w:rPr>
      </w:pPr>
      <w:r>
        <w:rPr>
          <w:rFonts w:ascii="Courier New" w:cs="Courier New" w:eastAsia="Courier New" w:hAnsi="Courier New"/>
          <w:sz w:val="18"/>
          <w:szCs w:val="18"/>
          <w:color w:val="auto"/>
        </w:rPr>
        <w:t>Amendment No. 1 to the Registration Statement (Form S-3 No. 333-48928) and</w:t>
      </w:r>
    </w:p>
    <w:p>
      <w:pPr>
        <w:spacing w:after="0"/>
        <w:rPr>
          <w:sz w:val="20"/>
          <w:szCs w:val="20"/>
          <w:color w:val="auto"/>
        </w:rPr>
      </w:pPr>
      <w:r>
        <w:rPr>
          <w:rFonts w:ascii="Courier New" w:cs="Courier New" w:eastAsia="Courier New" w:hAnsi="Courier New"/>
          <w:sz w:val="18"/>
          <w:szCs w:val="18"/>
          <w:color w:val="auto"/>
        </w:rPr>
        <w:t>related Prospectus of Analog Devices, Inc. for the registration of (i)</w:t>
      </w:r>
    </w:p>
    <w:p>
      <w:pPr>
        <w:spacing w:after="0" w:line="237" w:lineRule="auto"/>
        <w:rPr>
          <w:sz w:val="20"/>
          <w:szCs w:val="20"/>
          <w:color w:val="auto"/>
        </w:rPr>
      </w:pPr>
      <w:r>
        <w:rPr>
          <w:rFonts w:ascii="Courier New" w:cs="Courier New" w:eastAsia="Courier New" w:hAnsi="Courier New"/>
          <w:sz w:val="18"/>
          <w:szCs w:val="18"/>
          <w:color w:val="auto"/>
        </w:rPr>
        <w:t>$1,200,000,000 principal amount of its 4.75% Convertible Subordinated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2005 (the "Notes") and (ii) an aggregate of 9,246,720 shares of its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$.16 2/3 par value per share, issuable upon conversion of the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to the incorporation by reference therein of our report dated November 30,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with respect to the consolidated financial statements of Analog Devices,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 incorporated by reference in its Annual Report (Form 10-K) for the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October 30, 1999, and our report dated January 25, 2000 with respect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related financial statement schedule included therein, filed with the</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December 5, 2000</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1)"/>
      <w:numFmt w:val="decimal"/>
      <w:start w:val="2"/>
    </w:lvl>
  </w:abstractNum>
  <w:abstractNum w:abstractNumId="39">
    <w:nsid w:val="74DE0EE3"/>
    <w:multiLevelType w:val="hybridMultilevel"/>
    <w:lvl w:ilvl="0">
      <w:lvlJc w:val="left"/>
      <w:lvlText w:val="(%1)"/>
      <w:numFmt w:val="decimal"/>
      <w:start w:val="1"/>
    </w:lvl>
  </w:abstractNum>
  <w:abstractNum w:abstractNumId="40">
    <w:nsid w:val="68EBC550"/>
    <w:multiLevelType w:val="hybridMultilevel"/>
    <w:lvl w:ilvl="0">
      <w:lvlJc w:val="left"/>
      <w:lvlText w:val="(%1)"/>
      <w:numFmt w:val="decimal"/>
      <w:start w:val="2"/>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1)"/>
      <w:numFmt w:val="upperLetter"/>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1)"/>
      <w:numFmt w:val="decimal"/>
      <w:start w:val="3"/>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lvl w:ilvl="1">
      <w:lvlJc w:val="left"/>
      <w:lvlText w:val="(%2)"/>
      <w:numFmt w:val="lowerLetter"/>
      <w:start w:val="2"/>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1)"/>
      <w:numFmt w:val="decimal"/>
      <w:start w:val="1"/>
    </w:lvl>
  </w:abstractNum>
  <w:abstractNum w:abstractNumId="116">
    <w:nsid w:val="5046B5A9"/>
    <w:multiLevelType w:val="hybridMultilevel"/>
    <w:lvl w:ilvl="0">
      <w:lvlJc w:val="left"/>
      <w:lvlText w:val="(%1)"/>
      <w:numFmt w:val="decimal"/>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1)"/>
      <w:numFmt w:val="decimal"/>
      <w:start w:val="1"/>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
      <w:numFmt w:val="bullet"/>
      <w:start w:val="1"/>
    </w:lvl>
  </w:abstractNum>
  <w:abstractNum w:abstractNumId="130">
    <w:nsid w:val="BFFAE18"/>
    <w:multiLevelType w:val="hybridMultilevel"/>
    <w:lvl w:ilvl="0">
      <w:lvlJc w:val="left"/>
      <w:lvlText w:val="."/>
      <w:numFmt w:val="bullet"/>
      <w:start w:val="1"/>
    </w:lvl>
  </w:abstractNum>
  <w:abstractNum w:abstractNumId="131">
    <w:nsid w:val="E3E47A8"/>
    <w:multiLevelType w:val="hybridMultilevel"/>
    <w:lvl w:ilvl="0">
      <w:lvlJc w:val="left"/>
      <w:lvlText w:val="."/>
      <w:numFmt w:val="bullet"/>
      <w:start w:val="1"/>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1)"/>
      <w:numFmt w:val="decimal"/>
      <w:start w:val="1"/>
    </w:lvl>
  </w:abstractNum>
  <w:abstractNum w:abstractNumId="135">
    <w:nsid w:val="5551B9F3"/>
    <w:multiLevelType w:val="hybridMultilevel"/>
    <w:lvl w:ilvl="0">
      <w:lvlJc w:val="left"/>
      <w:lvlText w:val="(%1)"/>
      <w:numFmt w:val="lowerRoman"/>
      <w:start w:val="1"/>
    </w:lvl>
  </w:abstractNum>
  <w:abstractNum w:abstractNumId="136">
    <w:nsid w:val="24F6AB8E"/>
    <w:multiLevelType w:val="hybridMultilevel"/>
    <w:lvl w:ilvl="0">
      <w:lvlJc w:val="left"/>
      <w:lvlText w:val="*"/>
      <w:numFmt w:val="bullet"/>
      <w:start w:val="1"/>
    </w:lvl>
  </w:abstractNum>
  <w:abstractNum w:abstractNumId="137">
    <w:nsid w:val="634C574C"/>
    <w:multiLevelType w:val="hybridMultilevel"/>
    <w:lvl w:ilvl="0">
      <w:lvlJc w:val="left"/>
      <w:lvlText w:val="(%1)"/>
      <w:numFmt w:val="decimal"/>
      <w:start w:val="1"/>
    </w:lvl>
    <w:lvl w:ilvl="1">
      <w:lvlJc w:val="left"/>
      <w:lvlText w:val="(%2)"/>
      <w:numFmt w:val="lowerRoman"/>
      <w:start w:val="1"/>
    </w:lvl>
  </w:abstractNum>
  <w:abstractNum w:abstractNumId="138">
    <w:nsid w:val="24E99DD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2019-12-20T01:06:23Z</dcterms:created>
  <dcterms:modified xsi:type="dcterms:W3CDTF">2019-12-20T01:06:23Z</dcterms:modified>
</cp:coreProperties>
</file>