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-199390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October 31, 2015</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p>
      <w:pPr>
        <w:ind w:left="4340"/>
        <w:spacing w:after="0"/>
        <w:tabs>
          <w:tab w:leader="none" w:pos="68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9"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Commission File No. 1-7819</w:t>
      </w:r>
    </w:p>
    <w:p>
      <w:pPr>
        <w:spacing w:after="0" w:line="25" w:lineRule="exact"/>
        <w:rPr>
          <w:sz w:val="24"/>
          <w:szCs w:val="24"/>
          <w:color w:val="auto"/>
        </w:rPr>
      </w:pPr>
    </w:p>
    <w:p>
      <w:pPr>
        <w:jc w:val="center"/>
        <w:ind w:left="340"/>
        <w:spacing w:after="0"/>
        <w:rPr>
          <w:sz w:val="20"/>
          <w:szCs w:val="20"/>
          <w:color w:val="auto"/>
        </w:rPr>
      </w:pPr>
      <w:r>
        <w:rPr>
          <w:rFonts w:ascii="Arial" w:cs="Arial" w:eastAsia="Arial" w:hAnsi="Arial"/>
          <w:sz w:val="40"/>
          <w:szCs w:val="40"/>
          <w:b w:val="1"/>
          <w:bCs w:val="1"/>
          <w:color w:val="auto"/>
        </w:rPr>
        <w:t>Analog Devices, Inc.</w:t>
      </w:r>
    </w:p>
    <w:p>
      <w:pPr>
        <w:jc w:val="center"/>
        <w:ind w:left="34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6" w:lineRule="exact"/>
        <w:rPr>
          <w:sz w:val="24"/>
          <w:szCs w:val="24"/>
          <w:color w:val="auto"/>
        </w:rPr>
      </w:pPr>
    </w:p>
    <w:p>
      <w:pPr>
        <w:ind w:left="2260"/>
        <w:spacing w:after="0"/>
        <w:tabs>
          <w:tab w:leader="none" w:pos="8220" w:val="left"/>
        </w:tabs>
        <w:rPr>
          <w:sz w:val="20"/>
          <w:szCs w:val="20"/>
          <w:color w:val="auto"/>
        </w:rPr>
      </w:pPr>
      <w:r>
        <w:rPr>
          <w:rFonts w:ascii="Arial" w:cs="Arial" w:eastAsia="Arial" w:hAnsi="Arial"/>
          <w:sz w:val="16"/>
          <w:szCs w:val="16"/>
          <w:b w:val="1"/>
          <w:bCs w:val="1"/>
          <w:color w:val="auto"/>
        </w:rPr>
        <w:t>Massachusetts</w:t>
      </w:r>
      <w:r>
        <w:rPr>
          <w:sz w:val="20"/>
          <w:szCs w:val="20"/>
          <w:color w:val="auto"/>
        </w:rPr>
        <w:tab/>
      </w:r>
      <w:r>
        <w:rPr>
          <w:rFonts w:ascii="Arial" w:cs="Arial" w:eastAsia="Arial" w:hAnsi="Arial"/>
          <w:sz w:val="16"/>
          <w:szCs w:val="16"/>
          <w:b w:val="1"/>
          <w:bCs w:val="1"/>
          <w:color w:val="auto"/>
        </w:rPr>
        <w:t>04-2348234</w:t>
      </w:r>
    </w:p>
    <w:p>
      <w:pPr>
        <w:spacing w:after="0" w:line="81" w:lineRule="exact"/>
        <w:rPr>
          <w:sz w:val="24"/>
          <w:szCs w:val="24"/>
          <w:color w:val="auto"/>
        </w:rPr>
      </w:pPr>
    </w:p>
    <w:p>
      <w:pPr>
        <w:ind w:left="1000"/>
        <w:spacing w:after="0"/>
        <w:tabs>
          <w:tab w:leader="none" w:pos="7580" w:val="left"/>
        </w:tabs>
        <w:rPr>
          <w:sz w:val="20"/>
          <w:szCs w:val="20"/>
          <w:color w:val="auto"/>
        </w:rPr>
      </w:pPr>
      <w:r>
        <w:rPr>
          <w:rFonts w:ascii="Arial" w:cs="Arial" w:eastAsia="Arial" w:hAnsi="Arial"/>
          <w:sz w:val="14"/>
          <w:szCs w:val="14"/>
          <w:i w:val="1"/>
          <w:iCs w:val="1"/>
          <w:color w:val="auto"/>
        </w:rPr>
        <w:t>(State or other jurisdiction of incorporation or organization)</w:t>
      </w:r>
      <w:r>
        <w:rPr>
          <w:sz w:val="20"/>
          <w:szCs w:val="20"/>
          <w:color w:val="auto"/>
        </w:rPr>
        <w:tab/>
      </w:r>
      <w:r>
        <w:rPr>
          <w:rFonts w:ascii="Arial" w:cs="Arial" w:eastAsia="Arial" w:hAnsi="Arial"/>
          <w:sz w:val="13"/>
          <w:szCs w:val="13"/>
          <w:i w:val="1"/>
          <w:iCs w:val="1"/>
          <w:color w:val="auto"/>
        </w:rPr>
        <w:t>(I.R.S. Employer Identification No.)</w:t>
      </w:r>
    </w:p>
    <w:p>
      <w:pPr>
        <w:spacing w:after="0" w:line="384" w:lineRule="exact"/>
        <w:rPr>
          <w:sz w:val="24"/>
          <w:szCs w:val="24"/>
          <w:color w:val="auto"/>
        </w:rPr>
      </w:pPr>
    </w:p>
    <w:p>
      <w:pPr>
        <w:ind w:left="1480"/>
        <w:spacing w:after="0"/>
        <w:tabs>
          <w:tab w:leader="none" w:pos="8220" w:val="left"/>
        </w:tabs>
        <w:rPr>
          <w:sz w:val="20"/>
          <w:szCs w:val="20"/>
          <w:color w:val="auto"/>
        </w:rPr>
      </w:pPr>
      <w:r>
        <w:rPr>
          <w:rFonts w:ascii="Arial" w:cs="Arial" w:eastAsia="Arial" w:hAnsi="Arial"/>
          <w:sz w:val="16"/>
          <w:szCs w:val="16"/>
          <w:b w:val="1"/>
          <w:bCs w:val="1"/>
          <w:color w:val="auto"/>
        </w:rPr>
        <w:t>One Technology Way, Norwood, MA</w:t>
      </w:r>
      <w:r>
        <w:rPr>
          <w:sz w:val="20"/>
          <w:szCs w:val="20"/>
          <w:color w:val="auto"/>
        </w:rPr>
        <w:tab/>
      </w:r>
      <w:r>
        <w:rPr>
          <w:rFonts w:ascii="Arial" w:cs="Arial" w:eastAsia="Arial" w:hAnsi="Arial"/>
          <w:sz w:val="14"/>
          <w:szCs w:val="14"/>
          <w:b w:val="1"/>
          <w:bCs w:val="1"/>
          <w:color w:val="auto"/>
        </w:rPr>
        <w:t>02062-9106</w:t>
      </w:r>
    </w:p>
    <w:p>
      <w:pPr>
        <w:spacing w:after="0" w:line="81" w:lineRule="exact"/>
        <w:rPr>
          <w:sz w:val="24"/>
          <w:szCs w:val="24"/>
          <w:color w:val="auto"/>
        </w:rPr>
      </w:pPr>
    </w:p>
    <w:p>
      <w:pPr>
        <w:ind w:left="1620"/>
        <w:spacing w:after="0"/>
        <w:tabs>
          <w:tab w:leader="none" w:pos="8300" w:val="left"/>
        </w:tabs>
        <w:rPr>
          <w:sz w:val="20"/>
          <w:szCs w:val="20"/>
          <w:color w:val="auto"/>
        </w:rPr>
      </w:pPr>
      <w:r>
        <w:rPr>
          <w:rFonts w:ascii="Arial" w:cs="Arial" w:eastAsia="Arial" w:hAnsi="Arial"/>
          <w:sz w:val="14"/>
          <w:szCs w:val="14"/>
          <w:i w:val="1"/>
          <w:iCs w:val="1"/>
          <w:color w:val="auto"/>
        </w:rPr>
        <w:t>(Address of principal executive offices)</w:t>
      </w:r>
      <w:r>
        <w:rPr>
          <w:sz w:val="20"/>
          <w:szCs w:val="20"/>
          <w:color w:val="auto"/>
        </w:rPr>
        <w:tab/>
      </w:r>
      <w:r>
        <w:rPr>
          <w:rFonts w:ascii="Arial" w:cs="Arial" w:eastAsia="Arial" w:hAnsi="Arial"/>
          <w:sz w:val="13"/>
          <w:szCs w:val="13"/>
          <w:i w:val="1"/>
          <w:iCs w:val="1"/>
          <w:color w:val="auto"/>
        </w:rPr>
        <w:t>(Zip Code)</w:t>
      </w: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(781) 329-4700</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p>
      <w:pPr>
        <w:ind w:left="1520"/>
        <w:spacing w:after="0"/>
        <w:tabs>
          <w:tab w:leader="none" w:pos="7500" w:val="left"/>
        </w:tabs>
        <w:rPr>
          <w:sz w:val="20"/>
          <w:szCs w:val="20"/>
          <w:color w:val="auto"/>
        </w:rPr>
      </w:pPr>
      <w:r>
        <w:rPr>
          <w:rFonts w:ascii="Arial" w:cs="Arial" w:eastAsia="Arial" w:hAnsi="Arial"/>
          <w:sz w:val="16"/>
          <w:szCs w:val="16"/>
          <w:b w:val="1"/>
          <w:bCs w:val="1"/>
          <w:color w:val="auto"/>
        </w:rPr>
        <w:t>Common Stock $0.16 2/3 Par Value</w:t>
      </w:r>
      <w:r>
        <w:rPr>
          <w:sz w:val="20"/>
          <w:szCs w:val="20"/>
          <w:color w:val="auto"/>
        </w:rPr>
        <w:tab/>
      </w:r>
      <w:r>
        <w:rPr>
          <w:rFonts w:ascii="Arial" w:cs="Arial" w:eastAsia="Arial" w:hAnsi="Arial"/>
          <w:sz w:val="15"/>
          <w:szCs w:val="15"/>
          <w:b w:val="1"/>
          <w:bCs w:val="1"/>
          <w:color w:val="auto"/>
        </w:rPr>
        <w:t>NASDAQ Global Select Market</w:t>
      </w:r>
    </w:p>
    <w:p>
      <w:pPr>
        <w:spacing w:after="0" w:line="68" w:lineRule="exact"/>
        <w:rPr>
          <w:sz w:val="24"/>
          <w:szCs w:val="24"/>
          <w:color w:val="auto"/>
        </w:rPr>
      </w:pPr>
    </w:p>
    <w:p>
      <w:pPr>
        <w:ind w:left="2200"/>
        <w:spacing w:after="0"/>
        <w:tabs>
          <w:tab w:leader="none" w:pos="7280" w:val="left"/>
        </w:tabs>
        <w:rPr>
          <w:sz w:val="20"/>
          <w:szCs w:val="20"/>
          <w:color w:val="auto"/>
        </w:rPr>
      </w:pPr>
      <w:r>
        <w:rPr>
          <w:rFonts w:ascii="Arial" w:cs="Arial" w:eastAsia="Arial" w:hAnsi="Arial"/>
          <w:sz w:val="14"/>
          <w:szCs w:val="14"/>
          <w:i w:val="1"/>
          <w:iCs w:val="1"/>
          <w:color w:val="auto"/>
        </w:rPr>
        <w:t>Title of Each Class</w:t>
      </w:r>
      <w:r>
        <w:rPr>
          <w:sz w:val="20"/>
          <w:szCs w:val="20"/>
          <w:color w:val="auto"/>
        </w:rPr>
        <w:tab/>
      </w:r>
      <w:r>
        <w:rPr>
          <w:rFonts w:ascii="Arial" w:cs="Arial" w:eastAsia="Arial" w:hAnsi="Arial"/>
          <w:sz w:val="12"/>
          <w:szCs w:val="12"/>
          <w:i w:val="1"/>
          <w:iCs w:val="1"/>
          <w:color w:val="auto"/>
        </w:rPr>
        <w:t>Name of Each Exchange on Which Registered</w:t>
      </w:r>
    </w:p>
    <w:p>
      <w:pPr>
        <w:spacing w:after="0" w:line="15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None</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Title of Class</w:t>
      </w:r>
    </w:p>
    <w:p>
      <w:pPr>
        <w:spacing w:after="0" w:line="49" w:lineRule="exact"/>
        <w:rPr>
          <w:sz w:val="24"/>
          <w:szCs w:val="24"/>
          <w:color w:val="auto"/>
        </w:rPr>
      </w:pPr>
    </w:p>
    <w:p>
      <w:pPr>
        <w:ind w:left="340" w:right="2260"/>
        <w:spacing w:after="0" w:line="26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 Indicate by check mark if the registrant is not required to file reports pursuant to Section 13 or Section 15(d) of the Act. YES o NO </w:t>
      </w:r>
      <w:r>
        <w:rPr>
          <w:rFonts w:ascii="MS PGothic" w:cs="MS PGothic" w:eastAsia="MS PGothic" w:hAnsi="MS PGothic"/>
          <w:sz w:val="15"/>
          <w:szCs w:val="15"/>
          <w:color w:val="auto"/>
        </w:rPr>
        <w:t>☑</w:t>
      </w:r>
    </w:p>
    <w:p>
      <w:pPr>
        <w:spacing w:after="0" w:line="47" w:lineRule="exact"/>
        <w:rPr>
          <w:sz w:val="24"/>
          <w:szCs w:val="24"/>
          <w:color w:val="auto"/>
        </w:rPr>
      </w:pPr>
    </w:p>
    <w:p>
      <w:pPr>
        <w:ind w:right="5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48" w:lineRule="exact"/>
        <w:rPr>
          <w:sz w:val="24"/>
          <w:szCs w:val="24"/>
          <w:color w:val="auto"/>
        </w:rPr>
      </w:pPr>
    </w:p>
    <w:p>
      <w:pPr>
        <w:ind w:right="14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(Sec.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48" w:lineRule="exact"/>
        <w:rPr>
          <w:sz w:val="24"/>
          <w:szCs w:val="24"/>
          <w:color w:val="auto"/>
        </w:rPr>
      </w:pPr>
    </w:p>
    <w:p>
      <w:pPr>
        <w:ind w:right="60" w:firstLine="324"/>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(Sec.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48"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9" w:lineRule="exact"/>
        <w:rPr>
          <w:sz w:val="24"/>
          <w:szCs w:val="24"/>
          <w:color w:val="auto"/>
        </w:rPr>
      </w:pPr>
    </w:p>
    <w:p>
      <w:pPr>
        <w:ind w:left="260"/>
        <w:spacing w:after="0" w:line="184" w:lineRule="exact"/>
        <w:tabs>
          <w:tab w:leader="none" w:pos="2520" w:val="left"/>
          <w:tab w:leader="none" w:pos="5340" w:val="left"/>
          <w:tab w:leader="none" w:pos="85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4"/>
          <w:szCs w:val="14"/>
          <w:color w:val="auto"/>
        </w:rPr>
        <w:t>Smaller reporting company o</w:t>
      </w:r>
    </w:p>
    <w:p>
      <w:pPr>
        <w:spacing w:after="0" w:line="63" w:lineRule="exact"/>
        <w:rPr>
          <w:sz w:val="24"/>
          <w:szCs w:val="24"/>
          <w:color w:val="auto"/>
        </w:rPr>
      </w:pPr>
    </w:p>
    <w:p>
      <w:pPr>
        <w:ind w:left="4600"/>
        <w:spacing w:after="0"/>
        <w:rPr>
          <w:sz w:val="20"/>
          <w:szCs w:val="20"/>
          <w:color w:val="auto"/>
        </w:rPr>
      </w:pPr>
      <w:r>
        <w:rPr>
          <w:rFonts w:ascii="Arial" w:cs="Arial" w:eastAsia="Arial" w:hAnsi="Arial"/>
          <w:sz w:val="16"/>
          <w:szCs w:val="16"/>
          <w:color w:val="auto"/>
        </w:rPr>
        <w:t>(Do not check if a smaller reporting company)</w:t>
      </w:r>
    </w:p>
    <w:p>
      <w:pPr>
        <w:spacing w:after="0" w:line="56" w:lineRule="exact"/>
        <w:rPr>
          <w:sz w:val="24"/>
          <w:szCs w:val="24"/>
          <w:color w:val="auto"/>
        </w:rPr>
      </w:pPr>
    </w:p>
    <w:p>
      <w:pPr>
        <w:ind w:left="340"/>
        <w:spacing w:after="0" w:line="184" w:lineRule="exact"/>
        <w:tabs>
          <w:tab w:leader="none" w:pos="77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16" w:lineRule="exact"/>
        <w:rPr>
          <w:sz w:val="24"/>
          <w:szCs w:val="24"/>
          <w:color w:val="auto"/>
        </w:rPr>
      </w:pPr>
    </w:p>
    <w:p>
      <w:pPr>
        <w:ind w:right="120" w:firstLine="324"/>
        <w:spacing w:after="0" w:line="256"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was approximately $16,532,000,000 based on the last reported sale of the Common Stock on The NASDAQ Global Select Market on May 3, 2015. Shares of voting and non-voting stock beneficially owned by executive officers, directors and holders of more than 5% of the outstanding stock have been excluded from this calculation because such persons or institutions may be deemed affiliates. This determination of affiliate status is not a conclusive determination for other purposes.</w:t>
      </w:r>
    </w:p>
    <w:p>
      <w:pPr>
        <w:spacing w:after="0" w:line="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October 31, 2015, there were 312,060,682 shares of Common Stock, $0.16 2/3 par value per share, outstanding.</w:t>
      </w:r>
    </w:p>
    <w:p>
      <w:pPr>
        <w:spacing w:after="0" w:line="69"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26" w:lineRule="exact"/>
        <w:rPr>
          <w:sz w:val="24"/>
          <w:szCs w:val="24"/>
          <w:color w:val="auto"/>
        </w:rPr>
      </w:pPr>
    </w:p>
    <w:p>
      <w:pPr>
        <w:ind w:left="40"/>
        <w:spacing w:after="0"/>
        <w:tabs>
          <w:tab w:leader="none" w:pos="10220" w:val="left"/>
        </w:tabs>
        <w:rPr>
          <w:sz w:val="20"/>
          <w:szCs w:val="20"/>
          <w:color w:val="auto"/>
        </w:rPr>
      </w:pPr>
      <w:r>
        <w:rPr>
          <w:rFonts w:ascii="Arial" w:cs="Arial" w:eastAsia="Arial" w:hAnsi="Arial"/>
          <w:sz w:val="14"/>
          <w:szCs w:val="14"/>
          <w:b w:val="1"/>
          <w:bCs w:val="1"/>
          <w:color w:val="auto"/>
        </w:rPr>
        <w:t>Document Description</w:t>
      </w:r>
      <w:r>
        <w:rPr>
          <w:sz w:val="20"/>
          <w:szCs w:val="20"/>
          <w:color w:val="auto"/>
        </w:rPr>
        <w:tab/>
      </w:r>
      <w:r>
        <w:rPr>
          <w:rFonts w:ascii="Arial" w:cs="Arial" w:eastAsia="Arial" w:hAnsi="Arial"/>
          <w:sz w:val="13"/>
          <w:szCs w:val="13"/>
          <w:b w:val="1"/>
          <w:bCs w:val="1"/>
          <w:color w:val="auto"/>
        </w:rPr>
        <w:t>Form 10-K Part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72" w:right="259" w:bottom="1440" w:gutter="0" w:footer="0" w:header="0"/>
        </w:sectPr>
      </w:pPr>
    </w:p>
    <w:p>
      <w:pPr>
        <w:spacing w:after="0" w:line="68" w:lineRule="exact"/>
        <w:rPr>
          <w:sz w:val="24"/>
          <w:szCs w:val="24"/>
          <w:color w:val="auto"/>
        </w:rPr>
      </w:pPr>
    </w:p>
    <w:p>
      <w:pPr>
        <w:ind w:left="40"/>
        <w:spacing w:after="0"/>
        <w:tabs>
          <w:tab w:leader="none" w:pos="10640" w:val="left"/>
        </w:tabs>
        <w:rPr>
          <w:sz w:val="20"/>
          <w:szCs w:val="20"/>
          <w:color w:val="auto"/>
        </w:rPr>
      </w:pPr>
      <w:r>
        <w:rPr>
          <w:rFonts w:ascii="Arial" w:cs="Arial" w:eastAsia="Arial" w:hAnsi="Arial"/>
          <w:sz w:val="16"/>
          <w:szCs w:val="16"/>
          <w:color w:val="auto"/>
        </w:rPr>
        <w:t>Portions of the Registrant’s Proxy Statement for the Annual Meeting of Shareholders to be held March 9, 2016</w:t>
      </w:r>
      <w:r>
        <w:rPr>
          <w:sz w:val="20"/>
          <w:szCs w:val="20"/>
          <w:color w:val="auto"/>
        </w:rPr>
        <w:tab/>
      </w:r>
      <w:r>
        <w:rPr>
          <w:rFonts w:ascii="Arial" w:cs="Arial" w:eastAsia="Arial" w:hAnsi="Arial"/>
          <w:sz w:val="16"/>
          <w:szCs w:val="16"/>
          <w:color w:val="auto"/>
        </w:rPr>
        <w:t>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72"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3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This Annual Report on Form 10-K, including “Management’s Discussion and Analysis of Financial Condition and Results of Operations,”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our ability to successfully integrate acquired businesses and technologies;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our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3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Analog Devices, Inc. (we, Analog Devices or the Company) is a world leader in the design, manufacture and marketing of a broad portfolio of solutions that leverage high-performance analog, mixed-signal and digital signal processing technology, including integrated circuits (ICs), algorithms, software, and subsystems. Since our inception in 1965, we have focused on solving the engineering challenges associated with signal processing in virtually all types of electronic equipment. Our signal processing products play a fundamental role in converting, conditioning, and processing real-world phenomena such as temperature, pressure, sound, light, speed and motion into electrical signals to be used in a wide array of electronic devices. As new generations of applications, such as the Internet of Things, evolve, new needs for high-performance analog signal processing and digital signal processing (DSP) technology are generated. We focus on sensing, measurement, and connectivity challenges that apply to a diverse set of customers and markets. We combine data converters, amplifiers and linear products, radio frequency (RF) ICs, power management products, sensors based on micro-electro mechanical systems (MEMS) technology and other sensors, and processing products, including DSP, micro controllers and other processors, into technology platforms that we adapt to specific customer and market needs, leveraging our engineering investment across a broad base of customers.</w:t>
      </w:r>
    </w:p>
    <w:p>
      <w:pPr>
        <w:spacing w:after="0" w:line="7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focus on key strategic markets where our signal processing technology is often a critical differentiator in our customers’ products, in particular, the industrial, automotive, consumer and communications markets. Used by over 100,000 customers worldwide, our products are embedded inside many different types of electronic equipment including:</w:t>
      </w:r>
    </w:p>
    <w:p>
      <w:pPr>
        <w:sectPr>
          <w:pgSz w:w="11900" w:h="16838" w:orient="portrait"/>
          <w:cols w:equalWidth="0" w:num="1">
            <w:col w:w="11400"/>
          </w:cols>
          <w:pgMar w:left="240" w:top="580" w:right="259" w:bottom="1440" w:gutter="0" w:footer="0" w:header="0"/>
        </w:sectPr>
      </w:pP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Industrial process control systems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3280"/>
        <w:spacing w:after="0"/>
        <w:rPr>
          <w:sz w:val="20"/>
          <w:szCs w:val="20"/>
          <w:color w:val="auto"/>
        </w:rPr>
      </w:pPr>
      <w:r>
        <w:rPr>
          <w:rFonts w:ascii="Arial" w:cs="Arial" w:eastAsia="Arial" w:hAnsi="Arial"/>
          <w:sz w:val="16"/>
          <w:szCs w:val="16"/>
          <w:color w:val="auto"/>
        </w:rPr>
        <w:t>• Medical imaging equipment</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Factory automation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Patient monitoring devices</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Instrumentation and measurement systems</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color w:val="auto"/>
        </w:rPr>
        <w:t>• Wireless infrastructure equipment</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Energy management systems</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Arial" w:cs="Arial" w:eastAsia="Arial" w:hAnsi="Arial"/>
          <w:sz w:val="16"/>
          <w:szCs w:val="16"/>
          <w:color w:val="auto"/>
        </w:rPr>
        <w:t>• Networking equipment</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Aerospace and defense electronics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Optical systems</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Automobiles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Portable electronic devices</w:t>
      </w:r>
    </w:p>
    <w:p>
      <w:pPr>
        <w:spacing w:after="0" w:line="181"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right="80" w:firstLine="405"/>
        <w:spacing w:after="0" w:line="264" w:lineRule="auto"/>
        <w:rPr>
          <w:sz w:val="20"/>
          <w:szCs w:val="20"/>
          <w:color w:val="auto"/>
        </w:rPr>
      </w:pPr>
      <w:r>
        <w:rPr>
          <w:rFonts w:ascii="Arial" w:cs="Arial" w:eastAsia="Arial" w:hAnsi="Arial"/>
          <w:sz w:val="18"/>
          <w:szCs w:val="18"/>
          <w:color w:val="auto"/>
        </w:rPr>
        <w:t>We were incorporated in Massachusetts in 1965. Our headquarters are near Boston, in Norwood, Massachusetts. In addition, we have manufacturing facilities in Massachusetts, Ireland, and the Philippines, and have more than thirty design facilities worldwide. Our common stock is listed on The NASDAQ Global Select Market under the symbol ADI and is included in the Standard &amp; Poor’s 500 Index.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maintain a website with the address www.analog.com. We are not including the information contained on our website as a part of, or incorporating it by reference into, this Annual Report on Form 10-K. We make available free of charge through our website our Annual Reports on Form 10-K, Quarterly Reports on Form 10-Q and Current Reports on Form 8-K (including exhibits), and amendments to these reports, as soon as reasonably practicable after we electronically file such material with, or furnish such material to, the Securities and Exchange Commission (SEC). We also make available on our website our corporate governance guidelines, the charters for our audit committee, compensation committee, and nominating and corporate governance committee, our equity award granting policies, our code of business conduct and ethics which applies to our directors, officers and employees, and our related person transaction policy, and such information is available in print and free of charge to any shareholder of Analog Devices who requests it. In addition, we intend to disclose on our website any amendments to, or waivers from, our code of business conduct and ethics that are required to be publicly disclosed pursuant to rules of the SEC or NASDAQ.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3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Semiconductor components are the electronic building blocks used in electronic systems and equipment. These components are classified as either discrete devices, such as individual transistors, or ICs, in which a number of transistors and other elements are combined to form a more complicated electronic circuit. ICs may be divided into two general categories, digital and analog. Digital circuits, such as memory devices and microprocessors, generally process on-off electrical signals, represented by binary digits, “1” and “0”. In contrast, analog ICs monitor, condition, amplify or transform continuous analog signals associated with physical properties, such as temperature, pressure, weight, light, sound or motion, and play an important role in bridging between real world phenomena and a variety of electronic systems. Analog ICs also provide voltage regulation and power control to electronic systems.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0"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are organized in two business groups: the Industrial and Healthcare Business Group and the Communications and Automotive Business Group. These two groups align our technology offerings with the predominant markets served in order to facilitate decision making throughout our organization. The Industrial and Healthcare Business Group is responsible for the industrial, healthcare and consumer markets and the precision converters, high-performance linear and sensor technology areas. The Communications and Automotive Business Group is responsible for the communications infrastructure and automotive electronics markets, as well as the radio frequency/microwave, high-speed converters and digital signal processing technology areas. Our sales and marketing operations are integrated within these groups and are chartered with unifying the customer experience across direct, distribution, and digital channels. Manufacturing, finance, legal, and human resources are managed as separate functional operations providing support across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w:t>
      </w:r>
    </w:p>
    <w:p>
      <w:pPr>
        <w:spacing w:after="0" w:line="135"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design, manufacture and market a broad line of high-performance ICs that incorporate analog, mixed-signal and digital signal processing technologies. Our ICs are designed to address a wide range of real-world signal processing applications. We sell our ICs to tens of thousands of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We also focus on working with leading customers to design application-specific solutions. We begin with our existing core technologies, which leverage our data conversion, amplification, RF and microwave, MEMS, power management and DSP capabilities, and devise a solution to more closely meet the needs of a specific customer or group of customers. Because we have already developed the core technology platform for our general-purpose products, we can create application-specific solutions quickly.</w:t>
      </w:r>
    </w:p>
    <w:p>
      <w:pPr>
        <w:spacing w:after="0" w:line="8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produce and market a broad range of ICs and operate in one reportable segment based on the aggregation of six operating segments. The ICs sold by each of our operating segments are manufactured using similar semiconductor manufacturing processes and raw materials in either our own production facilities or by third-party wafer fabricators using proprietary processes. Our ICs are sold to customers globally through a direct sales force, third-party distributors, independent sales representatives and via our website. Our ten highest revenue products, in the aggregate, accounted for approximately 16% of our revenue for our fiscal year ended October 31, 2015 (fiscal 2015).</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Analog Products</w:t>
      </w:r>
    </w:p>
    <w:p>
      <w:pPr>
        <w:spacing w:after="0" w:line="131"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Our analog and mixed signal IC technology has been the foundation of our business for over four decades, and we are one of the world’s largest suppliers of high-performance analog ICs. Our analog signal processing ICs are primarily high-performance devices, offering higher dynamic range, greater bandwidth, and other enhanced features. We believe that the principal advantages these products have as compared to competitors’ products include higher accuracy, higher speed, lower cost per function, smaller size, lower power consumption and fewer components, resulting in improved performance and reliability. Our product portfolio includes several thousand analog ICs, any one of which can have as many as several hundred customers. Our analog ICs typically have long product life cycles. Our analog IC customers include original equipment manufacturers (OEMs) and customers who build electronic subsystems for integration into larger systems.</w:t>
      </w:r>
    </w:p>
    <w:p>
      <w:pPr>
        <w:spacing w:after="0" w:line="83"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i w:val="1"/>
          <w:iCs w:val="1"/>
          <w:color w:val="auto"/>
        </w:rPr>
        <w:t xml:space="preserve">Converters </w:t>
      </w:r>
      <w:r>
        <w:rPr>
          <w:rFonts w:ascii="Arial" w:cs="Arial" w:eastAsia="Arial" w:hAnsi="Arial"/>
          <w:sz w:val="17"/>
          <w:szCs w:val="17"/>
          <w:color w:val="auto"/>
        </w:rPr>
        <w:t>— We are a leading supplier of data converter products. Data converters translate real-world analog signals into digital data and also</w:t>
      </w:r>
      <w:r>
        <w:rPr>
          <w:rFonts w:ascii="Arial" w:cs="Arial" w:eastAsia="Arial" w:hAnsi="Arial"/>
          <w:sz w:val="17"/>
          <w:szCs w:val="17"/>
          <w:i w:val="1"/>
          <w:iCs w:val="1"/>
          <w:color w:val="auto"/>
        </w:rPr>
        <w:t xml:space="preserve"> </w:t>
      </w:r>
      <w:r>
        <w:rPr>
          <w:rFonts w:ascii="Arial" w:cs="Arial" w:eastAsia="Arial" w:hAnsi="Arial"/>
          <w:sz w:val="17"/>
          <w:szCs w:val="17"/>
          <w:color w:val="auto"/>
        </w:rPr>
        <w:t>translate digital data into analog signals. Data converters remain our largest and most diverse product family and an area where we are continuously innovating to enable our customers to redefine and differentiate their products. Our converter products combine sampling rates and accuracy with the low noise, power, price and small package size required by industrial, automotive, consumer, and communications electronics.</w:t>
      </w:r>
    </w:p>
    <w:p>
      <w:pPr>
        <w:spacing w:after="0" w:line="77"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i w:val="1"/>
          <w:iCs w:val="1"/>
          <w:color w:val="auto"/>
        </w:rPr>
        <w:t xml:space="preserve">Amplifiers/Radio Frequency </w:t>
      </w:r>
      <w:r>
        <w:rPr>
          <w:rFonts w:ascii="Arial" w:cs="Arial" w:eastAsia="Arial" w:hAnsi="Arial"/>
          <w:sz w:val="17"/>
          <w:szCs w:val="17"/>
          <w:color w:val="auto"/>
        </w:rPr>
        <w:t>— We are also a leading supplier of high-performance amplifiers. Amplifiers are used to condition analog signals. High</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amplifiers emphasize the performance dimensions of speed and precision. Within this product portfolio we provide precision, instrumentation, high speed, intermediate frequency/RF, broadband, and other amplifiers. We also offer an extensive portfolio of precision voltage references that are used in a wide variety of applications. Our analog product line also includes a broad portfolio of high performance RF ICs covering the entire RF signal chain, from industry-leading stand-alone RF function blocks such as phase locked loops, frequency synthesizers, mixers, modulators, demodulators, and power detectors, to highly integrated broadband and short-range single chip transceiver solutions. Our high performance RF ICs support the high performance requirements of cellular infrastructure and a broad range of applications in our target markets.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10" w:right="239" w:bottom="1440" w:gutter="0" w:footer="0" w:header="0"/>
        </w:sectPr>
      </w:pPr>
    </w:p>
    <w:bookmarkStart w:id="4" w:name="page5"/>
    <w:bookmarkEnd w:id="4"/>
    <w:p>
      <w:pPr>
        <w:ind w:right="40" w:firstLine="432"/>
        <w:spacing w:after="0" w:line="288" w:lineRule="auto"/>
        <w:rPr>
          <w:sz w:val="20"/>
          <w:szCs w:val="20"/>
          <w:color w:val="auto"/>
        </w:rPr>
      </w:pPr>
      <w:r>
        <w:rPr>
          <w:rFonts w:ascii="Arial" w:cs="Arial" w:eastAsia="Arial" w:hAnsi="Arial"/>
          <w:sz w:val="16"/>
          <w:szCs w:val="16"/>
          <w:i w:val="1"/>
          <w:iCs w:val="1"/>
          <w:color w:val="auto"/>
        </w:rPr>
        <w:t xml:space="preserve">Other Analog </w:t>
      </w:r>
      <w:r>
        <w:rPr>
          <w:rFonts w:ascii="Arial" w:cs="Arial" w:eastAsia="Arial" w:hAnsi="Arial"/>
          <w:sz w:val="16"/>
          <w:szCs w:val="16"/>
          <w:color w:val="auto"/>
        </w:rPr>
        <w:t>— Also within our analog technology portfolio are products that are based on MEMS technology. This technology enables us to build</w:t>
      </w:r>
      <w:r>
        <w:rPr>
          <w:rFonts w:ascii="Arial" w:cs="Arial" w:eastAsia="Arial" w:hAnsi="Arial"/>
          <w:sz w:val="16"/>
          <w:szCs w:val="16"/>
          <w:i w:val="1"/>
          <w:iCs w:val="1"/>
          <w:color w:val="auto"/>
        </w:rPr>
        <w:t xml:space="preserve"> </w:t>
      </w:r>
      <w:r>
        <w:rPr>
          <w:rFonts w:ascii="Arial" w:cs="Arial" w:eastAsia="Arial" w:hAnsi="Arial"/>
          <w:sz w:val="16"/>
          <w:szCs w:val="16"/>
          <w:color w:val="auto"/>
        </w:rPr>
        <w:t>extremely small sensors that incorporate an electromechanical structure and the supporting analog circuitry for conditioning signals obtained from the sensing element. Our MEMS product portfolio includes accelerometers used to sense acceleration, gyroscopes used to sense rotation and inertial measurement units used to sense multiple degrees of freedom combining multiple sensing types along multiple axes. The majority of our current revenue from MEMS products is derived from the automotive end market. In addition to our MEMS products, our other analog product category includes isolators that enable designers to implement isolation in designs without the cost, size, power, performance, and reliability constraints found with optocouplers. Our isolators have been designed into hundreds of applications, such as universal serial bus isolation in patient monitors, where it allows hospitals and physicians to adopt the latest advances in computer technology to supervise patient health and wirelessly transmit medical records. In smart metering applications, our isolators provide reliable electrostatic discharge performance that helps reduce meter tampering. Likewise, in satellites, where any malfunction can be catastrophic, our isolators help protect the power system while enabling designers to achieve small form factors.</w:t>
      </w:r>
    </w:p>
    <w:p>
      <w:pPr>
        <w:spacing w:after="0" w:line="75" w:lineRule="exact"/>
        <w:rPr>
          <w:sz w:val="20"/>
          <w:szCs w:val="20"/>
          <w:color w:val="auto"/>
        </w:rPr>
      </w:pPr>
    </w:p>
    <w:p>
      <w:pPr>
        <w:ind w:right="560" w:firstLine="432"/>
        <w:spacing w:after="0" w:line="259" w:lineRule="auto"/>
        <w:rPr>
          <w:sz w:val="20"/>
          <w:szCs w:val="20"/>
          <w:color w:val="auto"/>
        </w:rPr>
      </w:pPr>
      <w:r>
        <w:rPr>
          <w:rFonts w:ascii="Arial" w:cs="Arial" w:eastAsia="Arial" w:hAnsi="Arial"/>
          <w:sz w:val="18"/>
          <w:szCs w:val="18"/>
          <w:i w:val="1"/>
          <w:iCs w:val="1"/>
          <w:color w:val="auto"/>
        </w:rPr>
        <w:t xml:space="preserve">Power Management &amp; Reference </w:t>
      </w:r>
      <w:r>
        <w:rPr>
          <w:rFonts w:ascii="Arial" w:cs="Arial" w:eastAsia="Arial" w:hAnsi="Arial"/>
          <w:sz w:val="18"/>
          <w:szCs w:val="18"/>
          <w:color w:val="auto"/>
        </w:rPr>
        <w:t>— Power management and reference products make up the balance of our analog sales. Those products,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functions such as power conversion, driver monitoring, sequencing and energy management, are developed to complement analog signal chain components across core market segments from micro power, energy-sensitive battery applications to efficient, high performance power systems in infrastructure and industrial applications.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Digital Signal Processing Products</w:t>
      </w:r>
    </w:p>
    <w:p>
      <w:pPr>
        <w:spacing w:after="0" w:line="131" w:lineRule="exact"/>
        <w:rPr>
          <w:sz w:val="20"/>
          <w:szCs w:val="20"/>
          <w:color w:val="auto"/>
        </w:rPr>
      </w:pPr>
    </w:p>
    <w:p>
      <w:pPr>
        <w:jc w:val="both"/>
        <w:ind w:right="20" w:firstLine="432"/>
        <w:spacing w:after="0" w:line="288" w:lineRule="auto"/>
        <w:rPr>
          <w:sz w:val="20"/>
          <w:szCs w:val="20"/>
          <w:color w:val="auto"/>
        </w:rPr>
      </w:pPr>
      <w:r>
        <w:rPr>
          <w:rFonts w:ascii="Arial" w:cs="Arial" w:eastAsia="Arial" w:hAnsi="Arial"/>
          <w:sz w:val="16"/>
          <w:szCs w:val="16"/>
          <w:color w:val="auto"/>
        </w:rPr>
        <w:t>Digital Signal Processing products (DSPs) complete our product portfolio. DSPs are optimized for high-speed numeric calculations, which are essential for instantaneous, or real-time, processing of digital data generated, in most cases, from analog to digital signal conversion. Our DSPs are designed to be fully programmable and to efficiently execute specialized software programs, or algorithms, associated with processing digitized real-time, real-world data.</w:t>
      </w:r>
    </w:p>
    <w:p>
      <w:pPr>
        <w:ind w:right="80"/>
        <w:spacing w:after="0" w:line="269" w:lineRule="auto"/>
        <w:rPr>
          <w:sz w:val="20"/>
          <w:szCs w:val="20"/>
          <w:color w:val="auto"/>
        </w:rPr>
      </w:pPr>
      <w:r>
        <w:rPr>
          <w:rFonts w:ascii="Arial" w:cs="Arial" w:eastAsia="Arial" w:hAnsi="Arial"/>
          <w:sz w:val="17"/>
          <w:szCs w:val="17"/>
          <w:color w:val="auto"/>
        </w:rPr>
        <w:t>Programmable DSPs are designed to provide the flexibility to modify the device’s function quickly and inexpensively using software. Our general-purpose DSP IC customers typically write their own algorithms using software development tools provided by us and third-party suppliers. Our DSPs are designed in families of products that share common architectures and therefore can execute the same software across a range of products. We support these products with easy-to-use development tools, which are designed to reduce our customers’ product development costs and time-to-market. Our customers use our products to solve a wide range of signal processing challenges across our core market and segment focus areas within the industrial, automotive, consumer and communications end markets. As an integrated part of our customers' signal chain, there are typically many other Analog Devices products connected to our processors, including converters, audio and video codecs and power management solutions.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Markets and Applications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breakdown of our fiscal 2015 revenue by end market is set out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r>
      <w:tr>
        <w:trPr>
          <w:trHeight w:val="270"/>
        </w:trPr>
        <w:tc>
          <w:tcPr>
            <w:tcW w:w="9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2015</w:t>
            </w:r>
          </w:p>
        </w:tc>
      </w:tr>
      <w:tr>
        <w:trPr>
          <w:trHeight w:val="276"/>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End Market</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Industrial</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44%</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Automotive</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Consumer</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21%</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Communications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20%</w:t>
            </w:r>
          </w:p>
        </w:tc>
      </w:tr>
    </w:tbl>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describes some of the characteristics of, and customer products within, our major end markets: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Industrial </w:t>
      </w:r>
      <w:r>
        <w:rPr>
          <w:rFonts w:ascii="Arial" w:cs="Arial" w:eastAsia="Arial" w:hAnsi="Arial"/>
          <w:sz w:val="18"/>
          <w:szCs w:val="18"/>
          <w:color w:val="auto"/>
        </w:rPr>
        <w:t>— Our industrial market includes the following sectors:</w:t>
      </w:r>
    </w:p>
    <w:p>
      <w:pPr>
        <w:spacing w:after="0" w:line="13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Industrial and Instrumentation </w:t>
      </w:r>
      <w:r>
        <w:rPr>
          <w:rFonts w:ascii="Arial" w:cs="Arial" w:eastAsia="Arial" w:hAnsi="Arial"/>
          <w:sz w:val="18"/>
          <w:szCs w:val="18"/>
          <w:color w:val="auto"/>
        </w:rPr>
        <w:t>— Our industrial automation applications generally require ICs that offer performance greater than that available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commodity-level ICs but generally do not have production volumes that warrant custom ICs. There is a trend towards development of products focused on particular sub-applications, which incorporate combinations of analog, mixed-signal, and DSP ICs to achieve the necessary functionality. Our instrumentation customers differentiate themselves by using the highest performance analog and mixed-signal ICs available. Our industrial and instrumentation market includes applications such as:</w:t>
      </w:r>
    </w:p>
    <w:p>
      <w:pPr>
        <w:sectPr>
          <w:pgSz w:w="11900" w:h="16838" w:orient="portrait"/>
          <w:cols w:equalWidth="0" w:num="1">
            <w:col w:w="11420"/>
          </w:cols>
          <w:pgMar w:left="240" w:top="706" w:right="239" w:bottom="1440" w:gutter="0" w:footer="0" w:header="0"/>
        </w:sectPr>
      </w:pPr>
    </w:p>
    <w:p>
      <w:pPr>
        <w:spacing w:after="0" w:line="134" w:lineRule="exact"/>
        <w:rPr>
          <w:sz w:val="20"/>
          <w:szCs w:val="20"/>
          <w:color w:val="auto"/>
        </w:rPr>
      </w:pPr>
    </w:p>
    <w:p>
      <w:pPr>
        <w:ind w:left="40"/>
        <w:spacing w:after="0"/>
        <w:rPr>
          <w:sz w:val="20"/>
          <w:szCs w:val="20"/>
          <w:color w:val="auto"/>
        </w:rPr>
      </w:pPr>
      <w:r>
        <w:rPr>
          <w:rFonts w:ascii="Arial" w:cs="Arial" w:eastAsia="Arial" w:hAnsi="Arial"/>
          <w:sz w:val="15"/>
          <w:szCs w:val="15"/>
          <w:color w:val="auto"/>
        </w:rPr>
        <w:t>• Process control systems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4340"/>
        <w:spacing w:after="0"/>
        <w:rPr>
          <w:sz w:val="20"/>
          <w:szCs w:val="20"/>
          <w:color w:val="auto"/>
        </w:rPr>
      </w:pPr>
      <w:r>
        <w:rPr>
          <w:rFonts w:ascii="Arial" w:cs="Arial" w:eastAsia="Arial" w:hAnsi="Arial"/>
          <w:sz w:val="16"/>
          <w:szCs w:val="16"/>
          <w:color w:val="auto"/>
        </w:rPr>
        <w:t>• Oscilloscopes</w:t>
      </w:r>
    </w:p>
    <w:p>
      <w:pPr>
        <w:spacing w:after="0" w:line="86"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Robotics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Lab, chemical, and environmental analyzers</w:t>
      </w:r>
    </w:p>
    <w:p>
      <w:pPr>
        <w:spacing w:after="0" w:line="86"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Environmental control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Weigh scales</w:t>
      </w:r>
    </w:p>
    <w:p>
      <w:pPr>
        <w:spacing w:after="0" w:line="211"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06" w:right="239" w:bottom="1440" w:gutter="0" w:footer="0" w:header="0"/>
          <w:type w:val="continuous"/>
        </w:sectPr>
      </w:pPr>
    </w:p>
    <w:bookmarkStart w:id="5" w:name="page6"/>
    <w:bookmarkEnd w:id="5"/>
    <w:p>
      <w:pPr>
        <w:ind w:right="80" w:firstLine="432"/>
        <w:spacing w:after="0" w:line="276" w:lineRule="auto"/>
        <w:rPr>
          <w:sz w:val="20"/>
          <w:szCs w:val="20"/>
          <w:color w:val="auto"/>
        </w:rPr>
      </w:pPr>
      <w:r>
        <w:rPr>
          <w:rFonts w:ascii="Arial" w:cs="Arial" w:eastAsia="Arial" w:hAnsi="Arial"/>
          <w:sz w:val="17"/>
          <w:szCs w:val="17"/>
          <w:i w:val="1"/>
          <w:iCs w:val="1"/>
          <w:color w:val="auto"/>
        </w:rPr>
        <w:t xml:space="preserve">Defense/Aerospace </w:t>
      </w:r>
      <w:r>
        <w:rPr>
          <w:rFonts w:ascii="Arial" w:cs="Arial" w:eastAsia="Arial" w:hAnsi="Arial"/>
          <w:sz w:val="17"/>
          <w:szCs w:val="17"/>
          <w:color w:val="auto"/>
        </w:rPr>
        <w:t>— The defense, commercial avionics and space markets all require high-performance ICs that meet rigorous environmental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reliability specifications. Many of our analog ICs can be supplied in versions that meet these standards. In addition, many products can be supplied to meet the standards required for broadcast satellites and other commercial space applications. Most of our products sold in this market are specially tested versions of products derived from our standard product offering. As end systems are becoming more complex many of our customers in this market also look for sub-systems. We supply sub-systems to many of these customers.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Customer products include:</w:t>
      </w:r>
    </w:p>
    <w:p>
      <w:pPr>
        <w:sectPr>
          <w:pgSz w:w="11900" w:h="16838" w:orient="portrait"/>
          <w:cols w:equalWidth="0" w:num="1">
            <w:col w:w="11400"/>
          </w:cols>
          <w:pgMar w:left="240" w:top="706" w:right="25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Navigation systems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4260"/>
        <w:spacing w:after="0"/>
        <w:rPr>
          <w:sz w:val="20"/>
          <w:szCs w:val="20"/>
          <w:color w:val="auto"/>
        </w:rPr>
      </w:pPr>
      <w:r>
        <w:rPr>
          <w:rFonts w:ascii="Arial" w:cs="Arial" w:eastAsia="Arial" w:hAnsi="Arial"/>
          <w:sz w:val="15"/>
          <w:szCs w:val="15"/>
          <w:color w:val="auto"/>
        </w:rPr>
        <w:t>• Radar systems</w:t>
      </w:r>
    </w:p>
    <w:p>
      <w:pPr>
        <w:spacing w:after="0" w:line="97"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Space and satellite communications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Security devices</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Communication systems</w:t>
      </w:r>
    </w:p>
    <w:p>
      <w:pPr>
        <w:sectPr>
          <w:pgSz w:w="11900" w:h="16838" w:orient="portrait"/>
          <w:cols w:equalWidth="0" w:num="1">
            <w:col w:w="11400"/>
          </w:cols>
          <w:pgMar w:left="240" w:top="706" w:right="259" w:bottom="1440" w:gutter="0" w:footer="0" w:header="0"/>
          <w:type w:val="continuous"/>
        </w:sectPr>
      </w:pP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Energy Management </w:t>
      </w:r>
      <w:r>
        <w:rPr>
          <w:rFonts w:ascii="Arial" w:cs="Arial" w:eastAsia="Arial" w:hAnsi="Arial"/>
          <w:sz w:val="18"/>
          <w:szCs w:val="18"/>
          <w:color w:val="auto"/>
        </w:rPr>
        <w:t>— The desire to improve energy efficiency, conservation, reliability, and cleanliness is driving investments in renewable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power transmission and distribution systems, electric meters, and other innovative areas. The common characteristic behind these efforts is the addition of sensing, measurement, and communication technologies to electrical infrastructure. Our offerings include both standard and application-specific products and are used in applications such as:</w:t>
      </w:r>
    </w:p>
    <w:p>
      <w:pPr>
        <w:sectPr>
          <w:pgSz w:w="11900" w:h="16838" w:orient="portrait"/>
          <w:cols w:equalWidth="0" w:num="1">
            <w:col w:w="11400"/>
          </w:cols>
          <w:pgMar w:left="240" w:top="706" w:right="25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 Utility meters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Wind turbines</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Meter communication modules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Solar inverters</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Substation relays and automation equipment</w:t>
      </w:r>
    </w:p>
    <w:p>
      <w:pPr>
        <w:spacing w:after="0" w:line="20" w:lineRule="exact"/>
        <w:rPr>
          <w:sz w:val="20"/>
          <w:szCs w:val="20"/>
          <w:color w:val="auto"/>
        </w:rPr>
      </w:pPr>
      <w:r>
        <w:rPr>
          <w:sz w:val="20"/>
          <w:szCs w:val="20"/>
          <w:color w:val="auto"/>
        </w:rPr>
        <w:br w:type="column"/>
      </w:r>
    </w:p>
    <w:p>
      <w:pPr>
        <w:jc w:val="center"/>
        <w:ind w:right="2740"/>
        <w:spacing w:after="0"/>
        <w:rPr>
          <w:sz w:val="20"/>
          <w:szCs w:val="20"/>
          <w:color w:val="auto"/>
        </w:rPr>
      </w:pPr>
      <w:r>
        <w:rPr>
          <w:rFonts w:ascii="Arial" w:cs="Arial" w:eastAsia="Arial" w:hAnsi="Arial"/>
          <w:sz w:val="16"/>
          <w:szCs w:val="16"/>
          <w:color w:val="auto"/>
        </w:rPr>
        <w:t>• Building energy automation/control</w:t>
      </w:r>
    </w:p>
    <w:p>
      <w:pPr>
        <w:spacing w:after="0" w:line="181"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right="240" w:firstLine="432"/>
        <w:spacing w:after="0" w:line="257" w:lineRule="auto"/>
        <w:rPr>
          <w:sz w:val="20"/>
          <w:szCs w:val="20"/>
          <w:color w:val="auto"/>
        </w:rPr>
      </w:pPr>
      <w:r>
        <w:rPr>
          <w:rFonts w:ascii="Arial" w:cs="Arial" w:eastAsia="Arial" w:hAnsi="Arial"/>
          <w:sz w:val="18"/>
          <w:szCs w:val="18"/>
          <w:i w:val="1"/>
          <w:iCs w:val="1"/>
          <w:color w:val="auto"/>
        </w:rPr>
        <w:t xml:space="preserve">Healthcare </w:t>
      </w:r>
      <w:r>
        <w:rPr>
          <w:rFonts w:ascii="Arial" w:cs="Arial" w:eastAsia="Arial" w:hAnsi="Arial"/>
          <w:sz w:val="18"/>
          <w:szCs w:val="18"/>
          <w:color w:val="auto"/>
        </w:rPr>
        <w:t>— Two significant trends in the healthcare market today are the increasing need for higher channel counts in medical imaging systems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resolution and throughput while achieving a lower cost per channel, and the movement of highly accurate patient monitoring devices from the hospital environment to the home, improving patient care and reducing overall healthcare costs. Our innovative technologies are designed into a variety of high performance imaging, patient monitoring, medical instrumentation, and home health devices. Our offerings include both standard and application-specific products and are used in applications such as:</w:t>
      </w:r>
    </w:p>
    <w:p>
      <w:pPr>
        <w:sectPr>
          <w:pgSz w:w="11900" w:h="16838" w:orient="portrait"/>
          <w:cols w:equalWidth="0" w:num="1">
            <w:col w:w="11400"/>
          </w:cols>
          <w:pgMar w:left="240" w:top="706" w:right="259" w:bottom="1440" w:gutter="0" w:footer="0" w:header="0"/>
          <w:type w:val="continuous"/>
        </w:sectPr>
      </w:pP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 Ultrasound</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Infusion pumps</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CT scanners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Clinical lab instrumentation</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 Digital x-ray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Surgical instrumentation</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Multi-parameter patient monitors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Blood analyzers</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Pulse oximeters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Activity monitors</w:t>
      </w:r>
    </w:p>
    <w:p>
      <w:pPr>
        <w:spacing w:after="0" w:line="169"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right="300" w:firstLine="432"/>
        <w:spacing w:after="0" w:line="259" w:lineRule="auto"/>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 We develop differentiated high performance signal processing solutions that enable sophisticated automotive systems to be greener,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safer and smarter. Through collaboration with manufacturers worldwide, we have achieved significant market share through a broad portfolio of analog, digital and MEMS ICs that increase fuel efficiency, enhance vehicle stability and safety and improve the in cabin audio/video experience. Specifically, we have developed products used in applications such as: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Greener</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Safer</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Smarter</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Hybrid electric / electric vehicles</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Crash sensors in airbag systems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w w:val="91"/>
              </w:rPr>
              <w:t>Car audio, voice processing and connectivity</w:t>
            </w:r>
          </w:p>
        </w:tc>
      </w:tr>
      <w:tr>
        <w:trPr>
          <w:trHeight w:val="256"/>
        </w:trPr>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Battery monitoring and management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Electronic stability systems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rPr>
              <w:t>Video processing and connectivity</w:t>
            </w:r>
          </w:p>
        </w:tc>
      </w:tr>
      <w:tr>
        <w:trPr>
          <w:trHeight w:val="230"/>
        </w:trPr>
        <w:tc>
          <w:tcPr>
            <w:tcW w:w="24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systems</w:t>
            </w:r>
          </w:p>
        </w:tc>
        <w:tc>
          <w:tcPr>
            <w:tcW w:w="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56"/>
        </w:trPr>
        <w:tc>
          <w:tcPr>
            <w:tcW w:w="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Advanced driver assistance systems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rPr>
              <w:t>Car telematics</w:t>
            </w:r>
          </w:p>
        </w:tc>
      </w:tr>
      <w:tr>
        <w:trPr>
          <w:trHeight w:val="230"/>
        </w:trPr>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(RADAR)</w:t>
            </w:r>
          </w:p>
        </w:tc>
        <w:tc>
          <w:tcPr>
            <w:tcW w:w="280" w:type="dxa"/>
            <w:vAlign w:val="bottom"/>
          </w:tcPr>
          <w:p>
            <w:pPr>
              <w:spacing w:after="0"/>
              <w:rPr>
                <w:sz w:val="20"/>
                <w:szCs w:val="20"/>
                <w:color w:val="auto"/>
              </w:rPr>
            </w:pPr>
          </w:p>
        </w:tc>
        <w:tc>
          <w:tcPr>
            <w:tcW w:w="3460" w:type="dxa"/>
            <w:vAlign w:val="bottom"/>
          </w:tcPr>
          <w:p>
            <w:pPr>
              <w:spacing w:after="0"/>
              <w:rPr>
                <w:sz w:val="20"/>
                <w:szCs w:val="20"/>
                <w:color w:val="auto"/>
              </w:rPr>
            </w:pPr>
          </w:p>
        </w:tc>
      </w:tr>
    </w:tbl>
    <w:p>
      <w:pPr>
        <w:spacing w:after="0" w:line="13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b w:val="1"/>
          <w:bCs w:val="1"/>
          <w:i w:val="1"/>
          <w:iCs w:val="1"/>
          <w:color w:val="auto"/>
        </w:rPr>
        <w:t xml:space="preserve">Consumer </w:t>
      </w:r>
      <w:r>
        <w:rPr>
          <w:rFonts w:ascii="Arial" w:cs="Arial" w:eastAsia="Arial" w:hAnsi="Arial"/>
          <w:sz w:val="16"/>
          <w:szCs w:val="16"/>
          <w:color w:val="auto"/>
        </w:rPr>
        <w:t>— To address the market demand for state of the art personal and professional entertainment systems and the consumer demand for high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user interfaces, music, movies and photographs, we have developed analog, digital and mixed-signal solutions that meet the rigorous cost and time-to-market requirements of the consumer electronics market. The emergence of high-performance, feature-rich consumer products has created a market for our high-performance ICs with a high level of specific functionality that enables best in class user experience. These products include:</w:t>
      </w:r>
    </w:p>
    <w:p>
      <w:pPr>
        <w:sectPr>
          <w:pgSz w:w="11900" w:h="16838" w:orient="portrait"/>
          <w:cols w:equalWidth="0" w:num="1">
            <w:col w:w="11400"/>
          </w:cols>
          <w:pgMar w:left="240" w:top="706" w:right="259" w:bottom="1440" w:gutter="0" w:footer="0" w:header="0"/>
          <w:type w:val="continuous"/>
        </w:sectPr>
      </w:pPr>
    </w:p>
    <w:p>
      <w:pPr>
        <w:spacing w:after="0" w:line="10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 Portable devices (smart phones, tablets and wearable devices) for media and vital signs motoring applications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 Prosumer audio/video equipment</w:t>
      </w:r>
    </w:p>
    <w:p>
      <w:pPr>
        <w:spacing w:after="0" w:line="493" w:lineRule="exact"/>
        <w:rPr>
          <w:sz w:val="20"/>
          <w:szCs w:val="20"/>
          <w:color w:val="auto"/>
        </w:rPr>
      </w:pPr>
    </w:p>
    <w:p>
      <w:pPr>
        <w:sectPr>
          <w:pgSz w:w="11900" w:h="16838" w:orient="portrait"/>
          <w:cols w:equalWidth="0" w:num="2">
            <w:col w:w="4840" w:space="440"/>
            <w:col w:w="6120"/>
          </w:cols>
          <w:pgMar w:left="240" w:top="706" w:right="259" w:bottom="1440" w:gutter="0" w:footer="0" w:header="0"/>
          <w:type w:val="continuous"/>
        </w:sectPr>
      </w:pP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706" w:right="259" w:bottom="1440" w:gutter="0" w:footer="0" w:header="0"/>
          <w:type w:val="continuous"/>
        </w:sectPr>
      </w:pPr>
    </w:p>
    <w:bookmarkStart w:id="6" w:name="page7"/>
    <w:bookmarkEnd w:id="6"/>
    <w:p>
      <w:pPr>
        <w:ind w:right="20" w:firstLine="432"/>
        <w:spacing w:after="0" w:line="276" w:lineRule="auto"/>
        <w:rPr>
          <w:sz w:val="20"/>
          <w:szCs w:val="20"/>
          <w:color w:val="auto"/>
        </w:rPr>
      </w:pPr>
      <w:r>
        <w:rPr>
          <w:rFonts w:ascii="Arial" w:cs="Arial" w:eastAsia="Arial" w:hAnsi="Arial"/>
          <w:sz w:val="17"/>
          <w:szCs w:val="17"/>
          <w:b w:val="1"/>
          <w:bCs w:val="1"/>
          <w:i w:val="1"/>
          <w:iCs w:val="1"/>
          <w:color w:val="auto"/>
        </w:rPr>
        <w:t xml:space="preserve">Communications </w:t>
      </w:r>
      <w:r>
        <w:rPr>
          <w:rFonts w:ascii="Arial" w:cs="Arial" w:eastAsia="Arial" w:hAnsi="Arial"/>
          <w:sz w:val="17"/>
          <w:szCs w:val="17"/>
          <w:color w:val="auto"/>
        </w:rPr>
        <w:t>— The development of broadband, wireless and internet infrastructures around the world has created an important market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products. Communications technology involves the processing of signals that are converted from analog to digital and digital to analog form during the process of transmitting and receiving data. The need for higher speed and reduced power consumption, coupled with more reliable, bandwidth-efficient communications, creates demand for our products, which are used in the full spectrum of signal processing for internet protocol, video streaming and voice communication. In wireless and broadband communication applications, our products are incorporated into:</w:t>
      </w:r>
    </w:p>
    <w:p>
      <w:pPr>
        <w:sectPr>
          <w:pgSz w:w="11900" w:h="16838" w:orient="portrait"/>
          <w:cols w:equalWidth="0" w:num="1">
            <w:col w:w="11420"/>
          </w:cols>
          <w:pgMar w:left="240" w:top="706" w:right="239" w:bottom="1440" w:gutter="0" w:footer="0" w:header="0"/>
        </w:sectPr>
      </w:pPr>
    </w:p>
    <w:p>
      <w:pPr>
        <w:spacing w:after="0" w:line="119"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Cellular basestation equipment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Wired networking and data center equipment</w:t>
      </w:r>
    </w:p>
    <w:p>
      <w:pPr>
        <w:spacing w:after="0" w:line="85" w:lineRule="exact"/>
        <w:rPr>
          <w:sz w:val="20"/>
          <w:szCs w:val="20"/>
          <w:color w:val="auto"/>
        </w:rPr>
      </w:pPr>
    </w:p>
    <w:p>
      <w:pPr>
        <w:sectPr>
          <w:pgSz w:w="11900" w:h="16838" w:orient="portrait"/>
          <w:cols w:equalWidth="0" w:num="4">
            <w:col w:w="100" w:space="280"/>
            <w:col w:w="4760" w:space="720"/>
            <w:col w:w="80" w:space="380"/>
            <w:col w:w="5100"/>
          </w:cols>
          <w:pgMar w:left="240" w:top="706"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Wireless backhaul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Satellite systems</w:t>
      </w:r>
    </w:p>
    <w:p>
      <w:pPr>
        <w:spacing w:after="0" w:line="192" w:lineRule="exact"/>
        <w:rPr>
          <w:sz w:val="20"/>
          <w:szCs w:val="20"/>
          <w:color w:val="auto"/>
        </w:rPr>
      </w:pPr>
    </w:p>
    <w:p>
      <w:pPr>
        <w:sectPr>
          <w:pgSz w:w="11900" w:h="16838" w:orient="portrait"/>
          <w:cols w:equalWidth="0" w:num="4">
            <w:col w:w="100" w:space="280"/>
            <w:col w:w="4760" w:space="720"/>
            <w:col w:w="80" w:space="380"/>
            <w:col w:w="5100"/>
          </w:cols>
          <w:pgMar w:left="240" w:top="706" w:right="239" w:bottom="1440" w:gutter="0" w:footer="0" w:header="0"/>
          <w:type w:val="continuous"/>
        </w:sectPr>
      </w:pPr>
    </w:p>
    <w:p>
      <w:pPr>
        <w:ind w:firstLine="432"/>
        <w:spacing w:after="0" w:line="277" w:lineRule="auto"/>
        <w:rPr>
          <w:sz w:val="20"/>
          <w:szCs w:val="20"/>
          <w:color w:val="auto"/>
        </w:rPr>
      </w:pPr>
      <w:r>
        <w:rPr>
          <w:rFonts w:ascii="Arial" w:cs="Arial" w:eastAsia="Arial" w:hAnsi="Arial"/>
          <w:sz w:val="18"/>
          <w:szCs w:val="18"/>
          <w:color w:val="auto"/>
        </w:rPr>
        <w:t>See Note 4 in the Notes to Consolidated Financial Statements contained in Item 8 of this Annual Report on Form 10-K for further information about our products by end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Our markets are characterized by rapid technological changes and advances. Accordingly, we make substantial investments in the design and development of new products and manufacturing processes, and the improvement of existing products and manufacturing processes. We spent approximately $637 million during fiscal 2015 on the design, development and improvement of new and existing products and manufacturing processes, compared to approximately $560 million during the fiscal year ended November 1, 2014 (fiscal 2014) and approximately $513 million during the fiscal year ended November 2, 2013 (fiscal 2013).</w:t>
      </w:r>
    </w:p>
    <w:p>
      <w:pPr>
        <w:spacing w:after="0" w:line="94"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Our research and development strategy focuses on building technical leadership in core technology platforms, which include converters, amplifiers and RF and microwave, MEMS, power management, and DSP. In support of our research and development activities, we employ thousands of engineers involved in product and manufacturing process development throughout the world.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Intellectual Property Rights</w:t>
      </w:r>
    </w:p>
    <w:p>
      <w:pPr>
        <w:spacing w:after="0" w:line="135"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We seek to establish and maintain our proprietary rights in our technology and products through the use of patents, copyrights, mask works, trademarks and trade secrets. We have a program to file applications for and obtain patents, copyrights, mask works and trademarks in the United States and in selected foreign countries where we believe filing for such protection is appropriate. We also seek to maintain our trade secrets and confidential information by nondisclosure policies and through the use of appropriate confidentiality agreements. We have obtained a substantial number of patents and trademarks in the United States and in other countries. As of October 31, 2015, we held approximately 2,280 U.S. patents and approximately 635 non-provisional pending U.S. patent applications with expiration dates ranging from 2015 through 2034. There can be no assurance, however, that the rights obtained can be successfully enforced against infringing products in every jurisdiction. While our patents, copyrights, mask works, trademarks and trade secrets provide some advantage and protection, we believe our competitive position and future success is largely determined by such factors as the system and application knowledge, innovative skills, technological expertise and management ability and experience of our personnel; the range and success of new products being developed by us; our market brand recognition and ongoing marketing efforts; and customer service and technical support. It is generally our policy to seek patent protection for significant inventions that may be patented, though we may elect, in certain cases, not to seek patent protection even for significant inventions, if we determine other protection, such as maintaining the invention as a trade secret, to be more advantageous. We also have trademarks that are used in the conduct of our business to distinguish genuine Analog Devices products and we maintain cooperative advertising programs to promote our brands and identify products containing genuine Analog Devices components.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Channels</w:t>
      </w:r>
    </w:p>
    <w:p>
      <w:pPr>
        <w:spacing w:after="0" w:line="13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sell our products globally through a direct sales force, third-party distributors, independent sales representatives and via our website. We have direct sales offices, sales representatives and/or distributors in over 40 countries outside North America.</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support our worldwide sales efforts through our website and with extensive promotional programs that include editorial coverage and paid advertising in online and printed trade publications, webinars, social media and communities, promotional and training videos, direct mail programs, technical seminars and participation in trade shows. We publish, share and distribute technical content such as data sheets, application guides and catalogs. We maintain a staff of field application engineers who aid customers in incorporating our products into their products. In addition, we offer a variety of web-based tools that ease product selection and aid in the design process for our customers.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06" w:right="239" w:bottom="1440" w:gutter="0" w:footer="0" w:header="0"/>
          <w:type w:val="continuous"/>
        </w:sectPr>
      </w:pPr>
    </w:p>
    <w:bookmarkStart w:id="7" w:name="page8"/>
    <w:bookmarkEnd w:id="7"/>
    <w:p>
      <w:pPr>
        <w:ind w:right="40" w:firstLine="432"/>
        <w:spacing w:after="0" w:line="271" w:lineRule="auto"/>
        <w:rPr>
          <w:sz w:val="20"/>
          <w:szCs w:val="20"/>
          <w:color w:val="auto"/>
        </w:rPr>
      </w:pPr>
      <w:r>
        <w:rPr>
          <w:rFonts w:ascii="Arial" w:cs="Arial" w:eastAsia="Arial" w:hAnsi="Arial"/>
          <w:sz w:val="17"/>
          <w:szCs w:val="17"/>
          <w:color w:val="auto"/>
        </w:rPr>
        <w:t>We derived approximately 50% of our fiscal 2015 revenue from sales made through distributors. These distributors typically maintain an inventory of our products. Some of them also sell products that compete with our products, including those for which we are an alternate source. In all regions of the world, we defer revenue and the related cost of sales on shipments to distributors until the distributors resell the products to their customers. We make sales to distributors under agreements that allow distributors to receive price adjustment credits and to return qualifying products for credit, as determined by us, in order to reduce the amounts of slow-moving, discontinued or obsolete product from their inventory. These agreements limit such returns to a certain percentage of our shipments to that distributor during the prior quarter. In addition, distributors are allowed to return unsold products if we terminate the relationship with the distributor. Additional information relating to our sales to distributors is set forth in Note 2n in the Notes to Consolidated Financial Statements contained in Item 8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Information and Geographic Information</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operate and track our results in one reportable segment based on the aggregation of six operating segments.</w:t>
      </w:r>
    </w:p>
    <w:p>
      <w:pPr>
        <w:spacing w:after="0" w:line="13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Through subsidiaries and affiliates, we conduct business in numerous countries outside the United States. During fiscal 2015, we derived approximately 61% of our revenue from customers in international markets. Our international business is subject to risks customarily encountered in foreign operations, including fluctuations in foreign currency exchange rates and controls, import and export controls, and other laws, policies and regulations of foreign governments. Although we engage in hedging transactions to reduce our exposure to currency exchange rate fluctuations, our competitive position may be adversely affected by changes in the exchange rate of the United States dollar against other currencies.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Revenue by geographic region, based on the primary location of our customers' design activity for our products, for fiscal 2015 was as follow: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r>
      <w:tr>
        <w:trPr>
          <w:trHeight w:val="270"/>
        </w:trPr>
        <w:tc>
          <w:tcPr>
            <w:tcW w:w="9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2015</w:t>
            </w:r>
          </w:p>
        </w:tc>
      </w:tr>
      <w:tr>
        <w:trPr>
          <w:trHeight w:val="276"/>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Geographic Area</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39%</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Rest of North/South America</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3%</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27%</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Japan</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Rest of Asia</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7%</w:t>
            </w:r>
          </w:p>
        </w:tc>
      </w:tr>
    </w:tbl>
    <w:p>
      <w:pPr>
        <w:spacing w:after="0" w:line="13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For further detail regarding revenue and other financial information about our industry, segment and geographic areas, see our Consolidated Financial Statements and Note 4 in the related Notes contained in Item 8 of this Annual Report on Form 10-K. For a discussion of important risk factors that may materially affect us, see the Risk Factors contained in Item 1A of this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have over 100,000 customers worldwide. Our largest single customer represented approximately 13% of fiscal 2015 revenue. No sales to an individual customer accounted for more than 10% of fiscal 2014, or fiscal 2013 revenue. Our customers use hundreds of different types of our products in a wide range of applications spanning the industrial, automotive, consumer and communication markets. Our 20 largest customers accounted for approximately 39% of our fiscal 2015 revenue.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Sales to customers during our first fiscal quarter may be lower than other quarters due to plant shutdowns at some of our customers during the holiday season. In general, the seasonality for any specific period of time has not had a material impact on our results of operations. In addition, as explained in our risk factors contained in Item 1A of this Annual Report on Form 10-K, our revenue is more likely to be influenced on a quarter to quarter basis by cyclicality in the semiconductor industry.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0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Production and Raw Materials</w:t>
      </w:r>
    </w:p>
    <w:p>
      <w:pPr>
        <w:spacing w:after="0" w:line="1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Monolithic IC components are manufactured in a sequence of semiconductor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and ceramic and plastic used for packaging.</w:t>
      </w:r>
    </w:p>
    <w:p>
      <w:pPr>
        <w:spacing w:after="0" w:line="92"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We develop and employ a wide variety of proprietary manufacturing processes that are specifically tailored for use in fabricating high-performance analog, DSP, mixed-signal and MEMS ICs. We also use bipolar and complementary metal-oxide semiconductor, or CMOS, wafer fabrication processes.</w:t>
      </w:r>
    </w:p>
    <w:p>
      <w:pPr>
        <w:spacing w:after="0" w:line="2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IC products are fabricated both at our production facilities and by third-party wafer fabricators. Our products are manufactured in our own wafer fabrication facilities using proprietary processes and at third-party wafer-fabrication foundries using sub-micron digital CMOS processes. We currently source approximately 60% of our wafer requirements annually from third-party wafer fabrication foundries, primarily Taiwan Semiconductor Manufacturing Company (TSMC). We operate wafer fabrication facilities in Wilmington, Massachusetts and Limerick, Ireland. We also operate test facilities located in the Philippines and use third-party subcontractors for the assembly and testing of our products.</w:t>
      </w:r>
    </w:p>
    <w:p>
      <w:pPr>
        <w:spacing w:after="0" w:line="78"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Capital spending was approximately $154 million in fiscal 2015, compared with approximately $178 million in fiscal 2014. We expect capital expenditures for fiscal 2016 to be in the range of $140 million to $160 million.</w:t>
      </w:r>
    </w:p>
    <w:p>
      <w:pPr>
        <w:spacing w:after="0" w:line="7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products require a wide variety of components, raw materials and external foundry services, most of which we purchase from third-party suppliers. We have multiple sources for many of the components and materials that we purchase and incorporate into our products. However, a large portion of our external wafer purchases and foundry services are from a limited number of suppliers, primarily TSMC. If TSMC or any of our other key suppliers are unable or unwilling to manufacture and deliver sufficient quantities of components to us, on the time schedule and of the quality that we require, we may be forced to seek to engage additional or replacement suppliers, which could result in significant expenses and disruptions or delays in manufacturing, product development and shipment of product to our customers. Although we have experienced shortages of components, materials and external foundry services from time to time, these items have generally been available to us as needed.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35"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Backlog at the end of fiscal 2015 was approximately $626 million, up from approximately $538 million at the end of fiscal 2014. We define backlog as of a particular date to mean firm orders from a customer or distributor with a requested delivery date within thirteen weeks. Backlog is impacted by the tendency of customers to rely on shorter 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As is customary in the semiconductor industry, we allow most orders to be canceled or deliveries to be delayed by customers without significant penalty. Accordingly, we believe that our backlog at any time should not be used as an indication of our future revenue.</w:t>
      </w:r>
    </w:p>
    <w:p>
      <w:pPr>
        <w:spacing w:after="0" w:line="7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We typically do not have long-term sales contracts with our customers. In some of our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 As a result, we may incur inventory and manufacturing costs in advance of anticipated sales and are subject to the risk of cancellation of orders leading to a sharp reduction of sales and backlog. Further, those orders or forecasts may be for products that meet the customer’s unique requirements so that those canceled orders would, in addition, result in an inventory of unsaleable products, resulting in potential inventory write-offs. As a result of lengthy manufacturing cycles for some of our products that are subject to these uncertainties, the amount of unsaleable product could be substantial.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13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estimate that approximately 3% of our fiscal 2015 revenue was attributable to sales to the U.S. government and U.S. government contractors and subcontractors. Our government contract business is predominantly in the form of negotiated, firm, fixed-price subcontracts. Most of these contracts and subcontracts contain standard provisions relating to termination at the election of the U.S. government.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1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Acquisitions, Divestitures and Investments</w:t>
      </w:r>
    </w:p>
    <w:p>
      <w:pPr>
        <w:spacing w:after="0" w:line="13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An element of our business strategy involves expansion through the acquisition of businesses, assets, products or technologies that allow us to complement our existing product offerings, expand our market coverage, increase our engineering workforce or enhance our technological capabilities. From time to time, we consider acquisitions and divestitures that may strengthen our business.</w:t>
      </w:r>
    </w:p>
    <w:p>
      <w:pPr>
        <w:spacing w:after="0" w:line="18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July 22, 2014, we completed the acquisition of Hittite Microwave Corporation (Hittite), a company that designed and developed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October 31, 2013, we completed the sale of the assets and intellectual property related to our microphone product line to InvenSense,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(InvenSense). We received $100.0 million in cash for the assets and intellectual property at the closing.</w:t>
      </w:r>
    </w:p>
    <w:p>
      <w:pPr>
        <w:spacing w:after="0" w:line="11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Additional information relating to our acquisition and divestiture activities during fiscal years 2015, 2014 and 2013 is set forth in Note 6 and Note 17 of the Notes to Consolidated Financial Statements contained in Item 8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believe that competitive performance in the marketplace for signal processing products depends upon multiple factors, including technological innovation, strength of brand, diversity of product portfolio, product performance, technical support, delivery capabilities, customer service quality, reliability and price, with the relative importance of these factors varying among products, markets, and customers.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compete with a number of semiconductor companies in markets that are highly competitive. Our competitors include but are not limited to:</w:t>
      </w:r>
    </w:p>
    <w:p>
      <w:pPr>
        <w:sectPr>
          <w:pgSz w:w="11900" w:h="16838" w:orient="portrait"/>
          <w:cols w:equalWidth="0" w:num="1">
            <w:col w:w="11420"/>
          </w:cols>
          <w:pgMar w:left="240" w:top="810" w:right="239" w:bottom="1440" w:gutter="0" w:footer="0" w:header="0"/>
        </w:sectPr>
      </w:pP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 Robert Bosch GmbH</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 Maxim Integrated Products, Inc.</w:t>
      </w:r>
    </w:p>
    <w:p>
      <w:pPr>
        <w:spacing w:after="0" w:line="86"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Broadcom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Microchip Technology, Inc.</w:t>
      </w:r>
    </w:p>
    <w:p>
      <w:pPr>
        <w:spacing w:after="0" w:line="86"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Freescale Semiconductor, Inc.</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Arial" w:cs="Arial" w:eastAsia="Arial" w:hAnsi="Arial"/>
          <w:sz w:val="16"/>
          <w:szCs w:val="16"/>
          <w:color w:val="auto"/>
        </w:rPr>
        <w:t>• NXP Semiconductors</w:t>
      </w:r>
    </w:p>
    <w:p>
      <w:pPr>
        <w:spacing w:after="0" w:line="86"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Infineon Technologies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Texas Instruments, Inc.</w:t>
      </w:r>
    </w:p>
    <w:p>
      <w:pPr>
        <w:spacing w:after="0" w:line="86"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Linear Technology Corporation</w:t>
      </w:r>
    </w:p>
    <w:p>
      <w:pPr>
        <w:sectPr>
          <w:pgSz w:w="11900" w:h="16838" w:orient="portrait"/>
          <w:cols w:equalWidth="0" w:num="1">
            <w:col w:w="11420"/>
          </w:cols>
          <w:pgMar w:left="240" w:top="810" w:right="239" w:bottom="1440" w:gutter="0" w:footer="0" w:header="0"/>
          <w:type w:val="continuous"/>
        </w:sectPr>
      </w:pPr>
    </w:p>
    <w:p>
      <w:pPr>
        <w:spacing w:after="0" w:line="181"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We believe that our technical innovation emphasizing product performance and reliability, supported by our commitment to strong customer service and technical support, enables us to make a fundamental difference to our customers’ competitiveness in our chosen markets.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 Health and Safety</w:t>
      </w:r>
    </w:p>
    <w:p>
      <w:pPr>
        <w:spacing w:after="0" w:line="13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are committed to protecting the environment and the health and safety of our employees, customers and the public. We endeavor to adhere to applicable environmental, health and safety (EHS) regulatory and industry standards across all of our facilities, and to encourage pollution prevention, reduce our water and energy consumption, reduce waste generation, and strive towards continual improvement. We strive to achieve excellence in EHS management practices as an integral part of our total quality management system.</w:t>
      </w:r>
    </w:p>
    <w:p>
      <w:pPr>
        <w:spacing w:after="0" w:line="9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management systems are certified to ISO 14001, OHSAS 18001, ISO 9001 and TS16949. We are a member of the Electronic Industry Citizenship Coalition (EICC). Our Sustainability Report, first published in 2009, states our commitment to consuming less energy and applying fair labor standards, among other things. We are not including the information contained in our Sustainability Report in, or incorporating it by reference into this Annual Report on Form 10-K.</w:t>
      </w:r>
    </w:p>
    <w:p>
      <w:pPr>
        <w:spacing w:after="0" w:line="92"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Our manufacturing facilities are subject to numerous and increasingly strict federal, state, local and foreign EHS laws and regulations, particularly with respect to the transportation, storage, handling, use, emission, discharge and disposal of certain chemicals used or produced in the semiconductor manufacturing process. Our products are subject to increasingly stringent regulations regarding chemical content in jurisdictions where we sell products, including the Restriction of Hazardous Substances (RoHS) directive in the European Union and China and the Registration, Evaluation, Authorization and Restriction of Chemicals (REACH) directive in the European Union. Contracts with many of our customers reflect these and additional EHS compliance standards. Compliance with these laws and regulations has not had a material impact on our capital expenditures, earnings, financial condition or competitive position. There can be no assurance, however, that current or future environmental laws and regulations will not impose costly requirements upon us. Any failure by us to comply with applicable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10" w:right="239" w:bottom="1440" w:gutter="0" w:footer="0" w:header="0"/>
          <w:type w:val="continuous"/>
        </w:sectPr>
      </w:pPr>
    </w:p>
    <w:bookmarkStart w:id="10" w:name="page11"/>
    <w:bookmarkEnd w:id="10"/>
    <w:p>
      <w:pPr>
        <w:ind w:right="300"/>
        <w:spacing w:after="0" w:line="277" w:lineRule="auto"/>
        <w:rPr>
          <w:sz w:val="20"/>
          <w:szCs w:val="20"/>
          <w:color w:val="auto"/>
        </w:rPr>
      </w:pPr>
      <w:r>
        <w:rPr>
          <w:rFonts w:ascii="Arial" w:cs="Arial" w:eastAsia="Arial" w:hAnsi="Arial"/>
          <w:sz w:val="18"/>
          <w:szCs w:val="18"/>
          <w:color w:val="auto"/>
        </w:rPr>
        <w:t>environmental laws, regulations and contractual obligations could result in fines, suspension of production, the need to alter manufacturing processes and legal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of October 31, 2015, we employed approximately 9,700 individuals worldwide. Our future success depends in large part on the continued service of our key technical and senior management personnel, and on our ability to continue to attract, retain and motivate qualified employees, particularly those highly-skilled design, process, test and applications engineers involved in the design, support and manufacture of new and existing products and processes. We believe that relations with our employees are good; however, the competition for such personnel is intense, and the loss of key personnel could have a material adverse impact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706"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There is significant continuing uncertainty regarding the stability of global credit and financial markets. These economic uncertainties may lead consumers and businesses to postpone spending, which may cause our customers to cancel, decrease or delay their existing and future orders for our products and make it difficult for us to accurately forecast and plan our future business activities. Significant disruption to global credit and financial markets may also adversely affect our ability to access external financing sources on acceptable terms. Financial difficulties experienced by our customers could result in nonpayment or payment delays for previously purchased products, thereby increasing our credit risk exposure. Uncertainty regarding the future stability of the global credit and financial markets could cause the value of the currency in the affected markets to deteriorate, thus reducing the purchasing power of those customers. In addition, financial difficulties experienced by our suppliers or distributors could result in product delays, increased accounts receivable defaults and inventory challenges. During the past few years, many governments adopted stimulus or spending programs designed to ease the economic impact of the crisis. Some of our businesses benefited from these stimulus programs but there can be no assurance that such programs will continue in the future. If economic conditions deteriorate, we may record additional charges relating to restructuring costs or the impairment of assets and our business and results of operations could be materially and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net income and earnings per share are difficult to predict and may materially fluctuate.</w:t>
      </w:r>
    </w:p>
    <w:p>
      <w:pPr>
        <w:spacing w:after="0" w:line="90"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future revenue, gross margins, operating results, net income and earnings per share are difficult to predict and may be materially affected by a number of factors, including:</w:t>
      </w:r>
    </w:p>
    <w:p>
      <w:pPr>
        <w:spacing w:after="0" w:line="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customer demand for our products and/or for end products that incorporate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effective tax rates in the United States, Ireland or worldwide;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new product announcements or introductions by us, our customers or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15" w:lineRule="exact"/>
        <w:rPr>
          <w:rFonts w:ascii="Arial" w:cs="Arial" w:eastAsia="Arial" w:hAnsi="Arial"/>
          <w:sz w:val="17"/>
          <w:szCs w:val="17"/>
          <w:color w:val="auto"/>
        </w:rPr>
      </w:pPr>
    </w:p>
    <w:p>
      <w:pPr>
        <w:ind w:left="660" w:right="30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infrastructure spending by foreign governments, including China;</w:t>
      </w:r>
    </w:p>
    <w:p>
      <w:pPr>
        <w:spacing w:after="0" w:line="103" w:lineRule="exact"/>
        <w:rPr>
          <w:rFonts w:ascii="Arial" w:cs="Arial" w:eastAsia="Arial" w:hAnsi="Arial"/>
          <w:sz w:val="18"/>
          <w:szCs w:val="18"/>
          <w:color w:val="auto"/>
        </w:rPr>
      </w:pPr>
    </w:p>
    <w:p>
      <w:pPr>
        <w:ind w:left="660" w:right="8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the U.S. Government defense budget, changes in spending or budgetary priorities, a prolonged U.S. Government shutdown or delays in contract awards;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delay, reduction or cancellation of significant customer orders and our ability to manage inventory;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recruit, hire, retain and motivate adequate numbers of engineers and other qualified employees to meet the demands of our customers;</w:t>
      </w:r>
    </w:p>
    <w:p>
      <w:pPr>
        <w:spacing w:after="0" w:line="126" w:lineRule="exact"/>
        <w:rPr>
          <w:rFonts w:ascii="Arial" w:cs="Arial" w:eastAsia="Arial" w:hAnsi="Arial"/>
          <w:sz w:val="16"/>
          <w:szCs w:val="16"/>
          <w:color w:val="auto"/>
        </w:rPr>
      </w:pPr>
    </w:p>
    <w:p>
      <w:pPr>
        <w:ind w:left="660" w:right="48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including health insurance, pension plan and retirement plan contributions and retirement benefits;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significant litigation-related costs or product warranty and/or indemnity claims, including those not covered by our suppliers or insurers;</w:t>
      </w: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580" w:right="299" w:bottom="1440" w:gutter="0" w:footer="0" w:header="0"/>
        </w:sectPr>
      </w:pPr>
    </w:p>
    <w:bookmarkStart w:id="12" w:name="page13"/>
    <w:bookmarkEnd w:id="12"/>
    <w:p>
      <w:pPr>
        <w:ind w:left="660" w:right="20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government, environmental and social responsibility regulations; and</w:t>
      </w:r>
    </w:p>
    <w:p>
      <w:pPr>
        <w:spacing w:after="0" w:line="103" w:lineRule="exact"/>
        <w:rPr>
          <w:rFonts w:ascii="Arial" w:cs="Arial" w:eastAsia="Arial" w:hAnsi="Arial"/>
          <w:sz w:val="18"/>
          <w:szCs w:val="18"/>
          <w:color w:val="auto"/>
        </w:rPr>
      </w:pPr>
    </w:p>
    <w:p>
      <w:pPr>
        <w:ind w:left="660" w:right="320" w:hanging="328"/>
        <w:spacing w:after="0" w:line="38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government sanctions and other events beyond our control.</w:t>
      </w:r>
    </w:p>
    <w:p>
      <w:pPr>
        <w:spacing w:after="0" w:line="116"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do not meet the expectations of securities analysts or investors, the market price of our common stock may decline.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our effective tax rate and exposure to additional tax liabilities may adversely impact our results of operations.</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effective tax rate reflects the applicable tax rate in effect in the various tax jurisdictions around the world where our income is earned. Our effective tax rate in 2015 was below the U.S. federal statutory tax rate of 35%, primarily due to lower statutory tax rates applicable to our operations in the foreign jurisdictions in which we earn income. A number of factors may increase our future effective tax rate, including: new or revised tax laws or legislation (including proposed revisions to Irish tax laws) or the interpretation of such laws or legislation by governmental authorities; increases in tax rates in various jurisdictions; variation in the mix of jurisdictions in which our profits are earned and taxed; repatriation of non-U.S. earnings;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Any significant increase in our future effective tax rate could adversely impact our net income during future periods.</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Long-term contracts are not typical for us and incorrect forecasts or reductions, cancellations or delays in orders for our products could adversely affect our operating results.</w:t>
      </w:r>
    </w:p>
    <w:p>
      <w:pPr>
        <w:spacing w:after="0" w:line="3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which may fluctuate significantly on a quarterly or annual basis.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orders or forecasts for products that meet the customer’s unique requirements and that are canceled or unrealized orders would, in addition, result in an inventory of unsaleable products, causing potential inventory write-offs, and we may be unable to recover all of our costs incurred or committed.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2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35" w:lineRule="exact"/>
        <w:rPr>
          <w:sz w:val="20"/>
          <w:szCs w:val="20"/>
          <w:color w:val="auto"/>
        </w:rPr>
      </w:pPr>
    </w:p>
    <w:p>
      <w:pPr>
        <w:ind w:right="360" w:firstLine="432"/>
        <w:spacing w:after="0" w:line="276" w:lineRule="auto"/>
        <w:rPr>
          <w:sz w:val="20"/>
          <w:szCs w:val="20"/>
          <w:color w:val="auto"/>
        </w:rPr>
      </w:pPr>
      <w:r>
        <w:rPr>
          <w:rFonts w:ascii="Arial" w:cs="Arial" w:eastAsia="Arial" w:hAnsi="Arial"/>
          <w:sz w:val="17"/>
          <w:szCs w:val="17"/>
          <w:color w:val="auto"/>
        </w:rPr>
        <w:t>Our future success significantly depends on our continued ability to execute our business strategy, continue to improve our existing products and design, develop, produce and market innovative new products.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38" w:right="259" w:bottom="1440" w:gutter="0" w:footer="0" w:header="0"/>
        </w:sectPr>
      </w:pPr>
    </w:p>
    <w:bookmarkStart w:id="13" w:name="page14"/>
    <w:bookmarkEnd w:id="13"/>
    <w:p>
      <w:pPr>
        <w:spacing w:after="0" w:line="270" w:lineRule="auto"/>
        <w:rPr>
          <w:sz w:val="20"/>
          <w:szCs w:val="20"/>
          <w:color w:val="auto"/>
        </w:rPr>
      </w:pPr>
      <w:r>
        <w:rPr>
          <w:rFonts w:ascii="Arial" w:cs="Arial" w:eastAsia="Arial" w:hAnsi="Arial"/>
          <w:sz w:val="17"/>
          <w:szCs w:val="17"/>
          <w:color w:val="auto"/>
        </w:rPr>
        <w:t>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Some of our customers in these markets are less established, which could subject us to increased credit risk. There can be no assurance that the markets we serve and/or target based on our business strategy will grow in the future, that our existing and new products will meet the requirements of these markets, that our products, or the products in which our products are used,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face intense technological and pricing competition in the semiconductor industry, and we expect this competition to increase in the future, including from companies located outside of the United States.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emerging companies selling specialized products in markets we serve and entities outside of the U.S., including entities associated with efforts by foreign governments to create indigenous semiconductor industries.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assembly and test services, and transportation, and we generally cannot control their availability or conditions of supply.</w:t>
      </w:r>
    </w:p>
    <w:p>
      <w:pPr>
        <w:spacing w:after="0" w:line="3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rely, and plan to continue to rely, on suppliers, assembly and test subcontractors, freight carriers,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We currently source approximately 60% of our wafer requirements annually from third-party wafer fabrication foundries, primarily Taiwan Semiconductor Manufacturing Company, or TSMC</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additional or replacement suppliers or manufacturing processes are not available, we may also experience delays in product development or shipment which could, in turn, result in the temporary or permanent loss of customers.</w:t>
      </w:r>
    </w:p>
    <w:p>
      <w:pPr>
        <w:spacing w:after="0" w:line="1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35"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665" w:right="279" w:bottom="1440" w:gutter="0" w:footer="0" w:header="0"/>
        </w:sectPr>
      </w:pPr>
    </w:p>
    <w:bookmarkStart w:id="14" w:name="page15"/>
    <w:bookmarkEnd w:id="14"/>
    <w:p>
      <w:pPr>
        <w:ind w:right="360"/>
        <w:spacing w:after="0" w:line="264" w:lineRule="auto"/>
        <w:rPr>
          <w:sz w:val="20"/>
          <w:szCs w:val="20"/>
          <w:color w:val="auto"/>
        </w:rPr>
      </w:pPr>
      <w:r>
        <w:rPr>
          <w:rFonts w:ascii="Arial" w:cs="Arial" w:eastAsia="Arial" w:hAnsi="Arial"/>
          <w:sz w:val="18"/>
          <w:szCs w:val="18"/>
          <w:color w:val="auto"/>
        </w:rPr>
        <w:t>operations in a sufficiently timely manner, procure adequate resources and raw materials,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20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35"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also adversely affect our operating results.</w:t>
      </w:r>
    </w:p>
    <w:p>
      <w:pPr>
        <w:spacing w:after="0" w:line="3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22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We are involved in frequent litigation, including claims regarding intellectual property rights, which could be costly to bring or defend and could require us to redesign products or pay significant royalties.</w:t>
      </w:r>
    </w:p>
    <w:p>
      <w:pPr>
        <w:spacing w:after="0" w:line="3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We may incur costs and expenses relating to a recall of our customers’ products due to an alleged failure of components we supply. An adverse outcome in litigation or arbitration could have a material adverse effect on our financial position or on our operating results or cash flows in the period in which the dispute is resolved.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reverse engineer, use or disclose our technologies, products and processes. Moreover, the laws of foreign countries in which we design, manufacture, market and sell our products may afford little or no effective protection of our proprietary intellectual property.</w:t>
      </w:r>
    </w:p>
    <w:p>
      <w:pPr>
        <w:spacing w:after="0" w:line="13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adequate protection. We may not be able to obtain foreign patents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65" w:right="239" w:bottom="1440" w:gutter="0" w:footer="0" w:header="0"/>
        </w:sectPr>
      </w:pPr>
    </w:p>
    <w:bookmarkStart w:id="15" w:name="page16"/>
    <w:bookmarkEnd w:id="15"/>
    <w:p>
      <w:pPr>
        <w:jc w:val="both"/>
        <w:ind w:right="160"/>
        <w:spacing w:after="0" w:line="264" w:lineRule="auto"/>
        <w:rPr>
          <w:sz w:val="20"/>
          <w:szCs w:val="20"/>
          <w:color w:val="auto"/>
        </w:rPr>
      </w:pPr>
      <w:r>
        <w:rPr>
          <w:rFonts w:ascii="Arial" w:cs="Arial" w:eastAsia="Arial" w:hAnsi="Arial"/>
          <w:sz w:val="18"/>
          <w:szCs w:val="18"/>
          <w:color w:val="auto"/>
        </w:rPr>
        <w:t>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127"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significant disruption in, or breach in security of, our information technology systems could materially and adversely affect our business or reputation.</w:t>
      </w:r>
    </w:p>
    <w:p>
      <w:pPr>
        <w:spacing w:after="0" w:line="102" w:lineRule="exact"/>
        <w:rPr>
          <w:sz w:val="20"/>
          <w:szCs w:val="20"/>
          <w:color w:val="auto"/>
        </w:rPr>
      </w:pPr>
    </w:p>
    <w:p>
      <w:pPr>
        <w:ind w:firstLine="297"/>
        <w:spacing w:after="0" w:line="268" w:lineRule="auto"/>
        <w:rPr>
          <w:sz w:val="20"/>
          <w:szCs w:val="20"/>
          <w:color w:val="auto"/>
        </w:rPr>
      </w:pPr>
      <w:r>
        <w:rPr>
          <w:rFonts w:ascii="Arial" w:cs="Arial" w:eastAsia="Arial" w:hAnsi="Arial"/>
          <w:sz w:val="17"/>
          <w:szCs w:val="17"/>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user errors, catastrophes or other unforeseen events.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caused by computer viruses, illegal break-ins or hacking, sabotage, or acts of vandalism by third parties. Our security measures or those of our third party service providers may not detect or prevent security breaches. In addition, we provide our confidential and proprietary information to our strategic partners in certain cases where doing so is necessary to conduct our business. While we employ confidentiality agreements to protect such information, nonetheless those third parties may also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or suppliers, which could result in our suffering significant financial or reputational damage.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90"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and retain qualified personnel. We do not maintain any key person life insurance policy on any of our officers or employees.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3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including antitrust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Acquisitions also involve a number of risks, including:</w:t>
      </w:r>
    </w:p>
    <w:p>
      <w:pPr>
        <w:spacing w:after="0" w:line="6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or delay integrating acquired technologies, operations and personnel with our existing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transaction and integrating the assets;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746" w:right="259" w:bottom="1440" w:gutter="0" w:footer="0" w:header="0"/>
        </w:sectPr>
      </w:pPr>
    </w:p>
    <w:bookmarkStart w:id="16" w:name="page17"/>
    <w:bookmarkEnd w:id="16"/>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or more complex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which may be significant;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than expected or unexpected costs relating to or associated with an acquisition;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realizing synergies and growth prospects of an acquisition in a timely manner or at all;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risk of costly and time-consuming litigation.</w:t>
      </w:r>
    </w:p>
    <w:p>
      <w:pPr>
        <w:spacing w:after="0" w:line="212"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strategy, plans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02"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We, like many companies in the semiconductor industry, rely on supplies, services, internal manufacturing capacity, wafer fabrication foundries and other subcontractors in geologically unstable locations around the world. Earthquakes,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20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3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have significant operations and manufacturing facilities outside the United States, including in Ireland and the Philippines.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19" w:lineRule="exact"/>
        <w:rPr>
          <w:sz w:val="20"/>
          <w:szCs w:val="20"/>
          <w:color w:val="auto"/>
        </w:rPr>
      </w:pP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legal and economic changes or instability and civil unrest in foreign markets;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conversion risks and exchange rate and interest rate fluctuations;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disruption from terrorism and threats of terrorism and the response to them by the U.S. and its allies;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managerial complexities, including different employment practices and labor issues;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103" w:lineRule="exact"/>
        <w:rPr>
          <w:rFonts w:ascii="Arial" w:cs="Arial" w:eastAsia="Arial" w:hAnsi="Arial"/>
          <w:sz w:val="18"/>
          <w:szCs w:val="18"/>
          <w:color w:val="auto"/>
        </w:rPr>
      </w:pPr>
    </w:p>
    <w:p>
      <w:pPr>
        <w:ind w:left="560" w:hanging="160"/>
        <w:spacing w:after="0" w:line="405" w:lineRule="auto"/>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complex and varying government regulations and legal standards, particularly with respect to price protection, competition practices, export control regulations, customs and tax requirements, anti-boycott regulations, data privacy, intellectual property, anti-corruption and environmental compliance, including U.S. customs and export regulations, including International Traffic in Arms Regulations and the Foreign Corrupt Practices Act;</w:t>
      </w: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or pandemics;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disruptions and delays and increases in labor and transportation costs;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to foreign taxes, tariffs and freight rates;</w:t>
      </w:r>
    </w:p>
    <w:p>
      <w:pPr>
        <w:spacing w:after="0" w:line="103" w:lineRule="exact"/>
        <w:rPr>
          <w:rFonts w:ascii="Arial" w:cs="Arial" w:eastAsia="Arial" w:hAnsi="Arial"/>
          <w:sz w:val="18"/>
          <w:szCs w:val="18"/>
          <w:color w:val="auto"/>
        </w:rPr>
      </w:pPr>
    </w:p>
    <w:p>
      <w:pPr>
        <w:ind w:left="560" w:right="600" w:hanging="160"/>
        <w:spacing w:after="0" w:line="36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and travel restrictions or government sanctions, including restrictions imposed by the U.S. government on trading with parties in foreign countries;</w:t>
      </w: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raw material costs and energy costs;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collections and longer collection periods; and</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our foreign defined benefit pension plans.</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638" w:right="279" w:bottom="1440" w:gutter="0" w:footer="0" w:header="0"/>
        </w:sectPr>
      </w:pPr>
    </w:p>
    <w:bookmarkStart w:id="17" w:name="page18"/>
    <w:bookmarkEnd w:id="17"/>
    <w:p>
      <w:pPr>
        <w:ind w:right="100" w:firstLine="405"/>
        <w:spacing w:after="0" w:line="277" w:lineRule="auto"/>
        <w:rPr>
          <w:sz w:val="20"/>
          <w:szCs w:val="20"/>
          <w:color w:val="auto"/>
        </w:rPr>
      </w:pPr>
      <w:r>
        <w:rPr>
          <w:rFonts w:ascii="Arial" w:cs="Arial" w:eastAsia="Arial" w:hAnsi="Arial"/>
          <w:sz w:val="18"/>
          <w:szCs w:val="18"/>
          <w:color w:val="auto"/>
        </w:rPr>
        <w:t>Any of these risks, or any other risks related to international business operations, could materially adversely affect our business, financial condition and results of operations.</w:t>
      </w:r>
    </w:p>
    <w:p>
      <w:pPr>
        <w:spacing w:after="0" w:line="3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Many of these risks are present in China. While we expect to continue to expand our business and operations in China, our success in the Chinese markets may be adversely affected by China’s continuously evolving policies, laws and regulations, including those relating to taxation, import and export tariffs, currency controls, antitrust, the environment, indigenous innovation and the promotion of a domestic semiconductor industry, and intellectual property rights and enforcement and protection of those rights. Enforcement of existing laws or agreements may be inconsistent. In addition, changes in the political environment, governmental policies or U.S.-China relations could result in revisions to laws or regulations or their interpretation and enforcement, exposure of our proprietary intellectual property, increased taxation, and restrictions on imports, import duties or currency revaluations, which could have an adverse effect on our business plans and operating results.</w:t>
      </w:r>
    </w:p>
    <w:p>
      <w:pPr>
        <w:spacing w:after="0" w:line="43"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At October 31, 2015, our principal source of liquidity was $3.0 billion of cash and cash equivalents and short-term investments, of which approximately $657.8 million was held in the United States and the remaining balance was held outside the United States in various foreign subsidiaries. As we intend to reinvest our foreign earnings indefinitely, this cash held outside the United States is not readily available to meet our cash requirements in the United States. We require a substantial amount of cash in the United States for operating requirements, stock repurchases, cash dividends and acquisitions. If we are unable to address our U.S. cash requirements through operations, borrowings under our current credit facility, future debt or equity offerings or other sources of cash obtained at an acceptable cost, it may be necessary for us to consider repatriation of earnings that are permanently reinvested, and we may be required to pay additional taxes under current tax laws, which could have a material adverse effect on our results of operations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9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our operating results could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environmental, health and safety (EHS) regulations, which could increase our expenses and affect our operating results.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industry is subject to EHS requirements, particularly those environmental requirements that control and restrict the sourcing, use, transportation, emission, discharge, storage and disposal of certain chemicals, minerals, elements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alter the way our products are made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liability for damages and remediation; the imposition of regulatory penalties and civil and criminal fines; the suspension or termination of the development, manufacture, sale or use of certain of our products; changes to our manufacturing processes or a need to substitute materials that may cost more or be less available; damage to our reputation; and/or increased expenses associated with compliance, each of which could have a material adverse effect on our business and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government contracting regulations, we could suffer a loss of revenue or incur price adjustments or other penalties.</w:t>
      </w:r>
    </w:p>
    <w:p>
      <w:pPr>
        <w:spacing w:after="0" w:line="9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65" w:right="239" w:bottom="1440" w:gutter="0" w:footer="0" w:header="0"/>
        </w:sectPr>
      </w:pPr>
    </w:p>
    <w:bookmarkStart w:id="18" w:name="page19"/>
    <w:bookmarkEnd w:id="18"/>
    <w:p>
      <w:pPr>
        <w:ind w:right="160" w:firstLine="405"/>
        <w:spacing w:after="0" w:line="276" w:lineRule="auto"/>
        <w:rPr>
          <w:sz w:val="20"/>
          <w:szCs w:val="20"/>
          <w:color w:val="auto"/>
        </w:rPr>
      </w:pPr>
      <w:r>
        <w:rPr>
          <w:rFonts w:ascii="Arial" w:cs="Arial" w:eastAsia="Arial" w:hAnsi="Arial"/>
          <w:sz w:val="17"/>
          <w:szCs w:val="17"/>
          <w:color w:val="auto"/>
        </w:rPr>
        <w:t>In connection with our United States government business, we are also subject to government audits and to review and approval of our policies, procedures, and internal controls for compliance with procurement regulations and applicable laws. In certain circumstances, if we do not comply with the terms of a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3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senior unsecured notes.</w:t>
      </w:r>
    </w:p>
    <w:p>
      <w:pPr>
        <w:spacing w:after="0" w:line="3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April 2011, we issued in a public offering $375.0 million aggregate principal amount of 3.0% senior unsecured notes due April 15, 2016 (the 2016 Notes). In June 2013, we issued in a public offering $500.0 million aggregate principal amount of 2.875% senior unsecured notes due June 1, 2023 (the 2023 Notes and together with the 2016 Notes, the Notes).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31" w:lineRule="exact"/>
        <w:rPr>
          <w:sz w:val="20"/>
          <w:szCs w:val="20"/>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 including the Notes;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borrow under our existing revolving credit facility;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divert funds that would otherwise be invested in our operations;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repatriate earnings at higher tax rates that are permanently reinvested in foreign locations;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selected assets; or</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 or delay planned capital expenditures or operating expenditures.</w:t>
      </w:r>
    </w:p>
    <w:p>
      <w:pPr>
        <w:spacing w:after="0" w:line="21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Such measures might not be sufficient to enable us to service our debt, including the Notes, which could negatively impact our financial results. In addition, any such financing, refinancing or sale of assets might not be possible on economically favorable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and outstanding debt instruments may limit our activities.</w:t>
      </w:r>
    </w:p>
    <w:p>
      <w:pPr>
        <w:spacing w:after="0" w:line="9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Our current revolving credit facility and the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revolving credit facility requires us to maintain compliance with specified financial ratios. If we breach any of the covenants under our revolving credit facility or the indentures governing the Notes and do not obtain appropriate waivers, then, subject to applicable cure periods, our outstanding indebtedness thereunder could be declared immediately due and payable or we may be restricted from further borrowing under our revolving credit facility.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factors including:</w:t>
      </w:r>
    </w:p>
    <w:p>
      <w:pPr>
        <w:spacing w:after="0" w:line="8" w:lineRule="exact"/>
        <w:rPr>
          <w:sz w:val="20"/>
          <w:szCs w:val="20"/>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economic conditions generally;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746" w:right="319" w:bottom="1440" w:gutter="0" w:footer="0" w:header="0"/>
        </w:sectPr>
      </w:pPr>
    </w:p>
    <w:bookmarkStart w:id="19" w:name="page20"/>
    <w:bookmarkEnd w:id="19"/>
    <w:p>
      <w:pPr>
        <w:ind w:left="660" w:right="500" w:hanging="247"/>
        <w:spacing w:after="0" w:line="3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rumors and speculation in the press, investment community or on social media about us or other companies in our industry;</w:t>
      </w:r>
    </w:p>
    <w:p>
      <w:pPr>
        <w:spacing w:after="0" w:line="103" w:lineRule="exact"/>
        <w:rPr>
          <w:rFonts w:ascii="Arial" w:cs="Arial" w:eastAsia="Arial" w:hAnsi="Arial"/>
          <w:sz w:val="18"/>
          <w:szCs w:val="18"/>
          <w:color w:val="auto"/>
        </w:rPr>
      </w:pPr>
    </w:p>
    <w:p>
      <w:pPr>
        <w:ind w:left="660" w:right="520" w:hanging="247"/>
        <w:spacing w:after="0" w:line="3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products, technical innovations, material transactions, acquisitions or dispositions, litigation, capital commitments or revised earnings estimates;</w:t>
      </w: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212"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1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directors and executive officers periodically sell shares of our common stock in the market, including pursuant to Rule 10b5-1 trading plans. Regardless of the individual's reasons for such sales, securities analysts and investors could view such sales as a negative indicator and our stock price could be adversely affected as a result.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corporate headquarters is located in Norwood, Massachusetts. Manufacturing and other operations are conducted in several locations worldwide.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certain information about our principal general offices and manufacturing facilities: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gridSpan w:val="2"/>
          </w:tcPr>
          <w:p>
            <w:pPr>
              <w:ind w:left="420"/>
              <w:spacing w:after="0"/>
              <w:rPr>
                <w:sz w:val="20"/>
                <w:szCs w:val="20"/>
                <w:color w:val="auto"/>
              </w:rPr>
            </w:pPr>
            <w:r>
              <w:rPr>
                <w:rFonts w:ascii="Arial" w:cs="Arial" w:eastAsia="Arial" w:hAnsi="Arial"/>
                <w:sz w:val="14"/>
                <w:szCs w:val="14"/>
                <w:b w:val="1"/>
                <w:bCs w:val="1"/>
                <w:color w:val="auto"/>
              </w:rPr>
              <w:t>Principal Properties</w:t>
            </w:r>
          </w:p>
        </w:tc>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234"/>
              <w:spacing w:after="0"/>
              <w:rPr>
                <w:sz w:val="20"/>
                <w:szCs w:val="20"/>
                <w:color w:val="auto"/>
              </w:rPr>
            </w:pPr>
            <w:r>
              <w:rPr>
                <w:rFonts w:ascii="Arial" w:cs="Arial" w:eastAsia="Arial" w:hAnsi="Arial"/>
                <w:sz w:val="14"/>
                <w:szCs w:val="14"/>
                <w:b w:val="1"/>
                <w:bCs w:val="1"/>
                <w:color w:val="auto"/>
              </w:rPr>
              <w:t>Approximate</w:t>
            </w:r>
          </w:p>
        </w:tc>
      </w:tr>
      <w:tr>
        <w:trPr>
          <w:trHeight w:val="276"/>
        </w:trPr>
        <w:tc>
          <w:tcPr>
            <w:tcW w:w="20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Owned:</w:t>
            </w:r>
          </w:p>
        </w:tc>
        <w:tc>
          <w:tcPr>
            <w:tcW w:w="120" w:type="dxa"/>
            <w:vAlign w:val="bottom"/>
            <w:tcBorders>
              <w:bottom w:val="single" w:sz="8" w:color="CCEEFF"/>
            </w:tcBorders>
          </w:tcPr>
          <w:p>
            <w:pPr>
              <w:spacing w:after="0"/>
              <w:rPr>
                <w:sz w:val="24"/>
                <w:szCs w:val="24"/>
                <w:color w:val="auto"/>
              </w:rPr>
            </w:pPr>
          </w:p>
        </w:tc>
        <w:tc>
          <w:tcPr>
            <w:tcW w:w="7640" w:type="dxa"/>
            <w:vAlign w:val="bottom"/>
            <w:tcBorders>
              <w:bottom w:val="single" w:sz="8" w:color="auto"/>
            </w:tcBorders>
          </w:tcPr>
          <w:p>
            <w:pPr>
              <w:ind w:left="3700"/>
              <w:spacing w:after="0"/>
              <w:rPr>
                <w:sz w:val="20"/>
                <w:szCs w:val="20"/>
                <w:color w:val="auto"/>
              </w:rPr>
            </w:pPr>
            <w:r>
              <w:rPr>
                <w:rFonts w:ascii="Arial" w:cs="Arial" w:eastAsia="Arial" w:hAnsi="Arial"/>
                <w:sz w:val="14"/>
                <w:szCs w:val="14"/>
                <w:b w:val="1"/>
                <w:bCs w:val="1"/>
                <w:color w:val="auto"/>
              </w:rPr>
              <w:t>Use</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 Sq. Ft.</w:t>
            </w: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Wilmington, MA</w:t>
            </w: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Wafer fabrication, testing, engineering, marketing and administrative offices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594,000 sq. ft.</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Cavite, Philippines</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Wafer probe and testing, warehouse, engineering and administrative offices</w:t>
            </w:r>
          </w:p>
        </w:tc>
        <w:tc>
          <w:tcPr>
            <w:tcW w:w="1480" w:type="dxa"/>
            <w:vAlign w:val="bottom"/>
          </w:tcPr>
          <w:p>
            <w:pPr>
              <w:jc w:val="right"/>
              <w:spacing w:after="0"/>
              <w:rPr>
                <w:sz w:val="20"/>
                <w:szCs w:val="20"/>
                <w:color w:val="auto"/>
              </w:rPr>
            </w:pPr>
            <w:r>
              <w:rPr>
                <w:rFonts w:ascii="Arial" w:cs="Arial" w:eastAsia="Arial" w:hAnsi="Arial"/>
                <w:sz w:val="18"/>
                <w:szCs w:val="18"/>
                <w:color w:val="auto"/>
              </w:rPr>
              <w:t>873,000 sq. ft.</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Limerick, Ireland</w:t>
            </w: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Wafer fabrication, wafer probe and testing, engineering and administrative offices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491,000 sq. ft.</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Chelmsford, MA</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3"/>
              </w:rPr>
              <w:t>Final assembly of certain module and subsystem-level products, testing, engineering and administrative</w:t>
            </w:r>
          </w:p>
        </w:tc>
        <w:tc>
          <w:tcPr>
            <w:tcW w:w="1480" w:type="dxa"/>
            <w:vAlign w:val="bottom"/>
          </w:tcPr>
          <w:p>
            <w:pPr>
              <w:jc w:val="right"/>
              <w:spacing w:after="0"/>
              <w:rPr>
                <w:sz w:val="20"/>
                <w:szCs w:val="20"/>
                <w:color w:val="auto"/>
              </w:rPr>
            </w:pPr>
            <w:r>
              <w:rPr>
                <w:rFonts w:ascii="Arial" w:cs="Arial" w:eastAsia="Arial" w:hAnsi="Arial"/>
                <w:sz w:val="18"/>
                <w:szCs w:val="18"/>
                <w:color w:val="auto"/>
              </w:rPr>
              <w:t>174,000 sq. ft.</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48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Greensboro, NC</w:t>
            </w: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 testing, engineering and administrative offices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99,000 sq. ft.</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San Jose, CA</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Engineering, administrative offices</w:t>
            </w:r>
          </w:p>
        </w:tc>
        <w:tc>
          <w:tcPr>
            <w:tcW w:w="1480" w:type="dxa"/>
            <w:vAlign w:val="bottom"/>
          </w:tcPr>
          <w:p>
            <w:pPr>
              <w:jc w:val="right"/>
              <w:spacing w:after="0"/>
              <w:rPr>
                <w:sz w:val="20"/>
                <w:szCs w:val="20"/>
                <w:color w:val="auto"/>
              </w:rPr>
            </w:pPr>
            <w:r>
              <w:rPr>
                <w:rFonts w:ascii="Arial" w:cs="Arial" w:eastAsia="Arial" w:hAnsi="Arial"/>
                <w:sz w:val="18"/>
                <w:szCs w:val="18"/>
                <w:color w:val="auto"/>
              </w:rPr>
              <w:t>77,000 sq. ft.</w:t>
            </w:r>
          </w:p>
        </w:tc>
      </w:tr>
      <w:tr>
        <w:trPr>
          <w:trHeight w:val="702"/>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tcPr>
          <w:p>
            <w:pPr>
              <w:ind w:left="34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638"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Lease</w:t>
            </w:r>
          </w:p>
        </w:tc>
        <w:tc>
          <w:tcPr>
            <w:tcW w:w="1360" w:type="dxa"/>
            <w:vAlign w:val="bottom"/>
          </w:tcPr>
          <w:p>
            <w:pPr>
              <w:spacing w:after="0"/>
              <w:rPr>
                <w:sz w:val="16"/>
                <w:szCs w:val="16"/>
                <w:color w:val="auto"/>
              </w:rPr>
            </w:pPr>
          </w:p>
        </w:tc>
      </w:tr>
      <w:tr>
        <w:trPr>
          <w:trHeight w:val="270"/>
        </w:trPr>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Properties</w:t>
            </w:r>
          </w:p>
        </w:tc>
        <w:tc>
          <w:tcPr>
            <w:tcW w:w="4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Approximate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Termination</w:t>
            </w:r>
          </w:p>
        </w:tc>
        <w:tc>
          <w:tcPr>
            <w:tcW w:w="1360" w:type="dxa"/>
            <w:vAlign w:val="bottom"/>
          </w:tcPr>
          <w:p>
            <w:pPr>
              <w:spacing w:after="0"/>
              <w:rPr>
                <w:sz w:val="23"/>
                <w:szCs w:val="23"/>
                <w:color w:val="auto"/>
              </w:rPr>
            </w:pPr>
          </w:p>
        </w:tc>
      </w:tr>
      <w:tr>
        <w:trPr>
          <w:trHeight w:val="276"/>
        </w:trPr>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Leased:</w:t>
            </w:r>
          </w:p>
        </w:tc>
        <w:tc>
          <w:tcPr>
            <w:tcW w:w="4800" w:type="dxa"/>
            <w:vAlign w:val="bottom"/>
            <w:gridSpan w:val="2"/>
          </w:tcPr>
          <w:p>
            <w:pPr>
              <w:ind w:left="2220"/>
              <w:spacing w:after="0"/>
              <w:rPr>
                <w:sz w:val="20"/>
                <w:szCs w:val="20"/>
                <w:color w:val="auto"/>
              </w:rPr>
            </w:pPr>
            <w:r>
              <w:rPr>
                <w:rFonts w:ascii="Arial" w:cs="Arial" w:eastAsia="Arial" w:hAnsi="Arial"/>
                <w:sz w:val="14"/>
                <w:szCs w:val="14"/>
                <w:b w:val="1"/>
                <w:bCs w:val="1"/>
                <w:color w:val="auto"/>
              </w:rPr>
              <w:t>Use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Sq. Ft.</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(fiscal year)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Renewals</w:t>
            </w:r>
          </w:p>
        </w:tc>
      </w:tr>
      <w:tr>
        <w:trPr>
          <w:trHeight w:val="270"/>
        </w:trPr>
        <w:tc>
          <w:tcPr>
            <w:tcW w:w="2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Norwood, MA</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headquarters, engineering, sales and marketing</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130,000 sq. ft.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 five-yr.</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periods</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Bangalore, India</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Engineering</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75,000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7"/>
              </w:rPr>
              <w:t>1, five-yr.</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period</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Greensboro, NC</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Engineering and administrative offices</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51,000 sq. ft.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three-yr.</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periods</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Shanghai, China</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Engineering</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59,000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 1 two-yr.</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period, 1 three-yr.</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period</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Tokyo, Japan</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Engineering</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36,400 sq. ft.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two-yr.</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period</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Beijing, China</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Engineering</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33,000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 two-yr.</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period</w:t>
            </w:r>
          </w:p>
        </w:tc>
      </w:tr>
    </w:tbl>
    <w:p>
      <w:pPr>
        <w:spacing w:after="0" w:line="13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addition to the principal leased properties listed in the above table, we also lease sales offices and other premises at 20 locations in the United States and 48 locations internationally under operating lease agreements. These leases expire at various dates through the year 2022. We do not anticipate experiencing significant difficulty in retaining occupancy of any of our manufacturing, office or sales facilities through lease renewals prior to expiration or through month-to-month occupancy, or in replacing them with equivalent facilities. For information concerning our obligations under all operating leases, see Note 11 in the Notes to Consolidated Financial Statements contained in Item 8 of this Annual Report on Form 10-K.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From time to time in the ordinary course of our business, various claims, charges and litigation are asserted or commenced against us arising from, or related to, contractual matters, patents, trademarks, personal injury, environmental matters, product liability, insurance coverage and personnel and employment disputes. As to such claims and litigation, we can give no assurance that we will prevail. We do not believe that any current legal matters will have a material adverse effect on our financial position, results of operations or cash flows.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6"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sets forth (i) the name, age and position of each of our executive officers and (ii) the business experience of each person named in the table during at least the past five years. There is no family relationship among any of our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Officer</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Position(s)</w:t>
            </w:r>
          </w:p>
        </w:tc>
        <w:tc>
          <w:tcPr>
            <w:tcW w:w="100" w:type="dxa"/>
            <w:vAlign w:val="bottom"/>
            <w:tcBorders>
              <w:bottom w:val="single" w:sz="8" w:color="CCEEFF"/>
            </w:tcBorders>
          </w:tcPr>
          <w:p>
            <w:pPr>
              <w:spacing w:after="0"/>
              <w:rPr>
                <w:sz w:val="16"/>
                <w:szCs w:val="16"/>
                <w:color w:val="auto"/>
              </w:rPr>
            </w:pPr>
          </w:p>
        </w:tc>
        <w:tc>
          <w:tcPr>
            <w:tcW w:w="478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Business Experience</w:t>
            </w:r>
          </w:p>
        </w:tc>
      </w:tr>
      <w:tr>
        <w:trPr>
          <w:trHeight w:val="228"/>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Vincent T. Roche</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55   President and Chief Executive Officer</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 since May 2013; President since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November 2012; Vice President, Strategic Segments Group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Sales from October 2009 to November 2012; Vice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President, Worldwide Sales from March 2001 to October 2009;</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Vice President and General Manager, Silicon Valley Business</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Units and Computer &amp; Networking from 1999 to March 2001;</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Product Line Director from 1995 to 1999; Product Marketing</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Manager from 1988 to 1995.</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David A. Zinsner</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w w:val="98"/>
              </w:rPr>
              <w:t>46   Senior Vice President, Finance and Chief</w:t>
            </w:r>
          </w:p>
        </w:tc>
        <w:tc>
          <w:tcPr>
            <w:tcW w:w="4780" w:type="dxa"/>
            <w:vAlign w:val="bottom"/>
          </w:tcPr>
          <w:p>
            <w:pPr>
              <w:ind w:left="20"/>
              <w:spacing w:after="0"/>
              <w:rPr>
                <w:sz w:val="20"/>
                <w:szCs w:val="20"/>
                <w:color w:val="auto"/>
              </w:rPr>
            </w:pPr>
            <w:r>
              <w:rPr>
                <w:rFonts w:ascii="Arial" w:cs="Arial" w:eastAsia="Arial" w:hAnsi="Arial"/>
                <w:sz w:val="18"/>
                <w:szCs w:val="18"/>
                <w:color w:val="auto"/>
                <w:w w:val="92"/>
              </w:rPr>
              <w:t>Senior Vice President, Finance and Chief Financial Officer since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Financial Officer</w:t>
            </w:r>
          </w:p>
        </w:tc>
        <w:tc>
          <w:tcPr>
            <w:tcW w:w="4780" w:type="dxa"/>
            <w:vAlign w:val="bottom"/>
          </w:tcPr>
          <w:p>
            <w:pPr>
              <w:ind w:left="20"/>
              <w:spacing w:after="0"/>
              <w:rPr>
                <w:sz w:val="20"/>
                <w:szCs w:val="20"/>
                <w:color w:val="auto"/>
              </w:rPr>
            </w:pPr>
            <w:r>
              <w:rPr>
                <w:rFonts w:ascii="Arial" w:cs="Arial" w:eastAsia="Arial" w:hAnsi="Arial"/>
                <w:sz w:val="18"/>
                <w:szCs w:val="18"/>
                <w:color w:val="auto"/>
                <w:w w:val="97"/>
              </w:rPr>
              <w:t>November 2014; Vice President, Finance and Chief Financial</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Officer from January 2009 to November 2014; Senior Vice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5"/>
              </w:rPr>
              <w:t>President and Chief Financial Officer, Intersil Corporation from</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6"/>
              </w:rPr>
              <w:t>2005 to December 2008; Corporate Controller and Treasurer,</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8"/>
              </w:rPr>
              <w:t>Intersil Corporation from 2000 to 2005. Corporate Treasurer,</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Intersil Corporation from 1999 to 2000.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Joseph (John) Hassett</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57   Senior Vice President, Worldwide</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Worldwide Manufacturing since May</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2015; and Vice President, Worldwide Manufacturing from 1994</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 May 2015.</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Rick D. Hess</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rPr>
              <w:t>62   Senior Vice President, Communications</w:t>
            </w:r>
          </w:p>
        </w:tc>
        <w:tc>
          <w:tcPr>
            <w:tcW w:w="4780" w:type="dxa"/>
            <w:vAlign w:val="bottom"/>
          </w:tcPr>
          <w:p>
            <w:pPr>
              <w:ind w:left="20"/>
              <w:spacing w:after="0"/>
              <w:rPr>
                <w:sz w:val="20"/>
                <w:szCs w:val="20"/>
                <w:color w:val="auto"/>
              </w:rPr>
            </w:pPr>
            <w:r>
              <w:rPr>
                <w:rFonts w:ascii="Arial" w:cs="Arial" w:eastAsia="Arial" w:hAnsi="Arial"/>
                <w:sz w:val="18"/>
                <w:szCs w:val="18"/>
                <w:color w:val="auto"/>
              </w:rPr>
              <w:t>Senior Vice President, Communications and Automotive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and Automotive Business Group</w:t>
            </w:r>
          </w:p>
        </w:tc>
        <w:tc>
          <w:tcPr>
            <w:tcW w:w="4780" w:type="dxa"/>
            <w:vAlign w:val="bottom"/>
          </w:tcPr>
          <w:p>
            <w:pPr>
              <w:ind w:left="20"/>
              <w:spacing w:after="0"/>
              <w:rPr>
                <w:sz w:val="20"/>
                <w:szCs w:val="20"/>
                <w:color w:val="auto"/>
              </w:rPr>
            </w:pPr>
            <w:r>
              <w:rPr>
                <w:rFonts w:ascii="Arial" w:cs="Arial" w:eastAsia="Arial" w:hAnsi="Arial"/>
                <w:sz w:val="18"/>
                <w:szCs w:val="18"/>
                <w:color w:val="auto"/>
                <w:w w:val="96"/>
              </w:rPr>
              <w:t>Business Group since November 2014; Vice President, Radio</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and Microwave Group from July 2014 to November 2014;</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President and Chief Executive Officer, Hittite Microwave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5"/>
              </w:rPr>
              <w:t>Corporation, a semiconductor manufacturer from April 2013 to</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July 2014; Vice President to Superconductors, American</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6"/>
              </w:rPr>
              <w:t>Superconductor Corporation, an energy technology company,</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4"/>
              </w:rPr>
              <w:t>from 2010 to April 2013; President and Chief Executive Officer,</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Konarka Technologies from 2006 to 2010.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William Matson</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w w:val="97"/>
              </w:rPr>
              <w:t>56   Senior Vice President, Human Resources</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Senior Vice President, Human Resources since November 2014;</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Human Resources from November 2006 to</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November 2014; Chief Human Resource Officer of Lenovo from</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January 2005 to June 2006; General Manager of IBM Business</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Transformation Outsourcing from September 2003 to April</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2005; Vice President, Human Resources of IBM Asia Pacific</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Region from December 1999 to September 2003.</w:t>
            </w:r>
          </w:p>
        </w:tc>
      </w:tr>
      <w:tr>
        <w:trPr>
          <w:trHeight w:val="675"/>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ind w:left="21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Officer</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Position(s)</w:t>
            </w:r>
          </w:p>
        </w:tc>
        <w:tc>
          <w:tcPr>
            <w:tcW w:w="100" w:type="dxa"/>
            <w:vAlign w:val="bottom"/>
            <w:tcBorders>
              <w:bottom w:val="single" w:sz="8" w:color="CCEEFF"/>
            </w:tcBorders>
          </w:tcPr>
          <w:p>
            <w:pPr>
              <w:spacing w:after="0"/>
              <w:rPr>
                <w:sz w:val="16"/>
                <w:szCs w:val="16"/>
                <w:color w:val="auto"/>
              </w:rPr>
            </w:pPr>
          </w:p>
        </w:tc>
        <w:tc>
          <w:tcPr>
            <w:tcW w:w="478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Business Experience</w:t>
            </w:r>
          </w:p>
        </w:tc>
      </w:tr>
      <w:tr>
        <w:trPr>
          <w:trHeight w:val="228"/>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Richard Meaney</w:t>
            </w:r>
          </w:p>
        </w:tc>
        <w:tc>
          <w:tcPr>
            <w:tcW w:w="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Senior Vice President, Industrial and Healthcare Business Group</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Industrial and Healthcare Business Group</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since November 2014; Vice President, Products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Technologies Group from November 2012 to November 2014;</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Converters from August 2009 to November</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2012; Vice President, Precision Signal Processing from October</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1999 to August 2009; Product Line Director from August 1991</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to September 1999; Engineering Manager from August 1988 to</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1991; Design Engineer Analog Devices B.V. Limerick,</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Ireland from August 1979 to July 1988.</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Peter Real</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rPr>
              <w:t>55   Senior Vice President and Chief</w:t>
            </w:r>
          </w:p>
        </w:tc>
        <w:tc>
          <w:tcPr>
            <w:tcW w:w="4780" w:type="dxa"/>
            <w:vAlign w:val="bottom"/>
          </w:tcPr>
          <w:p>
            <w:pPr>
              <w:ind w:left="20"/>
              <w:spacing w:after="0"/>
              <w:rPr>
                <w:sz w:val="20"/>
                <w:szCs w:val="20"/>
                <w:color w:val="auto"/>
              </w:rPr>
            </w:pPr>
            <w:r>
              <w:rPr>
                <w:rFonts w:ascii="Arial" w:cs="Arial" w:eastAsia="Arial" w:hAnsi="Arial"/>
                <w:sz w:val="18"/>
                <w:szCs w:val="18"/>
                <w:color w:val="auto"/>
              </w:rPr>
              <w:t>Senior Vice President and Chief Technology Officer since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Technology Officer</w:t>
            </w:r>
          </w:p>
        </w:tc>
        <w:tc>
          <w:tcPr>
            <w:tcW w:w="4780" w:type="dxa"/>
            <w:vAlign w:val="bottom"/>
          </w:tcPr>
          <w:p>
            <w:pPr>
              <w:ind w:left="20"/>
              <w:spacing w:after="0"/>
              <w:rPr>
                <w:sz w:val="20"/>
                <w:szCs w:val="20"/>
                <w:color w:val="auto"/>
              </w:rPr>
            </w:pPr>
            <w:r>
              <w:rPr>
                <w:rFonts w:ascii="Arial" w:cs="Arial" w:eastAsia="Arial" w:hAnsi="Arial"/>
                <w:sz w:val="18"/>
                <w:szCs w:val="18"/>
                <w:color w:val="auto"/>
              </w:rPr>
              <w:t>November 2014; Vice President, High Speed Product and</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8"/>
              </w:rPr>
              <w:t>Technology Group from November 2012 to November 2014;</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2"/>
              </w:rPr>
              <w:t>Vice President, Linear and Radio Frequency Group from August</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4"/>
              </w:rPr>
              <w:t>2009 to November 2012; Vice President, Radio Frequency and</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5"/>
              </w:rPr>
              <w:t>Networking Group from January 2008 to August 2009; Product</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9"/>
              </w:rPr>
              <w:t>Line Director from 1999 to 2007; Engineering Manager from</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1992 to 1999.</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Margaret K. Seif</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54   Senior Vice President, General Counsel</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Senior Vice President, General Counsel and Secretary since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Secretary</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November 2014; Vice President, General Counsel and Secretary</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from January 2006 to November 2014; Senior Vice President,</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 and Secretary of RSA Security Inc. from</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2000 to November 2005; Vice President, General</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Counsel and Secretary of RSA Security Inc. from June 1998 to</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2000.</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Thomas Wessel</w:t>
            </w:r>
          </w:p>
        </w:tc>
        <w:tc>
          <w:tcPr>
            <w:tcW w:w="580" w:type="dxa"/>
            <w:vAlign w:val="bottom"/>
          </w:tcPr>
          <w:p>
            <w:pPr>
              <w:ind w:left="28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Senior Vice President,</w:t>
            </w:r>
          </w:p>
        </w:tc>
        <w:tc>
          <w:tcPr>
            <w:tcW w:w="4780" w:type="dxa"/>
            <w:vAlign w:val="bottom"/>
          </w:tcPr>
          <w:p>
            <w:pPr>
              <w:ind w:left="20"/>
              <w:spacing w:after="0"/>
              <w:rPr>
                <w:sz w:val="20"/>
                <w:szCs w:val="20"/>
                <w:color w:val="auto"/>
              </w:rPr>
            </w:pPr>
            <w:r>
              <w:rPr>
                <w:rFonts w:ascii="Arial" w:cs="Arial" w:eastAsia="Arial" w:hAnsi="Arial"/>
                <w:sz w:val="18"/>
                <w:szCs w:val="18"/>
                <w:color w:val="auto"/>
                <w:w w:val="98"/>
              </w:rPr>
              <w:t>Senior Vice President, Worldwide Sales and Marketing since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Worldwide Sales and Marketing</w:t>
            </w:r>
          </w:p>
        </w:tc>
        <w:tc>
          <w:tcPr>
            <w:tcW w:w="4780" w:type="dxa"/>
            <w:vAlign w:val="bottom"/>
          </w:tcPr>
          <w:p>
            <w:pPr>
              <w:ind w:left="20"/>
              <w:spacing w:after="0"/>
              <w:rPr>
                <w:sz w:val="20"/>
                <w:szCs w:val="20"/>
                <w:color w:val="auto"/>
              </w:rPr>
            </w:pPr>
            <w:r>
              <w:rPr>
                <w:rFonts w:ascii="Arial" w:cs="Arial" w:eastAsia="Arial" w:hAnsi="Arial"/>
                <w:sz w:val="18"/>
                <w:szCs w:val="18"/>
                <w:color w:val="auto"/>
                <w:w w:val="95"/>
              </w:rPr>
              <w:t>November 2014; Vice President, Worldwide Sales from March</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3"/>
              </w:rPr>
              <w:t>2012 to November 2014; Vice President, Worldwide Automotive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5"/>
              </w:rPr>
              <w:t>Segment from November 2009 to March 2012; Vice President,</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7"/>
              </w:rPr>
              <w:t>European Sales and Marketing from June 2008 to November</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5"/>
              </w:rPr>
              <w:t>2009; Managing Director, European Sales and Marketing from</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June 2005 to June 2008.</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Eileen Wynne</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49   Vice President and Chief Accounting</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Vice President and Chief Accounting Officer since April 2015;</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Officer</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Corporate Controller and Chief Accounting</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Officer from May 2013 to April 2015; Corporate Controller from</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April 2011 to May 2013; Assistant Corporate Controller from</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2004 to April 2011.</w:t>
            </w:r>
          </w:p>
        </w:tc>
      </w:tr>
      <w:tr>
        <w:trPr>
          <w:trHeight w:val="45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ind w:left="21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60" w:right="180" w:hanging="1052"/>
        <w:spacing w:after="0" w:line="282" w:lineRule="auto"/>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71"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Our common stock is listed on The NASDAQ Global Select Market under the symbol ADI. The tables below set forth the high and low sales prices per share of our common stock on the applicable exchange and the dividends declared for each quarterly period within our two most recent fiscal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and Low Sales Prices of Common Stock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Fiscal 2015</w:t>
            </w: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w w:val="93"/>
              </w:rPr>
              <w:t>Fiscal 2014</w:t>
            </w:r>
          </w:p>
        </w:tc>
        <w:tc>
          <w:tcPr>
            <w:tcW w:w="112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High</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120" w:type="dxa"/>
            <w:vAlign w:val="bottom"/>
            <w:tcBorders>
              <w:bottom w:val="single" w:sz="8" w:color="CCEEFF"/>
            </w:tcBorders>
            <w:gridSpan w:val="2"/>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$46.12</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$64.94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$47.14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$49.47</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$64.16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$42.57</w:t>
            </w:r>
          </w:p>
        </w:tc>
      </w:tr>
      <w:tr>
        <w:trPr>
          <w:trHeight w:val="47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7"/>
              </w:rPr>
              <w:t>Dividends Declared Per Outstanding Share of Common Stock</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7220" w:type="dxa"/>
            <w:vAlign w:val="bottom"/>
            <w:gridSpan w:val="5"/>
          </w:tcPr>
          <w:p>
            <w:pPr>
              <w:ind w:left="440"/>
              <w:spacing w:after="0"/>
              <w:rPr>
                <w:sz w:val="20"/>
                <w:szCs w:val="20"/>
                <w:color w:val="auto"/>
              </w:rPr>
            </w:pPr>
            <w:r>
              <w:rPr>
                <w:rFonts w:ascii="Arial" w:cs="Arial" w:eastAsia="Arial" w:hAnsi="Arial"/>
                <w:sz w:val="18"/>
                <w:szCs w:val="18"/>
                <w:color w:val="auto"/>
              </w:rPr>
              <w:t>In fiscal 2015 and fiscal 2014, we paid a cash dividend in each quarter as follows: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Fiscal 2015</w:t>
            </w:r>
          </w:p>
        </w:tc>
        <w:tc>
          <w:tcPr>
            <w:tcW w:w="1120" w:type="dxa"/>
            <w:vAlign w:val="bottom"/>
          </w:tcPr>
          <w:p>
            <w:pPr>
              <w:jc w:val="right"/>
              <w:ind w:right="294"/>
              <w:spacing w:after="0"/>
              <w:rPr>
                <w:sz w:val="20"/>
                <w:szCs w:val="20"/>
                <w:color w:val="auto"/>
              </w:rPr>
            </w:pPr>
            <w:r>
              <w:rPr>
                <w:rFonts w:ascii="Arial" w:cs="Arial" w:eastAsia="Arial" w:hAnsi="Arial"/>
                <w:sz w:val="14"/>
                <w:szCs w:val="14"/>
                <w:b w:val="1"/>
                <w:bCs w:val="1"/>
                <w:color w:val="auto"/>
                <w:w w:val="96"/>
              </w:rPr>
              <w:t>Fiscal 2014</w:t>
            </w:r>
          </w:p>
        </w:tc>
      </w:tr>
      <w:tr>
        <w:trPr>
          <w:trHeight w:val="250"/>
        </w:trPr>
        <w:tc>
          <w:tcPr>
            <w:tcW w:w="516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$0.34</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$0.37</w:t>
            </w:r>
          </w:p>
        </w:tc>
      </w:tr>
      <w:tr>
        <w:trPr>
          <w:trHeight w:val="27"/>
        </w:trPr>
        <w:tc>
          <w:tcPr>
            <w:tcW w:w="51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$0.37</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$0.37</w:t>
            </w:r>
          </w:p>
        </w:tc>
      </w:tr>
    </w:tbl>
    <w:p>
      <w:pPr>
        <w:spacing w:after="0" w:line="13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During the first quarter of fiscal 2016, on November 23, 2015, our Board of Directors declared a cash dividend of $0.40 per outstanding share of common stock. The dividend will be paid on December 15, 2015 to all shareholders of record at the close of business on December 4, 2015. The payment of future dividends, if any, will be based on several factors including our financial performance, outlook and liquidity.</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our equity compensation plans and the securities authorized for issuance thereunder is set forth in Item 12 below.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Average Price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Per Share(b)</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Programs(c)</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2, 2015 through August 29, 2015</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590,166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57.24</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577,490</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620,820,501</w:t>
            </w:r>
          </w:p>
        </w:tc>
        <w:tc>
          <w:tcPr>
            <w:tcW w:w="0" w:type="dxa"/>
            <w:vAlign w:val="bottom"/>
          </w:tcPr>
          <w:p>
            <w:pPr>
              <w:spacing w:after="0"/>
              <w:rPr>
                <w:sz w:val="1"/>
                <w:szCs w:val="1"/>
                <w:color w:val="auto"/>
              </w:rPr>
            </w:pP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August 30, 2015 through September 26, 2015</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614,228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55.98</w:t>
            </w:r>
          </w:p>
        </w:tc>
        <w:tc>
          <w:tcPr>
            <w:tcW w:w="10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603,424</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587,060,300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September 27, 2015 through October 31, 2015</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758,994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57.36</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742,743</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544,516,818</w:t>
            </w:r>
          </w:p>
        </w:tc>
        <w:tc>
          <w:tcPr>
            <w:tcW w:w="0" w:type="dxa"/>
            <w:vAlign w:val="bottom"/>
          </w:tcPr>
          <w:p>
            <w:pPr>
              <w:spacing w:after="0"/>
              <w:rPr>
                <w:sz w:val="1"/>
                <w:szCs w:val="1"/>
                <w:color w:val="auto"/>
              </w:rPr>
            </w:pPr>
          </w:p>
        </w:tc>
      </w:tr>
      <w:tr>
        <w:trPr>
          <w:trHeight w:val="237"/>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1,963,388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56.89</w:t>
            </w:r>
          </w:p>
        </w:tc>
        <w:tc>
          <w:tcPr>
            <w:tcW w:w="100" w:type="dxa"/>
            <w:vAlign w:val="bottom"/>
          </w:tcPr>
          <w:p>
            <w:pPr>
              <w:spacing w:after="0"/>
              <w:rPr>
                <w:sz w:val="20"/>
                <w:szCs w:val="20"/>
                <w:color w:val="auto"/>
              </w:rPr>
            </w:pPr>
          </w:p>
        </w:tc>
        <w:tc>
          <w:tcPr>
            <w:tcW w:w="20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1,923,657</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544,516,818</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9" w:lineRule="exact"/>
        <w:rPr>
          <w:sz w:val="20"/>
          <w:szCs w:val="20"/>
          <w:color w:val="auto"/>
        </w:rPr>
      </w:pPr>
    </w:p>
    <w:p>
      <w:pPr>
        <w:ind w:left="460" w:right="24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39,731 shares withheld by us from employees to satisfy employee minimum tax obligations upon vesting of restricted stock units granted to our employees under our equity compensation plans.</w:t>
      </w:r>
    </w:p>
    <w:p>
      <w:pPr>
        <w:spacing w:after="0" w:line="8" w:lineRule="exact"/>
        <w:rPr>
          <w:rFonts w:ascii="Arial" w:cs="Arial" w:eastAsia="Arial" w:hAnsi="Arial"/>
          <w:sz w:val="18"/>
          <w:szCs w:val="18"/>
          <w:color w:val="auto"/>
        </w:rPr>
      </w:pPr>
    </w:p>
    <w:p>
      <w:pPr>
        <w:jc w:val="both"/>
        <w:ind w:left="460" w:right="18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average price paid per share of stock repurchased under the stock repurchase program includes the commissions paid to the brokers. The average price paid for shares in connection with vesting of restricted stock are averages of the closing stock price at the vesting date which is used to calculate the number of shares to be withheld.</w:t>
      </w:r>
    </w:p>
    <w:p>
      <w:pPr>
        <w:spacing w:after="0" w:line="19" w:lineRule="exact"/>
        <w:rPr>
          <w:rFonts w:ascii="Arial" w:cs="Arial" w:eastAsia="Arial" w:hAnsi="Arial"/>
          <w:sz w:val="18"/>
          <w:szCs w:val="18"/>
          <w:color w:val="auto"/>
        </w:rPr>
      </w:pPr>
    </w:p>
    <w:p>
      <w:pPr>
        <w:ind w:left="460" w:right="40" w:hanging="452"/>
        <w:spacing w:after="0" w:line="25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repurchased pursuant to the stock repurchase program publicly announced on August 12, 2004. On February 17, 2014, our Board of Directors authorized our repurchase of an additional $570.0 million of our common stock, increasing the total amount of our common stock that we are authorized to repurchase under the program to $5.6 billion. Under the repurchase program, we may repurchase outstanding shares of our common stock from time to time in the open market and through privately negotiated transactions. Unless terminated earlier by resolution of our Board of Directors,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color w:val="auto"/>
        </w:rPr>
        <w:t>repurchase program will expire when we have repurchased all shares authorized for repurchase under the repurchase program.</w:t>
      </w:r>
    </w:p>
    <w:p>
      <w:pPr>
        <w:spacing w:after="0" w:line="14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number of holders of record of our common stock at November 20, 2015 was 2,056. This number does not include shareholders for whom shares are held in a “nominee” or “street” name. On October 30, 2015, the last reported sales price of our common stock on The NASDAQ Global Select Market was $60.12 per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following graph compares cumulative total shareholder return on our common stock since October 30, 2010 with the cumulative total return of the Standard &amp; Poor’s (S&amp;P) 500 Index and the S&amp;P Semiconductors Index. This graph assumes the investment of $100 on October 30, 2010 in our common stock, the S&amp;P 500 Index and the S&amp;P Semiconductors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5848985" cy="4853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485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following table includes selected financial data for each of our last five fiscal years and includes the results of operations from the acquisition of Hittite from July 22, 2014. See Note 6. in the Notes to Consolidated Financial Statements contained in Item 8 of this Annual Report on Form 10-K for information on this acquisition.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except per share amounts)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Statement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revenue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3,435,092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2,864,773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2,633,689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2,701,142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2,993,320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696,878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629,320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860,894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income from discontinued operations, net of tax</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696,878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629,320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867,394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per share from continuing operations, net of tax:</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0.94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7,062,178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6,859,690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6,381,750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5,620,347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5,277,635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873,336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872,789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872,241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821,598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886,376</w:t>
            </w:r>
          </w:p>
        </w:tc>
      </w:tr>
      <w:tr>
        <w:trPr>
          <w:trHeight w:val="675"/>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6" w:name="page27"/>
    <w:bookmarkEnd w:id="26"/>
    <w:p>
      <w:pPr>
        <w:ind w:left="900" w:right="30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(all tabular amounts in thousands except per share amounts)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Overview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2015 over 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2014 over 2013</w:t>
            </w:r>
          </w:p>
        </w:tc>
      </w:tr>
      <w:tr>
        <w:trPr>
          <w:trHeight w:val="264"/>
        </w:trPr>
        <w:tc>
          <w:tcPr>
            <w:tcW w:w="2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900" w:type="dxa"/>
            <w:vAlign w:val="bottom"/>
          </w:tcPr>
          <w:p>
            <w:pPr>
              <w:jc w:val="right"/>
              <w:ind w:right="3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3,435,092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2,864,773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2,633,689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570,319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231,084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696,878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629,320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673,487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67,558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(44,167)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 xml:space="preserve">On July 22, 2014, we completed the acquisition of Hittite Microwave Corporation (Hittite), a company that designed and developed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 The acquisition of Hittite is referred to as the Acquisition. See Note 6,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of the Notes to the Consolidated Financial Statements contained in Item 8 of this Annual Report on From 10-K for further discussion related to the Acquisition.</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2013</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Product</w:t>
            </w:r>
          </w:p>
        </w:tc>
        <w:tc>
          <w:tcPr>
            <w:tcW w:w="120" w:type="dxa"/>
            <w:vAlign w:val="bottom"/>
          </w:tcPr>
          <w:p>
            <w:pPr>
              <w:spacing w:after="0"/>
              <w:rPr>
                <w:sz w:val="12"/>
                <w:szCs w:val="12"/>
                <w:color w:val="auto"/>
              </w:rPr>
            </w:pPr>
          </w:p>
        </w:tc>
        <w:tc>
          <w:tcPr>
            <w:tcW w:w="8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Product</w:t>
            </w:r>
          </w:p>
        </w:tc>
        <w:tc>
          <w:tcPr>
            <w:tcW w:w="240" w:type="dxa"/>
            <w:vAlign w:val="bottom"/>
          </w:tcPr>
          <w:p>
            <w:pPr>
              <w:spacing w:after="0"/>
              <w:rPr>
                <w:sz w:val="12"/>
                <w:szCs w:val="12"/>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Product</w:t>
            </w:r>
          </w:p>
        </w:tc>
        <w:tc>
          <w:tcPr>
            <w:tcW w:w="0" w:type="dxa"/>
            <w:vAlign w:val="bottom"/>
          </w:tcPr>
          <w:p>
            <w:pPr>
              <w:spacing w:after="0"/>
              <w:rPr>
                <w:sz w:val="1"/>
                <w:szCs w:val="1"/>
                <w:color w:val="auto"/>
              </w:rPr>
            </w:pPr>
          </w:p>
        </w:tc>
      </w:tr>
      <w:tr>
        <w:trPr>
          <w:trHeight w:val="192"/>
        </w:trPr>
        <w:tc>
          <w:tcPr>
            <w:tcW w:w="3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Revenue*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1,496,198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1,343,255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1,220,141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526,124</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525,712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483,771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729,965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327,223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401,368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682,805</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668,583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528,409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3,435,092</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2,864,773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2,633,689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60"/>
        <w:spacing w:after="0"/>
        <w:tabs>
          <w:tab w:leader="none" w:pos="1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sum of the individual percentages does not equal the total due to rounding.</w:t>
      </w:r>
    </w:p>
    <w:p>
      <w:pPr>
        <w:spacing w:after="0" w:line="198"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The year-over-year increase in the industrial and communications end market revenue in fiscal 2015 was the result of the Acquisition. Consumer end market revenue increased in fiscal 2015 as compared to fiscal 2014 as a result of increased demand for products sold into the portable sector of this end market.</w:t>
      </w:r>
    </w:p>
    <w:p>
      <w:pPr>
        <w:spacing w:after="0" w:line="12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year-to-year increase in communications end market revenue in fiscal 2014 was primarily a result of increased wireless base station deployment activity and, to a lesser extent, an increase in revenue as a result of the Acquisition. Industrial end market revenue increased in fiscal 2014 as compared to fiscal 2013 as a result of an increase in demand in this end market, which was most significant for products sold into the instrumentation and automation sectors and, to a lesser extent, an increase in revenue as a result of the Acquisition. The year-to-year increase in automotive end market revenue in fiscal 2014 was primarily a result of increasing electronic content in vehicles and higher demand for new vehicles. The year-to-year decrease in revenue in the consumer end market in fiscal 2014 was primarily the result of the sale of our microphone product line in the fourth quarter of fiscal 2013.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02" w:right="239" w:bottom="1440" w:gutter="0" w:footer="0" w:header="0"/>
        </w:sectPr>
      </w:pPr>
    </w:p>
    <w:bookmarkStart w:id="27" w:name="page28"/>
    <w:bookmarkEnd w:id="27"/>
    <w:p>
      <w:pPr>
        <w:ind w:left="220"/>
        <w:spacing w:after="0"/>
        <w:rPr>
          <w:sz w:val="20"/>
          <w:szCs w:val="20"/>
          <w:color w:val="auto"/>
        </w:rPr>
      </w:pPr>
      <w:r>
        <w:rPr>
          <w:rFonts w:ascii="Arial" w:cs="Arial" w:eastAsia="Arial" w:hAnsi="Arial"/>
          <w:sz w:val="18"/>
          <w:szCs w:val="18"/>
          <w:i w:val="1"/>
          <w:iCs w:val="1"/>
          <w:color w:val="auto"/>
        </w:rPr>
        <w:t>Revenue Trends by Geographic Region</w:t>
      </w:r>
    </w:p>
    <w:p>
      <w:pPr>
        <w:spacing w:after="0" w:line="13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Revenue by geographic region, based upon the primary location of our customers' design activity for its products, for fiscal 2015, 2014 and 2013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33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2015 over 2014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2014 over 2013</w:t>
            </w:r>
          </w:p>
        </w:tc>
      </w:tr>
      <w:tr>
        <w:trPr>
          <w:trHeight w:val="264"/>
        </w:trPr>
        <w:tc>
          <w:tcPr>
            <w:tcW w:w="33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1,325,279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821,554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821,269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503,725</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Rest of North and South America</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97,189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96,957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99,215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939,230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924,477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840,585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14,753</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83,892</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Japan</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319,569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308,054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292,804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11,515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15,250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511,365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459,260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52,105</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109,685</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Rest of Asia</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242,460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254,471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230,241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24,230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57"/>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3,435,092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2,864,773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2,633,689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570,319</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231,084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0"/>
        </w:trPr>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In fiscal years 2015, 2014 and 2013, the predominant countries comprising “Rest of North and South America” are Canada and Mexico; the predominant countries comprising “Europe” are Germany, Sweden, France and the United Kingdom; and the predominant countries comprising “Rest of Asia” are South Korea and Taiwan.</w:t>
      </w:r>
    </w:p>
    <w:p>
      <w:pPr>
        <w:spacing w:after="0" w:line="87"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The sales increase in fiscal 2015 as compared to fiscal 2014 in the United States was primarily the result of increased demand for consumer products sold into the portable sector and the Acquisition. The sales increase in fiscal 2015 as compared to fiscal 2014 in Europe was primarily the result of the Acquisition, partially offset by a decrease in demand for products used in wireless base stations. The sales increase in fiscal 2015 as compared to fiscal 2014 in Japan was primarily a result of the Acquisition, partially offset by a decrease in demand for products used in home entertainment. The sales increase in fiscal 2015 as compared to fiscal 2014 in China was primarily a result of the Acquisition. The sales decrease in fiscal 2015 as compared to fiscal 2014 in the Rest of Asia was primarily the result of a decrease in demand in most end markets, partially offset by the Acquisition.</w:t>
      </w:r>
    </w:p>
    <w:p>
      <w:pPr>
        <w:spacing w:after="0" w:line="7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On a regional basis, the year-over-year sales increases for fiscal 2014 in most regions were the result of an increase in demand in the communications, industrial and automotive end markets and an increase in revenue as a result of the Acquisition, partially offset by a lower demand for products used in consumer applications.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236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12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2015 over 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2014 over 2013</w:t>
            </w:r>
          </w:p>
        </w:tc>
      </w:tr>
      <w:tr>
        <w:trPr>
          <w:trHeight w:val="264"/>
        </w:trPr>
        <w:tc>
          <w:tcPr>
            <w:tcW w:w="236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   2,259,262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1,830,188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   1,692,411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429,074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  $</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137,777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128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7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Gross margin percentage in fiscal 2015 increased 190 basis points compared to fiscal 2014 primarily as a result of lower amortization expense of purchased inventory recognized in fiscal 2014 as a result of the Acquisition.</w:t>
      </w:r>
    </w:p>
    <w:p>
      <w:pPr>
        <w:spacing w:after="0" w:line="116"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Gross margin percentage decreased by 40 basis points compared to fiscal 2013, primarily as a result of recording approximately $53.6 million of additional cost related to the sale of acquired inventory written up to fair value as a result of the Acquisition. This expense was partially offset by the improved utilization levels in our manufacturing facilities and, to a lesser extent, a mix shift in favor of higher margin products being sold as a result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14" w:right="239" w:bottom="1440" w:gutter="0" w:footer="0" w:header="0"/>
        </w:sectPr>
      </w:pPr>
    </w:p>
    <w:bookmarkStart w:id="28" w:name="page29"/>
    <w:bookmarkEnd w:id="28"/>
    <w:p>
      <w:pPr>
        <w:ind w:left="220"/>
        <w:spacing w:after="0"/>
        <w:rPr>
          <w:sz w:val="20"/>
          <w:szCs w:val="20"/>
          <w:color w:val="auto"/>
        </w:rPr>
      </w:pPr>
      <w:r>
        <w:rPr>
          <w:rFonts w:ascii="Arial" w:cs="Arial" w:eastAsia="Arial" w:hAnsi="Arial"/>
          <w:sz w:val="18"/>
          <w:szCs w:val="18"/>
          <w:i w:val="1"/>
          <w:iCs w:val="1"/>
          <w:color w:val="auto"/>
        </w:rPr>
        <w:t>Research and Development (R&amp;D)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2015 over 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2014 over 2013</w:t>
            </w:r>
          </w:p>
        </w:tc>
      </w:tr>
      <w:tr>
        <w:trPr>
          <w:trHeight w:val="264"/>
        </w:trPr>
        <w:tc>
          <w:tcPr>
            <w:tcW w:w="2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637,459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559,686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513,035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77,773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  $</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46,651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rPr>
              <w:t>R&amp;D Expenses as a % of</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38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75" w:lineRule="exact"/>
        <w:rPr>
          <w:sz w:val="20"/>
          <w:szCs w:val="20"/>
          <w:color w:val="auto"/>
        </w:rPr>
      </w:pPr>
    </w:p>
    <w:p>
      <w:pPr>
        <w:jc w:val="both"/>
        <w:ind w:right="680" w:firstLine="432"/>
        <w:spacing w:after="0" w:line="342" w:lineRule="auto"/>
        <w:rPr>
          <w:sz w:val="20"/>
          <w:szCs w:val="20"/>
          <w:color w:val="auto"/>
        </w:rPr>
      </w:pPr>
      <w:r>
        <w:rPr>
          <w:rFonts w:ascii="Arial" w:cs="Arial" w:eastAsia="Arial" w:hAnsi="Arial"/>
          <w:sz w:val="16"/>
          <w:szCs w:val="16"/>
          <w:color w:val="auto"/>
        </w:rPr>
        <w:t>R&amp;D expenses increased in fiscal 2015 as compared to fiscal 2014 primarily as a result of increases in operational spending resulting from the Acquisition, variable compensation expense linked to our overall profitability and revenue growth and R&amp;D employee and related benefit expenses.</w:t>
      </w:r>
    </w:p>
    <w:p>
      <w:pPr>
        <w:spacing w:after="0" w:line="7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R&amp;D expenses increased in fiscal 2014 as compared to fiscal 2013 primarily due to an increase in variable compensation expense linked to our overall profitability and revenue growth, higher R&amp;D employee and related benefit expenses, and a general increase in other operational spending. Approximately $15.0 million of the overall increase year-over-year was a result of the Acquisition.</w:t>
      </w:r>
    </w:p>
    <w:p>
      <w:pPr>
        <w:spacing w:after="0" w:line="12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and therefore, we expect to continue to make significant R&amp;D investments in the future.</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2015 over 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2014 over 2013</w:t>
            </w:r>
          </w:p>
        </w:tc>
      </w:tr>
      <w:tr>
        <w:trPr>
          <w:trHeight w:val="264"/>
        </w:trPr>
        <w:tc>
          <w:tcPr>
            <w:tcW w:w="2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SMG&amp;A Expenses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478,972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454,676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396,233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24,296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  $</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58,443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rPr>
              <w:t>SMG&amp;A Expenses as a % of</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38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7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SMG&amp;A expenses increased in fiscal 2015 as compared to fiscal 2014 as a result of increases in variable compensation expense linked to our overall profitability and revenue growth, SMG&amp;A employee and related benefit expenses, as well as operational spending resulting from the Acquisition. These increases were partially offset by a decrease in Acquisition-related transition costs and other activity.</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SMG&amp;A expenses increased in fiscal 2014 as compared to fiscal 2013 primarily due to Acquisition-related transaction costs and other activity of approximately $33.3 million. The remainder of the increases were primarily due to higher variable compensation expense linked to our overall profitability and revenue growth, higher SMG&amp;A employee and related benefit expenses as a result of an increased headcount attributable to the Acquisition and, to a lesser extent, increases in other operational spending. The increases in SMG&amp;A employee and related benefit expenses were partially offset by a lower stock-based compensation expense as fiscal 2013 included $6.3 million related to the accelerated vesting of restricted stock units following the death of the Company's then-CEO in the second quarter of fiscal 2013.</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Amortization of Intangibles</w:t>
      </w:r>
    </w:p>
    <w:p>
      <w:pPr>
        <w:spacing w:after="0" w:line="171"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During fiscal 2015, we recognized approximately $88.3 million of amortization expense within operating expense. Approximately $87.8 million of this expense related to the $665.5 million of amortizable intangible assets acquired as a result of the Acquisition. These intangible assets are being amortized on a straight-line basis over their estimated useful lives.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fiscal 2014, we recognized approximately $26.0 million of amortization expense within operating expenses of which approximately $25.9 million related to the $665.5 million of amortizable intangible assets acquired as a result of the Acquisition. These intangible assets are being amortized on a straight-line basis over their estimated useful lives.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814" w:right="279" w:bottom="1440" w:gutter="0" w:footer="0" w:header="0"/>
        </w:sectPr>
      </w:pPr>
    </w:p>
    <w:bookmarkStart w:id="29" w:name="page30"/>
    <w:bookmarkEnd w:id="29"/>
    <w:p>
      <w:pPr>
        <w:ind w:left="260"/>
        <w:spacing w:after="0"/>
        <w:rPr>
          <w:sz w:val="20"/>
          <w:szCs w:val="20"/>
          <w:color w:val="auto"/>
        </w:rPr>
      </w:pPr>
      <w:r>
        <w:rPr>
          <w:rFonts w:ascii="Arial" w:cs="Arial" w:eastAsia="Arial" w:hAnsi="Arial"/>
          <w:sz w:val="18"/>
          <w:szCs w:val="18"/>
          <w:i w:val="1"/>
          <w:iCs w:val="1"/>
          <w:color w:val="auto"/>
        </w:rPr>
        <w:t>Special Charges</w:t>
      </w:r>
    </w:p>
    <w:p>
      <w:pPr>
        <w:spacing w:after="0" w:line="1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and better alignment of expenses with revenues. As a result of these assessments, we have undertaken various restructuring actions over the past several years. The expense reductions relating to ongoing actions are described below.</w:t>
      </w:r>
    </w:p>
    <w:p>
      <w:pPr>
        <w:spacing w:after="0" w:line="127"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During fiscal 2014, we recorded special charges of approximately $37.3 million. These special charges included $37.9 million for severance and fringe benefit costs in accordance with our ongoing benefit plan or statutory requirements at foreign locations for 341 manufacturing, engineering and SMG&amp;A employees; $0.5 million for lease obligations costs for facilities that we ceased using during the fourth quarter of fiscal 2014; and $0.4 million for the impairment of assets that have no future use located at closed facilities. We reversed approximately $1.4 million of our severance accrual related to charges taken in fiscal 2013, primarily due to severance costs being lower than our estimates. We terminated the employment of all employees associated with this action. We expect this action will result in estimated annual cost savings of approximately $46.2 million, once fully implemented.</w:t>
      </w:r>
    </w:p>
    <w:p>
      <w:pPr>
        <w:spacing w:after="0" w:line="11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During fiscal 2013, we recorded special charges of approximately $29.8 million for severance and fringe benefit costs in accordance with our ongoing benefit plan or statutory requirements at foreign locations for 235 engineering and SMG&amp;A employees. We terminated the employment of all employees associated with this action. This action resulted in annual cost savings of approximately $32.6 million.</w:t>
      </w:r>
    </w:p>
    <w:p>
      <w:pPr>
        <w:spacing w:after="0" w:line="127"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We expect that annual cost savings resulting from these actions will be used to make additional investments in products that we expect will drive revenue growth in the future.</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Operating Expense</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fiscal 2015, we converted the benefits provided to participants in our Irish defined benefits pension plan to benefits provided under our Irish defined contribution plan. Retired pension plan participants received an annuity. As a result, in fiscal 2015 we recorded settlement charges, legal, accounting and other professional fees totaling $223.7 million to settle all existing and future Irish pension plan liabilities.</w:t>
      </w:r>
    </w:p>
    <w:p>
      <w:pPr>
        <w:spacing w:after="0" w:line="2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2015 over 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2014 over 2013</w:t>
            </w:r>
          </w:p>
        </w:tc>
      </w:tr>
      <w:tr>
        <w:trPr>
          <w:trHeight w:val="264"/>
        </w:trPr>
        <w:tc>
          <w:tcPr>
            <w:tcW w:w="2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830,841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752,484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753,075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78,357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7"/>
              </w:rPr>
              <w:t>— %</w:t>
            </w: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rPr>
              <w:t>Operating income as a % of</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38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The increase in operating income in fiscal 2015 as compared to fiscal 2014 was primarily the result of an increase in revenue of $570.3 million, a 190 basis point increase in gross margin percentage and a $37.3 million decrease in special charges, partially offset by a $223.7 million increase in other operating expense, a $77.8 million increase in R&amp;D expenses, a $24.3 million increase in SMG&amp;A expenses and a $62.3 million increase in amortization of intangibles more fully described above under the headings </w:t>
      </w:r>
      <w:r>
        <w:rPr>
          <w:rFonts w:ascii="Arial" w:cs="Arial" w:eastAsia="Arial" w:hAnsi="Arial"/>
          <w:sz w:val="18"/>
          <w:szCs w:val="18"/>
          <w:i w:val="1"/>
          <w:iCs w:val="1"/>
          <w:color w:val="auto"/>
        </w:rPr>
        <w:t>Research and Development (R&amp;D), Selling, Marketing, General and Administrative (SMG&amp;A), Amortization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Intangibles, Special Charges and Other Operating Expense.</w:t>
      </w:r>
    </w:p>
    <w:p>
      <w:pPr>
        <w:spacing w:after="0" w:line="13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 xml:space="preserve">The decrease in operating income in fiscal 2014 as compared to fiscal 2013 was primarily the result of an increase in revenue of $231.1 million , which was offset by a 40 basis point decrease in gross margin percentage, a $46.7 million increase in R&amp;D expenses, a $58.4 million increase in SMG&amp;A expenses, a $25.8 million increase in amortization of intangibles, and a $7.5 million increase in special charges as more fully described above under the headings </w:t>
      </w:r>
      <w:r>
        <w:rPr>
          <w:rFonts w:ascii="Arial" w:cs="Arial" w:eastAsia="Arial" w:hAnsi="Arial"/>
          <w:sz w:val="16"/>
          <w:szCs w:val="16"/>
          <w:i w:val="1"/>
          <w:iCs w:val="1"/>
          <w:color w:val="auto"/>
        </w:rPr>
        <w:t>Research and Development (R&amp;D), Selling, Marketing, General and Administrative (SMG&amp;A), Amortization of Intangibles and Special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814" w:right="279" w:bottom="1440" w:gutter="0" w:footer="0" w:header="0"/>
        </w:sectPr>
      </w:pPr>
    </w:p>
    <w:bookmarkStart w:id="30" w:name="page31"/>
    <w:bookmarkEnd w:id="30"/>
    <w:p>
      <w:pPr>
        <w:ind w:left="220"/>
        <w:spacing w:after="0"/>
        <w:rPr>
          <w:sz w:val="20"/>
          <w:szCs w:val="20"/>
          <w:color w:val="auto"/>
        </w:rPr>
      </w:pPr>
      <w:r>
        <w:rPr>
          <w:rFonts w:ascii="Arial" w:cs="Arial" w:eastAsia="Arial" w:hAnsi="Arial"/>
          <w:sz w:val="18"/>
          <w:szCs w:val="18"/>
          <w:i w:val="1"/>
          <w:iCs w:val="1"/>
          <w:color w:val="auto"/>
        </w:rPr>
        <w:t>Nonoperating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1036"/>
              <w:spacing w:after="0"/>
              <w:rPr>
                <w:sz w:val="20"/>
                <w:szCs w:val="20"/>
                <w:color w:val="auto"/>
              </w:rPr>
            </w:pPr>
            <w:r>
              <w:rPr>
                <w:rFonts w:ascii="Arial" w:cs="Arial" w:eastAsia="Arial" w:hAnsi="Arial"/>
                <w:sz w:val="14"/>
                <w:szCs w:val="14"/>
                <w:b w:val="1"/>
                <w:bCs w:val="1"/>
                <w:color w:val="auto"/>
              </w:rPr>
              <w:t>Change</w:t>
            </w:r>
          </w:p>
        </w:tc>
      </w:tr>
      <w:tr>
        <w:trPr>
          <w:trHeight w:val="264"/>
        </w:trPr>
        <w:tc>
          <w:tcPr>
            <w:tcW w:w="4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2015 over 2014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2014 over 2013</w:t>
            </w:r>
          </w:p>
        </w:tc>
      </w:tr>
      <w:tr>
        <w:trPr>
          <w:trHeight w:val="264"/>
        </w:trPr>
        <w:tc>
          <w:tcPr>
            <w:tcW w:w="4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 Change</w:t>
            </w:r>
          </w:p>
        </w:tc>
        <w:tc>
          <w:tcPr>
            <w:tcW w:w="160" w:type="dxa"/>
            <w:vAlign w:val="bottom"/>
          </w:tcPr>
          <w:p>
            <w:pPr>
              <w:spacing w:after="0"/>
              <w:rPr>
                <w:sz w:val="22"/>
                <w:szCs w:val="22"/>
                <w:color w:val="auto"/>
              </w:rPr>
            </w:pPr>
          </w:p>
        </w:tc>
        <w:tc>
          <w:tcPr>
            <w:tcW w:w="1200" w:type="dxa"/>
            <w:vAlign w:val="bottom"/>
          </w:tcPr>
          <w:p>
            <w:pPr>
              <w:jc w:val="right"/>
              <w:ind w:right="3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7,682</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580</w:t>
            </w: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77,125</w:t>
            </w: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Total nonoperating (income)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20,727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23,139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(62,248)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85,387</w:t>
            </w: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decrease in nonoperating expense in fiscal 2015 as compared to fiscal 2014 was primarily the result of the repayment of the 90-day term loan facility used to fund the Acquisition in the fourth quarter of fiscal 2014, partially offset by a decrease in interest income primarily as a result of lower cash balances throughout fiscal 2015 as compared to fiscal 2014.</w:t>
      </w:r>
    </w:p>
    <w:p>
      <w:pPr>
        <w:spacing w:after="0" w:line="12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 xml:space="preserve">The change in nonoperating expense in fiscal 2014 as compared to fiscal 2013 was primarily the result of recognizing other income of $85.4 million from the sale of a product line in fiscal 2013, as more fully described below under the heading Divestitures, partially offset by the net loss on extinguishment of debt of approximately $10.2 million in conjunction with the redemption of our $375 million aggregate principal amount of 5.0% senior unsecured notes in fiscal 2013 as more fully described below under the heading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xml:space="preserve"> Interest and fees related to the 90-day term loan facility used to fund the Acquisition caused our interest expense to increase year-over-year from fiscal 2013.</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2015 over 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2014 over 2013</w:t>
            </w:r>
          </w:p>
        </w:tc>
      </w:tr>
      <w:tr>
        <w:trPr>
          <w:trHeight w:val="264"/>
        </w:trPr>
        <w:tc>
          <w:tcPr>
            <w:tcW w:w="2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113,236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100,025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141,836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13,211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71" w:lineRule="exact"/>
        <w:rPr>
          <w:sz w:val="20"/>
          <w:szCs w:val="20"/>
          <w:color w:val="auto"/>
        </w:rPr>
      </w:pPr>
    </w:p>
    <w:p>
      <w:pPr>
        <w:ind w:right="120" w:firstLine="432"/>
        <w:spacing w:after="0" w:line="268" w:lineRule="auto"/>
        <w:rPr>
          <w:sz w:val="20"/>
          <w:szCs w:val="20"/>
          <w:color w:val="auto"/>
        </w:rPr>
      </w:pPr>
      <w:r>
        <w:rPr>
          <w:rFonts w:ascii="Arial" w:cs="Arial" w:eastAsia="Arial" w:hAnsi="Arial"/>
          <w:sz w:val="17"/>
          <w:szCs w:val="17"/>
          <w:color w:val="auto"/>
        </w:rPr>
        <w:t>The tax rate for all periods presented was below the U.S. federal statutory tax rate of 35%, primarily due to lower statutory tax rates applicable to our operations in the foreign jurisdictions in which we earn income. Income from non-U.S. jurisdictions accounted for approximately 86% of our total revenues for fiscal 2015, resulting in a material portion of our pretax income being earned and taxed outside the U.S., primarily in Bermuda and Ireland, at rates ranging from 0% to 35%. The impact on our provision for income taxes of income earned in foreign jurisdictions being taxed at rates different than the U.S. statutory rate was a benefit of approximately $198.1 million and a foreign effective tax rate of approximately 10.6% in fiscal 2015, compared to a benefit of approximately $179.3 million and a foreign effective tax rate of approximately 7.7% in fiscal 2014. A reduction in the ratio of domestic taxable income to worldwide taxable income effectively lowers the overall tax rate, due to the fact that the tax rates in the majority of foreign jurisdictions where we earn income are significantly lower than the U.S. statutory rate. In addition, our effective income tax rate can be impacted each year by discrete factors or events. Our effective tax rate for fiscal 2015 was reduced as a result of $13.0 million recorded as a result of the reversal of certain prior period tax liabilities, a tax benefit of $7.0 million from the reinstatement of the U.S. federal research and development tax credit in December 2014 retroactive to January 1, 2014 and a tax benefit of $3.8 million as a result of an acquisition accounting adjustment. In addition our effective tax rate for fiscal 2015 included $2.0 million of discrete tax expense items associated with the U.S. provision to return adjustments. Our effective tax rate for fiscal 2014 was not significantly impacted by discrete items.</w:t>
      </w:r>
    </w:p>
    <w:p>
      <w:pPr>
        <w:spacing w:after="0" w:line="134"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Income from non-U.S. jurisdictions accounted for approximately 78% of our total revenues for fiscal 2014, resulting in a material portion of our pretax income being earned and taxed outside the U.S., primarily in Bermuda and Ireland, at rates ranging from 0% to 35%. The impact on our provision for income taxes of income earned in foreign jurisdictions being taxed at rates different than the U.S. statutory rate was a benefit of approximately $179.3 million and a foreign effective tax rate of approximately 7.7% in fiscal 2014 compared to a benefit of approximately $162.3 million and a foreign effective tax rate of approximately 10.0% for fiscal 2013. A reduction in the ratio of domestic taxable income to worldwide taxable income effectively lowers the overall tax rate, due to the fact that the tax rates in the majority of foreign jurisdictions where we earn income are significantly lower than the U.S. statutory rate. In addition, our effective income tax rate can be impacted each year by discrete factors or events. Our effective tax rate for fiscal 2014 was not significantly impacted by discrete items. Our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14" w:right="239" w:bottom="1440" w:gutter="0" w:footer="0" w:header="0"/>
        </w:sectPr>
      </w:pPr>
    </w:p>
    <w:bookmarkStart w:id="31" w:name="page32"/>
    <w:bookmarkEnd w:id="31"/>
    <w:p>
      <w:pPr>
        <w:ind w:right="200"/>
        <w:spacing w:after="0" w:line="264" w:lineRule="auto"/>
        <w:rPr>
          <w:sz w:val="20"/>
          <w:szCs w:val="20"/>
          <w:color w:val="auto"/>
        </w:rPr>
      </w:pPr>
      <w:r>
        <w:rPr>
          <w:rFonts w:ascii="Arial" w:cs="Arial" w:eastAsia="Arial" w:hAnsi="Arial"/>
          <w:sz w:val="18"/>
          <w:szCs w:val="18"/>
          <w:color w:val="auto"/>
        </w:rPr>
        <w:t>effective tax rate for fiscal 2013 was lower by approximately 3% due to $6.6 million recorded as a result of the reversal of certain prior period tax liabilities and a tax benefit of $6.3 million from the reinstatement of the U.S. federal research and development tax credit in January 2013 retroactive to January 1, 2012.</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2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2015 over 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2014 over 2013</w:t>
            </w:r>
          </w:p>
        </w:tc>
      </w:tr>
      <w:tr>
        <w:trPr>
          <w:trHeight w:val="264"/>
        </w:trPr>
        <w:tc>
          <w:tcPr>
            <w:tcW w:w="2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020" w:type="dxa"/>
            <w:vAlign w:val="bottom"/>
          </w:tcPr>
          <w:p>
            <w:pPr>
              <w:jc w:val="right"/>
              <w:ind w:right="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696,878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629,320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673,487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67,558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w w:val="93"/>
              </w:rPr>
              <w:t>Net Income, as a % of Revenue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increase in net income in fiscal 2015 as compared to fiscal 2014 was primarily a result of the $78.4 million increase in operating income partially offset by the $13.2 million increase in provision for income taxes.</w:t>
      </w:r>
    </w:p>
    <w:p>
      <w:pPr>
        <w:spacing w:after="0" w:line="116"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decrease in net income in fiscal 2014 as compared to fiscal 2013 was primarily a result of the $85.4 million decrease in nonoperating income partially offset by the $41.8 million decrease in provision for income taxes.</w:t>
      </w:r>
    </w:p>
    <w:p>
      <w:pPr>
        <w:spacing w:after="0" w:line="116"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impact of inflation and foreign currency exchange rate movement on our results of operations during the past three fiscal years has not been significant.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Divestitures</w:t>
      </w:r>
    </w:p>
    <w:p>
      <w:pPr>
        <w:spacing w:after="0" w:line="171"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On October 31, 2013, we completed the sale of the assets and intellectual property related to our microphone product line to InvenSense, Inc. (InvenSense). We received $100.0 million in cash for the assets and intellectual property and after providing for the write-off of inventory, fixed assets and other costs incurred to complete the transaction, recorded a net gain of $85.4 million in nonoperating income during fiscal 2013. The sale of the assets and intellectual property related to the microphone product line did not qualify as a discontinued operation as it was not considered to be a component of the Company per the applicable guidance.</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On July 22, 2014, we completed our acquisition of Hittite (the Acquisition), a company that designed and developed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 We recognized assets acquired and liabilities assumed based on their estimated fair values at the date of acquisition, resulting in the recognition of $1.4 billion of goodwill and $666.4 million of intangible assets, including $0.9 million of in-process research and development intangible assets. We recognized approximately $50.9 million of transaction-related costs, including legal, accounting, severance, debt financing, interest and other related fees of which approximately $9.7 million were expensed in fiscal 2015 and $41.2 million in fiscal 2014. These costs are included in the consolidated statements of income in operating expenses within SMG&amp;A expenses as well as non-operating expenses. The Acquisition resulted in the creation of a new operating segment. We continue to operate and track our results in one reportable segment based on the aggregation of six operating segments.</w:t>
      </w:r>
    </w:p>
    <w:p>
      <w:pPr>
        <w:spacing w:after="0" w:line="128"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The following unaudited pro forma consolidated financial information presents our combined results of operations after giving effect to the Acquisition and assumes that the Acquisition, which closed on July 22, 2014, was completed on November 4, 2012 (the first day of the Company’s 2013 fiscal year). The pro forma consolidated financial information has been calculated after applying our accounting policies and includes adjustments for amortization expense of acquired intangible assets, transaction-related costs, increase in cost of sales for inventory acquired and depreciation of property, plant and equipment, and interest expense for the debt incurred to fund the Acquisition, together with the consequential tax effects. These pro forma results have been prepared for comparative purposes only and do not purport to be indicative of our operating results that would have been achieved had the Acquisition actually taken place on November 4, 2012.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51"/>
        </w:trPr>
        <w:tc>
          <w:tcPr>
            <w:tcW w:w="71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(thousands, except per share data)</w:t>
            </w: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November 1, 2014</w:t>
            </w:r>
          </w:p>
        </w:tc>
        <w:tc>
          <w:tcPr>
            <w:tcW w:w="3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November 2, 2013</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3,075,468</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2,907,504</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778,049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641,217</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2.44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2.04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At October 31, 2015, our principal source of liquidity was $3.0 billion of cash and cash equivalents and short-term investments, of which approximately $657.8 million was held in the United States. The balance of our cash and cash equivalents and short-term investments was held outside the United States in various foreign subsidiaries. As we intend to reinvest our foreign earnings indefinitely, this cash held outside the United States is not available to meet certain aspects of our cash requirements in the United States, including cash dividends and common stock repurchases. If these funds are needed for U.S. operations or can no longer be permanently reinvested outside the United States, we would be required to accrue and pay U.S. taxes to repatriate these funds. Our cash and cash equivalents consist of highly liquid investments with maturities of three months or less at the time of acquisition, including money market funds, and our short-term investments consist primarily of corporate obligations, such as commercial paper and floating rate notes, bonds and bank time deposits. We maintain these balances with high credit quality counterparties, continually monitor the amount of credit exposure to any one issuer and diversify our investments in order to minimize our credit risk.</w:t>
      </w:r>
    </w:p>
    <w:p>
      <w:pPr>
        <w:spacing w:after="0" w:line="128"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repurchases of our stock (if any) under our stock repurchase program in the immediate future and for at least the next twelve months.</w:t>
      </w:r>
    </w:p>
    <w:p>
      <w:pPr>
        <w:spacing w:after="0" w:line="84"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8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16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16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b w:val="1"/>
                <w:bCs w:val="1"/>
                <w:color w:val="auto"/>
              </w:rPr>
              <w:t>2013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Net Cash Provided by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907,798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871,602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912,345</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Operations as a %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(17,125)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(114,751)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(949,926)</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Used for Financing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(571,603)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(576,610)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(100,557)</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At October 31, 2015, cash and cash equivalents totaled $884.4 million. The following changes contributed to the net increase in cash and cash equivalents of $315.1 million in fiscal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300" w:firstLine="405"/>
        <w:spacing w:after="0" w:line="286" w:lineRule="auto"/>
        <w:rPr>
          <w:sz w:val="20"/>
          <w:szCs w:val="20"/>
          <w:color w:val="auto"/>
        </w:rPr>
      </w:pPr>
      <w:r>
        <w:rPr>
          <w:rFonts w:ascii="Arial" w:cs="Arial" w:eastAsia="Arial" w:hAnsi="Arial"/>
          <w:sz w:val="17"/>
          <w:szCs w:val="17"/>
          <w:color w:val="auto"/>
        </w:rPr>
        <w:t>During fiscal 2015, we generated cash from operating activities of $907.8 million, an increase of $36.2 million compared to the $871.6 million generated in fiscal 2014. Results of operations, after non-cash adjustments to net income, contributed $917.8 million compared to a contribution of $726.6 million in fiscal 2014. The contribution by results of operations was offset by changes in net cash inflows from working capital changes.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During fiscal 2015, cash used for investing activities included $154.0 million for property, plant and equipment additions, and $7.1 million for payments for acquisitions. We received $152.2 million in proceeds from the net sales of available-for-sale short term investments and 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During fiscal 2015, cash used for financing activities included, proceeds of $122.6 million from employee stock option exercises. We distributed $491.1 million to our shareholders in dividend payments and paid $227.0 million for the repurchase of 4.1 million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Working Capital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Change</w:t>
            </w: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466,527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396,605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69,922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Days Sales Outstanding</w:t>
            </w:r>
          </w:p>
        </w:tc>
        <w:tc>
          <w:tcPr>
            <w:tcW w:w="2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412,314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367,927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44,387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Days Cost of Sales in Inventory</w:t>
            </w:r>
          </w:p>
        </w:tc>
        <w:tc>
          <w:tcPr>
            <w:tcW w:w="2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175" w:lineRule="exact"/>
        <w:rPr>
          <w:sz w:val="20"/>
          <w:szCs w:val="20"/>
          <w:color w:val="auto"/>
        </w:rPr>
      </w:pPr>
    </w:p>
    <w:p>
      <w:pPr>
        <w:ind w:right="540" w:firstLine="432"/>
        <w:spacing w:after="0" w:line="342" w:lineRule="auto"/>
        <w:rPr>
          <w:sz w:val="20"/>
          <w:szCs w:val="20"/>
          <w:color w:val="auto"/>
        </w:rPr>
      </w:pPr>
      <w:r>
        <w:rPr>
          <w:rFonts w:ascii="Arial" w:cs="Arial" w:eastAsia="Arial" w:hAnsi="Arial"/>
          <w:sz w:val="16"/>
          <w:szCs w:val="16"/>
          <w:color w:val="auto"/>
        </w:rPr>
        <w:t>The increase in accounts receivable was primarily the result of higher product shipments in the final month of the fourth quarter of fiscal 2015 as compared to the final month of the fourth quarter of fiscal 2014. Overall, our days in sales outstanding remained consistent year-over-year.</w:t>
      </w:r>
    </w:p>
    <w:p>
      <w:pPr>
        <w:spacing w:after="0" w:line="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Inventory as of October 31, 2015 increased as compared to the end of the fourth quarter of fiscal 2014 primarily as a result of increased manufacturing production to support anticipated higher sales demand. Our inventory levels are impacted by our need to support forecasted sales demand and variations between those forecasts and actual demand. Days cost of sales in inventory increased from 115 days at the end of the fourth quarter of fiscal 2014 to 121 days at the end of fiscal 2015 as a result of recognizing approximately $53.6 million of additional cost related to the sale of acquired inventory written up to fair value as a result of the Acquisition in fiscal 2014.</w:t>
      </w:r>
    </w:p>
    <w:p>
      <w:pPr>
        <w:spacing w:after="0" w:line="134" w:lineRule="exact"/>
        <w:rPr>
          <w:sz w:val="20"/>
          <w:szCs w:val="20"/>
          <w:color w:val="auto"/>
        </w:rPr>
      </w:pPr>
    </w:p>
    <w:p>
      <w:pPr>
        <w:ind w:right="200" w:firstLine="432"/>
        <w:spacing w:after="0" w:line="258" w:lineRule="auto"/>
        <w:rPr>
          <w:sz w:val="20"/>
          <w:szCs w:val="20"/>
          <w:color w:val="auto"/>
        </w:rPr>
      </w:pPr>
      <w:r>
        <w:rPr>
          <w:rFonts w:ascii="Arial" w:cs="Arial" w:eastAsia="Arial" w:hAnsi="Arial"/>
          <w:sz w:val="18"/>
          <w:szCs w:val="18"/>
          <w:color w:val="auto"/>
        </w:rPr>
        <w:t>Current liabilities increased to $1.1 billion at October 31, 2015 from $709.1 million recorded at the end of fiscal 2014. The increase was primarily the result of the classification of our $375.0 million aggregate principal amount of 3.0% senior</w:t>
      </w:r>
    </w:p>
    <w:p>
      <w:pPr>
        <w:spacing w:after="0" w:line="1"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unsecured notes due April 15, 2016 as current and, to a lesser extent, increases in accounts payable, deferred income on shipments to distributors as more fully described below and accrued liabilities. These increases were partially offset by decreases in income taxes payable.</w:t>
      </w:r>
    </w:p>
    <w:p>
      <w:pPr>
        <w:spacing w:after="0" w:line="108"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As of October 31, 2015 and November 1, 2014, we had gross deferred revenue of $379.9 million and $349.7 million, respectively, and gross deferred cost of sales of $79.8 million and $71.3 million, respectively. Deferred income on shipments to distributors increased in fiscal 2015 primarily as a result of higher demand for products sold into the channel. Sales to distributors are made under agreements that allow distributors to receive price-adjustment credits and to return qualifying products for credit, as determined by us, in order to reduce the amounts of slow-moving, discontinued or obsolete product from their inventory. Given the uncertainties associated with the levels of price-adjustment credits to be granted to distributors, the sales price to the distributors is not fixed or determinable until the distributors resell the products to their customers. Therefore, we defer revenue recognition from sales to distributors until the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As of October 31, 2015, we had $873.3 million of carrying value outstanding on our debt. The difference in the carrying value of the debt and the principal amount of the debt is due to the unamortized discount on these instruments that will accrete to the face value of the debt over the term of the debt. Our debt obligations consist of the following:</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$375.0 million aggregate principal amount of 3.0% senior unsecured notes</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On April 4, 2011, we issued $375.0 million aggregate principal amount of 3.0% senior unsecured notes due April 15, 2016 (the 2016 Notes) with semi-annual fixed interest payments due on April 15 and October 15 of each year, commencing October 15, 2011.</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$500.0 million aggregate principal amount of 2.875% senior unsecured notes</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On June 3, 2013, we issued $500.0 million aggregate principal amount of 2.875% senior unsecured notes due June 1, 2023 (the 2023 Notes) with semi-annual fixed interest payments due on June 1 and December 1 of each year, commencing December 1, 2013.</w:t>
      </w:r>
    </w:p>
    <w:p>
      <w:pPr>
        <w:spacing w:after="0" w:line="35"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indentures governing the 2016 Notes and the 2023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October 31, 2015, we were compliant with these covenants. See Note 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in the Notes to Consolidated Financial Statements contained in Item 8 of this Annual Report on Form 10-K for further information on our outstanding debt.</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On July 10, 2015, we amended and restated our existing senior unsecured revolving credit facility with certain institutional lenders (the Credit Agreement) dated as of December 19, 2012. The Credit Agreement expires on July 10, 2020, and provides that we may borrow up to $750.0 million. To date, we have not borrowed under this credit facility, but we may borrow in the future and use the proceeds for repayment of existing indebtedness, stock repurchases, acquisitions, capital expenditures, working capital and other lawful corporate purposes. The terms of the facility impose restrictions on our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October 31, 2015, we were compliant with these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 billion term loan facility</w:t>
      </w:r>
    </w:p>
    <w:p>
      <w:pPr>
        <w:spacing w:after="0" w:line="9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July 22, 2014, we entered into a 90-day term loan facility in an aggregate principal amount of $2.0 billion with Credit Suisse AG, as Administrative Agent, and each lender from time to time party thereto (the Term Loan Agreement) to finance the Acquisition. On August 29, 2014, we repaid in full the outstanding principal balance due under the Term Loan Agreement.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Our common stock repurchase program has been in place since August 2004. In the aggregate, our Board of Directors have authorized us to repurchase $5.6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October 31, 2015, we had repurchased a total of approximately 140.7 million shares of our common stock for approximately $5.0 billion under this program. As of October 31, 2015, an additional $544.5 million worth of shares remains available for repurchase under the current authorized program. The repurchased shares are held as authorized but unissued shares of common stock. We also from time to time repurchase shares in settlement of employee minimum tax withholding obligations due upon the vesting of restricted stock units. Any future common stock repurchases will be based on several factors, including our financial performance, outlook, liquidity and the amount of cash we have available in the United States.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Net additions to property, plant and equipment were $154.0 million in fiscal 2015 and were funded with a combination of cash on hand and cash generated from operations. We expect capital expenditures for fiscal 2016 to be in the range of $140 million to $160 million. These capital expenditures will be funded with a combination of cash on hand and cash generated from operations.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On November 23, 2015, our Board of Directors declared a cash dividend of $0.40 per outstanding share of common stock. The dividend will be paid on December 15, 2015 to all shareholders of record at the close of business on December 4, 2015 and is expected to total approximately $124.8 million. We currently expect quarterly dividends to continue at $0.40 per share, although they remain subject to determination and declaration by our Board of Directors. The payment of future dividends, if any, will be based on several factors, including our financial performance, outlook and liquidity.</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665" w:right="279" w:bottom="1440" w:gutter="0" w:footer="0" w:header="0"/>
        </w:sectPr>
      </w:pPr>
    </w:p>
    <w:bookmarkStart w:id="35" w:name="page36"/>
    <w:bookmarkEnd w:id="35"/>
    <w:p>
      <w:pPr>
        <w:ind w:left="420"/>
        <w:spacing w:after="0"/>
        <w:rPr>
          <w:sz w:val="20"/>
          <w:szCs w:val="20"/>
          <w:color w:val="auto"/>
        </w:rPr>
      </w:pPr>
      <w:r>
        <w:rPr>
          <w:rFonts w:ascii="Arial" w:cs="Arial" w:eastAsia="Arial" w:hAnsi="Arial"/>
          <w:sz w:val="18"/>
          <w:szCs w:val="18"/>
          <w:i w:val="1"/>
          <w:iCs w:val="1"/>
          <w:color w:val="auto"/>
        </w:rPr>
        <w:t>Contractual Obligations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summarizes our contractual obligations and the amounts we owe under these contracts in specified periods as of October 31, 2015: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Payment due by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leases (</w:t>
            </w:r>
            <w:r>
              <w:rPr>
                <w:rFonts w:ascii="Arial" w:cs="Arial" w:eastAsia="Arial" w:hAnsi="Arial"/>
                <w:sz w:val="16"/>
                <w:szCs w:val="16"/>
                <w:color w:val="auto"/>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59,488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21,780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24,975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7,470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875,000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Interest payments associated with debt obligations</w:t>
            </w:r>
          </w:p>
        </w:tc>
        <w:tc>
          <w:tcPr>
            <w:tcW w:w="2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120,625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28,750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28,750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43,125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16"/>
                <w:szCs w:val="16"/>
                <w:color w:val="auto"/>
              </w:rPr>
              <w:t>(b)</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24,124</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 xml:space="preserve">Pension funding </w:t>
            </w:r>
            <w:r>
              <w:rPr>
                <w:rFonts w:ascii="Arial" w:cs="Arial" w:eastAsia="Arial" w:hAnsi="Arial"/>
                <w:sz w:val="16"/>
                <w:szCs w:val="16"/>
                <w:color w:val="auto"/>
              </w:rPr>
              <w:t>(c)</w:t>
            </w:r>
          </w:p>
        </w:tc>
        <w:tc>
          <w:tcPr>
            <w:tcW w:w="2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Orders (d)</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1,093,473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431,016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53,725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36,220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572,512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of our operating lease obligations include escalation clauses. These escalating payment requirements are reflected in the table.</w:t>
      </w:r>
    </w:p>
    <w:p>
      <w:pPr>
        <w:spacing w:after="0" w:line="63" w:lineRule="exact"/>
        <w:rPr>
          <w:rFonts w:ascii="Arial" w:cs="Arial" w:eastAsia="Arial" w:hAnsi="Arial"/>
          <w:sz w:val="18"/>
          <w:szCs w:val="18"/>
          <w:color w:val="auto"/>
        </w:rPr>
      </w:pPr>
    </w:p>
    <w:p>
      <w:pPr>
        <w:ind w:left="460" w:right="220" w:hanging="452"/>
        <w:spacing w:after="0" w:line="29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These payments relate to obligations under our deferred compensation plan. The deferred compensation plan allows certain members of management and other highly-compensated employees and non-employee directors to defer receipt of all or any portion of their compensation. The amount in the “More than 5 Years” column of the table represents the remaining total balance under the deferred compensation plan to be paid to participants who have not terminated employment. Since we cannot reasonably estimate the timing of withdrawals for participants who have not yet terminated employment, we have included the future obligation to these participants in the “More than 5 Years” column of the table.</w:t>
      </w:r>
    </w:p>
    <w:p>
      <w:pPr>
        <w:spacing w:after="0" w:line="3"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funding policy for our foreign defined benefit plans is consistent with the local requirements of each country. The payment obligations in the table are estimates of our expected contributions to these plans for fiscal year 2016. The actual future payments may differ from the amounts presented in the table and reasonable estimates of payments beyond one year are not practical because of potential future changes in variables, such as plan asset performance, interest rates and the rate of increase in compensation levels.</w:t>
      </w:r>
    </w:p>
    <w:p>
      <w:pPr>
        <w:spacing w:after="0" w:line="24" w:lineRule="exact"/>
        <w:rPr>
          <w:rFonts w:ascii="Arial" w:cs="Arial" w:eastAsia="Arial" w:hAnsi="Arial"/>
          <w:sz w:val="18"/>
          <w:szCs w:val="18"/>
          <w:color w:val="auto"/>
        </w:rPr>
      </w:pPr>
    </w:p>
    <w:p>
      <w:pPr>
        <w:ind w:left="460" w:right="14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 non-cancelable inventory purchase obligation for certain raw materials though March 31, 2016 as part of a planned transition from a principal foundry supplier. We generally do not have significant agreements for the purchase of raw materials or other goods specifying minimum quantities or set prices that exceed our expected short-term requirements. Other purchase orders for the purchase of raw materials and other goods and services are not included in the table above. We are not able to determine the total amount of these purchase orders that represent contractual obligations, as purchase orders may represent authorizations to purchase rather than binding agreements. In addition, our purchase orders generally allow for cancellation without significant penalties.</w:t>
      </w:r>
    </w:p>
    <w:p>
      <w:pPr>
        <w:spacing w:after="0" w:line="9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Certain of our acquisitions involve the potential payment of contingent consideration. The table above does not reflect any such obligations, which could be up to $3.0 million, as the timing and amounts are uncertain.</w:t>
      </w:r>
    </w:p>
    <w:p>
      <w:pPr>
        <w:spacing w:after="0" w:line="7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As of October 31, 2015, our total liabilities associated with deferred taxes and uncertain tax positions was $81.0 million, which are included in “Other non-current liabilities” in our consolidated balance sheet contained in Item 8 of this Annual Report on Form 10-K. Due to the complexity associated with our deferred taxes and tax uncertainties, we cannot make a reasonably reliable estimate of the period in which we expect to settle the non-current liabilities associated with these deferred taxes and uncertain tax positions. Therefore, we have not included these deferred taxes and uncertain tax positions in the above contractual obligations table.</w:t>
      </w:r>
    </w:p>
    <w:p>
      <w:pPr>
        <w:spacing w:after="0" w:line="94"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expected timing of payments and the amounts of the obligations discussed above are estimated based on current information available as of October 31, 2015.</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Off-balance Sheet Financing</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October 31, 2015, we had no off-balance sheet financing arrangements.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and are adopted by us as of the specified effective date. Unless otherwise discussed, management believes that the impact of recently issued standards will not have a material impact on our future financial condition and results of operations. See Note 2t, New Accounting Pronouncements</w:t>
      </w:r>
      <w:r>
        <w:rPr>
          <w:rFonts w:ascii="Arial" w:cs="Arial" w:eastAsia="Arial" w:hAnsi="Arial"/>
          <w:sz w:val="18"/>
          <w:szCs w:val="18"/>
          <w:i w:val="1"/>
          <w:iCs w:val="1"/>
          <w:color w:val="auto"/>
        </w:rPr>
        <w:t>,</w:t>
      </w:r>
      <w:r>
        <w:rPr>
          <w:rFonts w:ascii="Arial" w:cs="Arial" w:eastAsia="Arial" w:hAnsi="Arial"/>
          <w:sz w:val="18"/>
          <w:szCs w:val="18"/>
          <w:color w:val="auto"/>
        </w:rPr>
        <w:t xml:space="preserve"> of the Notes to Consolidated Financial Statements contained in Item 8 of this Annual Report on Form 10-K for a description of recently issued and adopted accounting pronouncements, including the dates of adoption and impact on our historical financial condition and results of operations.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3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 xml:space="preserve">In May 2014, the FASB issued ASU 2014-09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supersedes nearly all existing revenue recognition guidance under U.S. generally accepted accounting principles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In August 2015, the FASB issued ASU 2015-14 </w:t>
      </w:r>
      <w:r>
        <w:rPr>
          <w:rFonts w:ascii="Arial" w:cs="Arial" w:eastAsia="Arial" w:hAnsi="Arial"/>
          <w:sz w:val="17"/>
          <w:szCs w:val="17"/>
          <w:i w:val="1"/>
          <w:iCs w:val="1"/>
          <w:color w:val="auto"/>
        </w:rPr>
        <w:t xml:space="preserve">Revenue from Contracts with Customers Deferral of the Effective Date, </w:t>
      </w:r>
      <w:r>
        <w:rPr>
          <w:rFonts w:ascii="Arial" w:cs="Arial" w:eastAsia="Arial" w:hAnsi="Arial"/>
          <w:sz w:val="17"/>
          <w:szCs w:val="17"/>
          <w:color w:val="auto"/>
        </w:rPr>
        <w:t>which defers the effective date of the new revenue recognition standard by one year,</w:t>
      </w:r>
      <w:r>
        <w:rPr>
          <w:rFonts w:ascii="Arial" w:cs="Arial" w:eastAsia="Arial" w:hAnsi="Arial"/>
          <w:sz w:val="17"/>
          <w:szCs w:val="17"/>
          <w:i w:val="1"/>
          <w:iCs w:val="1"/>
          <w:color w:val="auto"/>
        </w:rPr>
        <w:t xml:space="preserve"> </w:t>
      </w:r>
      <w:r>
        <w:rPr>
          <w:rFonts w:ascii="Arial" w:cs="Arial" w:eastAsia="Arial" w:hAnsi="Arial"/>
          <w:sz w:val="17"/>
          <w:szCs w:val="17"/>
          <w:color w:val="auto"/>
        </w:rPr>
        <w:t>and as a result, public entities would apply the new revenue standard to annual reporting periods beginning after December 15, 2017 and interim periods therein, which is the Company's first quarter of fiscal 2019. Early adoption is permitted for all entities only as of annual reporting periods beginning after December 15, 2016, including interim reporting periods within that reporting period. The guidance allows for the amendment to be applied either retrospectively to each prior reporting period presented or retrospectively as a cumulative-effect adjustment as of the date of adoption. We are in the process of evaluating the impact of adoption on its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Management’s discussion and analysis of the financial condition and results of operations is based upon the consolidated financial statements, which have been prepared in accordance with U.S. GAAP.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based on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significant estimates or judgments that are difficult or subjective.</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Revenue from product sales to customers is generally recognized when title passes, which is upon shipment in the U.S. and for certain foreign counties. Revenue from product sales to other foreign countries is subsequent to product shipment. Title for these shipments to these other foreign countries ordinarily passes within a week of shipment. Accordingly, we defer the revenue recognized relating to these other foreign countries until title has passed. For multiple element arrangements, we allocate arrangement consideration among the elements based on the relative fair values of those elements as determined using vendor-specific objective evidence or third-party evidence. We use our best estimate of selling price to allocate arrangement consideration between the deliverables in cases where neither vendor-specific objective evidence nor third-party evidence is available. A reserve for sales returns and allowances for customers is recorded based on historical experience or specific identification of an event necessitating a reserve.</w:t>
      </w:r>
    </w:p>
    <w:p>
      <w:pPr>
        <w:spacing w:after="0" w:line="3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Revenue from contracts with the United States government, government prime contractors and some commercial customers is generally recorded on a percentage of completion basis, using either units delivered or costs incurred as the measurement basis for progress toward completion. The output measure is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810" w:right="259" w:bottom="1440" w:gutter="0" w:footer="0" w:header="0"/>
        </w:sectPr>
      </w:pPr>
    </w:p>
    <w:bookmarkStart w:id="37" w:name="page38"/>
    <w:bookmarkEnd w:id="37"/>
    <w:p>
      <w:pPr>
        <w:ind w:left="220"/>
        <w:spacing w:after="0"/>
        <w:rPr>
          <w:sz w:val="20"/>
          <w:szCs w:val="20"/>
          <w:color w:val="auto"/>
        </w:rPr>
      </w:pPr>
      <w:r>
        <w:rPr>
          <w:rFonts w:ascii="Arial" w:cs="Arial" w:eastAsia="Arial" w:hAnsi="Arial"/>
          <w:sz w:val="18"/>
          <w:szCs w:val="18"/>
          <w:i w:val="1"/>
          <w:iCs w:val="1"/>
          <w:color w:val="auto"/>
        </w:rPr>
        <w:t>Inventory Valuation</w:t>
      </w:r>
    </w:p>
    <w:p>
      <w:pPr>
        <w:spacing w:after="0" w:line="13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value inventories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net realizable value of inventory. While a portion of the calculation is determined via reference to the age of inventory and lower of cost or market calculations, an element of the calculation is subject to significant judgments made by us about future demand for our inventory. If actual demand for our products is less than our estimates, additional adjustments to existing inventories may need to be recorded in future periods. To date, our actual results have not been materially different than our estimates, and we do not expect them to be materially different in the future.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Allowance for Doubtful Accounts</w:t>
      </w:r>
    </w:p>
    <w:p>
      <w:pPr>
        <w:spacing w:after="0" w:line="131"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 To date, our actual results have not been materially different than our estimates, and we do not expect them to be materially different in the future.</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Long-Lived Assets</w:t>
      </w:r>
    </w:p>
    <w:p>
      <w:pPr>
        <w:spacing w:after="0" w:line="13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review property, plant, and equipment and finite lived intangible assets for impairment whenever events or changes in circumstances indicate that the carrying value of assets may not be recoverable. Recoverability of these assets is determined by comparison of their carrying value to future undiscounted cash flows that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Although we have recognized no material impairment adjustments related to our property, plant, and equipment and identified intangible assets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 We review indefinite-lived intangible assets for impairment annually, on the first day of the fourth quarter (on or about August 1) or more frequently if indicators of impairment exist. We perform a qualitative assessment on its indefinite-lived intangible assets to determine whether it is more likely-than not that the indefinite-lived intangible asset is impaired. If it is determined that the fair value of the indefinite-lived intangible asset is less than the carrying value, we would compare the fair value of the intangible asset with its carrying amount and recognize into earnings any amount by which the carrying value of the assets exceeds the fair value.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Goodwill is subject to annual impairment tests or more frequently if indicators of potential impairment exist and suggest that the carrying value of goodwill may not be recoverable from estimated discounted future cash flows. We test goodwill for impairment at the reporting unit level (operating segment or one level below an operating segment) on an annual basis in the fourth quarter (on or about August 1) or more frequently if we believe indicators of impairment exist. For our latest annual impairment assessment which occurred on August 2, 2015, we identified our reporting units to be our six operating segments. The performance of the test involves a two-step process. The first step of the impairment test involves comparing the fair values of the applicable reporting units with their aggregate carrying values, including goodwill. We generally determine the fair value of our reporting units using the income approach methodology of valuation that includes the discounted cash flow method as well as other generally accepted valuation methodologies, which requires significant judgment by management. If the carrying amount of a reporting unit exceeds the reporting unit’s fair value, we perform the second step of the goodwill impairment test to determine the amount of impairment loss. The second step of the goodwill impairment test involves comparing the implied fair value of the affected reporting unit’s goodwill with the carrying value of that goodwill. These impairment tests may result in impairment losses that could have a material adverse impact on our results of operations.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13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Under the acquisition method of accounting, we recognize tangible and identifiable intangible assets acquired and liabilities assumed based on their estimated fair values. We record the excess of the fair value of the purchase consideration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814" w:right="279" w:bottom="1440" w:gutter="0" w:footer="0" w:header="0"/>
        </w:sectPr>
      </w:pPr>
    </w:p>
    <w:bookmarkStart w:id="38" w:name="page39"/>
    <w:bookmarkEnd w:id="38"/>
    <w:p>
      <w:pPr>
        <w:ind w:right="60"/>
        <w:spacing w:after="0" w:line="255" w:lineRule="auto"/>
        <w:rPr>
          <w:sz w:val="20"/>
          <w:szCs w:val="20"/>
          <w:color w:val="auto"/>
        </w:rPr>
      </w:pPr>
      <w:r>
        <w:rPr>
          <w:rFonts w:ascii="Arial" w:cs="Arial" w:eastAsia="Arial" w:hAnsi="Arial"/>
          <w:sz w:val="18"/>
          <w:szCs w:val="18"/>
          <w:color w:val="auto"/>
        </w:rPr>
        <w:t>over the value of the net assets acquired as goodwill. The accounting for business combinations requires us to make significant estimates and assumptions, especially with respect to intangible assets and the fair value of contingent payment obligations. Critical estimates in valuing purchased technology, customer lists and other identifiable intangible assets include future cash flows that we expect to generate from the acquired assets. If the subsequent actual results and updated projections of the underlying business activity change compared with the assumptions and projections used to develop these values, we could experience impairment charges which could be material. In addition, we have estimated the economic lives of certain acquired assets and these lives are used to calculate depreciation and amortization expense. If our estimates of the economic lives change, depreciation or amortization expenses could be accelerated or slowed.</w:t>
      </w:r>
    </w:p>
    <w:p>
      <w:pPr>
        <w:spacing w:after="0" w:line="9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record contingent consideration resulting from a business combination at its fair value on the acquisition date. We generally determine the fair value of the contingent consideration using the income approach methodology of valuation. Each reporting period thereafter, we revalue these obligations and record increases or decreases in their fair value as an adjustment to operating expenses within the consolidated statement of income. Changes in the fair value of the contingent consideration can result from changes in assumed discount periods and rates, and from changes pertaining to the achievement of the defined milestones.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expense we record in any given period.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for Income Taxes</w:t>
      </w:r>
    </w:p>
    <w:p>
      <w:pPr>
        <w:spacing w:after="0" w:line="13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must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the recognition of revenue and expense for tax and financial statement purposes, as well as the interest and penalties relating to these uncertain tax positions. We assessed the likelihood of the realization of deferred tax assets and concluded that a valuation allowance is needed to reserve the amount of the deferred tax assets that may not be realized due to the uncertainty of the timing and amount of the realization of certain state credit carryovers. In reaching our conclusion, we evaluated certain relevant criteria including the existence of deferred tax liabilities that can be used to realize deferred tax assets, the taxable income in prior carryback years in the impacted state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 which in turn, may result in an increase or decrease to our tax provision in a subsequent period.</w:t>
      </w:r>
    </w:p>
    <w:p>
      <w:pPr>
        <w:spacing w:after="0" w:line="7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account for uncertain tax positions by determining if it is “more likely than not” that a tax position will be sustained by the appropriate taxing authorities prior to recording any benefit in the financial statements. An uncertain income tax position is not recognized if it has less than a 50% likelihood of being sustained.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reevaluate these uncertain tax positions on a quarterly basis. This evaluation is based on factors including, but not limited to, changes in known facts or circumstances, changes in tax law, effectively settled issues under audit, and new audit activity. A change in these factors would result in the recognition of a tax benefit or an additional charge to the tax provision.</w:t>
      </w:r>
    </w:p>
    <w:p>
      <w:pPr>
        <w:spacing w:after="0" w:line="84"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In the event our assumptions are incorrect, the differences could have a material impact on our income tax provision and operating results in the period in which such determination is made. In addition to the factors described above, our current and expected effective tax rate is based on then-current tax law. Significant changes during the year in enacted tax law could affect these estimates.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13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Stock-based compensation expense associated with stock options and related awards is recognized in the consolidated statements of income. Determining the amount of stock-based compensation to be recorded requires us to develop estimates to be used in calculating the grant-date fair value of stock options and market-based restricted stock units. We calculate the grant-date fair values of stock options using the Black-Scholes valuation model. The use of valuation models requires us to make estimates of key assumptions such as expected option term and stock price volatility to determine the fair value of a stock</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06" w:right="259" w:bottom="1440" w:gutter="0" w:footer="0" w:header="0"/>
        </w:sectPr>
      </w:pPr>
    </w:p>
    <w:bookmarkStart w:id="39" w:name="page40"/>
    <w:bookmarkEnd w:id="39"/>
    <w:p>
      <w:pPr>
        <w:spacing w:after="0" w:line="271" w:lineRule="auto"/>
        <w:rPr>
          <w:sz w:val="20"/>
          <w:szCs w:val="20"/>
          <w:color w:val="auto"/>
        </w:rPr>
      </w:pPr>
      <w:r>
        <w:rPr>
          <w:rFonts w:ascii="Arial" w:cs="Arial" w:eastAsia="Arial" w:hAnsi="Arial"/>
          <w:sz w:val="17"/>
          <w:szCs w:val="17"/>
          <w:color w:val="auto"/>
        </w:rPr>
        <w:t>option. The estimate of these key assumptions is based on historical information and judgment regarding market factors and trends. As it relates to our market-based restricted stock units, we utilize the Monte Carlo simulation valuation model to value these awards. The Monte Carlo simulation model utilizes multiple input variables that determine the probability of satisfying the performance conditions stipulated in the award grant and calculates the fair market value for the market-based restricted stock units granted. The Monte Carlo simulation model also uses stock price volatility and other variables to estimate the probability of satisfying the performance conditions, including the possibility that the market condition may not be satisfied, and the resulting fair value of the award. We recognize the expense related to these on a straight-line basis over the vesting period, which is generally five years for stock options and three years for restricted stock units. See Note 3 of the Notes to Consolidated Financial Statements contained in Item 8 of this Annual Report on Form 10-K for more information related to stock based compensation.</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Contingencies</w:t>
      </w:r>
    </w:p>
    <w:p>
      <w:pPr>
        <w:spacing w:after="0" w:line="131"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From time to time, in the ordinary course of business, various claims, charges and litigation are asserted or commenced against us arising from, or related to, contractual matters, patents, trademarks, personal injury, environmental matters, product liability, insurance coverage and personnel and employment disputes. We periodically assess each matter to determine if a contingent liability should be recorded.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If a loss is probable and reasonably estimable, we record a contingent loss. In determining the amount of a contingent loss, we consider advice received from experts in the specific matter, current status of legal proceedings, settlement negotiations that may be ongoing, prior case history and other factors. If the judgments and estimates made by us are incorrect, we may need to record additional contingent losses that could materially adversely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706"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Exposure</w:t>
      </w:r>
    </w:p>
    <w:p>
      <w:pPr>
        <w:spacing w:after="0" w:line="13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interest income and expense are sensitive to changes in the general level of interest rates. In this regard, changes in interest rates affect the interest earned on our marketable securities and short term investments, as well as the fair value of our investments and debt.</w:t>
      </w:r>
    </w:p>
    <w:p>
      <w:pPr>
        <w:spacing w:after="0" w:line="7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Based on our marketable securities and short-term investments outstanding as of October 31, 2015 and November 1, 2014, our annual interest income would change by approximately $27 million and $29 million, respectively, for each 100 basis point increase in interest rates.</w:t>
      </w:r>
    </w:p>
    <w:p>
      <w:pPr>
        <w:spacing w:after="0" w:line="7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To provide a meaningful assessment of the interest rate risk associated with our investment portfolio, we performed a sensitivity analysis to determine the impact a change in interest rates would have on the value of our investment portfolio assuming a 100 basis point parallel shift in the yield curve. Based on investment positions as of October 31, 2015 and November 1, 2014, a hypothetical 100 basis point increase in interest rates across all maturities would result in a $5 million and $7 million decline, respectively in the fair market value of the portfolio. Such losses would only be realized if we sold the investments prior to maturity.</w:t>
      </w:r>
    </w:p>
    <w:p>
      <w:pPr>
        <w:spacing w:after="0" w:line="94"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As of October 31, 2015, we had $875 million in principal amount of senior unsecured notes outstanding, which consisted of $375 million 3% senior unsecured notes due April 15, 2016 (the 2016 Notes) and $500 million 2.875% senior unsecured notes due June 1, 2023 (the 2023 Notes). As of October 31, 2015, a hypothetical 100 basis point increase in market interest rates would reduce the fair value of our 2016 Notes outstanding by approximately $2 million. As of October 31, 2015, a similar increase in market interest rates would reduce the fair value of our 2023 Notes by $32 million.</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Foreign Currency Exposure</w:t>
      </w:r>
    </w:p>
    <w:p>
      <w:pPr>
        <w:spacing w:after="0" w:line="131"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As more fully described in Note 2i in the Notes to Consolidated Financial Statements contained in Item 8 of this Annual Report on Form 10-K, we regularly hedge our non-U.S. dollar-based exposures by entering into forward foreign currency exchange contracts. The terms of these contracts are for periods matching the duration of the underlying exposure and generally range from one to twelve months. Currently, our largest foreign currency exposure is the Euro, primarily because our European operations have the highest proportion of our local currency denominated expenses. Relative to foreign currency exposures existing at October 31, 2015 and November 1, 2014, a 10% unfavorable movement in foreign currency exchange rates over the course of the year would result in approximately $8 million of losses and $8 million of gains, respectively, in changes in earnings or cash flows.</w:t>
      </w:r>
    </w:p>
    <w:p>
      <w:pPr>
        <w:spacing w:after="0" w:line="70" w:lineRule="exact"/>
        <w:rPr>
          <w:sz w:val="20"/>
          <w:szCs w:val="20"/>
          <w:color w:val="auto"/>
        </w:rPr>
      </w:pPr>
    </w:p>
    <w:p>
      <w:pPr>
        <w:ind w:right="240" w:firstLine="432"/>
        <w:spacing w:after="0" w:line="272" w:lineRule="auto"/>
        <w:rPr>
          <w:sz w:val="20"/>
          <w:szCs w:val="20"/>
          <w:color w:val="auto"/>
        </w:rPr>
      </w:pPr>
      <w:r>
        <w:rPr>
          <w:rFonts w:ascii="Arial" w:cs="Arial" w:eastAsia="Arial" w:hAnsi="Arial"/>
          <w:sz w:val="17"/>
          <w:szCs w:val="17"/>
          <w:color w:val="auto"/>
        </w:rPr>
        <w:t>The market risk associated with our derivative instruments results from currency exchange rates that are expected to offset the market risk of the underlying transactions, assets and liabilities being hedged. The counterparties to the agreements relating to our foreign exchange instruments consist of a number of major international financial institutions with high credit ratings. Based on the credit ratings of our counterparties as of October 31, 2015, we do not believe that there is significant risk of nonperformance by them. While the contract or notional amounts of derivative financial instruments provide one measure of the volume of these transactions, they do not represent the amount of our exposure to credit risk. The amounts potentially subject to credit risk (arising from the possible inability of counterparties to meet the terms of their contracts) are generally limited to the amounts, if any, by which the counterparties’ obligations under the contracts exceed our obligations to the counterparties.</w:t>
      </w:r>
    </w:p>
    <w:p>
      <w:pPr>
        <w:spacing w:after="0" w:line="8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illustrates the effect that a 10% unfavorable or favorable movement in foreign currency exchange rates, relative to the U.S. dollar, would have on the fair value of our forward exchange contracts as of October 31, 2015 and November 1,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2015</w:t>
            </w:r>
          </w:p>
        </w:tc>
        <w:tc>
          <w:tcPr>
            <w:tcW w:w="160" w:type="dxa"/>
            <w:vAlign w:val="bottom"/>
          </w:tcPr>
          <w:p>
            <w:pPr>
              <w:spacing w:after="0"/>
              <w:rPr>
                <w:sz w:val="16"/>
                <w:szCs w:val="16"/>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November 1, 2014</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forward exchange contracts liability</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(10,093)</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2"/>
              </w:rPr>
              <w:t>Fair value of forward exchange contracts after a 10% unfavorable movement in foreign currency exchange rates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asset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13,595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7,918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Fair value of forward exchange contracts after a 10% favorable movement in foreign currency exchange rates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(27,051)</w:t>
            </w:r>
          </w:p>
        </w:tc>
      </w:tr>
      <w:tr>
        <w:trPr>
          <w:trHeight w:val="27"/>
        </w:trPr>
        <w:tc>
          <w:tcPr>
            <w:tcW w:w="8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consolidated balance sheets of Analog Devices, Inc. as of October 31, 2015 and November 1, 2014, and the related consolidated statements of income, comprehensive income, shareholders' equity and cash flows for each of the three years in the period ended October 31, 2015. Our audits also included the financial statement schedule listed in the Index at Item 15(b).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Analog Devices, Inc. at October 31, 2015 and November 1, 2014, and the consolidated results of its operations and its cash flows for each of the three years in the period ended October 31,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Analog Devices, Inc.’s internal control over financial reporting as of October 31, 2015, based on criteria established in Internal Control-Integrated Framework issued by the Committee of Sponsoring Organizations of the Treadway Commission (2013 framework), and our report dated November 24, 2015 expressed an unqualified opinion thereon.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24, 2015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18" w:right="239" w:bottom="1440" w:gutter="0" w:footer="0" w:header="0"/>
        </w:sectPr>
      </w:pPr>
    </w:p>
    <w:bookmarkStart w:id="42" w:name="page43"/>
    <w:bookmarkEnd w:id="42"/>
    <w:p>
      <w:pPr>
        <w:spacing w:after="0"/>
        <w:tabs>
          <w:tab w:leader="none" w:pos="10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36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31, 2015, November 1, 2014 and November 2, 2013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except per share amounts)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3,435,092</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2,864,773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2,633,689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Cost of sales(1)</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1,175,830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1,034,585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941,278</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2,259,262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1,830,188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1,692,411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637,459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513,035</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Selling, marketing, general and administrative(1)</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478,972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454,676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396,233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Special charges</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37,322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29,848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operating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223,672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1,428,421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1,077,704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939,336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830,841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752,484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753,075</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Nonoperating (income)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27,102</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(12,753)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(76,597)</w:t>
            </w:r>
          </w:p>
        </w:tc>
      </w:tr>
      <w:tr>
        <w:trPr>
          <w:trHeight w:val="217"/>
        </w:trPr>
        <w:tc>
          <w:tcPr>
            <w:tcW w:w="6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20,727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23,139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(62,248)</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810,114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729,345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815,323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Payable currently</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165,450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177,736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159,535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(52,214)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(17,699)</w:t>
            </w:r>
          </w:p>
        </w:tc>
      </w:tr>
      <w:tr>
        <w:trPr>
          <w:trHeight w:val="217"/>
        </w:trPr>
        <w:tc>
          <w:tcPr>
            <w:tcW w:w="6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113,236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100,025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141,836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696,878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629,320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673,487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used to compute earnings per share — 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312,660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307,763</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Shares used to compute earnings per share — Diluted</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316,872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318,027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314,041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Basic Earnings Per Share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Earnings Per Share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Dividends declared and paid per share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 Includes stock-based compensation expense as follows: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Cost of sales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8,983</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7,069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6,593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21,901</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Selling, marketing, general and administrative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33,319</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23,036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28,392</w:t>
            </w: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3" w:name="page44"/>
    <w:bookmarkEnd w:id="43"/>
    <w:p>
      <w:pPr>
        <w:ind w:left="628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31, 2015, November 1, 2014 and November 2, 2013</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696,878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673,487</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1"/>
              </w:rPr>
              <w:t>Foreign currency translation adjustment (net of taxes of $1,479 in 2015, $2,379 in 2014 and</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$1,404 in 2013)</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unrecognized gains/losses on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w w:val="94"/>
              </w:rPr>
              <w:t>Change in fair value of available-for-sale securities classified as short-term investments</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(net of taxes of $55 in 2015, $186 in 2014 and $67 in 2013)</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unrealized gains/losses on marketable securities, net of tax</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w:t>
            </w:r>
          </w:p>
        </w:tc>
      </w:tr>
      <w:tr>
        <w:trPr>
          <w:trHeight w:val="209"/>
        </w:trPr>
        <w:tc>
          <w:tcPr>
            <w:tcW w:w="6740" w:type="dxa"/>
            <w:vAlign w:val="bottom"/>
          </w:tcPr>
          <w:p>
            <w:pPr>
              <w:ind w:left="40"/>
              <w:spacing w:after="0"/>
              <w:rPr>
                <w:sz w:val="20"/>
                <w:szCs w:val="20"/>
                <w:color w:val="auto"/>
              </w:rPr>
            </w:pPr>
            <w:r>
              <w:rPr>
                <w:rFonts w:ascii="Arial" w:cs="Arial" w:eastAsia="Arial" w:hAnsi="Arial"/>
                <w:sz w:val="18"/>
                <w:szCs w:val="18"/>
                <w:color w:val="auto"/>
                <w:w w:val="95"/>
              </w:rPr>
              <w:t>Change in unrecognized gains/losses on derivative instruments designated as cash flow</w:t>
            </w: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hedges:</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Changes in fair value of derivatives (net of taxes of $10,889 in 2015, $916 in 2014 and</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$4,242 in 2013)</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9,708</w:t>
            </w: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w w:val="91"/>
              </w:rPr>
              <w:t>Adjustment for realized gain/loss reclassified into earnings (net of taxes of $1,064 in 2015,</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$148 in 2014 and $354 in 2013)</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10,447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derivative instruments designated as cash flow hedges, net of tax</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Changes in accumulated other comprehensive (loss) income — pension plans: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Change in transition asset (net of taxes of $0 in 2015, $0 in 2014 and $4 in 2013)</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5"/>
              </w:rPr>
              <w:t>Change in actuarial loss/gain (net of taxes of $23,500 in 2015, $12,139 in 2014 and</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$4,146 in 2013)</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153,953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(24,099)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Change in prior service cost/income (net of taxes of $640 in 2015, $58 in 2014 and $3</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 2013)</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w w:val="90"/>
              </w:rPr>
              <w:t>Total change in accumulated other comprehensive income (loss) — pension plans, net of tax</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149,491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(24,082)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117,675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814,553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541,340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657,335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4" w:name="page45"/>
    <w:bookmarkEnd w:id="44"/>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31, 2015 and November 1,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except per share amounts)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884,353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569,233</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Short-term investments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2,144,575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2,297,235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 less allowances of $2,081 ($2,919 in 2014)</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466,527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396,605</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Inventories(1)</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412,314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367,927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129,241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128,934</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Prepaid income tax</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6,633</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40,597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45,319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current assets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4,079,548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3,811,886</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Property, Plant and Equipment, at Cost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Land and buildings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559,660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495,738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Machinery and equipment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1,932,727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1,880,351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Office equipment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54,099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51,477</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Leasehold improvements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55,609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50,782</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2,602,095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2,478,348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accumulated depreciation and amortization</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1,957,985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1,855,926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property, plant and equipment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644,110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622,422</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compensation plan investments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23,753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21,110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17,482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13,397</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Goodwill</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1,636,526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1,642,438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 assets,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583,517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671,402</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tax assets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33,280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27,249</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43,962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49,786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other assets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2,338,520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2,425,382</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7,062,178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6,859,690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SHAREHOLDERS’ EQUITY</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174,247</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138,967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on shipments to distributors,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300,087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278,435</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15,062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62,770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current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374,839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liabilities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249,595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228,884</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current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1,113,830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709,056</w:t>
            </w:r>
          </w:p>
        </w:tc>
        <w:tc>
          <w:tcPr>
            <w:tcW w:w="0" w:type="dxa"/>
            <w:vAlign w:val="bottom"/>
          </w:tcPr>
          <w:p>
            <w:pPr>
              <w:spacing w:after="0"/>
              <w:rPr>
                <w:sz w:val="1"/>
                <w:szCs w:val="1"/>
                <w:color w:val="auto"/>
              </w:rPr>
            </w:pPr>
          </w:p>
        </w:tc>
      </w:tr>
      <w:tr>
        <w:trPr>
          <w:trHeight w:val="24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Long-term debt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498,497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872,789</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227,376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235,791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compensation plan liability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23,753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21,110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non-current liabilities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125,763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263,047</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non-current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875,389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1,392,737</w:t>
            </w:r>
          </w:p>
        </w:tc>
        <w:tc>
          <w:tcPr>
            <w:tcW w:w="0" w:type="dxa"/>
            <w:vAlign w:val="bottom"/>
          </w:tcPr>
          <w:p>
            <w:pPr>
              <w:spacing w:after="0"/>
              <w:rPr>
                <w:sz w:val="1"/>
                <w:szCs w:val="1"/>
                <w:color w:val="auto"/>
              </w:rPr>
            </w:pPr>
          </w:p>
        </w:tc>
      </w:tr>
      <w:tr>
        <w:trPr>
          <w:trHeight w:val="244"/>
        </w:trPr>
        <w:tc>
          <w:tcPr>
            <w:tcW w:w="8340" w:type="dxa"/>
            <w:vAlign w:val="bottom"/>
          </w:tcPr>
          <w:p>
            <w:pPr>
              <w:ind w:left="180"/>
              <w:spacing w:after="0"/>
              <w:rPr>
                <w:sz w:val="20"/>
                <w:szCs w:val="20"/>
                <w:color w:val="auto"/>
              </w:rPr>
            </w:pPr>
            <w:r>
              <w:rPr>
                <w:rFonts w:ascii="Arial" w:cs="Arial" w:eastAsia="Arial" w:hAnsi="Arial"/>
                <w:sz w:val="14"/>
                <w:szCs w:val="14"/>
                <w:color w:val="auto"/>
              </w:rPr>
              <w:t>Commitments and contingencies (Note 12)</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Shareholders’ Equity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Preferred stock, $1.00 par value, 471,934 shares authorized, none outstanding</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Common stock, $0.16 2/3 par value, 1,200,000,000 shares authorized, 312,060,682 shares issued and outstanding (311,204,926 on</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November 1, 2014)</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52,011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51,869</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Capital in excess of par value</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634,484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643,058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4,437,315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4,231,496</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(50,851)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(168,526)</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5,072,959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4,757,897</w:t>
            </w:r>
          </w:p>
        </w:tc>
        <w:tc>
          <w:tcPr>
            <w:tcW w:w="0" w:type="dxa"/>
            <w:vAlign w:val="bottom"/>
          </w:tcPr>
          <w:p>
            <w:pPr>
              <w:spacing w:after="0"/>
              <w:rPr>
                <w:sz w:val="1"/>
                <w:szCs w:val="1"/>
                <w:color w:val="auto"/>
              </w:rPr>
            </w:pPr>
          </w:p>
        </w:tc>
      </w:tr>
      <w:tr>
        <w:trPr>
          <w:trHeight w:val="236"/>
        </w:trPr>
        <w:tc>
          <w:tcPr>
            <w:tcW w:w="834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7,062,178</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6,859,690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3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780" w:right="2240" w:hanging="4745"/>
        <w:spacing w:after="0" w:line="356" w:lineRule="auto"/>
        <w:tabs>
          <w:tab w:leader="none" w:pos="3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$2,923 and $3,291 related to stock-based compensation at October 31, 2015 and November 1, 2014, respectively. See accompanying Notes.</w:t>
      </w:r>
    </w:p>
    <w:p>
      <w:pPr>
        <w:sectPr>
          <w:pgSz w:w="11900" w:h="16838" w:orient="portrait"/>
          <w:cols w:equalWidth="0" w:num="1">
            <w:col w:w="11420"/>
          </w:cols>
          <w:pgMar w:left="240" w:top="580" w:right="239" w:bottom="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80" w:right="239" w:bottom="0" w:gutter="0" w:footer="0" w:header="0"/>
          <w:type w:val="continuous"/>
        </w:sectPr>
      </w:pPr>
    </w:p>
    <w:bookmarkStart w:id="45" w:name="page46"/>
    <w:bookmarkEnd w:id="45"/>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31, 2015, November 1, 2014 and November 2, 2013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Capital in</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4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Excess of</w:t>
            </w: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24"/>
                <w:szCs w:val="2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(thousands)</w:t>
            </w:r>
          </w:p>
        </w:tc>
        <w:tc>
          <w:tcPr>
            <w:tcW w:w="128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2"/>
                <w:szCs w:val="22"/>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22"/>
                <w:szCs w:val="2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Par Value</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22"/>
                <w:szCs w:val="22"/>
                <w:color w:val="auto"/>
              </w:rPr>
            </w:pPr>
          </w:p>
        </w:tc>
        <w:tc>
          <w:tcPr>
            <w:tcW w:w="128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NOVEMBER 3, 2012</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301,389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50,233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390,651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3,788,869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(64,394)</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Activity in Fiscal 2013</w:t>
            </w: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2013</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Dividends declared and paid</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(405,955)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304,431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Tax benefit — stock options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20,203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56,886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(16,152)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NOVEMBER 2, 2013</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311,045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51,842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711,879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4,056,401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(80,546)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Activity in Fiscal 2014</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 — 2014</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629,320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paid</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7,400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198,880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 stock options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50,812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Replacement share-based awards issued in connection with</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(87,980)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NOVEMBER 1, 2014</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311,205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51,869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643,058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4,231,496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(168,526)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Activity in Fiscal 2015</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 — 2015</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696,878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paid</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4,927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121,809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 stock options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68,919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117,675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160" w:type="dxa"/>
            <w:vAlign w:val="bottom"/>
          </w:tcPr>
          <w:p>
            <w:pPr>
              <w:jc w:val="right"/>
              <w:spacing w:after="0"/>
              <w:rPr>
                <w:sz w:val="20"/>
                <w:szCs w:val="20"/>
                <w:color w:val="auto"/>
              </w:rPr>
            </w:pPr>
            <w:r>
              <w:rPr>
                <w:rFonts w:ascii="Arial" w:cs="Arial" w:eastAsia="Arial" w:hAnsi="Arial"/>
                <w:sz w:val="18"/>
                <w:szCs w:val="18"/>
                <w:color w:val="auto"/>
              </w:rPr>
              <w:t>(4,071)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(226,273)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OCTOBER 31, 2015</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312,061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634,484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4,437,315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31, 2015, November 1, 2014 and November 2, 2013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696,878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629,320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673,487</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110,196</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Amortization of intangibles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92,093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27,906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68,919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56,886</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Gain on sale of product line</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(85,444)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10,205</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Other non-cash activity</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6,974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 —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(16,171)</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(52,214)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(77,711)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(17,699)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(71,198)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(36,460)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12,377</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28,527</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4,660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compensation plan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11,116</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Prepaid income tax</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4,546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10,499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6,124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deferred income and 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17,487</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Deferred compensation plan liability</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(11,116)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96,536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50,705</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7,720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60,970</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242,282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238,858</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907,798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871,602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912,345</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investing:</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short-term available-for-sale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(6,083,999)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(7,485,162)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(8,540,335)</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Maturities of short-term available-for-sale investments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4,984,980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7,318,877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6,970,885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of short-term available-for-sale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1,251,194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2,187,389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650,730</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Additions to property, plant and equipment,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(153,960)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(177,913)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(123,074)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related to sale of product line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Payments for acquisitions, net of cash acquired</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(1,945,887)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(2,475)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(5,657)</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(17,125)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(114,751)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(949,926)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debt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1,995,398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493,880</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Payment of senior unsecured notes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(392,790)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10,952</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Term loan repayments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(1,995,398)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(60,108)</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 payments to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(491,059)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(454,225)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(405,955)</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(226,953)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(356,346)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(60,529)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plans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122,631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200,114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306,277</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Contingent consideration payment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(5,665)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(2,790)</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Excess tax benefit — stock options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25,045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22,231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16,171</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for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(576,610)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(100,557)</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1,394</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315,120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177,144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(136,744)</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569,233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392,089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528,833</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884,353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569,233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392,089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80" w:right="239" w:bottom="177"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580" w:right="239" w:bottom="177" w:gutter="0" w:footer="0" w:header="0"/>
          <w:type w:val="continuous"/>
        </w:sectPr>
      </w:pPr>
    </w:p>
    <w:bookmarkStart w:id="47" w:name="page48"/>
    <w:bookmarkEnd w:id="47"/>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October 31, 2015, November 1, 2014 and November 2,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(all tabular amounts in thousands except per share amounts)</w:t>
      </w:r>
    </w:p>
    <w:p>
      <w:pPr>
        <w:spacing w:after="0" w:line="20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3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Analog Devices, Inc. (Analog Devices or the Company) is a world leader in the design, manufacture and marketing of a broad portfolio of solutions that leverage high-performance analog, mixed-signal and digital signal processing technology, including integrated circuits (ICs), algorithms, software, and subsystems. Since the Company's inception in 1965, it has focused on solving the engineering challenges associated with signal processing in virtually all types of electronic equipment. The Company's signal processing products play a fundamental role in converting, conditioning, and processing real-world phenomena such as temperature, pressure, sound, light, speed and motion into electrical signals to be used in a wide array of electronic devices. As new generations of applications, such as the Internet of Things, evolve, new needs for high-performance analog signal processing and digital signal processing (DSP) technology are generated. The Company focuses on sensing, measurement, and connectivity challenges that apply to a diverse set of customers and markets. The Company combines data converters, amplifiers and linear products, radio frequency (RF) ICs, power management products, sensors based on micro-electro mechanical systems (MEMS) technology and other sensors, and processing products, including DSP, micro controllers and other processors, into technology platforms that the Company adapts to specific customer and market needs, leveraging its engineering investment across a broad base of customers.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ind w:left="800" w:hanging="468"/>
        <w:spacing w:after="0"/>
        <w:tabs>
          <w:tab w:leader="none" w:pos="80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14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consolidated financial statements include the accounts of the Company and all of its subsidiaries. Upon consolidation, all intercompany accounts and transactions are eliminated. Certain amounts reported in previous years have been reclassified to conform to the presentation for the fiscal year ended October 31, 2015 (fiscal 2015). Such reclassified amounts were immaterial. The Company’s fiscal year is the 52-week or 53-week period ending on the Saturday closest to the last day in October. Fiscal 2015, and the fiscal year ended November 1, 2014 (fiscal 2014) and the fiscal year ended November 2, 2013 (fiscal 2013) were 52-week periods.</w:t>
      </w:r>
    </w:p>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On July 22, 2014, the Company completed its acquisition of Hittite Microwave Corporation (Hittite), a company that designed and developed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 The acquisition of Hittite is referred to as the Acquisition. The Consolidated Financial Statements include the financial results of Hittite prospectively from July 22, 2014, the closing date of the Acquisition. See Note 6, </w:t>
      </w:r>
      <w:r>
        <w:rPr>
          <w:rFonts w:ascii="Arial" w:cs="Arial" w:eastAsia="Arial" w:hAnsi="Arial"/>
          <w:sz w:val="18"/>
          <w:szCs w:val="18"/>
          <w:i w:val="1"/>
          <w:iCs w:val="1"/>
          <w:color w:val="auto"/>
        </w:rPr>
        <w:t>Acquisitions</w:t>
      </w:r>
      <w:r>
        <w:rPr>
          <w:rFonts w:ascii="Arial" w:cs="Arial" w:eastAsia="Arial" w:hAnsi="Arial"/>
          <w:sz w:val="18"/>
          <w:szCs w:val="18"/>
          <w:color w:val="auto"/>
        </w:rPr>
        <w:t>, of these notes to Consolidated Financial Statements for further discussion related to the Acquisition.</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Cash, Cash Equivalents and Short-term Investments</w:t>
      </w:r>
    </w:p>
    <w:p>
      <w:pPr>
        <w:spacing w:after="0" w:line="131" w:lineRule="exact"/>
        <w:rPr>
          <w:sz w:val="20"/>
          <w:szCs w:val="20"/>
          <w:color w:val="auto"/>
        </w:rPr>
      </w:pPr>
    </w:p>
    <w:p>
      <w:pPr>
        <w:jc w:val="both"/>
        <w:ind w:right="780" w:firstLine="432"/>
        <w:spacing w:after="0" w:line="264" w:lineRule="auto"/>
        <w:rPr>
          <w:sz w:val="20"/>
          <w:szCs w:val="20"/>
          <w:color w:val="auto"/>
        </w:rPr>
      </w:pPr>
      <w:r>
        <w:rPr>
          <w:rFonts w:ascii="Arial" w:cs="Arial" w:eastAsia="Arial" w:hAnsi="Arial"/>
          <w:sz w:val="18"/>
          <w:szCs w:val="18"/>
          <w:color w:val="auto"/>
        </w:rPr>
        <w:t>Cash and cash equivalents are highly liquid investments with insignificant interest rate risk and maturities of ninety days or less at the time of acquisition. Cash, cash equivalents and short-term investments consist primarily of institutional money market funds, corporate obligations such as commercial paper and floating rate notes, bonds and bank time deposits.</w:t>
      </w:r>
    </w:p>
    <w:p>
      <w:pPr>
        <w:spacing w:after="0" w:line="87"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The Company classifies its investments in readily marketable debt and equity securities as “held-to-maturity,” “available-for-sale” or “trading” at the time of purchase. There were no transfers between investment classifications in any of the fiscal years presented.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cash equivalents and short-term investments are classified as available-for-sale. Available-for-sale securities are carried at fair value with unrealized gains and losses, net of related tax, reported in accumulated other comprehensive (loss) income. Adjustments to the fair value of investments classified as available-for-sale are recorded as an increase or decrease in accumulated other comprehensive (loss) income, unless the adjustment is considered an other-than-temporary impairment, in which case the adjustment is recorded as a charge in the statement of income.</w:t>
      </w:r>
    </w:p>
    <w:p>
      <w:pPr>
        <w:spacing w:after="0" w:line="84" w:lineRule="exact"/>
        <w:rPr>
          <w:sz w:val="20"/>
          <w:szCs w:val="20"/>
          <w:color w:val="auto"/>
        </w:rPr>
      </w:pPr>
    </w:p>
    <w:p>
      <w:pPr>
        <w:jc w:val="both"/>
        <w:ind w:right="320" w:firstLine="432"/>
        <w:spacing w:after="0" w:line="342" w:lineRule="auto"/>
        <w:rPr>
          <w:sz w:val="20"/>
          <w:szCs w:val="20"/>
          <w:color w:val="auto"/>
        </w:rPr>
      </w:pPr>
      <w:r>
        <w:rPr>
          <w:rFonts w:ascii="Arial" w:cs="Arial" w:eastAsia="Arial" w:hAnsi="Arial"/>
          <w:sz w:val="16"/>
          <w:szCs w:val="16"/>
          <w:color w:val="auto"/>
        </w:rPr>
        <w:t>The Company’s deferred compensation plan investments are classified as trading. See Note 7 for additional information on the Company’s deferred compensation plan investments. There were no cash equivalents or short-term investments classified as trading at October 31, 2015 or November 1,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Company periodically evaluates its investments for impairment. There were no other-than-temporary impairments of short-term investments in any of the fiscal years presented.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Realized gains or losses on investments are determined based on the specific identification basis and are recognized in nonoperating (income) expense.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net realized gains or losses from the sales of available-for-sale investments during any of the fiscal periods presented.</w:t>
      </w:r>
    </w:p>
    <w:p>
      <w:pPr>
        <w:spacing w:after="0" w:line="11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Gross unrealized gains and losses on available-for-sale securities classified as short-term investments at October 31, 2015 and November 1, 2014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securities classified as short-term investments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Unrealized losses on securities classified as short-term investments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7"/>
        </w:trPr>
        <w:tc>
          <w:tcPr>
            <w:tcW w:w="83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losses on securities classified as short-term investments</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r>
      <w:tr>
        <w:trPr>
          <w:trHeight w:val="20"/>
        </w:trPr>
        <w:tc>
          <w:tcPr>
            <w:tcW w:w="8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Unrealized gains and losses in fiscal years 2015 and 2014 relate to corporate obligations.</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 of October 31, 2015, the Company held 76 investment securities, 23 of which were in an unrealized loss position with gross unrealized losses of $0.6 million and an aggregate fair value of $823.4 million. As of November 1, 2014, the Company held 66 investment securities, 18 of which were in an unrealized loss position with gross unrealized losses of $0.4 million and an aggregate fair value of $694.7 million. These unrealized losses were primarily related to corporate obligations that earn lower interest rates than current market rates. None of these investments have been in a loss position for more than twelve months. As the Company does not intend to sell these investments and it is unlikely that the Company will be required to sell the investments before recovery of their amortized basis, which will be at maturity, the Company does not consider those investments to be other-than-temporarily impaired at October 31, 2015 and November 1, 2014.</w:t>
      </w:r>
    </w:p>
    <w:p>
      <w:pPr>
        <w:spacing w:after="0" w:line="95"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components of the Company’s cash and cash equivalents and short-term investments as of October 31, 2015 and November 1, 2014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Cash</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72,638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117,337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807,935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447,968</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Held-to-maturity</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and cash equivalents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884,353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569,233</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2,144,575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2,297,235</w:t>
            </w:r>
          </w:p>
        </w:tc>
        <w:tc>
          <w:tcPr>
            <w:tcW w:w="0" w:type="dxa"/>
            <w:vAlign w:val="bottom"/>
          </w:tcPr>
          <w:p>
            <w:pPr>
              <w:spacing w:after="0"/>
              <w:rPr>
                <w:sz w:val="1"/>
                <w:szCs w:val="1"/>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Total short-term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2,144,575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2,297,235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2j for additional information on the Company’s cash equivalents and short-term investments.</w:t>
      </w:r>
    </w:p>
    <w:p>
      <w:pPr>
        <w:spacing w:after="0" w:line="13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Supplemental Cash Flow Statement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fiscal year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142,931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73,067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36,863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25,625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27,931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29,354</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3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Inventories are valued at the lower of cost (first-in, first-out method) or market. The valuation of inventory requires the Company to estimate obsolete or excess inventory as well as inventory that is not of saleable quality. The Company employs a variety of methodologies to determine the net realizable value of its inventory. While a portion of the calculation to record inventory at its net realizable value is based on the age of the inventory and lower of cost or market calculations, a key factor in estimating obsolete or excess inventory requires the Company to estimate the future demand for its products. If actual demand is less than the Company’s estimates, impairment charges, which are recorded to cost of sales, may need to be recorded in future periods. Inventory in excess of saleable amounts is not valued, and the remaining inventory is valued at the lower of cost or market. As of November 1, 2014, approximately $8.8 million of raw materials was classified as non-current and was</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1" w:right="2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presented within the consolidated balance sheet as other assets as the Company did not expect this inventory to be sold within one year. This inventory was purchased as part of a planned transition from a principal foundry supplier and was acquired by the Company through the Acquisition. The larger than normal purchase was made to maintain an adequate supply of the raw material for customers, which has a natural life of five to ten years.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at October 31, 2015 and November 1, 2014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47,267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261,520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216,765</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128,969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103,895</w:t>
            </w:r>
          </w:p>
        </w:tc>
      </w:tr>
      <w:tr>
        <w:trPr>
          <w:trHeight w:val="297"/>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inventories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412,314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367,927</w:t>
            </w:r>
          </w:p>
        </w:tc>
      </w:tr>
      <w:tr>
        <w:trPr>
          <w:trHeight w:val="251"/>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inventories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8,793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w:t>
      </w:r>
    </w:p>
    <w:p>
      <w:pPr>
        <w:spacing w:after="0" w:line="13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Property, plant and equipment is recorded at cost less allowances for depreciation. The straight-line method of depreciation is used for all classes of assets for financial statement purposes while both straight-line and accelerated methods are used for income tax purposes. Leasehold improvements are amortized based upon the lesser of the term of the lease or the useful life of the asset. Repairs and maintenance charges are expensed as incurred. Depreciation and amortization are based on the following useful lives: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5640" w:type="dxa"/>
            <w:vAlign w:val="bottom"/>
            <w:shd w:val="clear" w:color="auto" w:fill="CCEEFF"/>
          </w:tcPr>
          <w:p>
            <w:pPr>
              <w:ind w:left="3960"/>
              <w:spacing w:after="0"/>
              <w:rPr>
                <w:sz w:val="20"/>
                <w:szCs w:val="20"/>
                <w:color w:val="auto"/>
              </w:rPr>
            </w:pPr>
            <w:r>
              <w:rPr>
                <w:rFonts w:ascii="Arial" w:cs="Arial" w:eastAsia="Arial" w:hAnsi="Arial"/>
                <w:sz w:val="18"/>
                <w:szCs w:val="18"/>
                <w:color w:val="auto"/>
              </w:rPr>
              <w:t>Up to 25 years</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Machinery &amp; equipment</w:t>
            </w:r>
          </w:p>
        </w:tc>
        <w:tc>
          <w:tcPr>
            <w:tcW w:w="5640" w:type="dxa"/>
            <w:vAlign w:val="bottom"/>
          </w:tcPr>
          <w:p>
            <w:pPr>
              <w:ind w:left="3960"/>
              <w:spacing w:after="0"/>
              <w:rPr>
                <w:sz w:val="20"/>
                <w:szCs w:val="20"/>
                <w:color w:val="auto"/>
              </w:rPr>
            </w:pPr>
            <w:r>
              <w:rPr>
                <w:rFonts w:ascii="Arial" w:cs="Arial" w:eastAsia="Arial" w:hAnsi="Arial"/>
                <w:sz w:val="18"/>
                <w:szCs w:val="18"/>
                <w:color w:val="auto"/>
              </w:rPr>
              <w:t>3-8 years</w:t>
            </w:r>
          </w:p>
        </w:tc>
      </w:tr>
      <w:tr>
        <w:trPr>
          <w:trHeight w:val="27"/>
        </w:trPr>
        <w:tc>
          <w:tcPr>
            <w:tcW w:w="576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43"/>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Office equipment</w:t>
            </w:r>
          </w:p>
        </w:tc>
        <w:tc>
          <w:tcPr>
            <w:tcW w:w="5640" w:type="dxa"/>
            <w:vAlign w:val="bottom"/>
            <w:shd w:val="clear" w:color="auto" w:fill="CCEEFF"/>
          </w:tcPr>
          <w:p>
            <w:pPr>
              <w:ind w:left="3960"/>
              <w:spacing w:after="0"/>
              <w:rPr>
                <w:sz w:val="20"/>
                <w:szCs w:val="20"/>
                <w:color w:val="auto"/>
              </w:rPr>
            </w:pPr>
            <w:r>
              <w:rPr>
                <w:rFonts w:ascii="Arial" w:cs="Arial" w:eastAsia="Arial" w:hAnsi="Arial"/>
                <w:sz w:val="18"/>
                <w:szCs w:val="18"/>
                <w:color w:val="auto"/>
              </w:rPr>
              <w:t>3-8 years</w:t>
            </w:r>
          </w:p>
        </w:tc>
      </w:tr>
      <w:tr>
        <w:trPr>
          <w:trHeight w:val="27"/>
        </w:trPr>
        <w:tc>
          <w:tcPr>
            <w:tcW w:w="576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Depreciation expense for property, plant and equipment was $130.1 million, $114.1 million and $110.2 million in fiscal 2015, 2014 and 2013, respectively.</w:t>
      </w:r>
    </w:p>
    <w:p>
      <w:pPr>
        <w:spacing w:after="0" w:line="76" w:lineRule="exact"/>
        <w:rPr>
          <w:sz w:val="20"/>
          <w:szCs w:val="20"/>
          <w:color w:val="auto"/>
        </w:rPr>
      </w:pPr>
    </w:p>
    <w:p>
      <w:pPr>
        <w:jc w:val="both"/>
        <w:ind w:right="60" w:firstLine="432"/>
        <w:spacing w:after="0" w:line="255" w:lineRule="auto"/>
        <w:rPr>
          <w:sz w:val="20"/>
          <w:szCs w:val="20"/>
          <w:color w:val="auto"/>
        </w:rPr>
      </w:pPr>
      <w:r>
        <w:rPr>
          <w:rFonts w:ascii="Arial" w:cs="Arial" w:eastAsia="Arial" w:hAnsi="Arial"/>
          <w:sz w:val="18"/>
          <w:szCs w:val="18"/>
          <w:color w:val="auto"/>
        </w:rPr>
        <w:t>The Company reviews property, plant and equipment for impairment whenever events or changes in circumstances indicate that the carrying amount of assets may not be recoverable. Recoverability of these assets is determined by comparison of their carrying amount to the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If such assets are not impaired, but their useful lives have decreased, the remaining net book value is amortized over the revised useful life. We have not recorded any material impairment charges related to our property, plant and equipment in fiscal 2015, fiscal 2014 or fiscal 2013.</w:t>
      </w:r>
    </w:p>
    <w:p>
      <w:pPr>
        <w:spacing w:after="0" w:line="9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Company evaluates goodwill for impairment annually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1) or more frequently if indicators of impairment exist. For the Company’s latest annual impairment assessment that occurred on August 2, 2015, the Company identified its reporting units to be its six operating segments, , which meet the aggregation criteria for one reportable segment.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reporting unit. There was no impairment of goodwill in any of the fiscal years presented. The Company’s next annual impairment assessment will be performed as of the first day of the fourth quarter of fiscal 2016 unless indicators arise that would require the Company to reevaluate at an earlier date. The following table presents the changes in goodwill during fiscal 2015 and fiscal 2014:</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1,642,438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284,112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 of Hittite (Note 6) (1)</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1,357,077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adjustment related to other acquisitions (2)</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1,636,526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1,642,438</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in fiscal 2015 represents changes to goodwill as a result of finalizing the acquisition accounting related to the Acquisition.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goodwill related to other acquisitions that were not material to the Company on either an individual or aggregate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reviews finite-lived intangible assets for impairment whenever events or changes in circumstances indicate that the carrying value of assets may not be recoverable. Recoverability of these assets is determined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As of October 31, 2015 and November 1, 2014, the Company’s finite-lived intangible assets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 2015</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November 1, 2014</w:t>
            </w:r>
          </w:p>
        </w:tc>
        <w:tc>
          <w:tcPr>
            <w:tcW w:w="1340" w:type="dxa"/>
            <w:vAlign w:val="bottom"/>
            <w:tcBorders>
              <w:bottom w:val="single" w:sz="8" w:color="auto"/>
            </w:tcBorders>
          </w:tcPr>
          <w:p>
            <w:pPr>
              <w:spacing w:after="0"/>
              <w:rPr>
                <w:sz w:val="16"/>
                <w:szCs w:val="16"/>
                <w:color w:val="auto"/>
              </w:rPr>
            </w:pPr>
          </w:p>
        </w:tc>
      </w:tr>
      <w:tr>
        <w:trPr>
          <w:trHeight w:val="152"/>
        </w:trPr>
        <w:tc>
          <w:tcPr>
            <w:tcW w:w="3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500" w:type="dxa"/>
            <w:vAlign w:val="bottom"/>
          </w:tcPr>
          <w:p>
            <w:pPr>
              <w:spacing w:after="0"/>
              <w:rPr>
                <w:sz w:val="13"/>
                <w:szCs w:val="13"/>
                <w:color w:val="auto"/>
              </w:rPr>
            </w:pPr>
          </w:p>
        </w:tc>
        <w:tc>
          <w:tcPr>
            <w:tcW w:w="14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16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520" w:type="dxa"/>
            <w:vAlign w:val="bottom"/>
          </w:tcPr>
          <w:p>
            <w:pPr>
              <w:spacing w:after="0"/>
              <w:rPr>
                <w:sz w:val="13"/>
                <w:szCs w:val="13"/>
                <w:color w:val="auto"/>
              </w:rPr>
            </w:pPr>
          </w:p>
        </w:tc>
        <w:tc>
          <w:tcPr>
            <w:tcW w:w="1340" w:type="dxa"/>
            <w:vAlign w:val="bottom"/>
          </w:tcPr>
          <w:p>
            <w:pPr>
              <w:jc w:val="right"/>
              <w:ind w:right="436"/>
              <w:spacing w:after="0" w:line="153" w:lineRule="exact"/>
              <w:rPr>
                <w:sz w:val="20"/>
                <w:szCs w:val="20"/>
                <w:color w:val="auto"/>
              </w:rPr>
            </w:pPr>
            <w:r>
              <w:rPr>
                <w:rFonts w:ascii="Arial" w:cs="Arial" w:eastAsia="Arial" w:hAnsi="Arial"/>
                <w:sz w:val="14"/>
                <w:szCs w:val="14"/>
                <w:b w:val="1"/>
                <w:bCs w:val="1"/>
                <w:color w:val="auto"/>
                <w:w w:val="90"/>
              </w:rPr>
              <w:t>Accumulated</w:t>
            </w:r>
          </w:p>
        </w:tc>
      </w:tr>
      <w:tr>
        <w:trPr>
          <w:trHeight w:val="192"/>
        </w:trPr>
        <w:tc>
          <w:tcPr>
            <w:tcW w:w="3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50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20" w:type="dxa"/>
            <w:vAlign w:val="bottom"/>
          </w:tcPr>
          <w:p>
            <w:pPr>
              <w:spacing w:after="0"/>
              <w:rPr>
                <w:sz w:val="16"/>
                <w:szCs w:val="16"/>
                <w:color w:val="auto"/>
              </w:rPr>
            </w:pPr>
          </w:p>
        </w:tc>
        <w:tc>
          <w:tcPr>
            <w:tcW w:w="1340" w:type="dxa"/>
            <w:vAlign w:val="bottom"/>
          </w:tcPr>
          <w:p>
            <w:pPr>
              <w:jc w:val="right"/>
              <w:ind w:right="436"/>
              <w:spacing w:after="0"/>
              <w:rPr>
                <w:sz w:val="20"/>
                <w:szCs w:val="20"/>
                <w:color w:val="auto"/>
              </w:rPr>
            </w:pPr>
            <w:r>
              <w:rPr>
                <w:rFonts w:ascii="Arial" w:cs="Arial" w:eastAsia="Arial" w:hAnsi="Arial"/>
                <w:sz w:val="14"/>
                <w:szCs w:val="14"/>
                <w:b w:val="1"/>
                <w:bCs w:val="1"/>
                <w:color w:val="auto"/>
                <w:w w:val="93"/>
              </w:rPr>
              <w:t>Amortization</w:t>
            </w:r>
          </w:p>
        </w:tc>
      </w:tr>
      <w:tr>
        <w:trPr>
          <w:trHeight w:val="256"/>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624,900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88,913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624,900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19,473</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8"/>
              <w:spacing w:after="0"/>
              <w:rPr>
                <w:sz w:val="20"/>
                <w:szCs w:val="20"/>
                <w:color w:val="auto"/>
              </w:rPr>
            </w:pPr>
            <w:r>
              <w:rPr>
                <w:rFonts w:ascii="Arial" w:cs="Arial" w:eastAsia="Arial" w:hAnsi="Arial"/>
                <w:sz w:val="18"/>
                <w:szCs w:val="18"/>
                <w:color w:val="auto"/>
              </w:rPr>
              <w:t>16,200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5,934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8"/>
              <w:spacing w:after="0"/>
              <w:rPr>
                <w:sz w:val="20"/>
                <w:szCs w:val="20"/>
                <w:color w:val="auto"/>
              </w:rPr>
            </w:pPr>
            <w:r>
              <w:rPr>
                <w:rFonts w:ascii="Arial" w:cs="Arial" w:eastAsia="Arial" w:hAnsi="Arial"/>
                <w:sz w:val="18"/>
                <w:szCs w:val="18"/>
                <w:color w:val="auto"/>
              </w:rPr>
              <w:t>16,200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1,627</w:t>
            </w:r>
          </w:p>
        </w:tc>
      </w:tr>
      <w:tr>
        <w:trPr>
          <w:trHeight w:val="27"/>
        </w:trPr>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25,500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25,500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25,500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7,154</w:t>
            </w: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666,600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120,347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666,600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28,254</w:t>
            </w:r>
          </w:p>
        </w:tc>
      </w:tr>
      <w:tr>
        <w:trPr>
          <w:trHeight w:val="27"/>
        </w:trPr>
        <w:tc>
          <w:tcPr>
            <w:tcW w:w="3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3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60" w:firstLine="405"/>
        <w:spacing w:after="0" w:line="308" w:lineRule="auto"/>
        <w:rPr>
          <w:sz w:val="20"/>
          <w:szCs w:val="20"/>
          <w:color w:val="auto"/>
        </w:rPr>
      </w:pPr>
      <w:r>
        <w:rPr>
          <w:rFonts w:ascii="Arial" w:cs="Arial" w:eastAsia="Arial" w:hAnsi="Arial"/>
          <w:sz w:val="17"/>
          <w:szCs w:val="17"/>
          <w:color w:val="auto"/>
        </w:rPr>
        <w:t>Amortization expense related to finite-lived intangible assets was $92.1 million, $27.9 million and $0.2 million in fiscal 2015, 2014 and 2013, respectively. The remaining amortization expense will be recognized over a weighted average life of approximately 3.9 years.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expects annual amortization expense for intangible assets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4"/>
                <w:szCs w:val="14"/>
                <w:color w:val="auto"/>
              </w:rPr>
            </w:pPr>
          </w:p>
        </w:tc>
        <w:tc>
          <w:tcPr>
            <w:tcW w:w="174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Amortization Expense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8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4"/>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73,208</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87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73,208</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72,149</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7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69,433</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7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69,433</w:t>
            </w:r>
          </w:p>
        </w:tc>
      </w:tr>
      <w:tr>
        <w:trPr>
          <w:trHeight w:val="27"/>
        </w:trPr>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Indefinite-lived intangible assets are tested for impairment on an annual basis on the first day of the fourth quarter (on or about August 1) or more frequently if indicators of impairment exist. The impairment test involves a qualitative assessment on the indefinite-lived intangible assets to determine whether it is more likely-than not that the indefinite-lived intangible asset is impaired. If it is determined that the fair value of the indefinite-lived intangible asset is less than the carrying value, the Company would recognize into earnings the amount by which the carrying value of the assets exceeds the fair value. No impairment of intangible assets resulted from the impairment tests in any of the fiscal years presented.</w:t>
      </w:r>
    </w:p>
    <w:p>
      <w:pPr>
        <w:spacing w:after="0" w:line="173" w:lineRule="exact"/>
        <w:rPr>
          <w:sz w:val="20"/>
          <w:szCs w:val="20"/>
          <w:color w:val="auto"/>
        </w:rPr>
      </w:pPr>
    </w:p>
    <w:p>
      <w:pPr>
        <w:jc w:val="both"/>
        <w:ind w:right="140" w:firstLine="405"/>
        <w:spacing w:after="0" w:line="312" w:lineRule="auto"/>
        <w:rPr>
          <w:sz w:val="20"/>
          <w:szCs w:val="20"/>
          <w:color w:val="auto"/>
        </w:rPr>
      </w:pPr>
      <w:r>
        <w:rPr>
          <w:rFonts w:ascii="Arial" w:cs="Arial" w:eastAsia="Arial" w:hAnsi="Arial"/>
          <w:sz w:val="16"/>
          <w:szCs w:val="16"/>
          <w:color w:val="auto"/>
        </w:rPr>
        <w:t>Definite-lived intangible assets, are amortized on a straight-line basis over their estimated useful lives or on an accelerated method of amortization that is expected to reflect the estimated pattern of economic use. IPR&amp;D assets are considered indefinite-lived intangible assets until completion or abandonment of the associated R&amp;D efforts. Upon completion of the projects, the IPR&amp;D assets will be amortized over their estimated useful lives.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Indefinite-lived intangible assets consisted of $37.3 million and $33.1 million of IPR&amp;D as of October 31, 2015 and November 1, 2014, respectively.</w:t>
      </w:r>
    </w:p>
    <w:p>
      <w:pPr>
        <w:spacing w:after="0" w:line="24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Grant Accounting</w:t>
      </w:r>
    </w:p>
    <w:p>
      <w:pPr>
        <w:spacing w:after="0" w:line="13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Certain of the Company’s foreign subsidiaries have received grants from governmental agencies. These grants include capital, employment and research and development grants. Capital grants for the acquisition of property and equipment are netted against the related capital expenditures and amortized as a credit to depreciation expense over the useful life of the related asset. Employment grants, which relate to employee hiring and training, and research and development grants are recognized in earnings in the period in which the related expenditures are incurred by the Company.</w:t>
      </w:r>
    </w:p>
    <w:p>
      <w:pPr>
        <w:spacing w:after="0" w:line="7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Translation of Foreign Currencies</w:t>
      </w:r>
    </w:p>
    <w:p>
      <w:pPr>
        <w:spacing w:after="0" w:line="13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functional currency for the Company’s foreign sales and research and development operations is the applicable local currency. Gains and losses resulting from translation of these foreign currencies into U.S. dollars are recorded in accumulated other comprehensive (loss) income. Transaction gains and losses and re-measurement of foreign currency denominated assets and liabilities are included in income currently, including those at the Company’s principal foreign manufacturing operations where the functional currency is the U.S. dollar. Foreign currency transaction gains or losses included in other expenses, net, were not material in fiscal 2015, 2014 or 2013.</w:t>
      </w:r>
    </w:p>
    <w:p>
      <w:pPr>
        <w:spacing w:after="0" w:line="9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Instruments and Hedging Agreements</w:t>
      </w:r>
    </w:p>
    <w:p>
      <w:pPr>
        <w:spacing w:after="0" w:line="90"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i w:val="1"/>
          <w:iCs w:val="1"/>
          <w:color w:val="auto"/>
        </w:rPr>
        <w:t xml:space="preserve">Foreign Exchange Exposure Management </w:t>
      </w:r>
      <w:r>
        <w:rPr>
          <w:rFonts w:ascii="Arial" w:cs="Arial" w:eastAsia="Arial" w:hAnsi="Arial"/>
          <w:sz w:val="18"/>
          <w:szCs w:val="18"/>
          <w:color w:val="auto"/>
        </w:rPr>
        <w:t>— The Company enters into forward foreign currency exchange contracts to offset certain operational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exposures from the impact of changes in foreign currency exchange rates. Such exposures result from the portion of the Company’s operations, assets and liabilities that are denominated in currencies other</w:t>
      </w:r>
    </w:p>
    <w:p>
      <w:pPr>
        <w:ind w:right="40"/>
        <w:spacing w:after="0" w:line="285" w:lineRule="auto"/>
        <w:rPr>
          <w:sz w:val="20"/>
          <w:szCs w:val="20"/>
          <w:color w:val="auto"/>
        </w:rPr>
      </w:pPr>
      <w:r>
        <w:rPr>
          <w:rFonts w:ascii="Arial" w:cs="Arial" w:eastAsia="Arial" w:hAnsi="Arial"/>
          <w:sz w:val="16"/>
          <w:szCs w:val="16"/>
          <w:color w:val="auto"/>
        </w:rPr>
        <w:t>than the U.S. dollar, primarily the Euro; other significant exposures include the Philippine Peso, the Japanese Yen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October 31, 2015 and November 1, 2014, the total notional amount of these undesignated hedges was $57.9 million and $45.2 million, respectively. The fair value of these hedging instruments in the Company’s consolidated balance sheets as of October 31, 2015 and November 1, 2014 was immaterial.</w:t>
      </w:r>
    </w:p>
    <w:p>
      <w:pPr>
        <w:spacing w:after="0" w:line="11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i w:val="1"/>
          <w:iCs w:val="1"/>
          <w:color w:val="auto"/>
        </w:rPr>
        <w:t xml:space="preserve">Interest Rate Exposure Management </w:t>
      </w:r>
      <w:r>
        <w:rPr>
          <w:rFonts w:ascii="Arial" w:cs="Arial" w:eastAsia="Arial" w:hAnsi="Arial"/>
          <w:sz w:val="18"/>
          <w:szCs w:val="18"/>
          <w:color w:val="auto"/>
        </w:rPr>
        <w:t>— The Company's current and future debt may be subject to interest rate risk. The Company utilizes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to alter interest rate exposure in an attempt to reduce the effects of these changes.</w:t>
      </w:r>
    </w:p>
    <w:p>
      <w:pPr>
        <w:spacing w:after="0" w:line="116"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On October 28, 2014, the Company entered into forward starting interest rate swap transactions to hedge its exposure to the variability in future cash flows due to changes in interest rates for debt issuances expected to occur in the future. Amounts reported in OCI related to these derivatives will be reclassified from OCI to earnings as interest expense is incurred on the forecasted hedged fixed-rate debt, adjusting interest expense to reflect the fixed-rate entered into by the forward starting swaps. These cash flow instruments hedge forecasted interest payments to be made through 2025. These forward starting swaps will be terminated on December 1, 2015. As of October 31, 2015 and November 1, 2014, the total notional value of these hedges was $500.0 million. The fair value of these hedges was $32.7 million as of October 31, 2015, included in accrued liabilities, and $1.7 million as of November 1, 2014, included in other assets, in the Company's consolidated balance sheet.</w:t>
      </w:r>
    </w:p>
    <w:p>
      <w:pPr>
        <w:spacing w:after="0" w:line="12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On April 24, 2013, the Company entered into a treasury rate lock agreement with Bank of America. This agreement allowed the Company to lock a 10-year US Treasury rate of 1.7845% through June 14, 2013 for its anticipated issuance of the $500.0 million aggregate principal amount of 2.875% senior unsecured notes due June 1, 2023 (2023 Notes). The Company designated this agreement as a cash flow hedge. On June 3, 2013, the Company terminated the treasury rate lock simultaneously with the issuance of the 2023 Notes which resulted in a gain of approximately $11.0 million. This gain is being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amortized into interest expense over the 10-year term of the 2023 Notes. During fiscal 2015 and fiscal 2014 approximately $1.1 million and $1.1 million, respectively, was amortized from OCI into interest expense and approximately $1.1 million will be amortized from OCI into interest expense within the next 12 months.</w:t>
      </w:r>
    </w:p>
    <w:p>
      <w:pPr>
        <w:spacing w:after="0" w:line="127" w:lineRule="exact"/>
        <w:rPr>
          <w:sz w:val="20"/>
          <w:szCs w:val="20"/>
          <w:color w:val="auto"/>
        </w:rPr>
      </w:pPr>
    </w:p>
    <w:p>
      <w:pPr>
        <w:ind w:right="240" w:firstLine="432"/>
        <w:spacing w:after="0" w:line="291" w:lineRule="auto"/>
        <w:rPr>
          <w:sz w:val="20"/>
          <w:szCs w:val="20"/>
          <w:color w:val="auto"/>
        </w:rPr>
      </w:pPr>
      <w:r>
        <w:rPr>
          <w:rFonts w:ascii="Arial" w:cs="Arial" w:eastAsia="Arial" w:hAnsi="Arial"/>
          <w:sz w:val="16"/>
          <w:szCs w:val="16"/>
          <w:color w:val="auto"/>
        </w:rPr>
        <w:t>On June 30, 2009, the Company entered into interest rate swap transactions related to its outstanding $375.0 million aggregate principal amount of 5.0% senior unsecured notes due July 1, 2014 (the 2014 Notes) where the Company swapped the notional amount of its $375.0 million of fixed rate debt at</w:t>
      </w:r>
    </w:p>
    <w:p>
      <w:pPr>
        <w:ind w:right="20"/>
        <w:spacing w:after="0" w:line="285" w:lineRule="auto"/>
        <w:rPr>
          <w:sz w:val="20"/>
          <w:szCs w:val="20"/>
          <w:color w:val="auto"/>
        </w:rPr>
      </w:pPr>
      <w:r>
        <w:rPr>
          <w:rFonts w:ascii="Arial" w:cs="Arial" w:eastAsia="Arial" w:hAnsi="Arial"/>
          <w:sz w:val="16"/>
          <w:szCs w:val="16"/>
          <w:color w:val="auto"/>
        </w:rPr>
        <w:t>5.0% into floating interest rate debt through July 1, 2014. The Company designated these swaps as fair value hedges.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amounts earned and owed under the swap agreements were accrued each period and were reported in interest expense. There was no ineffectiveness recognized in any of the periods presented. In the second quarter of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consolidated statements of cash flows. As a result of the termination, the carrying value of the 2014 Notes was adjusted for the change in the fair value of the interest component of the debt up to the date of the termination of the swap in an amount equal to the fair value of the swap, and was amortized into earnings as a reduction of interest expense over the remaining life of the debt. During fiscal 2013 and 2012, $4.6 million and $5.3 million, respectively, were amortized into earnings as a reduction of interest expense related to the swap termination. This amortization is reflected in the consolidated statements of cash flows within operating activities. During the third quarter of fiscal 2013, in conjunction with the redemption of the 2014 Notes, the Company recognized the remaining $8.6 million in unamortized proceeds received from the termination of the interest rate swap as other, net expense.</w:t>
      </w:r>
    </w:p>
    <w:p>
      <w:pPr>
        <w:spacing w:after="0" w:line="11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October 31, 2015,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6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Company records the fair value of its derivative financial instruments in its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or the ineffective portion of designated hedges are reported in earnings as they occur.</w:t>
      </w:r>
    </w:p>
    <w:p>
      <w:pPr>
        <w:spacing w:after="0" w:line="11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October 31, 2015 and November 1, 2014 was $163.9 million and $183.5 million, respectively. The fair values of forward foreign currency derivative instruments designated as hedging instruments in the Company’s consolidated balance sheets as of October 31, 2015 and November 1, 2014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4120" w:type="dxa"/>
            <w:vAlign w:val="bottom"/>
            <w:tcBorders>
              <w:bottom w:val="single" w:sz="8" w:color="CCEEFF"/>
            </w:tcBorders>
          </w:tcPr>
          <w:p>
            <w:pPr>
              <w:spacing w:after="0"/>
              <w:rPr>
                <w:sz w:val="22"/>
                <w:szCs w:val="22"/>
                <w:color w:val="auto"/>
              </w:rPr>
            </w:pPr>
          </w:p>
        </w:tc>
        <w:tc>
          <w:tcPr>
            <w:tcW w:w="390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8"/>
              </w:rPr>
              <w:t>October 31, 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7"/>
              </w:rPr>
              <w:t>November 1, 2014</w:t>
            </w: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Forward foreign currency exchange contracts</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3,091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10,584</w:t>
            </w:r>
          </w:p>
        </w:tc>
      </w:tr>
      <w:tr>
        <w:trPr>
          <w:trHeight w:val="27"/>
        </w:trPr>
        <w:tc>
          <w:tcPr>
            <w:tcW w:w="412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 xml:space="preserve">For information on the unrealized holding gains (losses) on derivatives included in and reclassified out of accumulated other comprehensive income into the consolidated statement of income related to forward foreign currency exchange contracts, see Note 2o, </w:t>
      </w:r>
      <w:r>
        <w:rPr>
          <w:rFonts w:ascii="Arial" w:cs="Arial" w:eastAsia="Arial" w:hAnsi="Arial"/>
          <w:sz w:val="16"/>
          <w:szCs w:val="16"/>
          <w:i w:val="1"/>
          <w:iCs w:val="1"/>
          <w:color w:val="auto"/>
        </w:rPr>
        <w:t>Accumulated Other Comprehensive (Loss) Income</w:t>
      </w:r>
      <w:r>
        <w:rPr>
          <w:rFonts w:ascii="Arial" w:cs="Arial" w:eastAsia="Arial" w:hAnsi="Arial"/>
          <w:sz w:val="16"/>
          <w:szCs w:val="16"/>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The Company estimates that $1.8 million of forward foreign currency derivative instruments included in OCI will be reclassified into earnings within the next 12 months. There was no material ineffectiveness during the fiscal years ended October 31, 2015 and November 1, 2014.</w:t>
      </w:r>
    </w:p>
    <w:p>
      <w:pPr>
        <w:spacing w:after="0" w:line="12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All of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consolidated balance sheet on a net basis. As of October 31, 2015 and November 1, 2014, none of the netting arrangements involved collateral. The following table presents the gross amounts of the Company's derivative assets and liabilities and the net amounts recorded in our consolidated balance sheet as of October 31, 2015 and November 1, 2014:</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2015</w:t>
            </w:r>
          </w:p>
        </w:tc>
        <w:tc>
          <w:tcPr>
            <w:tcW w:w="180" w:type="dxa"/>
            <w:vAlign w:val="bottom"/>
          </w:tcPr>
          <w:p>
            <w:pPr>
              <w:spacing w:after="0"/>
              <w:rPr>
                <w:sz w:val="16"/>
                <w:szCs w:val="16"/>
                <w:color w:val="auto"/>
              </w:rPr>
            </w:pPr>
          </w:p>
        </w:tc>
        <w:tc>
          <w:tcPr>
            <w:tcW w:w="140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November 1, 2014</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Gross amount of recognized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(3,896)</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(10,736)</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amounts of recognized assets offset in the consolidated balance sheet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w:t>
            </w: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Net liabilities presented in the consolidated balance sheet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(10,093)</w:t>
            </w:r>
          </w:p>
        </w:tc>
      </w:tr>
      <w:tr>
        <w:trPr>
          <w:trHeight w:val="27"/>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w:t>
      </w:r>
    </w:p>
    <w:p>
      <w:pPr>
        <w:spacing w:after="0" w:line="9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3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16"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tables below, set forth by level, presents the Company’s financial assets and liabilities, excluding accrued interest components, that were accounted for at fair value on a recurring basis as of October 31, 2015 and November 1, 2014. The tables exclude cash on hand and assets and liabilities that are measured at historical cost or any basis other than fair value. As of October 31, 2015 and November 1, 2014, the Company held $76.4 million and $121.3 million, respectively, of cash and held-to-maturity investments that were excluded from the tables below.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1" w:right="2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0"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October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23495</wp:posOffset>
            </wp:positionV>
            <wp:extent cx="3970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13335</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4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198,853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198,853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609,082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609,082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1,899,374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1,899,374</w:t>
            </w:r>
          </w:p>
        </w:tc>
        <w:tc>
          <w:tcPr>
            <w:tcW w:w="0" w:type="dxa"/>
            <w:vAlign w:val="bottom"/>
          </w:tcPr>
          <w:p>
            <w:pPr>
              <w:spacing w:after="0"/>
              <w:rPr>
                <w:sz w:val="1"/>
                <w:szCs w:val="1"/>
                <w:color w:val="auto"/>
              </w:rPr>
            </w:pPr>
          </w:p>
        </w:tc>
      </w:tr>
      <w:tr>
        <w:trPr>
          <w:trHeight w:val="243"/>
        </w:trPr>
        <w:tc>
          <w:tcPr>
            <w:tcW w:w="514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99,648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99,648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145,553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24,124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24,124</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222,977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2,753,657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2,976,634</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32,737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32,737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35,820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38,663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October 31, 2015 was $2.6 billion.</w:t>
      </w:r>
    </w:p>
    <w:p>
      <w:pPr>
        <w:spacing w:after="0" w:line="23" w:lineRule="exact"/>
        <w:rPr>
          <w:rFonts w:ascii="Arial" w:cs="Arial" w:eastAsia="Arial" w:hAnsi="Arial"/>
          <w:sz w:val="18"/>
          <w:szCs w:val="18"/>
          <w:color w:val="auto"/>
        </w:rPr>
      </w:pPr>
    </w:p>
    <w:p>
      <w:pPr>
        <w:ind w:left="340" w:right="800" w:hanging="332"/>
        <w:spacing w:after="0" w:line="261"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Company has netting arrangements by counterparty with respect to derivative contracts. See Note 2i, </w:t>
      </w:r>
      <w:r>
        <w:rPr>
          <w:rFonts w:ascii="Arial" w:cs="Arial" w:eastAsia="Arial" w:hAnsi="Arial"/>
          <w:sz w:val="18"/>
          <w:szCs w:val="18"/>
          <w:i w:val="1"/>
          <w:iCs w:val="1"/>
          <w:color w:val="auto"/>
        </w:rPr>
        <w:t>Derivative Instruments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for more information related to the Company's master netting arrangements.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1" w:right="25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0"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November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23495</wp:posOffset>
            </wp:positionV>
            <wp:extent cx="3970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13335</wp:posOffset>
            </wp:positionV>
            <wp:extent cx="2967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4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178,067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178,067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269,901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269,901</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2,122,120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2,122,120</w:t>
            </w:r>
          </w:p>
        </w:tc>
        <w:tc>
          <w:tcPr>
            <w:tcW w:w="0" w:type="dxa"/>
            <w:vAlign w:val="bottom"/>
          </w:tcPr>
          <w:p>
            <w:pPr>
              <w:spacing w:after="0"/>
              <w:rPr>
                <w:sz w:val="1"/>
                <w:szCs w:val="1"/>
                <w:color w:val="auto"/>
              </w:rPr>
            </w:pPr>
          </w:p>
        </w:tc>
      </w:tr>
      <w:tr>
        <w:trPr>
          <w:trHeight w:val="243"/>
        </w:trPr>
        <w:tc>
          <w:tcPr>
            <w:tcW w:w="514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85,061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85,061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50,010</w:t>
            </w: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Securities with greater than one year to maturity:</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40,044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21,393</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199,460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2,568,859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2,768,319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10,093</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14,899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November 1, 2014 was $2.3 billion.</w:t>
      </w:r>
    </w:p>
    <w:p>
      <w:pPr>
        <w:spacing w:after="0" w:line="23" w:lineRule="exact"/>
        <w:rPr>
          <w:rFonts w:ascii="Arial" w:cs="Arial" w:eastAsia="Arial" w:hAnsi="Arial"/>
          <w:sz w:val="18"/>
          <w:szCs w:val="18"/>
          <w:color w:val="auto"/>
        </w:rPr>
      </w:pPr>
    </w:p>
    <w:p>
      <w:pPr>
        <w:ind w:left="340" w:right="280" w:hanging="332"/>
        <w:spacing w:after="0" w:line="261"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Company has master netting arrangements by counterparty with respect to derivative contracts. See Note 2i, </w:t>
      </w:r>
      <w:r>
        <w:rPr>
          <w:rFonts w:ascii="Arial" w:cs="Arial" w:eastAsia="Arial" w:hAnsi="Arial"/>
          <w:sz w:val="18"/>
          <w:szCs w:val="18"/>
          <w:i w:val="1"/>
          <w:iCs w:val="1"/>
          <w:color w:val="auto"/>
        </w:rPr>
        <w:t>Derivative Instruments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for more information related to the Company's master netting arrangements.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curve model based on current market rates.</w:t>
      </w:r>
    </w:p>
    <w:p>
      <w:pPr>
        <w:spacing w:after="0" w:line="116"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1" w:right="2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b w:val="1"/>
          <w:bCs w:val="1"/>
          <w:i w:val="1"/>
          <w:iCs w:val="1"/>
          <w:color w:val="auto"/>
        </w:rPr>
        <w:t xml:space="preserve">Interest rate swap agreements </w:t>
      </w:r>
      <w:r>
        <w:rPr>
          <w:rFonts w:ascii="Arial" w:cs="Arial" w:eastAsia="Arial" w:hAnsi="Arial"/>
          <w:sz w:val="18"/>
          <w:szCs w:val="18"/>
          <w:color w:val="auto"/>
        </w:rPr>
        <w:t>— The fair value of interest rate swap agreements is based on the quoted market price for the same or similar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w:t>
      </w:r>
    </w:p>
    <w:p>
      <w:pPr>
        <w:spacing w:after="0" w:line="116"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 The fair value of the contingent consideration was estimated utilizing the income approach and is based upon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inputs not observable in the market. The income approach is based on two steps. The first step involves a projection of the cash flows that is based on the Company’s estimates of the timing and probability of achieving the defined milestones. The second step involves converting the cash flows into a present value equivalent through discounting. The discount rate reflects the Baa costs of debt plus the relevant risk associated with the asset and the time value of money.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 of the contingent consideration encompasses the following significant unobservable inputs: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gridSpan w:val="3"/>
          </w:tcPr>
          <w:p>
            <w:pPr>
              <w:ind w:left="40"/>
              <w:spacing w:after="0"/>
              <w:rPr>
                <w:sz w:val="20"/>
                <w:szCs w:val="20"/>
                <w:color w:val="auto"/>
              </w:rPr>
            </w:pPr>
            <w:r>
              <w:rPr>
                <w:rFonts w:ascii="Arial" w:cs="Arial" w:eastAsia="Arial" w:hAnsi="Arial"/>
                <w:sz w:val="14"/>
                <w:szCs w:val="14"/>
                <w:b w:val="1"/>
                <w:bCs w:val="1"/>
                <w:color w:val="auto"/>
              </w:rPr>
              <w:t>Unobservable Inputs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Estimated contingent consideration payments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Discount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 - 10%</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Timing of cash flows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 year</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Probability of achievement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Changes in the fair value of the contingent consideration are recognized in operating income in the period of the estimated fair value change. Significant increases or decreases in any of the inputs in isolation may result in a fluctuation in the fair value measurement.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change in the fair value of the contingent consideration measured using significant unobservable inputs (Level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November 2, 2013 to October 31, 2015:</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313"/>
              <w:spacing w:after="0"/>
              <w:rPr>
                <w:sz w:val="20"/>
                <w:szCs w:val="20"/>
                <w:color w:val="auto"/>
              </w:rPr>
            </w:pPr>
            <w:r>
              <w:rPr>
                <w:rFonts w:ascii="Arial" w:cs="Arial" w:eastAsia="Arial" w:hAnsi="Arial"/>
                <w:sz w:val="14"/>
                <w:szCs w:val="14"/>
                <w:b w:val="1"/>
                <w:bCs w:val="1"/>
                <w:color w:val="auto"/>
              </w:rPr>
              <w:t>Contingent</w:t>
            </w:r>
          </w:p>
        </w:tc>
      </w:tr>
      <w:tr>
        <w:trPr>
          <w:trHeight w:val="192"/>
        </w:trPr>
        <w:tc>
          <w:tcPr>
            <w:tcW w:w="9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Consideration</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b w:val="1"/>
                <w:bCs w:val="1"/>
                <w:color w:val="auto"/>
              </w:rPr>
              <w:t>Balance as of November 2,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6,479</w:t>
            </w:r>
          </w:p>
        </w:tc>
      </w:tr>
      <w:tr>
        <w:trPr>
          <w:trHeight w:val="27"/>
        </w:trPr>
        <w:tc>
          <w:tcPr>
            <w:tcW w:w="9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 recorded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1,888</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Payment made (1)</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7"/>
        </w:trPr>
        <w:tc>
          <w:tcPr>
            <w:tcW w:w="9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adjustment (2)</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439</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b w:val="1"/>
                <w:bCs w:val="1"/>
                <w:color w:val="auto"/>
              </w:rPr>
              <w:t>Balance as of November 1, 2014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4,806</w:t>
            </w:r>
          </w:p>
        </w:tc>
      </w:tr>
      <w:tr>
        <w:trPr>
          <w:trHeight w:val="27"/>
        </w:trPr>
        <w:tc>
          <w:tcPr>
            <w:tcW w:w="9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made (1)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Fair value adjustment (2)</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9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b w:val="1"/>
                <w:bCs w:val="1"/>
                <w:color w:val="auto"/>
              </w:rPr>
              <w:t>Balance as of October 31, 2015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2,843</w:t>
            </w:r>
          </w:p>
        </w:tc>
      </w:tr>
      <w:tr>
        <w:trPr>
          <w:trHeight w:val="27"/>
        </w:trPr>
        <w:tc>
          <w:tcPr>
            <w:tcW w:w="9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520" w:hanging="332"/>
        <w:spacing w:after="0" w:line="274"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payment is reflected in the statements of cash flows as cash used in financing activities related to the liability recognized at fair value as of the acquisition date and as cash provided by operating activities related to the fair value adjustments previously recognized in earnings.</w:t>
      </w: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Recorded in research and development expense in the consolidated statements of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71"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On April 4, 2011, the Company issued the 2016 Notes with semi-annual fixed interest payments due on April 15 and October 15 of each year, commencing October 15, 2011. Based on quotes received from third-party banks, the fair value of the 2016 Notes as of October 31, 2015 and November 1, 2014 was $378.6 million and $386.3 million, respectively, and is classified as a Level 1 measurement according to the fair value hierarchy.</w:t>
      </w:r>
    </w:p>
    <w:p>
      <w:pPr>
        <w:spacing w:after="0" w:line="12"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On June 3, 2013, the Company issued the 2023 Notes with semi-annual fixed interest payments due on June 1 and December 1 of each year, commencing December 1, 2013. Based on quotes received from third-party banks, the fair value of the 2023 Notes as of October 31, 2015 and November 1, 2014 was $480.9 million and $483.5 million, respectively, and is classified as a Level 1 measurement according to the fair value hierarchy.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and identified intangible assets, allowances for doubtful accounts and customer returns, the net realizable value of inventory, potential reserves relating to litigation matters, accrued liabilities, accrued taxes, deferred tax valuation allowances, assumptions pertaining to share-based payments and other reserves. Actual results could differ from those estimates and such differences may be material to the financial statements.</w:t>
      </w:r>
    </w:p>
    <w:p>
      <w:pPr>
        <w:spacing w:after="0" w:line="8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13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investments and trade accounts receivable.</w:t>
      </w:r>
    </w:p>
    <w:p>
      <w:pPr>
        <w:spacing w:after="0" w:line="7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maintains cash, cash equivalents and short-term and long-term investments with high credit quality counterparties, continuously monitors the amount of credit exposure to any one issuer and diversifies its investments in order to minimize its credit risk.</w:t>
      </w:r>
    </w:p>
    <w:p>
      <w:pPr>
        <w:spacing w:after="0" w:line="76"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Company sells its products to distributors and original equipment manufacturers involved in a variety of industries including industrial process automation, instrumentation, defense/aerospace, automotive, communications, computers and computer peripherals and consumer electronics. The Company has adopted credit policies and standards to accommodate growth in these markets. The Company performs continuing credit evaluations of its customers’ financial condition and although the Company generally does not require collateral, the Company may require letters of credit from customers in certain circumstances. The Company provides reserves for estimated amounts of accounts receivable that may not be collected.</w:t>
      </w:r>
    </w:p>
    <w:p>
      <w:pPr>
        <w:spacing w:after="0" w:line="6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Company's largest single customer represented approximately 13% of fiscal 2015 revenue. No sales to an individual customer accounted for more than 10% of fiscal 2014 or fiscal 2013 revenue.</w:t>
      </w:r>
    </w:p>
    <w:p>
      <w:pPr>
        <w:spacing w:after="0" w:line="7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m.</w:t>
      </w:r>
      <w:r>
        <w:rPr>
          <w:sz w:val="20"/>
          <w:szCs w:val="20"/>
          <w:color w:val="auto"/>
        </w:rPr>
        <w:tab/>
      </w:r>
      <w:r>
        <w:rPr>
          <w:rFonts w:ascii="Arial" w:cs="Arial" w:eastAsia="Arial" w:hAnsi="Arial"/>
          <w:sz w:val="15"/>
          <w:szCs w:val="15"/>
          <w:b w:val="1"/>
          <w:bCs w:val="1"/>
          <w:i w:val="1"/>
          <w:iCs w:val="1"/>
          <w:color w:val="auto"/>
        </w:rPr>
        <w:t>Concentration of Other Risks</w:t>
      </w:r>
    </w:p>
    <w:p>
      <w:pPr>
        <w:spacing w:after="0" w:line="131"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Additionally, a large portion of the Company’s purchases of external wafer and foundry services are from a limited number of suppliers, primarily Taiwan Semiconductor Manufacturing Company (TSMC). If TSMC or any of the Company’s other key suppliers are unable or unwilling to manufacture and deliver sufficient quantities of components, on the time schedule and of the quality that the Company requires, the Company may be forced to engage additional or replacement suppliers, which could result in significant expenses and disruptions or delays in manufacturing, product development and shipment of product to the Company’s customers. Although the Company has experienced shortages of components, materials and external foundry services from time to time, these items have generally been available to the Company as needed.</w:t>
      </w:r>
    </w:p>
    <w:p>
      <w:pPr>
        <w:spacing w:after="0" w:line="7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Revenue Recognition</w:t>
      </w:r>
    </w:p>
    <w:p>
      <w:pPr>
        <w:spacing w:after="0" w:line="9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Revenue from product sales to customers is generally recognized when title passes, which is upon shipment in the U.S. and for certain foreign counties. Revenue from product sales to other foreign countries is subsequent to product shipment. Title for these shipments to these other foreign countries ordinarily passes within a week of shipment. Accordingly, we defer the revenue recognized relating to these other foreign countries until title has passed. For multiple element arrangements, the Company allocates arrangement consideration among the elements based on the relative fair values of those elements as determined using vendor-specific objective evidence or third-party evidence. The Company uses its best estimate of selling price to allocate arrangement consideration between the deliverables in cases where neither vendor-specific objective evidence nor third-party evidence is available. A reserve for sales returns and allowances for customers is recorded based on historical experience or specific identification of an event necessitating a reserve.</w:t>
      </w:r>
    </w:p>
    <w:p>
      <w:pPr>
        <w:spacing w:after="0" w:line="3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Revenue from contracts with the United States government, government prime contractors and some commercial customers is generally recorded on a percentage of completion basis using either units delivered or costs incurred as the measurement basis for progress towards completion. The output measure is used to measure results directly and is generally the best measure of progress toward completion in circumstances in which a reliable measure of output can be established.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w:t>
      </w:r>
    </w:p>
    <w:p>
      <w:pPr>
        <w:ind w:right="40"/>
        <w:spacing w:after="0" w:line="261" w:lineRule="auto"/>
        <w:rPr>
          <w:sz w:val="20"/>
          <w:szCs w:val="20"/>
          <w:color w:val="auto"/>
        </w:rPr>
      </w:pPr>
      <w:r>
        <w:rPr>
          <w:rFonts w:ascii="Arial" w:cs="Arial" w:eastAsia="Arial" w:hAnsi="Arial"/>
          <w:sz w:val="18"/>
          <w:szCs w:val="18"/>
          <w:color w:val="auto"/>
        </w:rPr>
        <w:t>Changes in contract performance, estimated gross margin, including the impact of final contract settlements, and estimated losses are recognized in the period in which the changes or losses are determined.</w:t>
      </w:r>
    </w:p>
    <w:p>
      <w:pPr>
        <w:spacing w:after="0" w:line="13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As a result,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12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Distributors are granted price-adjustment credits for sales to their customers when the distributor’s standard cost (i.e., the Company’s sales price to the distributor) does not provide the distributor with an appropriate margin on its sales to its customers. As distributors negotiate selling prices with their customers, the final sales price agreed upon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119"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the specific product in the distributor’s inventory at the time of the price decrease.</w:t>
      </w:r>
    </w:p>
    <w:p>
      <w:pPr>
        <w:spacing w:after="0" w:line="9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Given the uncertainties associated with the levels of price-adjustment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2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 Shipping costs are charged to cost of sales as incurred.</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 Company continuously monitors the level and nature of product returns and is in frequent contact with the distributors to ensure reserves are established for all known material issues.</w:t>
      </w:r>
    </w:p>
    <w:p>
      <w:pPr>
        <w:spacing w:after="0" w:line="13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As of October 31, 2015 and November 1, 2014, the Company had gross deferred revenue of $379.9 million and $349.7 million, respectively, and gross deferred cost of sales of $79.8 million and $71.3 million, respectively. Deferred income on shipments to distributors increased in fiscal 2015 primarily as a result of higher demand for products sold into the channel.</w:t>
      </w:r>
    </w:p>
    <w:p>
      <w:pPr>
        <w:spacing w:after="0" w:line="127"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The Company generally offers a twelve-month warranty for its products. The Company’s warranty policy provides for replacement of defective products. Specific accruals are recorded for known product warranty issues. Product warranty expenses during fiscal 2015, 2014 and 2013 were not material.</w:t>
      </w:r>
    </w:p>
    <w:p>
      <w:pPr>
        <w:spacing w:after="0" w:line="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Accumulated Other Comprehensive (Loss) Income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comprehensive (loss) income includes certain transactions that have generally been reported in the consolidated statement of shareholders’ equity.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at October 31, 2015 and November 1, 2014 consisted of the following, net of tax:</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Unrealized</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Unrealized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holding gains on</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5"/>
              </w:rPr>
              <w:t>holding (losses) on</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available for sale</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available for sale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Foreign currency</w:t>
            </w: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securities</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securities</w:t>
            </w: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translation</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classified as short-</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classified as short-</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holding Gains on</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adjustment</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term investments</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term investments</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Pension Plans</w:t>
            </w:r>
          </w:p>
        </w:tc>
        <w:tc>
          <w:tcPr>
            <w:tcW w:w="32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Total</w:t>
            </w:r>
          </w:p>
        </w:tc>
      </w:tr>
      <w:tr>
        <w:trPr>
          <w:trHeight w:val="33"/>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November 1, 2014</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(168,526)</w:t>
            </w: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Other comprehensive income before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(65,967)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(119,713)</w:t>
            </w: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out of other</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238,318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249,829</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Tax effects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11,953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(12,441)</w:t>
            </w:r>
          </w:p>
        </w:tc>
      </w:tr>
      <w:tr>
        <w:trPr>
          <w:trHeight w:val="27"/>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149,491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117,675</w:t>
            </w:r>
          </w:p>
        </w:tc>
      </w:tr>
      <w:tr>
        <w:trPr>
          <w:trHeight w:val="257"/>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October 31, 2015</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(50,851)</w:t>
            </w: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amounts reclassified out of accumulated other comprehensive income into the consolidated statement of income, with presentation location during each period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 Component</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holding (losses) gains on derivatives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Currency 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9,235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Other operating expense (b)</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Treasury rate lock</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10,447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tcPr>
          <w:p>
            <w:pPr>
              <w:spacing w:after="0"/>
              <w:rPr>
                <w:sz w:val="24"/>
                <w:szCs w:val="24"/>
                <w:color w:val="auto"/>
              </w:rPr>
            </w:pPr>
          </w:p>
        </w:tc>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311"/>
        </w:trPr>
        <w:tc>
          <w:tcPr>
            <w:tcW w:w="4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Amortization of pension components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Transition obligation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43"/>
        </w:trPr>
        <w:tc>
          <w:tcPr>
            <w:tcW w:w="4580" w:type="dxa"/>
            <w:vAlign w:val="bottom"/>
            <w:gridSpan w:val="2"/>
          </w:tcPr>
          <w:p>
            <w:pPr>
              <w:ind w:left="260"/>
              <w:spacing w:after="0"/>
              <w:rPr>
                <w:sz w:val="20"/>
                <w:szCs w:val="20"/>
                <w:color w:val="auto"/>
              </w:rPr>
            </w:pPr>
            <w:r>
              <w:rPr>
                <w:rFonts w:ascii="Arial" w:cs="Arial" w:eastAsia="Arial" w:hAnsi="Arial"/>
                <w:sz w:val="18"/>
                <w:szCs w:val="18"/>
                <w:color w:val="auto"/>
              </w:rPr>
              <w:t>Prior service credit and curtailment recognition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Actuarial losses and settlement recognition</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7,167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4,323</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Irish pension curtailment/settlement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 (c)</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238,318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4,323</w:t>
            </w:r>
          </w:p>
        </w:tc>
        <w:tc>
          <w:tcPr>
            <w:tcW w:w="10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209,443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tcPr>
          <w:p>
            <w:pPr>
              <w:spacing w:after="0"/>
              <w:rPr>
                <w:sz w:val="24"/>
                <w:szCs w:val="24"/>
                <w:color w:val="auto"/>
              </w:rPr>
            </w:pPr>
          </w:p>
        </w:tc>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84"/>
        </w:trPr>
        <w:tc>
          <w:tcPr>
            <w:tcW w:w="4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Total amounts reclassified out of accumulated other</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219,890</w:t>
            </w:r>
          </w:p>
        </w:tc>
        <w:tc>
          <w:tcPr>
            <w:tcW w:w="120" w:type="dxa"/>
            <w:vAlign w:val="bottom"/>
          </w:tcPr>
          <w:p>
            <w:pPr>
              <w:spacing w:after="0"/>
              <w:rPr>
                <w:sz w:val="19"/>
                <w:szCs w:val="19"/>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comprehensive income, net of tax</w:t>
            </w:r>
          </w:p>
        </w:tc>
        <w:tc>
          <w:tcPr>
            <w:tcW w:w="34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8890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-130175</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ind w:left="660" w:right="2240" w:hanging="4"/>
        <w:spacing w:after="0" w:line="250" w:lineRule="auto"/>
        <w:tabs>
          <w:tab w:leader="none" w:pos="8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gain related to a fixed asset purchase was reclassified out of accumulated other comprehensive income (loss) to fixed assets which will depreciate into earnings over its expected useful life.</w:t>
      </w:r>
    </w:p>
    <w:p>
      <w:pPr>
        <w:ind w:left="660" w:right="60" w:hanging="4"/>
        <w:spacing w:after="0" w:line="261" w:lineRule="auto"/>
        <w:tabs>
          <w:tab w:leader="none" w:pos="8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gain on currency forwards related to the Irish pension plan settlement was reclassified out of accumulated other comprehensive income (loss) to other operating expense. For further information see Note 13, </w:t>
      </w:r>
      <w:r>
        <w:rPr>
          <w:rFonts w:ascii="Arial" w:cs="Arial" w:eastAsia="Arial" w:hAnsi="Arial"/>
          <w:sz w:val="18"/>
          <w:szCs w:val="18"/>
          <w:i w:val="1"/>
          <w:iCs w:val="1"/>
          <w:color w:val="auto"/>
        </w:rPr>
        <w:t>Retirement Plans.</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1"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 xml:space="preserve">c) The amortization of pension components is included in the computation of net periodic pension cost. For further information see Note 13, </w:t>
      </w:r>
      <w:r>
        <w:rPr>
          <w:rFonts w:ascii="Arial" w:cs="Arial" w:eastAsia="Arial" w:hAnsi="Arial"/>
          <w:sz w:val="18"/>
          <w:szCs w:val="18"/>
          <w:i w:val="1"/>
          <w:iCs w:val="1"/>
          <w:color w:val="auto"/>
        </w:rPr>
        <w:t>Retirement Plans.</w:t>
      </w:r>
    </w:p>
    <w:p>
      <w:pPr>
        <w:spacing w:after="0" w:line="11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 Expense</w:t>
      </w:r>
    </w:p>
    <w:p>
      <w:pPr>
        <w:spacing w:after="0" w:line="13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Advertising costs are expensed as incurred. Advertising expense was approximately $3.3 million in fiscal 2015, $3.2 million in fiscal 2014 and $3.3 million in fiscal 2013.</w:t>
      </w:r>
    </w:p>
    <w:p>
      <w:pPr>
        <w:spacing w:after="0" w:line="7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Deferred tax assets and liabilities are determined based on the differences between financial reporting and tax basis of assets and liabilities and are measured using the enacted income tax rates and laws that are expected to be in effect when the temporary differences are expected to reverse. Additionally, deferred tax assets and liabilities are separated into current and non-current amounts based on the classification of the related assets and liabilities for financial reporting purposes.</w:t>
      </w:r>
    </w:p>
    <w:p>
      <w:pPr>
        <w:spacing w:after="0" w:line="9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 of Common Stock</w:t>
      </w:r>
    </w:p>
    <w:p>
      <w:pPr>
        <w:spacing w:after="0" w:line="9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696,878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629,320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673,487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Basic shares: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312,660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313,195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307,763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Earnings per share 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2.19</w:t>
            </w:r>
          </w:p>
        </w:tc>
      </w:tr>
      <w:tr>
        <w:trPr>
          <w:trHeight w:val="311"/>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Diluted shares: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307,763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Assumed exercise of common stock equivalents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6,278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and common equivalent shares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316,872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318,027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314,041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Earnings per share 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2.14</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Anti-dilutive shares related to:</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Outstanding stock options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4,116</w:t>
            </w:r>
          </w:p>
        </w:tc>
      </w:tr>
    </w:tbl>
    <w:p>
      <w:pPr>
        <w:spacing w:after="0" w:line="22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and three years for restricted stock units. In addition to restricted stock units with a service condition, the Company grants restricted stock units with both a market condition and a service condition (market-based restricted stock units). The number of shares of the Company's common stock to be issued upon vesting of market-based restricted stock units will range from 0% to 200% of the target amount, based on the comparison of the Company's total shareholder return (TSR) to the median TSR of a specified peer group over a three-year period. TSR is a measure of stock price appreciation plus any dividends paid during the performance period. Determining the amount of stock-based compensation to be recorded for stock options and market-based restricted stock units requires the Company to develop estimates used in calculating the grant-date fair value of awards. The Company uses the Black-Scholes valuation model to calculate the grant-date fair value of stock option awards and the Monte Carlo simulation model to calculate the grant-date fair value of market-based restricted stock units. The use of these valuation models requires the Company to make estimates and assumptions, such as expected volatility, expected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term, risk-free interest rate, expected dividend yield and forfeiture rates. The grant-date fair value of restricted stock units with only a service condition represents the value of the Company's common stock on the date of grant, reduced by the present value of dividends expected to be paid on the Company's common stock prior to vesting.</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3 for additional information relating to stock-based compensation.</w:t>
      </w:r>
    </w:p>
    <w:p>
      <w:pPr>
        <w:spacing w:after="0" w:line="21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 xml:space="preserve">In July 2013, the Financial Accounting Standards Board (FASB) issued Accounting Standards Update (ASU) 2013-11, </w:t>
      </w:r>
      <w:r>
        <w:rPr>
          <w:rFonts w:ascii="Arial" w:cs="Arial" w:eastAsia="Arial" w:hAnsi="Arial"/>
          <w:sz w:val="16"/>
          <w:szCs w:val="16"/>
          <w:i w:val="1"/>
          <w:iCs w:val="1"/>
          <w:color w:val="auto"/>
        </w:rPr>
        <w:t>Presentation of an Unrecognized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 Benefit When a Net Operating Loss Carryforward, a Similar Tax Loss, or a Tax Credit Carryforward Exists </w:t>
      </w:r>
      <w:r>
        <w:rPr>
          <w:rFonts w:ascii="Arial" w:cs="Arial" w:eastAsia="Arial" w:hAnsi="Arial"/>
          <w:sz w:val="16"/>
          <w:szCs w:val="16"/>
          <w:color w:val="auto"/>
        </w:rPr>
        <w:t>(ASU 2013-11). ASU 2013-11 requires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an unrecognized tax benefit, or a portion of an unrecognized tax benefit, should be presented as a reduction to a deferred tax asset for a net operating loss carryforward, a similar tax loss or a tax credit carryforward, with certain exceptions. ASU 2013-11 was effective for the Company's first quarter of fiscal year 2015. The adoption of ASU 2013-11 in the first quarter of fiscal 2015 did not impact the Company's financial condition or results of operations.</w:t>
      </w:r>
    </w:p>
    <w:p>
      <w:pPr>
        <w:spacing w:after="0" w:line="104" w:lineRule="exact"/>
        <w:rPr>
          <w:sz w:val="20"/>
          <w:szCs w:val="20"/>
          <w:color w:val="auto"/>
        </w:rPr>
      </w:pPr>
    </w:p>
    <w:p>
      <w:pPr>
        <w:jc w:val="right"/>
        <w:ind w:right="9300"/>
        <w:spacing w:after="0"/>
        <w:rPr>
          <w:sz w:val="20"/>
          <w:szCs w:val="20"/>
          <w:color w:val="auto"/>
        </w:rPr>
      </w:pPr>
      <w:r>
        <w:rPr>
          <w:rFonts w:ascii="Arial" w:cs="Arial" w:eastAsia="Arial" w:hAnsi="Arial"/>
          <w:sz w:val="16"/>
          <w:szCs w:val="16"/>
          <w:i w:val="1"/>
          <w:iCs w:val="1"/>
          <w:color w:val="auto"/>
        </w:rPr>
        <w:t>Standards to be Implemented</w:t>
      </w:r>
    </w:p>
    <w:p>
      <w:pPr>
        <w:spacing w:after="0" w:line="113" w:lineRule="exact"/>
        <w:rPr>
          <w:sz w:val="20"/>
          <w:szCs w:val="20"/>
          <w:color w:val="auto"/>
        </w:rPr>
      </w:pPr>
    </w:p>
    <w:p>
      <w:pPr>
        <w:jc w:val="right"/>
        <w:ind w:right="9320"/>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 xml:space="preserve">In September 2015, the FASB issued ASU 2015-16, </w:t>
      </w:r>
      <w:r>
        <w:rPr>
          <w:rFonts w:ascii="Arial" w:cs="Arial" w:eastAsia="Arial" w:hAnsi="Arial"/>
          <w:sz w:val="18"/>
          <w:szCs w:val="18"/>
          <w:i w:val="1"/>
          <w:iCs w:val="1"/>
          <w:color w:val="auto"/>
        </w:rPr>
        <w:t>Business Combinations (Topic 805): Simplifying the Accounting for Measurement-Period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Adjustments </w:t>
      </w:r>
      <w:r>
        <w:rPr>
          <w:rFonts w:ascii="Arial" w:cs="Arial" w:eastAsia="Arial" w:hAnsi="Arial"/>
          <w:sz w:val="18"/>
          <w:szCs w:val="18"/>
          <w:color w:val="auto"/>
        </w:rPr>
        <w:t>(ASU 2015-16). The update requires that an acquirer recognize adjustments to provisional amounts that are identified during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the reporting period in which the adjustment amounts are determined. The amendments require that the acquirer record, in the financial statements of the period in which adjustments to provisional amounts are determined, the effect on earnings of changes in depreciation, amortization, or other income effects, if any, as a result of the change to the provisional amounts, calculated as if the accounting had been completed at the acquisition date. The new standard is effective prospectively for fiscal years beginning after December 15, 2015, including interim periods within those fiscal years, with early adoption permitted. The Company will adopt ASU 2015-16 in the first quarter of fiscal 2017 and is currently evaluating the impact, if any, adoption will have on its financial position and results of operations.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In July 2015, the FASB issued ASU 2015-11, Inventory (Topic 330) - </w:t>
      </w:r>
      <w:r>
        <w:rPr>
          <w:rFonts w:ascii="Arial" w:cs="Arial" w:eastAsia="Arial" w:hAnsi="Arial"/>
          <w:sz w:val="18"/>
          <w:szCs w:val="18"/>
          <w:i w:val="1"/>
          <w:iCs w:val="1"/>
          <w:color w:val="auto"/>
        </w:rPr>
        <w:t>Simplifying the Measurement of</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(ASU 2015-11)</w:t>
      </w:r>
      <w:r>
        <w:rPr>
          <w:rFonts w:ascii="Arial" w:cs="Arial" w:eastAsia="Arial" w:hAnsi="Arial"/>
          <w:sz w:val="18"/>
          <w:szCs w:val="18"/>
          <w:i w:val="1"/>
          <w:iCs w:val="1"/>
          <w:color w:val="auto"/>
        </w:rPr>
        <w:t xml:space="preserve">, </w:t>
      </w:r>
      <w:r>
        <w:rPr>
          <w:rFonts w:ascii="Arial" w:cs="Arial" w:eastAsia="Arial" w:hAnsi="Arial"/>
          <w:sz w:val="18"/>
          <w:szCs w:val="18"/>
          <w:color w:val="auto"/>
        </w:rPr>
        <w:t>which simplifies the subsequent measurement of inventories by replacing the lower of cost or market test with a lower of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net realizable value test. The guidance applies only to inventories for which cost is determined by methods other than last-in first-out (LIFO) and the retail inventory method. The guidance in ASU 2015-11 is effective for periods beginning after December 15, 2016 and early adoption is permitted. The Company will adopt ASU 2015-11 in the first quarter of fiscal 2018 and is currently evaluating the impact, if any, adoption will have on its financial position and results of operations.</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Compensation - Retirement Benefits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In April 2015, the FASB issued ASU 2015-04, </w:t>
      </w:r>
      <w:r>
        <w:rPr>
          <w:rFonts w:ascii="Arial" w:cs="Arial" w:eastAsia="Arial" w:hAnsi="Arial"/>
          <w:sz w:val="18"/>
          <w:szCs w:val="18"/>
          <w:i w:val="1"/>
          <w:iCs w:val="1"/>
          <w:color w:val="auto"/>
        </w:rPr>
        <w:t>Practical Expedient for the Measurement Date of an</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 xml:space="preserve">Employer’s Defined Benefit Obligation and Plan Assets </w:t>
      </w:r>
      <w:r>
        <w:rPr>
          <w:rFonts w:ascii="Arial" w:cs="Arial" w:eastAsia="Arial" w:hAnsi="Arial"/>
          <w:sz w:val="16"/>
          <w:szCs w:val="16"/>
          <w:color w:val="auto"/>
        </w:rPr>
        <w:t>(ASU 2015-04)</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provides a practical expedient for entities with a fiscal year-end that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coincide with a month-end, that permits the entity to measure defined benefit plan assets and obligations using the month-end that is closest to the entity’s fiscal year-end and apply that practical expedient consistently from year to year. Entities are required to disclose the accounting policy election and the date used to measure defined benefit plan assets and obligations. ASU 2015-04 is effective for fiscal years, and for interim periods within those fiscal years, beginning after December 15, 2015. Early application is permitted. Amendments should be applied prospectively. The adoption of ASU 2015-04 in the first quarter of fiscal 2017 is not expected to have a material impact on the Company’s financial condition or results of operations.</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 Imputation of Interest</w:t>
      </w:r>
    </w:p>
    <w:p>
      <w:pPr>
        <w:spacing w:after="0" w:line="9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xml:space="preserve"> (ASU 2015-03), which requires that debt issuance costs related to a recognized debt liability be presented in the balance sheet as a direct deduction from the carrying amount of that debt liability, consistent with debt discounts. ASU 2015-03 is effective for fiscal years, and for interim periods within those fiscal years, beginning after December 15, 2015. Early adoption is permitted. An entity should apply the new guidance on a retrospective basis, wherein the balance sheet of each individual period presented should be adjusted to reflect the period-specific effects of applying the new guidance. The adoption of ASU 2015-03 in the first quarter of fiscal 2017 is not expected to have a material impact on the Company’s financial condition or results of operations.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1" w:right="2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Consolidation</w:t>
      </w:r>
    </w:p>
    <w:p>
      <w:pPr>
        <w:spacing w:after="0" w:line="90"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(ASU 2015-02). ASU 2015-02 affects reporting entities that are required to evaluate whether they should consolidate certain legal entities. ASU 2015-02 modifies the evaluation of whether limited partnerships and similar legal entities are variable interest entities (VIEs) or voting interest entities, eliminates the presumption that a general partner should consolidate a limited partnership and affects the consolidation analysis of reporting entities that are involved with VIEs, particularly those that have fee arrangements and related party relationships. ASU 2015-02 is effective for fiscal years, and for interim periods within those fiscal years, beginning after December 15, 2015. Early adoption is permitted. A reporting entity may apply the amendments in this guidance using a modified retrospective approach by recording a cumulative-effect adjustment to equity as of the beginning of the fiscal year of adoption. A reporting entity also may apply the amendments retrospectively. The adoption of ASU 2015-02 in the first quarter of fiscal 2017 is not expected to have a material impact on the Company’s financial condition or results of operations.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Compensation</w:t>
      </w:r>
    </w:p>
    <w:p>
      <w:pPr>
        <w:spacing w:after="0" w:line="88" w:lineRule="exact"/>
        <w:rPr>
          <w:sz w:val="20"/>
          <w:szCs w:val="20"/>
          <w:color w:val="auto"/>
        </w:rPr>
      </w:pPr>
    </w:p>
    <w:p>
      <w:pPr>
        <w:ind w:right="20" w:firstLine="405"/>
        <w:spacing w:after="0" w:line="280" w:lineRule="auto"/>
        <w:rPr>
          <w:sz w:val="20"/>
          <w:szCs w:val="20"/>
          <w:color w:val="auto"/>
        </w:rPr>
      </w:pPr>
      <w:r>
        <w:rPr>
          <w:rFonts w:ascii="Arial" w:cs="Arial" w:eastAsia="Arial" w:hAnsi="Arial"/>
          <w:sz w:val="19"/>
          <w:szCs w:val="19"/>
          <w:color w:val="auto"/>
        </w:rPr>
        <w:t>I</w:t>
      </w:r>
      <w:r>
        <w:rPr>
          <w:rFonts w:ascii="Arial" w:cs="Arial" w:eastAsia="Arial" w:hAnsi="Arial"/>
          <w:sz w:val="17"/>
          <w:szCs w:val="17"/>
          <w:color w:val="auto"/>
        </w:rPr>
        <w:t>n June 2014, the FASB issued ASU 2014-12,</w:t>
      </w:r>
      <w:r>
        <w:rPr>
          <w:rFonts w:ascii="Arial" w:cs="Arial" w:eastAsia="Arial" w:hAnsi="Arial"/>
          <w:sz w:val="19"/>
          <w:szCs w:val="19"/>
          <w:color w:val="auto"/>
        </w:rPr>
        <w:t xml:space="preserve">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9"/>
          <w:szCs w:val="19"/>
          <w:color w:val="auto"/>
        </w:rPr>
        <w:t xml:space="preserve"> </w:t>
      </w:r>
      <w:r>
        <w:rPr>
          <w:rFonts w:ascii="Arial" w:cs="Arial" w:eastAsia="Arial" w:hAnsi="Arial"/>
          <w:sz w:val="17"/>
          <w:szCs w:val="17"/>
          <w:i w:val="1"/>
          <w:iCs w:val="1"/>
          <w:color w:val="auto"/>
        </w:rPr>
        <w:t xml:space="preserve">Could Be Achieved after the Requisite Service Period </w:t>
      </w:r>
      <w:r>
        <w:rPr>
          <w:rFonts w:ascii="Arial" w:cs="Arial" w:eastAsia="Arial" w:hAnsi="Arial"/>
          <w:sz w:val="17"/>
          <w:szCs w:val="17"/>
          <w:color w:val="auto"/>
        </w:rPr>
        <w:t>(ASU 2014-12)</w:t>
      </w:r>
      <w:r>
        <w:rPr>
          <w:rFonts w:ascii="Arial" w:cs="Arial" w:eastAsia="Arial" w:hAnsi="Arial"/>
          <w:sz w:val="18"/>
          <w:szCs w:val="18"/>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which requires that a performance target that affects vesting and that could be achieved</w:t>
      </w:r>
      <w:r>
        <w:rPr>
          <w:rFonts w:ascii="Arial" w:cs="Arial" w:eastAsia="Arial" w:hAnsi="Arial"/>
          <w:sz w:val="17"/>
          <w:szCs w:val="17"/>
          <w:i w:val="1"/>
          <w:iCs w:val="1"/>
          <w:color w:val="auto"/>
        </w:rPr>
        <w:t xml:space="preserve"> </w:t>
      </w:r>
      <w:r>
        <w:rPr>
          <w:rFonts w:ascii="Arial" w:cs="Arial" w:eastAsia="Arial" w:hAnsi="Arial"/>
          <w:sz w:val="17"/>
          <w:szCs w:val="17"/>
          <w:color w:val="auto"/>
        </w:rPr>
        <w:t>after the requisite service period be treated as a performance condition. ASU 2014-12 is effective for annual periods and interim periods within those annual periods beginning after December 15, 2015. Early adoption is permitted. The adoption of ASU 2014-12 in the first quarter of fiscal 2017 is not expected to have a material impact on the Company's financial condition or results of operations.</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supersedes nearly all existing revenue recognition guidance under U.S. generally accepted accounting principles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In August 2015, the FASB issued ASU 2015-14 </w:t>
      </w:r>
      <w:r>
        <w:rPr>
          <w:rFonts w:ascii="Arial" w:cs="Arial" w:eastAsia="Arial" w:hAnsi="Arial"/>
          <w:sz w:val="17"/>
          <w:szCs w:val="17"/>
          <w:i w:val="1"/>
          <w:iCs w:val="1"/>
          <w:color w:val="auto"/>
        </w:rPr>
        <w:t xml:space="preserve">Revenue from Contracts with Customers Deferral of the Effective Date, </w:t>
      </w:r>
      <w:r>
        <w:rPr>
          <w:rFonts w:ascii="Arial" w:cs="Arial" w:eastAsia="Arial" w:hAnsi="Arial"/>
          <w:sz w:val="17"/>
          <w:szCs w:val="17"/>
          <w:color w:val="auto"/>
        </w:rPr>
        <w:t>which defers the effective date of the new revenue recognition standard by one year,</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public entities would apply the new revenue standard to annual reporting periods beginning after December 15, 2017 and interim periods therein, which is the Company's first quarter of fiscal 2019. Early adoption is permitted for all entities only as of annual reporting periods beginning after December 15, 2016, including interim reporting periods within that reporting period. The guidance allows for the amendment to be applied either retrospectively to each prior reporting period presented or retrospectively as a cumulative-effect adjustment as of the date of adoption. The Company is in the process of evaluating the impact of adoption on its consolidated financial statements.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In April 2014, the FASB issued ASU 2014-08, </w:t>
      </w:r>
      <w:r>
        <w:rPr>
          <w:rFonts w:ascii="Arial" w:cs="Arial" w:eastAsia="Arial" w:hAnsi="Arial"/>
          <w:sz w:val="18"/>
          <w:szCs w:val="18"/>
          <w:i w:val="1"/>
          <w:iCs w:val="1"/>
          <w:color w:val="auto"/>
        </w:rPr>
        <w:t>Presentation of Financial Statements (Topic 205)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(Topic 360): Reporting Discontinued Operations and Disclosures of Disposals of Components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of an Entity </w:t>
      </w:r>
      <w:r>
        <w:rPr>
          <w:rFonts w:ascii="Arial" w:cs="Arial" w:eastAsia="Arial" w:hAnsi="Arial"/>
          <w:sz w:val="16"/>
          <w:szCs w:val="16"/>
          <w:color w:val="auto"/>
        </w:rPr>
        <w:t>(ASU 2014-08), which raises the threshold for disposals to qualify as discontinued operations. Under the new guidance, a disposal representing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strategic shift that has (or will have) a major effect on an entity’s financial results or a business activity classified as held for sale, should be reported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discontinued operations. ASU 2014-08 also expands the disclosure requirements for discontinued operations and adds new disclosures for individually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significant dispositions that do not qualify as discontinued operations. ASU 2014-08 is effective prospectively for fiscal years, and interim reporting periods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within those years, beginning after December 15, 2014, which is the Company's first quarter of fiscal year 2016. Early adoption is permitted, but only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disposals (or classifications as held for sale) that have not been reported in the financial statements previously issued or available for issuance.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31, 2015, there have been no disposals or classifications as held for sale that would be subject to ASU 2014-08. As such, the Company will adopt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standard in the first quarter of fiscal year 2016.</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220" w:right="7100" w:hanging="212"/>
        <w:spacing w:after="0" w:line="393" w:lineRule="auto"/>
        <w:tabs>
          <w:tab w:leader="none" w:pos="184"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and Shareholders’ Equity </w:t>
      </w:r>
      <w:r>
        <w:rPr>
          <w:rFonts w:ascii="Arial" w:cs="Arial" w:eastAsia="Arial" w:hAnsi="Arial"/>
          <w:sz w:val="18"/>
          <w:szCs w:val="18"/>
          <w:i w:val="1"/>
          <w:iCs w:val="1"/>
          <w:u w:val="single" w:color="auto"/>
          <w:color w:val="auto"/>
        </w:rPr>
        <w:t>Equity Compensation Plans</w:t>
      </w:r>
    </w:p>
    <w:p>
      <w:pPr>
        <w:spacing w:after="0" w:line="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Company grants, or has granted, stock options and other stock and stock-based awards under the Company's Amended and Restated 2006 Stock Incentive Plan (2006 Plan). This plan was originally approved by shareholders on March 14, 2006, and shareholders subsequently approved the amended and restated 2006 Plan in March 2014. The 2006 Plan provides for the grant of up to 34 million shares of the Company’s common stock, plus such number of additional shares that were subject to outstanding options under the Company’s previous equity compensation plans that have not been issued because the applicable option award subsequently terminates or expires without being exercised. The 2006 Plan provides for the grant of incentive stock options intended to qualify under Section 422 of the Internal Revenue Code of 1986, as amended, non-statutory stock options, stock appreciation rights, restricted stock, restricted stock units and other stock-based awards. Employees, officers, directors, consultants and advisors of the Company and its subsidiaries are eligible to be granted awards under the 2006 Plan. No award may be made under the 2006 Plan after March 12, 2021, but awards previously granted may extend beyond that date. The Company will not grant further equity awards under any previous equity compensation plans.</w:t>
      </w:r>
    </w:p>
    <w:p>
      <w:pPr>
        <w:spacing w:after="0" w:line="7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While the Company may grant to employees options that become exercisable at different times or within different periods, the Company has generally granted to employees options that vest over five years and become exercisable in annual installments of 20% on each of the first, second, third, fourth and fifth anniversaries of the date of grant. The maximum contractual term of all options is ten years. In addition, the Company has granted to employees restricted stock units that generally vest in one installment on the third anniversary of the grant date.</w:t>
      </w:r>
    </w:p>
    <w:p>
      <w:pPr>
        <w:spacing w:after="0" w:line="92"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of October 31, 2015, a total of 17.0 million common shares were available for future grant under the 2006 Plan and 31.9 million common shares were reserved for issuance under the 2006 Plan and the Company's previous equity compensation plans.</w:t>
      </w:r>
    </w:p>
    <w:p>
      <w:pPr>
        <w:spacing w:after="0" w:line="17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and three years for restricted stock units. Determining the amount of stock-based compensation to be recorded requires the Company to develop estimates used in calculating the grant-date fair value of stock options.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Hittite Replacement Awards</w:t>
      </w:r>
    </w:p>
    <w:p>
      <w:pPr>
        <w:spacing w:after="0" w:line="131" w:lineRule="exact"/>
        <w:rPr>
          <w:sz w:val="20"/>
          <w:szCs w:val="20"/>
          <w:color w:val="auto"/>
        </w:rPr>
      </w:pPr>
    </w:p>
    <w:p>
      <w:pPr>
        <w:ind w:right="280" w:firstLine="432"/>
        <w:spacing w:after="0" w:line="255" w:lineRule="auto"/>
        <w:rPr>
          <w:sz w:val="20"/>
          <w:szCs w:val="20"/>
          <w:color w:val="auto"/>
        </w:rPr>
      </w:pPr>
      <w:r>
        <w:rPr>
          <w:rFonts w:ascii="Arial" w:cs="Arial" w:eastAsia="Arial" w:hAnsi="Arial"/>
          <w:sz w:val="18"/>
          <w:szCs w:val="18"/>
          <w:color w:val="auto"/>
        </w:rPr>
        <w:t>In connection with the Acquisition, the Company issued equity awards to certain Hittite employees in replacement of Hittite equity awards that were canceled at closing. The replacement awards consisted of approximately 0.7 million restricted stock units with a weighted average grant date fair value of $48.20. The terms and intrinsic value of these awards were substantially the same as the canceled Hittite awards. The fair value of the replaced awards associated with services rendered through the date of Acquisition was recognized as a component of the total estimated acquisition consideration, and the remaining fair value of the replaced awards associated with post Acquisition services will be recognized as an expense on a straight-line basis over the remaining vesting period.</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Modification of Awards</w:t>
      </w:r>
    </w:p>
    <w:p>
      <w:pPr>
        <w:spacing w:after="0" w:line="13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Company has from time to time modified the terms of its equity awards to employees and directors. The modifications made to the Company’s equity awards in fiscal 2015, 2014 and 2013 did not result in significant incremental compensation costs, either individually or in the aggregate.</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Grant-Date Fair Value</w:t>
      </w:r>
    </w:p>
    <w:p>
      <w:pPr>
        <w:spacing w:after="0" w:line="13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 uses the Black-Scholes valuation model to calculate the grant-date fair value of stock option awards and the Monte Carlo simulation model to calculate the grant-date fair value of market-based restricted stock units. The use of these valuation models requires the Company to make estimates and assumptions, such as expected volatility, expected term, risk-free interest rate, expected dividend yield and forfeiture rates. The grant-date fair value of restricted stock units with only a service condition represents the value of the Company's common stock on the date of grant, reduced by the present value of dividends expected to be paid on the Company's common stock prior to vesting.</w:t>
      </w:r>
    </w:p>
    <w:p>
      <w:pPr>
        <w:spacing w:after="0" w:line="94"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Information pertaining to the Company’s stock option awards and the related estimated weighted-average assumptions to calculate the fair value of stock options using the Black-Scholes valuation model granted is as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Options</w:t>
            </w:r>
          </w:p>
        </w:tc>
        <w:tc>
          <w:tcPr>
            <w:tcW w:w="1540" w:type="dxa"/>
            <w:vAlign w:val="bottom"/>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4"/>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granted (in thousands)</w:t>
            </w: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2,240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2,407</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Weighted-average exercise price</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$51.52</w:t>
            </w:r>
          </w:p>
        </w:tc>
        <w:tc>
          <w:tcPr>
            <w:tcW w:w="12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$46.40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w:t>
            </w: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$7.38</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Assumptions: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expected 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term (in years)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5.4</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dividend yield</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Company utilizes the Monte Carlo simulation valuation model to value these market-based restricted stock units. The Monte Carlo simulation model utilizes multiple input variables that determine the probability of satisfying the performance conditions stipulated in the award grant and calculates the fair market value for the market-based restricted stock units granted. The Monte Carlo simulation model also uses stock price volatility and other variables to estimate the probability of satisfying the performance conditions, including the possibility that the market condition may not be satisfied, and the resulting fair value of the award. Information pertaining to the Company's market-based restricted stock units and the related estimated assumptions used to calculate the fair value of market-based restricted stock units granted using the Monte Carlo simulation model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3"/>
          </w:tcPr>
          <w:p>
            <w:pPr>
              <w:ind w:left="40"/>
              <w:spacing w:after="0"/>
              <w:rPr>
                <w:sz w:val="20"/>
                <w:szCs w:val="20"/>
                <w:color w:val="auto"/>
              </w:rPr>
            </w:pPr>
            <w:r>
              <w:rPr>
                <w:rFonts w:ascii="Arial" w:cs="Arial" w:eastAsia="Arial" w:hAnsi="Arial"/>
                <w:sz w:val="14"/>
                <w:szCs w:val="14"/>
                <w:b w:val="1"/>
                <w:bCs w:val="1"/>
                <w:color w:val="auto"/>
              </w:rPr>
              <w:t>Market-based Restricted Stock Units</w:t>
            </w:r>
          </w:p>
        </w:tc>
        <w:tc>
          <w:tcPr>
            <w:tcW w:w="1760" w:type="dxa"/>
            <w:vAlign w:val="bottom"/>
          </w:tcPr>
          <w:p>
            <w:pPr>
              <w:jc w:val="right"/>
              <w:ind w:right="65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760" w:type="dxa"/>
            <w:vAlign w:val="bottom"/>
          </w:tcPr>
          <w:p>
            <w:pPr>
              <w:jc w:val="right"/>
              <w:ind w:right="653"/>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Units granted (in thousands)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w:t>
            </w: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Grant-date fair value</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$55.67</w:t>
            </w:r>
          </w:p>
        </w:tc>
        <w:tc>
          <w:tcPr>
            <w:tcW w:w="1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$50.79</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Assumptions:</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Historical stock price volatility</w:t>
            </w:r>
          </w:p>
        </w:tc>
        <w:tc>
          <w:tcPr>
            <w:tcW w:w="17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Expected dividend yield</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Market-based restricted stock units were not granted during fiscal 2013.</w:t>
      </w:r>
    </w:p>
    <w:p>
      <w:pPr>
        <w:spacing w:after="0" w:line="171"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w:t>
      </w:r>
    </w:p>
    <w:p>
      <w:pPr>
        <w:spacing w:after="0" w:line="5" w:lineRule="exact"/>
        <w:rPr>
          <w:sz w:val="20"/>
          <w:szCs w:val="20"/>
          <w:color w:val="auto"/>
        </w:rPr>
      </w:pPr>
    </w:p>
    <w:p>
      <w:pPr>
        <w:ind w:right="120" w:firstLine="8"/>
        <w:spacing w:after="0" w:line="273" w:lineRule="auto"/>
        <w:tabs>
          <w:tab w:leader="none" w:pos="2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remaining maturities of the traded options used to estimate volatility are at least one year. The Company utilizes historical volatility as an input variable of the Monte Carlo simulation to estimate the grant date fair value of market-based restricted stock units. The market performance measure of these awards is based upon the interaction of multiple peer companies. Given the Company is required to use consistent statistical properties in the Monte Carlo simulation and implied volatility is not available across the population, historical volatility must be used.</w:t>
      </w:r>
    </w:p>
    <w:p>
      <w:pPr>
        <w:spacing w:after="0" w:line="17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12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as the risk-free interest rate.</w:t>
      </w:r>
    </w:p>
    <w:p>
      <w:pPr>
        <w:spacing w:after="0" w:line="11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quarter and dividing that result by the closing stock price on the date of grant. Until such time as the Company’s Board of Directors declares a cash dividend for an amount that is different from the current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quarter’s cash dividend, the current dividend will be used in deriving this assumption. Cash dividends are not paid on options, restricted stock or restricted stock units.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Stock-Based Compensation Expense</w:t>
      </w:r>
    </w:p>
    <w:p>
      <w:pPr>
        <w:spacing w:after="0" w:line="131"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4.7% to all unvested stock-based awards as of October 31, 2015. This analysis will be re-evaluated quarterly and the forfeiture rate will be adjusted as necessary. Ultimately, the actual expense recognized over the vesting period will only be for those options that vest.</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Additional paid-in-capital (APIC) Pool</w:t>
      </w:r>
    </w:p>
    <w:p>
      <w:pPr>
        <w:spacing w:after="0" w:line="13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APIC pool represents the excess tax benefits related to share-based compensation that are available to absorb future tax deficiencies. If the amount of future tax deficiencies is greater than the available APIC pool, the Company records the excess as income tax expense in its consolidated statements of income. For fiscal 2015 and fiscal 2014, the Company had a sufficient APIC pool to cover any tax deficiencies recorded and as a result, these deficiencies did not affect its results of operations. During fiscal 2013, the Company recognized an immaterial amount of income tax expense resulting from tax shortfalls related to share-based compensation in its consolidated statements of income.</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Stock-Based Compensation Activity</w:t>
      </w:r>
    </w:p>
    <w:p>
      <w:pPr>
        <w:spacing w:after="0" w:line="13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summary of the activity under the Company’s stock option plans as of October 31, 2015 and changes during the fiscal year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4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November 1, 2014</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14,184</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1,954</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$32.85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Options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(178)</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$36.55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Options outstanding at October 31, 2015</w:t>
            </w:r>
          </w:p>
        </w:tc>
        <w:tc>
          <w:tcPr>
            <w:tcW w:w="15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12,181</w:t>
            </w:r>
          </w:p>
        </w:tc>
        <w:tc>
          <w:tcPr>
            <w:tcW w:w="160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$41.60</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$223,968</w:t>
            </w: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Options exercisable at October 31, 2015</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6,443</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$166,673</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Options vested or expected to vest at October 31, 2015 (1)</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vMerge w:val="continue"/>
          </w:tcPr>
          <w:p>
            <w:pPr>
              <w:spacing w:after="0"/>
              <w:rPr>
                <w:sz w:val="21"/>
                <w:szCs w:val="21"/>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11,744</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$41.21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40" w:type="dxa"/>
            <w:vAlign w:val="bottom"/>
          </w:tcPr>
          <w:p>
            <w:pPr>
              <w:ind w:left="460"/>
              <w:spacing w:after="0"/>
              <w:rPr>
                <w:sz w:val="20"/>
                <w:szCs w:val="20"/>
                <w:color w:val="auto"/>
              </w:rPr>
            </w:pPr>
            <w:r>
              <w:rPr>
                <w:rFonts w:ascii="Arial" w:cs="Arial" w:eastAsia="Arial" w:hAnsi="Arial"/>
                <w:sz w:val="18"/>
                <w:szCs w:val="18"/>
                <w:color w:val="auto"/>
              </w:rPr>
              <w:t>$220,557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52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116"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The total intrinsic value of options exercised (i.e. the difference between the market price at exercise and the price paid by the employee to exercise the options) during fiscal 2015, 2014 and 2013 was $99.2 million, $130.6 million and $128.4 million, respectively, and the total amount of proceeds received by the Company from exercise of these options during fiscal 2015, 2014 and 2013 was $122.6 million, $200.1 million and $306.3 million, respectively.</w:t>
      </w:r>
    </w:p>
    <w:p>
      <w:pPr>
        <w:spacing w:after="0" w:line="9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 summary of the Company’s restricted stock unit award activity as of October 31, 2015 and changes during the fiscal year then ended is presented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149"/>
        </w:trPr>
        <w:tc>
          <w:tcPr>
            <w:tcW w:w="8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Stock Units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r>
      <w:tr>
        <w:trPr>
          <w:trHeight w:val="149"/>
        </w:trPr>
        <w:tc>
          <w:tcPr>
            <w:tcW w:w="8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w:t>
            </w:r>
          </w:p>
        </w:tc>
      </w:tr>
      <w:tr>
        <w:trPr>
          <w:trHeight w:val="192"/>
        </w:trPr>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November 1, 2014</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3,188</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$43.46</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Units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818</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$52.25</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$39.72</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(157)</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$45.80</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October 31, 2015</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2,698</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$47.59</w:t>
            </w: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As of October 31, 2015, there was $108.8 million of total unrecognized compensation cost related to unvested share-based awards comprised of stock options and restricted stock units. That cost is expected to be recognized over a weighted-average period of 1.3 years. The total grant-date fair value of shares that vested during fiscal 2015, 2014 and 2013 was approximately $65.6 million, $57.4 million and $63.9 million, respectively.</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Common Stock Repurchase Program</w:t>
      </w:r>
    </w:p>
    <w:p>
      <w:pPr>
        <w:spacing w:after="0" w:line="131"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have authorized the Company to repurchase $5.6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October 31, 2015, the Company had repurchased a total of approximately 140.7 million shares of its common stock for approximately $5.0 billion under this program. An additional $544.5 million remains available for repurchase of shares under the current authorized program. The repurchased shares are held as authorized but unissued shares of common stock. The Company also, from time to time, repurchases shares in settlement of employee minimum tax withholding obligations due upon the vesting of restricted stock units or the exercise of stock options. The withholding amount is based on the employees minimum statutory withholding requirement. Any future common stock repurchases will be dependent upon several factors, including the Company's financial performance, outlook, liquidity and the amount of cash the Company has available in the United States.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3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Company has 471,934 authorized shares of $1.00 par value preferred stock, none of which is issued or outstanding. The Board of Directors is authorized to fix designations, relative rights, preferences and limitations on the preferred stock at the time of issuance.</w:t>
      </w:r>
    </w:p>
    <w:p>
      <w:pPr>
        <w:spacing w:after="0" w:line="166"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Industry, Segment and Geographic Information</w:t>
      </w:r>
    </w:p>
    <w:p>
      <w:pPr>
        <w:spacing w:after="0" w:line="9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Company operates and tracks its results in one reportable segment based on the aggregation of six operating segments. The Company designs, develops, manufactures and markets a broad range of integrated circuits (ICs). The Chief Executive Officer has been identified as the Company's Chief Operating Decision Maker. The Company has determined that all of the Company's operating segments share the following similar economic characteristics, and therefore meet the criteria established for operating segments to be aggregated into one reportable segment, namely:</w:t>
      </w:r>
    </w:p>
    <w:p>
      <w:pPr>
        <w:spacing w:after="0" w:line="63" w:lineRule="exact"/>
        <w:rPr>
          <w:sz w:val="20"/>
          <w:szCs w:val="20"/>
          <w:color w:val="auto"/>
        </w:rPr>
      </w:pPr>
    </w:p>
    <w:p>
      <w:pPr>
        <w:ind w:left="720" w:hanging="280"/>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primary source of revenue for each operating segment is the sale of integrated circuits.</w:t>
      </w:r>
    </w:p>
    <w:p>
      <w:pPr>
        <w:spacing w:after="0" w:line="130" w:lineRule="exact"/>
        <w:rPr>
          <w:rFonts w:ascii="Arial" w:cs="Arial" w:eastAsia="Arial" w:hAnsi="Arial"/>
          <w:sz w:val="18"/>
          <w:szCs w:val="18"/>
          <w:color w:val="auto"/>
        </w:rPr>
      </w:pPr>
    </w:p>
    <w:p>
      <w:pPr>
        <w:ind w:right="160" w:firstLine="440"/>
        <w:spacing w:after="0" w:line="357" w:lineRule="auto"/>
        <w:tabs>
          <w:tab w:leader="none" w:pos="71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integrated circuits sold by each of the Company's operating segments are manufactured using similar semiconductor manufacturing processes and raw materials in either the Company’s own production facilities or by third-party wafer fabricators using proprietary processes.</w:t>
      </w:r>
    </w:p>
    <w:p>
      <w:pPr>
        <w:spacing w:after="0" w:line="12" w:lineRule="exact"/>
        <w:rPr>
          <w:rFonts w:ascii="Arial" w:cs="Arial" w:eastAsia="Arial" w:hAnsi="Arial"/>
          <w:sz w:val="17"/>
          <w:szCs w:val="17"/>
          <w:color w:val="auto"/>
        </w:rPr>
      </w:pPr>
    </w:p>
    <w:p>
      <w:pPr>
        <w:ind w:right="660" w:firstLine="440"/>
        <w:spacing w:after="0" w:line="324"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sells its products to tens of thousands of customers worldwide. Many of these customers use products spanning all operating segments in a wide range of applications.</w:t>
      </w:r>
    </w:p>
    <w:p>
      <w:pPr>
        <w:spacing w:after="0" w:line="35" w:lineRule="exact"/>
        <w:rPr>
          <w:rFonts w:ascii="Arial" w:cs="Arial" w:eastAsia="Arial" w:hAnsi="Arial"/>
          <w:sz w:val="18"/>
          <w:szCs w:val="18"/>
          <w:color w:val="auto"/>
        </w:rPr>
      </w:pPr>
    </w:p>
    <w:p>
      <w:pPr>
        <w:ind w:firstLine="440"/>
        <w:spacing w:after="0" w:line="324"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integrated circuits marketed by each of the Company's operating segments are sold globally through a direct sales force, third-party distributors, independent sales representatives and via our website to the same types of customers.</w:t>
      </w:r>
    </w:p>
    <w:p>
      <w:pPr>
        <w:spacing w:after="0" w:line="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All of the Company's operating segments share a similar long-term financial model as they have similar economic characteristics. The causes for variation in operating and financial performance are the same among the Company's operating segments and include factors such as (i) life cycle and price and cost fluctuations, (ii) number of competitors, (iii) product differentiation and (iv) size of market opportunity. Additionally, each operating segment is subject to the overall cyclical nature of the semiconductor industry. Lastly, the number and composition of employees and the amounts and types of tools and materials required for production of products are similar for each operating segment.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1"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2013</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Product</w:t>
            </w:r>
          </w:p>
        </w:tc>
        <w:tc>
          <w:tcPr>
            <w:tcW w:w="120" w:type="dxa"/>
            <w:vAlign w:val="bottom"/>
          </w:tcPr>
          <w:p>
            <w:pPr>
              <w:spacing w:after="0"/>
              <w:rPr>
                <w:sz w:val="12"/>
                <w:szCs w:val="12"/>
                <w:color w:val="auto"/>
              </w:rPr>
            </w:pPr>
          </w:p>
        </w:tc>
        <w:tc>
          <w:tcPr>
            <w:tcW w:w="8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Product</w:t>
            </w:r>
          </w:p>
        </w:tc>
        <w:tc>
          <w:tcPr>
            <w:tcW w:w="220" w:type="dxa"/>
            <w:vAlign w:val="bottom"/>
          </w:tcPr>
          <w:p>
            <w:pPr>
              <w:spacing w:after="0"/>
              <w:rPr>
                <w:sz w:val="12"/>
                <w:szCs w:val="12"/>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1,496,198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1,343,255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1,220,141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526,124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525,712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483,771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729,965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327,223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401,368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682,805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668,583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528,409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3,435,092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2,864,773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2,633,689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31" w:lineRule="exact"/>
        <w:rPr>
          <w:sz w:val="20"/>
          <w:szCs w:val="20"/>
          <w:color w:val="auto"/>
        </w:rPr>
      </w:pPr>
    </w:p>
    <w:p>
      <w:pPr>
        <w:jc w:val="both"/>
        <w:ind w:right="300" w:firstLine="432"/>
        <w:spacing w:after="0" w:line="312" w:lineRule="auto"/>
        <w:rPr>
          <w:sz w:val="20"/>
          <w:szCs w:val="20"/>
          <w:color w:val="auto"/>
        </w:rPr>
      </w:pPr>
      <w:r>
        <w:rPr>
          <w:rFonts w:ascii="Arial" w:cs="Arial" w:eastAsia="Arial" w:hAnsi="Arial"/>
          <w:sz w:val="16"/>
          <w:szCs w:val="16"/>
          <w:color w:val="auto"/>
        </w:rPr>
        <w:t>Revenue by geographic region is based upon the primary location of the Company's customers' design activity for its products. In fiscal years 2015, 2014 and 2013, the predominant countries comprising “Rest of North and South America” are Canada and Mexico; the predominant countries comprising “Europe” are Germany, Sweden, France and the United Kingdom; and the predominant countries comprising “Rest of Asia” are South Korea and Taiwan.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CCEEFF"/>
            </w:tcBorders>
          </w:tcPr>
          <w:p>
            <w:pPr>
              <w:spacing w:after="0"/>
              <w:rPr>
                <w:sz w:val="16"/>
                <w:szCs w:val="16"/>
                <w:color w:val="auto"/>
              </w:rPr>
            </w:pPr>
          </w:p>
        </w:tc>
        <w:tc>
          <w:tcPr>
            <w:tcW w:w="65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1,325,279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821,554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821,269</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North and South America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99,215</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939,230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924,477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840,585</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308,054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292,804</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China</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511,365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459,260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349,575</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Borders>
              <w:bottom w:val="single" w:sz="8" w:color="CCEEFF"/>
            </w:tcBorders>
            <w:shd w:val="clear" w:color="auto" w:fill="CCEEFF"/>
          </w:tcPr>
          <w:p>
            <w:pPr>
              <w:spacing w:after="0"/>
              <w:rPr>
                <w:sz w:val="23"/>
                <w:szCs w:val="23"/>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Asia</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242,460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254,471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230,241</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6580" w:type="dxa"/>
            <w:vAlign w:val="bottom"/>
          </w:tcPr>
          <w:p>
            <w:pPr>
              <w:ind w:left="440"/>
              <w:spacing w:after="0"/>
              <w:rPr>
                <w:sz w:val="20"/>
                <w:szCs w:val="20"/>
                <w:color w:val="auto"/>
              </w:rPr>
            </w:pPr>
            <w:r>
              <w:rPr>
                <w:rFonts w:ascii="Arial" w:cs="Arial" w:eastAsia="Arial" w:hAnsi="Arial"/>
                <w:sz w:val="18"/>
                <w:szCs w:val="18"/>
                <w:color w:val="auto"/>
              </w:rPr>
              <w:t>Subtotal all foreign countries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2,109,813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2,043,219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1,812,420</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3,435,092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2,864,773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2,633,689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60" w:type="dxa"/>
            <w:vAlign w:val="bottom"/>
          </w:tcPr>
          <w:p>
            <w:pPr>
              <w:spacing w:after="0"/>
              <w:rPr>
                <w:sz w:val="20"/>
                <w:szCs w:val="20"/>
                <w:color w:val="auto"/>
              </w:rPr>
            </w:pPr>
          </w:p>
        </w:tc>
        <w:tc>
          <w:tcPr>
            <w:tcW w:w="65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Borders>
              <w:bottom w:val="single" w:sz="8" w:color="CCEEFF"/>
            </w:tcBorders>
            <w:shd w:val="clear" w:color="auto" w:fill="CCEEFF"/>
          </w:tcPr>
          <w:p>
            <w:pPr>
              <w:spacing w:after="0"/>
              <w:rPr>
                <w:sz w:val="23"/>
                <w:szCs w:val="23"/>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253,417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255,473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201,957</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Ireland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173,703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167,359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124,227</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Philippines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165,815</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All other countries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16,172</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Subtotal all foreign countries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390,693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366,949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306,214</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Total property, plant and equipment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644,110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622,422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508,171</w:t>
            </w:r>
          </w:p>
        </w:tc>
        <w:tc>
          <w:tcPr>
            <w:tcW w:w="0" w:type="dxa"/>
            <w:vAlign w:val="bottom"/>
          </w:tcPr>
          <w:p>
            <w:pPr>
              <w:spacing w:after="0"/>
              <w:rPr>
                <w:sz w:val="1"/>
                <w:szCs w:val="1"/>
                <w:color w:val="auto"/>
              </w:rPr>
            </w:pPr>
          </w:p>
        </w:tc>
      </w:tr>
      <w:tr>
        <w:trPr>
          <w:trHeight w:val="20"/>
        </w:trPr>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5.</w:t>
            </w:r>
          </w:p>
        </w:tc>
        <w:tc>
          <w:tcPr>
            <w:tcW w:w="65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Special Charges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60" w:type="dxa"/>
            <w:vAlign w:val="bottom"/>
            <w:vMerge w:val="continue"/>
          </w:tcPr>
          <w:p>
            <w:pPr>
              <w:spacing w:after="0"/>
              <w:rPr>
                <w:sz w:val="24"/>
                <w:szCs w:val="24"/>
                <w:color w:val="auto"/>
              </w:rPr>
            </w:pPr>
          </w:p>
        </w:tc>
        <w:tc>
          <w:tcPr>
            <w:tcW w:w="6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1"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following tables display the special charges taken for ongoing actions and a roll-forward from November 3, 2012 to October 31, 2015 of the employee separation and exit cost accruals established related to these actions.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Reduction of</w:t>
            </w:r>
          </w:p>
        </w:tc>
        <w:tc>
          <w:tcPr>
            <w:tcW w:w="0" w:type="dxa"/>
            <w:vAlign w:val="bottom"/>
          </w:tcPr>
          <w:p>
            <w:pPr>
              <w:spacing w:after="0"/>
              <w:rPr>
                <w:sz w:val="1"/>
                <w:szCs w:val="1"/>
                <w:color w:val="auto"/>
              </w:rPr>
            </w:pPr>
          </w:p>
        </w:tc>
      </w:tr>
      <w:tr>
        <w:trPr>
          <w:trHeight w:val="149"/>
        </w:trPr>
        <w:tc>
          <w:tcPr>
            <w:tcW w:w="10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Statement of Income</w:t>
            </w:r>
          </w:p>
        </w:tc>
        <w:tc>
          <w:tcPr>
            <w:tcW w:w="180" w:type="dxa"/>
            <w:vAlign w:val="bottom"/>
          </w:tcPr>
          <w:p>
            <w:pPr>
              <w:spacing w:after="0"/>
              <w:rPr>
                <w:sz w:val="12"/>
                <w:szCs w:val="12"/>
                <w:color w:val="auto"/>
              </w:rPr>
            </w:pPr>
          </w:p>
        </w:tc>
        <w:tc>
          <w:tcPr>
            <w:tcW w:w="10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92"/>
        </w:trPr>
        <w:tc>
          <w:tcPr>
            <w:tcW w:w="101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Workforce reductions</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Fiscal 2013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160" w:type="dxa"/>
            <w:vAlign w:val="bottom"/>
          </w:tcPr>
          <w:p>
            <w:pPr>
              <w:ind w:left="40"/>
              <w:spacing w:after="0"/>
              <w:rPr>
                <w:sz w:val="20"/>
                <w:szCs w:val="20"/>
                <w:color w:val="auto"/>
              </w:rPr>
            </w:pPr>
            <w:r>
              <w:rPr>
                <w:rFonts w:ascii="Arial" w:cs="Arial" w:eastAsia="Arial" w:hAnsi="Arial"/>
                <w:sz w:val="18"/>
                <w:szCs w:val="18"/>
                <w:color w:val="auto"/>
              </w:rPr>
              <w:t>Workforce reductions</w:t>
            </w:r>
          </w:p>
        </w:tc>
        <w:tc>
          <w:tcPr>
            <w:tcW w:w="18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37,873</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closure costs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Non-cash impairment charge</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estimate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b w:val="1"/>
                <w:bCs w:val="1"/>
                <w:color w:val="auto"/>
              </w:rPr>
              <w:t>Total Fiscal 2014 Charges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37,322</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0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Reduction of</w:t>
            </w:r>
          </w:p>
        </w:tc>
        <w:tc>
          <w:tcPr>
            <w:tcW w:w="0" w:type="dxa"/>
            <w:vAlign w:val="bottom"/>
          </w:tcPr>
          <w:p>
            <w:pPr>
              <w:spacing w:after="0"/>
              <w:rPr>
                <w:sz w:val="1"/>
                <w:szCs w:val="1"/>
                <w:color w:val="auto"/>
              </w:rPr>
            </w:pPr>
          </w:p>
        </w:tc>
      </w:tr>
      <w:tr>
        <w:trPr>
          <w:trHeight w:val="149"/>
        </w:trPr>
        <w:tc>
          <w:tcPr>
            <w:tcW w:w="10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Accrued Restructuring</w:t>
            </w:r>
          </w:p>
        </w:tc>
        <w:tc>
          <w:tcPr>
            <w:tcW w:w="180" w:type="dxa"/>
            <w:vAlign w:val="bottom"/>
          </w:tcPr>
          <w:p>
            <w:pPr>
              <w:spacing w:after="0"/>
              <w:rPr>
                <w:sz w:val="12"/>
                <w:szCs w:val="12"/>
                <w:color w:val="auto"/>
              </w:rPr>
            </w:pPr>
          </w:p>
        </w:tc>
        <w:tc>
          <w:tcPr>
            <w:tcW w:w="10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92"/>
        </w:trPr>
        <w:tc>
          <w:tcPr>
            <w:tcW w:w="101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b w:val="1"/>
                <w:bCs w:val="1"/>
                <w:color w:val="auto"/>
              </w:rPr>
              <w:t>Balance at November 3, 2012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2013 special charges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Severance payments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(12,907)</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10160" w:type="dxa"/>
            <w:vAlign w:val="bottom"/>
          </w:tcPr>
          <w:p>
            <w:pPr>
              <w:ind w:left="40"/>
              <w:spacing w:after="0"/>
              <w:rPr>
                <w:sz w:val="20"/>
                <w:szCs w:val="20"/>
                <w:color w:val="auto"/>
              </w:rPr>
            </w:pPr>
            <w:r>
              <w:rPr>
                <w:rFonts w:ascii="Arial" w:cs="Arial" w:eastAsia="Arial" w:hAnsi="Arial"/>
                <w:sz w:val="18"/>
                <w:szCs w:val="18"/>
                <w:b w:val="1"/>
                <w:bCs w:val="1"/>
                <w:color w:val="auto"/>
              </w:rPr>
              <w:t>Balance at November 2, 2013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19,955</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2014 special charges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37,322</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Severance payments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(16,790)</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10160" w:type="dxa"/>
            <w:vAlign w:val="bottom"/>
          </w:tcPr>
          <w:p>
            <w:pPr>
              <w:ind w:left="40"/>
              <w:spacing w:after="0"/>
              <w:rPr>
                <w:sz w:val="20"/>
                <w:szCs w:val="20"/>
                <w:color w:val="auto"/>
              </w:rPr>
            </w:pPr>
            <w:r>
              <w:rPr>
                <w:rFonts w:ascii="Arial" w:cs="Arial" w:eastAsia="Arial" w:hAnsi="Arial"/>
                <w:sz w:val="18"/>
                <w:szCs w:val="18"/>
                <w:b w:val="1"/>
                <w:bCs w:val="1"/>
                <w:color w:val="auto"/>
              </w:rPr>
              <w:t>Balance at November 1, 2014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40,503</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(33,220)</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Facility closure costs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impairment charge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Effect of foreign currency on accrual</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October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5,877</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During fiscal 2013, the Company recorded special charges of approximately $29.8 million for severance and fringe benefit costs in accordance with its ongoing benefit plan or statutory requirements at foreign locations for 235 engineering and SMG&amp;A employees. The Company terminated the employment of all employees associated with this action.</w:t>
      </w:r>
    </w:p>
    <w:p>
      <w:pPr>
        <w:spacing w:after="0" w:line="87"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During fiscal 2014, the Company recorded special charges of approximately $37.3 million. These special charges included $37.9 million for severance and fringe benefit costs in accordance with the Company's ongoing benefit plan or statutory requirements at foreign locations for 341 manufacturing, engineering and SMG&amp;A employees; $0.5 million for lease obligations costs for facilities that the Company ceased using during the fourth quarter of fiscal 2014; and $0.4 million for the impairment of assets that have no future use located at closed facilities. In addition, the Company reversed approximately $1.4 million of its severance accrual related to charges taken in fiscal 2013 primarily due to severance costs being lower than the Company's estimates. The Company terminated the employment of all employees associated with this action.</w:t>
      </w:r>
    </w:p>
    <w:p>
      <w:pPr>
        <w:spacing w:after="0" w:line="174"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Hittite Microwave Corporation</w:t>
      </w:r>
    </w:p>
    <w:p>
      <w:pPr>
        <w:spacing w:after="0" w:line="13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On July 22, 2014, the Company completed its acquisition of Hittite, a company that designed and developed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 The Acquisition is expected to expand the Company’s technology position in high performance signal processing solutions and drive growth in key markets. The Company completed the Acquisition through a cash tender offer (the Offer) by BBAC Corp., a wholly-owned subsidiary of the Company, for all of the outstanding shares of common stock, par value $0.01 per share, of Hittite at a purchase price of $78.00 per share, net to the seller in cash, without interest, less any applicable withholding taxes. After completion of the Offer, BBAC Corp. merged with</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1"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into Hittite, with Hittite continuing as the surviving corporation and a wholly-owned subsidiary of the Company. The results of operations of Hittite from July 22, 2014 (the Acquisition Date) are included in the Company’s consolidated statements of income for fiscal 2015 and fiscal 2014. The amount of revenue and earnings attributable to Hittite included in the Company's consolidated statements of income for fiscal 2014 was immaterial.</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Acquisition date fair value of the consideration transferred in the Acquisition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40"/>
              <w:spacing w:after="0"/>
              <w:rPr>
                <w:sz w:val="20"/>
                <w:szCs w:val="20"/>
                <w:color w:val="auto"/>
              </w:rPr>
            </w:pPr>
            <w:r>
              <w:rPr>
                <w:rFonts w:ascii="Arial" w:cs="Arial" w:eastAsia="Arial" w:hAnsi="Arial"/>
                <w:sz w:val="18"/>
                <w:szCs w:val="18"/>
                <w:color w:val="auto"/>
              </w:rPr>
              <w:t>Cash consideration</w:t>
            </w:r>
          </w:p>
        </w:tc>
        <w:tc>
          <w:tcPr>
            <w:tcW w:w="6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$2,424,446</w:t>
            </w: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replacement share-based awards</w:t>
            </w:r>
          </w:p>
        </w:tc>
        <w:tc>
          <w:tcPr>
            <w:tcW w:w="6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6,541</w:t>
            </w:r>
          </w:p>
        </w:tc>
      </w:tr>
      <w:tr>
        <w:trPr>
          <w:trHeight w:val="237"/>
        </w:trPr>
        <w:tc>
          <w:tcPr>
            <w:tcW w:w="9480" w:type="dxa"/>
            <w:vAlign w:val="bottom"/>
          </w:tcPr>
          <w:p>
            <w:pPr>
              <w:ind w:left="180"/>
              <w:spacing w:after="0"/>
              <w:rPr>
                <w:sz w:val="20"/>
                <w:szCs w:val="20"/>
                <w:color w:val="auto"/>
              </w:rPr>
            </w:pPr>
            <w:r>
              <w:rPr>
                <w:rFonts w:ascii="Arial" w:cs="Arial" w:eastAsia="Arial" w:hAnsi="Arial"/>
                <w:sz w:val="18"/>
                <w:szCs w:val="18"/>
                <w:color w:val="auto"/>
              </w:rPr>
              <w:t>Total estimated purchase price</w:t>
            </w: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2,430,987</w:t>
            </w:r>
          </w:p>
        </w:tc>
      </w:tr>
      <w:tr>
        <w:trPr>
          <w:trHeight w:val="27"/>
        </w:trPr>
        <w:tc>
          <w:tcPr>
            <w:tcW w:w="94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Hittite Replacement Awards </w:t>
      </w:r>
      <w:r>
        <w:rPr>
          <w:rFonts w:ascii="Arial" w:cs="Arial" w:eastAsia="Arial" w:hAnsi="Arial"/>
          <w:sz w:val="18"/>
          <w:szCs w:val="18"/>
          <w:color w:val="auto"/>
        </w:rPr>
        <w:t>— In connection with the Acquisition, the Company issued equity awards to certain Hittite employees in replacement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Hittite equity awards that were canceled at closing. The replacement awards consisted of approximately 0.7 million restricted stock units with a weighted average grant date fair value of $48.20. The grant-date fair value of the restricted stock units represents the value of the Company’s common stock on the date of grant, reduced by the present value of dividends expected to be paid on the Company’s common stock prior to vesting. The terms and the intrinsic value of these awards were substantially the same as the canceled Hittite awards. The $6.5 million noted in the table above represents the portion of the fair value of the replacement awards associated with services rendered though the Acquisition Date and have been included as a component of the total estimated purchase price.</w:t>
      </w:r>
    </w:p>
    <w:p>
      <w:pPr>
        <w:spacing w:after="0" w:line="9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During fiscal 2015, the Company completed the acquisition accounting for the Acquisition. The following is a summary of the amounts recognized in the accounting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480,742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28,008</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Accounts receivable (a)</w:t>
            </w:r>
          </w:p>
        </w:tc>
        <w:tc>
          <w:tcPr>
            <w:tcW w:w="6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36,991</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115,377</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6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24,088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50,726</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6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(Note 2f)</w:t>
            </w: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666,400</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Goodwill (Note 2f)</w:t>
            </w:r>
          </w:p>
        </w:tc>
        <w:tc>
          <w:tcPr>
            <w:tcW w:w="6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1,355,972</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2,760,546</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Assumed liabilities</w:t>
            </w:r>
          </w:p>
        </w:tc>
        <w:tc>
          <w:tcPr>
            <w:tcW w:w="6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52,876</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6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276,683</w:t>
            </w:r>
          </w:p>
        </w:tc>
        <w:tc>
          <w:tcPr>
            <w:tcW w:w="0" w:type="dxa"/>
            <w:vAlign w:val="bottom"/>
          </w:tcPr>
          <w:p>
            <w:pPr>
              <w:spacing w:after="0"/>
              <w:rPr>
                <w:sz w:val="1"/>
                <w:szCs w:val="1"/>
                <w:color w:val="auto"/>
              </w:rPr>
            </w:pP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Total estimated purchase price</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2,430,987</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20"/>
                <w:szCs w:val="20"/>
                <w:color w:val="auto"/>
              </w:rPr>
              <w:t>____________</w:t>
            </w: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328"/>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fair value of accounts receivable was $37.0 million, with the gross contractual amount being $37.3 million, of which the Company estimates that $0.3 million is uncollectible.</w:t>
      </w:r>
    </w:p>
    <w:p>
      <w:pPr>
        <w:spacing w:after="0" w:line="9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Of the $666.4 million of acquired intangible assets, $0.9 million was recorded as in-process research and development (IPR&amp;D) assets at estimated fair value on the Acquisition Date. The IPR&amp;D assets acquired are being capitalized until the technology is commercially available for their intended uses at which point the assets will be amortized over their estimated useful lives. The amortizable intangible assets acquired consisted of the following, which are being amortized on a straight-line basis over their estimated useful lives.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 Useful</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Lives</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Technology-based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15,100</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25,500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624,900</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7660" w:type="dxa"/>
            <w:vAlign w:val="bottom"/>
          </w:tcPr>
          <w:p>
            <w:pPr>
              <w:ind w:left="220"/>
              <w:spacing w:after="0"/>
              <w:rPr>
                <w:sz w:val="20"/>
                <w:szCs w:val="20"/>
                <w:color w:val="auto"/>
              </w:rPr>
            </w:pPr>
            <w:r>
              <w:rPr>
                <w:rFonts w:ascii="Arial" w:cs="Arial" w:eastAsia="Arial" w:hAnsi="Arial"/>
                <w:sz w:val="18"/>
                <w:szCs w:val="18"/>
                <w:color w:val="auto"/>
              </w:rPr>
              <w:t>Total amortizable intangible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665,500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40" w:firstLine="405"/>
        <w:spacing w:after="0" w:line="286" w:lineRule="auto"/>
        <w:rPr>
          <w:sz w:val="20"/>
          <w:szCs w:val="20"/>
          <w:color w:val="auto"/>
        </w:rPr>
      </w:pPr>
      <w:r>
        <w:rPr>
          <w:rFonts w:ascii="Arial" w:cs="Arial" w:eastAsia="Arial" w:hAnsi="Arial"/>
          <w:sz w:val="17"/>
          <w:szCs w:val="17"/>
          <w:color w:val="auto"/>
        </w:rPr>
        <w:t>The goodwill recognized is attributable to synergies which are expected to enhance and expand the Company’s overall product portfolio and opportunities in new markets, future technologies that have yet to be determined and Hittite’s assembled workforce. Future technologies do not meet the criteria for recognition separately from goodwill because they are part of future development and growth of the business.</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significant contingencies assumed as part of the Acquisition.</w:t>
      </w:r>
    </w:p>
    <w:p>
      <w:pPr>
        <w:spacing w:after="0" w:line="13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The Company recognized $50.9 million of transaction-related costs, including legal, accounting, severance, debt financing, interest and other related fees, of which approximately $9.7 million and $41.2 million were expensed in fiscal 2015 and fiscal 2014, respectively. Approximately $9.7 million of these costs are included in the consolidated statements of income in operating expenses within SMG&amp;A expenses for fiscal 2015. Approximately $33.3 million of these costs are included in the consolidated statements of income in operating expenses within SMG&amp;A expenses for fiscal 2014, and approximately $7.9 million of these costs are included in the consolidated statements of income within nonoperating expenses for fiscal 2014.</w:t>
      </w:r>
    </w:p>
    <w:p>
      <w:pPr>
        <w:spacing w:after="0" w:line="64"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The following unaudited pro forma consolidated financial information presents the Company's combined results of operations after giving effect to the Acquisition and assumes that the Acquisition, which closed on July 22, 2014, was completed on November 4, 2012 (the first day of the Company’s fiscal 2013). The pro forma consolidated financial information has been calculated after applying the Company’s accounting policies and includes adjustments for amortization expense of acquired intangible assets, transaction-related costs, a step-up in the value of acquired inventory and property, plant and equipment, and interest expense for the debt incurred to fund the Acquisition, together with the consequential tax effects. These pro forma results have been prepared for comparative purposes only and do not purport to be indicative of the operating results of the Company that would have been achieved had the Acquisition actually taken place on November 4, 2012.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249"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3,075,468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2,907,504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778,049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641,217</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2.04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Company has not provided pro forma results of operations for any other acquisitions completed in fiscal years 2015, 2014 or 2013 herein as they were not material to the Company on either an individual or an aggregate basis. The Company included the results of operations of each acquisition in its consolidated statement of income from the date of each acquisition.</w:t>
      </w:r>
    </w:p>
    <w:p>
      <w:pPr>
        <w:spacing w:after="0" w:line="177"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 Plan Investments</w:t>
      </w:r>
    </w:p>
    <w:p>
      <w:pPr>
        <w:spacing w:after="0" w:line="13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Investments in The Analog Devices, Inc. Deferred Compensation Plan (the Deferred Compensation Plan) are classified as trading. The components of the investments as of October 31, 2015 and November 1, 2014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Borders>
              <w:bottom w:val="single" w:sz="8" w:color="CCEEFF"/>
            </w:tcBorders>
          </w:tcPr>
          <w:p>
            <w:pPr>
              <w:spacing w:after="0"/>
              <w:rPr>
                <w:sz w:val="16"/>
                <w:szCs w:val="16"/>
                <w:color w:val="auto"/>
              </w:rPr>
            </w:pPr>
          </w:p>
        </w:tc>
        <w:tc>
          <w:tcPr>
            <w:tcW w:w="3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464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3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20,465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18,826</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Compensation Plan investments</w:t>
            </w:r>
          </w:p>
        </w:tc>
        <w:tc>
          <w:tcPr>
            <w:tcW w:w="464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24,124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21,393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70</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1" w:name="page72"/>
    <w:bookmarkEnd w:id="71"/>
    <w:p>
      <w:pPr>
        <w:jc w:val="both"/>
        <w:ind w:right="20" w:firstLine="432"/>
        <w:spacing w:after="0" w:line="264" w:lineRule="auto"/>
        <w:rPr>
          <w:sz w:val="20"/>
          <w:szCs w:val="20"/>
          <w:color w:val="auto"/>
        </w:rPr>
      </w:pPr>
      <w:r>
        <w:rPr>
          <w:rFonts w:ascii="Arial" w:cs="Arial" w:eastAsia="Arial" w:hAnsi="Arial"/>
          <w:sz w:val="18"/>
          <w:szCs w:val="18"/>
          <w:color w:val="auto"/>
        </w:rPr>
        <w:t>The fair values of these investments are based on published market quotes on October 31, 2015 and November 1, 2014, respectively. Adjustments to the fair value of, and income pertaining to, Deferred Compensation Plan investments are recorded in operating expenses. Gross realized and unrealized gains and losses from trading securities were not material in fiscal 2015, fiscal 2014 or fiscal 2013.</w:t>
      </w:r>
    </w:p>
    <w:p>
      <w:pPr>
        <w:spacing w:after="0" w:line="87" w:lineRule="exact"/>
        <w:rPr>
          <w:sz w:val="20"/>
          <w:szCs w:val="20"/>
          <w:color w:val="auto"/>
        </w:rPr>
      </w:pPr>
    </w:p>
    <w:p>
      <w:pPr>
        <w:ind w:right="660" w:firstLine="432"/>
        <w:spacing w:after="0" w:line="312" w:lineRule="auto"/>
        <w:rPr>
          <w:sz w:val="20"/>
          <w:szCs w:val="20"/>
          <w:color w:val="auto"/>
        </w:rPr>
      </w:pPr>
      <w:r>
        <w:rPr>
          <w:rFonts w:ascii="Arial" w:cs="Arial" w:eastAsia="Arial" w:hAnsi="Arial"/>
          <w:sz w:val="16"/>
          <w:szCs w:val="16"/>
          <w:color w:val="auto"/>
        </w:rPr>
        <w:t>The Company has recorded a corresponding liability for amounts owed to the Deferred Compensation Plan participants (see Note 10). These investments are specifically designated as available to the Company solely for the purpose of paying benefits under the Deferred Compensation Plan. However, in the event the Company became insolvent, the investments would be available to all unsecured general creditors.</w:t>
      </w:r>
    </w:p>
    <w:p>
      <w:pPr>
        <w:spacing w:after="0" w:line="143"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135"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Other investments consist of equity securities, interests in venture capital funds and other long-term investments. Investments are stated at fair value, which is based on market quotes or are accounted for using the equity or cost method of accounting, depending on the nature of the investment, as appropriate. Realized gains and losses from equity method investments are reflected in nonoperating (income) expense based upon the Company's ownership share of the investee's financial results. Realized gains or losses on cost-method investments are determined based on the specific identification basis and are recognized in nonoperating (income) expense. There were no other-than-temporary impairments recognized in any of the fiscal periods presented.</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net realized gains or losses from other investments during fiscal 2015, fiscal 2014 and fiscal 2013.</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were no material net unrealized gains or losses on securities classified as other investments as of October 31, 2015 and November 1, 2014.</w:t>
      </w:r>
    </w:p>
    <w:p>
      <w:pPr>
        <w:spacing w:after="0" w:line="244"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at October 31, 2015 and November 1, 2014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101,307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rate swap (Note 2i)</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32,737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charges (Note 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85,481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87,074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249,595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228,884</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 Plan Liability</w:t>
      </w:r>
    </w:p>
    <w:p>
      <w:pPr>
        <w:spacing w:after="0" w:line="13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deferred compensation plan liability relates to obligations due under the Deferred Compensation Plan. The Deferred Compensation Plan allows certain members of management and other highly-compensated employees and non-employee directors to defer receipt of all or any portion of their compensation. The balance represents Deferred Compensation Plan participant accumulated deferrals and earnings thereon since the inception of the Deferred Compensation Plan net of withdrawals. The Company’s liability under the Deferred Compensation Plan is an unsecured general obligation of the Company.</w:t>
      </w:r>
    </w:p>
    <w:p>
      <w:pPr>
        <w:spacing w:after="0" w:line="150"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135"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The Company leases certain facilities, equipment and software under various operating leases that expire at various dates through 2022. The lease agreements frequently include renewal and escalation clauses and require the Company to pay taxes, insurance and maintenance costs. Total rental expense under operating leases was approximately $51.8 million in fiscal 2015, $51.0 million in fiscal 2014 and $49.0 million in fiscal 2013.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06"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9940" w:type="dxa"/>
            <w:vAlign w:val="bottom"/>
            <w:gridSpan w:val="2"/>
          </w:tcPr>
          <w:p>
            <w:pPr>
              <w:ind w:left="4660"/>
              <w:spacing w:after="0"/>
              <w:rPr>
                <w:sz w:val="20"/>
                <w:szCs w:val="20"/>
                <w:color w:val="auto"/>
              </w:rPr>
            </w:pPr>
            <w:r>
              <w:rPr>
                <w:rFonts w:ascii="Arial" w:cs="Arial" w:eastAsia="Arial" w:hAnsi="Arial"/>
                <w:sz w:val="18"/>
                <w:szCs w:val="18"/>
                <w:b w:val="1"/>
                <w:bCs w:val="1"/>
                <w:color w:val="auto"/>
              </w:rPr>
              <w:t>ANALOG DEVICES, INC.</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8"/>
        </w:trPr>
        <w:tc>
          <w:tcPr>
            <w:tcW w:w="9940" w:type="dxa"/>
            <w:vAlign w:val="bottom"/>
            <w:gridSpan w:val="2"/>
          </w:tcPr>
          <w:p>
            <w:pPr>
              <w:ind w:left="276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81"/>
        </w:trPr>
        <w:tc>
          <w:tcPr>
            <w:tcW w:w="9940" w:type="dxa"/>
            <w:vAlign w:val="bottom"/>
            <w:gridSpan w:val="2"/>
          </w:tcPr>
          <w:p>
            <w:pPr>
              <w:ind w:left="440"/>
              <w:spacing w:after="0"/>
              <w:rPr>
                <w:sz w:val="20"/>
                <w:szCs w:val="20"/>
                <w:color w:val="auto"/>
              </w:rPr>
            </w:pPr>
            <w:r>
              <w:rPr>
                <w:rFonts w:ascii="Arial" w:cs="Arial" w:eastAsia="Arial" w:hAnsi="Arial"/>
                <w:sz w:val="18"/>
                <w:szCs w:val="18"/>
                <w:color w:val="auto"/>
                <w:w w:val="94"/>
              </w:rPr>
              <w:t>The following is a schedule of future minimum rental payments required under long-term operating leases at October 31, 2015:</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3"/>
        </w:trPr>
        <w:tc>
          <w:tcPr>
            <w:tcW w:w="9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Operating</w:t>
            </w:r>
          </w:p>
        </w:tc>
      </w:tr>
      <w:tr>
        <w:trPr>
          <w:trHeight w:val="276"/>
        </w:trPr>
        <w:tc>
          <w:tcPr>
            <w:tcW w:w="994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Years</w:t>
            </w:r>
          </w:p>
        </w:tc>
        <w:tc>
          <w:tcPr>
            <w:tcW w:w="280" w:type="dxa"/>
            <w:vAlign w:val="bottom"/>
          </w:tcPr>
          <w:p>
            <w:pPr>
              <w:spacing w:after="0"/>
              <w:rPr>
                <w:sz w:val="24"/>
                <w:szCs w:val="24"/>
                <w:color w:val="auto"/>
              </w:rPr>
            </w:pP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Leases</w:t>
            </w:r>
          </w:p>
        </w:tc>
      </w:tr>
      <w:tr>
        <w:trPr>
          <w:trHeight w:val="250"/>
        </w:trPr>
        <w:tc>
          <w:tcPr>
            <w:tcW w:w="9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21,780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16,305</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8,670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4,172</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3,298</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Later Years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5,263</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59,488</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From time to time, in the ordinary course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 The Company does not believe that any current legal matters will have a material adverse effect on the Company’s financial position, results of operations or cash flows.</w:t>
      </w:r>
    </w:p>
    <w:p>
      <w:pPr>
        <w:spacing w:after="0" w:line="150"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13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Company and its subsidiaries have various savings and retirement plans covering substantially all employees. The Company maintains a defined contribution plan for the benefit of its eligible U.S.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The total expense related to the defined contribution plan for U.S. employees was $26.3 million in fiscal 2015, $24.1 million in fiscal 2014 and $23.1 million in fiscal 2013. The Company also has various defined benefit pension and other retirement plans for certain non-U.S. employees that are consistent with local statutory requirements and practices. The total expense related to the various defined benefit pension and other retirement plans for certain non-U.S. employees, excluding settlement charges related to the Company's Irish defined benefit plan, was $33.3 million in fiscal 2015, $29.8 million in fiscal 2014 and $26.5 million in fiscal 2013.</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Non-U.S. Plan Disclosures</w:t>
      </w:r>
    </w:p>
    <w:p>
      <w:pPr>
        <w:spacing w:after="0" w:line="9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During fiscal 2015, the Company converted the benefits provided to participants in the Company’s Irish defined benefits pension plan (the DB Plan) to benefits provided under the Company’s Irish defined contribution plan. As a result, in fiscal 2015 the Company recorded expenses of $223.7 million, including settlement charges, legal, accounting and other professional fees to settle the pension obligation. The assets related to the DB Plan were liquidated and used to purchase annuities for retirees and distributed to active and deferred members' accounts in the Company's Irish defined contribution plan in connection with the plan conversion. Accordingly, plan assets for the DB Plan were zero as of the end of fiscal 2015.</w:t>
      </w:r>
    </w:p>
    <w:p>
      <w:pPr>
        <w:spacing w:after="0" w:line="15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Company’s funding policy for its foreign defined benefit pension plans is consistent with the local requirements of each country. The plans’ assets consist primarily of U.S. and non-U.S. equity securities, bonds, property and cash. The benefit obligations and related assets under these plans have been measured at October 31, 2015 and November 1, 2014.</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Components of Net Periodic Benefit Cost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annual periodic pension cost of non-U.S. plans is presented in the following table: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15,675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11,636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14,051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12,528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transition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7,257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20,848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Curtailment impact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impact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226,810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243,195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18,291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Benefit Obligations and Plan Assets</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900" w:type="dxa"/>
            <w:vAlign w:val="bottom"/>
            <w:gridSpan w:val="6"/>
          </w:tcPr>
          <w:p>
            <w:pPr>
              <w:ind w:left="420"/>
              <w:spacing w:after="0"/>
              <w:rPr>
                <w:sz w:val="20"/>
                <w:szCs w:val="20"/>
                <w:color w:val="auto"/>
              </w:rPr>
            </w:pPr>
            <w:r>
              <w:rPr>
                <w:rFonts w:ascii="Arial" w:cs="Arial" w:eastAsia="Arial" w:hAnsi="Arial"/>
                <w:sz w:val="18"/>
                <w:szCs w:val="18"/>
                <w:color w:val="auto"/>
                <w:w w:val="90"/>
              </w:rPr>
              <w:t>Obligation and asset data of the Company’s non-U.S. plans at each fiscal year end is presented in the following table: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455,205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347,665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14,051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Curtailment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220"/>
              <w:spacing w:after="0"/>
              <w:rPr>
                <w:sz w:val="20"/>
                <w:szCs w:val="20"/>
                <w:color w:val="auto"/>
              </w:rPr>
            </w:pPr>
            <w:r>
              <w:rPr>
                <w:rFonts w:ascii="Arial" w:cs="Arial" w:eastAsia="Arial" w:hAnsi="Arial"/>
                <w:sz w:val="18"/>
                <w:szCs w:val="18"/>
                <w:color w:val="auto"/>
              </w:rPr>
              <w:t>Settlement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Premiums paid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Actuarial loss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114,767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112,984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Exchange rate adjustment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(30,811)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year</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455,205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249,329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21,596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Premiums paid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Exchange rate adjustment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(16,489)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269,371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Reconciliation of Funded Status</w:t>
            </w: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(185,834)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Amounts Recognized in the Balance Sheet</w:t>
            </w: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(185,229)</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amount recognized</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(185,834)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1" w:right="2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Amounts Recognized in the Statement of Financial Position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Initial net obligation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(197,073)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contributions (less than) in excess of net periodic benefit cost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6,181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amount recognized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(185,834)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Changes Recognized in Other Comprehensive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Changes in plan assets and benefit obligations recognized in other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loss arising during the year (includes curtailment gains not recognized as a component of net periodic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rates on amounts included in accumulated other comprehensive income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Amounts recognized as a component of net periodic benefit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settlement or curtailment recognition of net transition obligation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or curtailment recognition of prior service credit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or settlement recognition of net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(234,067)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recognized in other comprehensive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85,702</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recognized in net periodic cost and other comprehensive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70,844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103,993</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834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2"/>
              </w:rPr>
              <w:t>Estimated amounts that will be amortized from accumulated other comprehensive (loss) income over the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next fiscal year</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Initial net obligation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accumulated benefit obligation for non-U.S. pension plans was $88.5 million and $351.9 million at October 31, 2015 and November 1, 2014, respectively.</w:t>
      </w:r>
    </w:p>
    <w:p>
      <w:pPr>
        <w:spacing w:after="0" w:line="7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Information relating to the Company’s non-U.S. plans with projected benefit obligations in excess of plan assets and accumulated benefit obligations in excess of plan assets at each fiscal year end is presented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Borders>
              <w:bottom w:val="single" w:sz="8" w:color="CCEEFF"/>
            </w:tcBorders>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Plans with projected benefit obligations in excess of plan assets:</w:t>
            </w:r>
          </w:p>
        </w:tc>
        <w:tc>
          <w:tcPr>
            <w:tcW w:w="2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3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61,713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455,205</w:t>
            </w:r>
          </w:p>
        </w:tc>
      </w:tr>
      <w:tr>
        <w:trPr>
          <w:trHeight w:val="27"/>
        </w:trPr>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269,371</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w w:val="91"/>
              </w:rPr>
              <w:t>Plans with accumulated benefit obligations in excess of plan assets:</w:t>
            </w:r>
          </w:p>
        </w:tc>
        <w:tc>
          <w:tcPr>
            <w:tcW w:w="2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384,225</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31,790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298,620</w:t>
            </w:r>
          </w:p>
        </w:tc>
      </w:tr>
      <w:tr>
        <w:trPr>
          <w:trHeight w:val="27"/>
        </w:trPr>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201,119</w:t>
            </w:r>
          </w:p>
        </w:tc>
      </w:tr>
      <w:tr>
        <w:trPr>
          <w:trHeight w:val="459"/>
        </w:trPr>
        <w:tc>
          <w:tcPr>
            <w:tcW w:w="5400" w:type="dxa"/>
            <w:vAlign w:val="bottom"/>
          </w:tcPr>
          <w:p>
            <w:pPr>
              <w:spacing w:after="0"/>
              <w:rPr>
                <w:sz w:val="24"/>
                <w:szCs w:val="24"/>
                <w:color w:val="auto"/>
              </w:rPr>
            </w:pPr>
          </w:p>
        </w:tc>
        <w:tc>
          <w:tcPr>
            <w:tcW w:w="2940" w:type="dxa"/>
            <w:vAlign w:val="bottom"/>
          </w:tcPr>
          <w:p>
            <w:pPr>
              <w:jc w:val="right"/>
              <w:ind w:right="245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range of assumptions used for the non-U.S. defined benefit plans reflects the different economic environments within the various countries. The projected benefit obligation was determined using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2014</w:t>
            </w: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3.05%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365"/>
        </w:trPr>
        <w:tc>
          <w:tcPr>
            <w:tcW w:w="9200" w:type="dxa"/>
            <w:vAlign w:val="bottom"/>
            <w:gridSpan w:val="2"/>
          </w:tcPr>
          <w:p>
            <w:pPr>
              <w:ind w:left="440"/>
              <w:spacing w:after="0"/>
              <w:rPr>
                <w:sz w:val="20"/>
                <w:szCs w:val="20"/>
                <w:color w:val="auto"/>
              </w:rPr>
            </w:pPr>
            <w:r>
              <w:rPr>
                <w:rFonts w:ascii="Arial" w:cs="Arial" w:eastAsia="Arial" w:hAnsi="Arial"/>
                <w:sz w:val="18"/>
                <w:szCs w:val="18"/>
                <w:color w:val="auto"/>
              </w:rPr>
              <w:t>Net annual periodic pension cost was determined using the following weighted average assumptions: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9"/>
        </w:trPr>
        <w:tc>
          <w:tcPr>
            <w:tcW w:w="82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2014</w:t>
            </w: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5.80%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7"/>
        </w:trPr>
        <w:tc>
          <w:tcPr>
            <w:tcW w:w="92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9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8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The expected long-term rate of return on assets is a weighted-average of the long-term rates of return selected for the various countries where the Company has funded pension plans. The expected long-term rate of return on assets assumption is selected based on the facts and circumstances that exist as of the measurement date and the specific portfolio mix of plan assets. Management, in conjunction with its actuaries, reviewed anticipated future long-term performance of individual asset categories and considered the asset allocation strategy adopted by the Company and/or the trustees of the plans. While the review considered recent fund performance and historical returns, the assumption is primarily a long-term prospective rate.</w:t>
      </w:r>
    </w:p>
    <w:p>
      <w:pPr>
        <w:spacing w:after="0" w:line="6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Company’s investment strategy is based on an expectation that equity securities will outperform debt securities over the long term. Accordingly, in order to maximize the return on assets, a majority of assets are invested in equities. Investments within each asset class are diversified to reduce the impact of losses in single investments. The use of derivative instruments is permitted where appropriate and necessary to achieve overall investment policy objectives and asset class targets.</w:t>
      </w:r>
    </w:p>
    <w:p>
      <w:pPr>
        <w:spacing w:after="0" w:line="9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establishes strategic asset allocation percentage targets and appropriate benchmarks for each significant asset class to obtain a prudent balance between return and risk. The interaction between plan assets and benefit obligations is periodically studied by the Company and its actuaries to assist in the establishment of strategic asset allocation targets.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plan assets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plan assets measured at fair value on a recurring basis by investment categories as of October 31, 2015 and November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using the same three-level hierarchy described in Note 2j:</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October 31, 2015</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November 1, 2014</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4"/>
              </w:rPr>
              <w:t>Fair Value Measurement at Reporting Date Using:</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gridSpan w:val="8"/>
          </w:tcPr>
          <w:p>
            <w:pPr>
              <w:ind w:left="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2"/>
                <w:szCs w:val="12"/>
                <w:color w:val="auto"/>
              </w:rPr>
            </w:pPr>
          </w:p>
        </w:tc>
        <w:tc>
          <w:tcPr>
            <w:tcW w:w="11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7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Unit trust funds(1)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5,198</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201,554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201,554</w:t>
            </w:r>
          </w:p>
        </w:tc>
        <w:tc>
          <w:tcPr>
            <w:tcW w:w="0" w:type="dxa"/>
            <w:vAlign w:val="bottom"/>
          </w:tcPr>
          <w:p>
            <w:pPr>
              <w:spacing w:after="0"/>
              <w:rPr>
                <w:sz w:val="1"/>
                <w:szCs w:val="1"/>
                <w:color w:val="auto"/>
              </w:rPr>
            </w:pPr>
          </w:p>
        </w:tc>
      </w:tr>
      <w:tr>
        <w:trPr>
          <w:trHeight w:val="237"/>
        </w:trPr>
        <w:tc>
          <w:tcPr>
            <w:tcW w:w="2180" w:type="dxa"/>
            <w:vAlign w:val="bottom"/>
          </w:tcPr>
          <w:p>
            <w:pPr>
              <w:ind w:left="180"/>
              <w:spacing w:after="0"/>
              <w:rPr>
                <w:sz w:val="20"/>
                <w:szCs w:val="20"/>
                <w:color w:val="auto"/>
              </w:rPr>
            </w:pPr>
            <w:r>
              <w:rPr>
                <w:rFonts w:ascii="Arial" w:cs="Arial" w:eastAsia="Arial" w:hAnsi="Arial"/>
                <w:sz w:val="16"/>
                <w:szCs w:val="16"/>
                <w:color w:val="auto"/>
              </w:rPr>
              <w:t>Equities(1)</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30,196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ind w:left="84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30,273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30,113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30,234</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Fixed income securities(2)</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34,504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33,746</w:t>
            </w:r>
          </w:p>
        </w:tc>
        <w:tc>
          <w:tcPr>
            <w:tcW w:w="0" w:type="dxa"/>
            <w:vAlign w:val="bottom"/>
          </w:tcPr>
          <w:p>
            <w:pPr>
              <w:spacing w:after="0"/>
              <w:rPr>
                <w:sz w:val="1"/>
                <w:szCs w:val="1"/>
                <w:color w:val="auto"/>
              </w:rPr>
            </w:pPr>
          </w:p>
        </w:tc>
      </w:tr>
      <w:tr>
        <w:trPr>
          <w:trHeight w:val="237"/>
        </w:trPr>
        <w:tc>
          <w:tcPr>
            <w:tcW w:w="2180" w:type="dxa"/>
            <w:vAlign w:val="bottom"/>
          </w:tcPr>
          <w:p>
            <w:pPr>
              <w:ind w:left="180"/>
              <w:spacing w:after="0"/>
              <w:rPr>
                <w:sz w:val="20"/>
                <w:szCs w:val="20"/>
                <w:color w:val="auto"/>
              </w:rPr>
            </w:pPr>
            <w:r>
              <w:rPr>
                <w:rFonts w:ascii="Arial" w:cs="Arial" w:eastAsia="Arial" w:hAnsi="Arial"/>
                <w:sz w:val="16"/>
                <w:szCs w:val="16"/>
                <w:color w:val="auto"/>
              </w:rPr>
              <w:t>Property(3)</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4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3,029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196"/>
        </w:trPr>
        <w:tc>
          <w:tcPr>
            <w:tcW w:w="2180" w:type="dxa"/>
            <w:vAlign w:val="bottom"/>
          </w:tcPr>
          <w:p>
            <w:pPr>
              <w:ind w:left="40"/>
              <w:spacing w:after="0"/>
              <w:rPr>
                <w:sz w:val="20"/>
                <w:szCs w:val="20"/>
                <w:color w:val="auto"/>
              </w:rPr>
            </w:pPr>
            <w:r>
              <w:rPr>
                <w:rFonts w:ascii="Arial" w:cs="Arial" w:eastAsia="Arial" w:hAnsi="Arial"/>
                <w:sz w:val="16"/>
                <w:szCs w:val="16"/>
                <w:b w:val="1"/>
                <w:bCs w:val="1"/>
                <w:color w:val="auto"/>
                <w:w w:val="96"/>
              </w:rPr>
              <w:t>Total assets measured at fair</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6"/>
                <w:szCs w:val="16"/>
                <w:color w:val="auto"/>
              </w:rPr>
              <w:t>69,898</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tcPr>
          <w:p>
            <w:pPr>
              <w:ind w:left="84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70,365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6"/>
                <w:szCs w:val="16"/>
                <w:color w:val="auto"/>
              </w:rPr>
              <w:t>265,413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3,150</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269,371</w:t>
            </w:r>
          </w:p>
        </w:tc>
        <w:tc>
          <w:tcPr>
            <w:tcW w:w="0" w:type="dxa"/>
            <w:vAlign w:val="bottom"/>
          </w:tcPr>
          <w:p>
            <w:pPr>
              <w:spacing w:after="0"/>
              <w:rPr>
                <w:sz w:val="1"/>
                <w:szCs w:val="1"/>
                <w:color w:val="auto"/>
              </w:rPr>
            </w:pPr>
          </w:p>
        </w:tc>
      </w:tr>
      <w:tr>
        <w:trPr>
          <w:trHeight w:val="210"/>
        </w:trPr>
        <w:tc>
          <w:tcPr>
            <w:tcW w:w="2180" w:type="dxa"/>
            <w:vAlign w:val="bottom"/>
          </w:tcPr>
          <w:p>
            <w:pPr>
              <w:ind w:left="40"/>
              <w:spacing w:after="0"/>
              <w:rPr>
                <w:sz w:val="20"/>
                <w:szCs w:val="20"/>
                <w:color w:val="auto"/>
              </w:rPr>
            </w:pPr>
            <w:r>
              <w:rPr>
                <w:rFonts w:ascii="Arial" w:cs="Arial" w:eastAsia="Arial" w:hAnsi="Arial"/>
                <w:sz w:val="16"/>
                <w:szCs w:val="16"/>
                <w:b w:val="1"/>
                <w:bCs w:val="1"/>
                <w:color w:val="auto"/>
              </w:rPr>
              <w:t>value</w:t>
            </w: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12700</wp:posOffset>
            </wp:positionV>
            <wp:extent cx="58661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-98425</wp:posOffset>
            </wp:positionV>
            <wp:extent cx="58661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39" w:lineRule="exact"/>
        <w:rPr>
          <w:sz w:val="20"/>
          <w:szCs w:val="20"/>
          <w:color w:val="auto"/>
        </w:rPr>
      </w:pPr>
    </w:p>
    <w:p>
      <w:pPr>
        <w:ind w:left="360" w:right="40" w:hanging="325"/>
        <w:spacing w:after="0" w:line="302" w:lineRule="auto"/>
        <w:tabs>
          <w:tab w:leader="none" w:pos="3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majority of the assets in these categories are invested in a mix of equities, including those from North America, Europe and Asia. The funds are valued using the net asset value method in which an average of the market prices for underlying investments is used to value the fund. Due to the nature of the underlying assets of these funds, changes in market conditions and the economic environment may significantly impact the net asset value of these investments and, consequently, the fair value of the investments. These investments are redeemable at net asset value to the extent provided</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1" w:right="2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left="360" w:right="100"/>
        <w:spacing w:after="0" w:line="307" w:lineRule="auto"/>
        <w:rPr>
          <w:sz w:val="20"/>
          <w:szCs w:val="20"/>
          <w:color w:val="auto"/>
        </w:rPr>
      </w:pPr>
      <w:r>
        <w:rPr>
          <w:rFonts w:ascii="Arial" w:cs="Arial" w:eastAsia="Arial" w:hAnsi="Arial"/>
          <w:sz w:val="18"/>
          <w:szCs w:val="18"/>
          <w:color w:val="auto"/>
        </w:rPr>
        <w:t>in the documentation governing the investments. However, these redemption rights may be restricted in accordance with governing documents. Publicly traded securities are valued at the last trade or closing price reported in the active market in which the individual securities are traded. Level 3 securities are valued at book value per share based upon the financial statements of the investment.</w:t>
      </w:r>
    </w:p>
    <w:p>
      <w:pPr>
        <w:spacing w:after="0" w:line="3" w:lineRule="exact"/>
        <w:rPr>
          <w:sz w:val="20"/>
          <w:szCs w:val="20"/>
          <w:color w:val="auto"/>
        </w:rPr>
      </w:pPr>
    </w:p>
    <w:p>
      <w:pPr>
        <w:ind w:left="360" w:right="140" w:hanging="325"/>
        <w:spacing w:after="0" w:line="277" w:lineRule="auto"/>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majority of the assets in this category are invested in funds primarily concentrated in non-U.S. debt instruments. The funds are valued using the net asset value method in which an average of the market prices for underlying investments is used to value the fund.</w:t>
      </w:r>
    </w:p>
    <w:p>
      <w:pPr>
        <w:spacing w:after="0" w:line="8" w:lineRule="exact"/>
        <w:rPr>
          <w:rFonts w:ascii="Arial" w:cs="Arial" w:eastAsia="Arial" w:hAnsi="Arial"/>
          <w:sz w:val="18"/>
          <w:szCs w:val="18"/>
          <w:color w:val="auto"/>
        </w:rPr>
      </w:pPr>
    </w:p>
    <w:p>
      <w:pPr>
        <w:ind w:left="360" w:right="80" w:hanging="325"/>
        <w:spacing w:after="0" w:line="308" w:lineRule="auto"/>
        <w:tabs>
          <w:tab w:leader="none" w:pos="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majority of the assets in this category are invested in properties in Ireland, the United Kingdom, Europe and other established international markets. Investments in properties are stated at estimated fair values based upon valuations by external independent property appraisers.</w:t>
      </w:r>
    </w:p>
    <w:p>
      <w:pPr>
        <w:spacing w:after="0" w:line="52" w:lineRule="exact"/>
        <w:rPr>
          <w:sz w:val="20"/>
          <w:szCs w:val="20"/>
          <w:color w:val="auto"/>
        </w:rPr>
      </w:pPr>
    </w:p>
    <w:p>
      <w:pPr>
        <w:ind w:right="920" w:firstLine="432"/>
        <w:spacing w:after="0" w:line="277" w:lineRule="auto"/>
        <w:rPr>
          <w:sz w:val="20"/>
          <w:szCs w:val="20"/>
          <w:color w:val="auto"/>
        </w:rPr>
      </w:pPr>
      <w:r>
        <w:rPr>
          <w:rFonts w:ascii="Arial" w:cs="Arial" w:eastAsia="Arial" w:hAnsi="Arial"/>
          <w:sz w:val="18"/>
          <w:szCs w:val="18"/>
          <w:color w:val="auto"/>
        </w:rPr>
        <w:t>The table below presents a reconciliation of the plan assets measured at fair value on a recurring basis using significant unobservable inputs (Level 3) for fiscal years 2015 and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Properties</w:t>
            </w:r>
          </w:p>
        </w:tc>
        <w:tc>
          <w:tcPr>
            <w:tcW w:w="300" w:type="dxa"/>
            <w:vAlign w:val="bottom"/>
          </w:tcPr>
          <w:p>
            <w:pPr>
              <w:spacing w:after="0"/>
              <w:rPr>
                <w:sz w:val="16"/>
                <w:szCs w:val="16"/>
                <w:color w:val="auto"/>
              </w:rPr>
            </w:pPr>
          </w:p>
        </w:tc>
        <w:tc>
          <w:tcPr>
            <w:tcW w:w="1180" w:type="dxa"/>
            <w:vAlign w:val="bottom"/>
          </w:tcPr>
          <w:p>
            <w:pPr>
              <w:jc w:val="right"/>
              <w:ind w:right="391"/>
              <w:spacing w:after="0"/>
              <w:rPr>
                <w:sz w:val="20"/>
                <w:szCs w:val="20"/>
                <w:color w:val="auto"/>
              </w:rPr>
            </w:pPr>
            <w:r>
              <w:rPr>
                <w:rFonts w:ascii="Arial" w:cs="Arial" w:eastAsia="Arial" w:hAnsi="Arial"/>
                <w:sz w:val="14"/>
                <w:szCs w:val="14"/>
                <w:b w:val="1"/>
                <w:bCs w:val="1"/>
                <w:color w:val="auto"/>
              </w:rPr>
              <w:t>Equities</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November 2, 2013</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sales, and settlements, net</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Exchange rate adjustment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November 1, 2014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Purchases, sales, and settlements, net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Exchange rate adjustment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31, 2015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i w:val="1"/>
                <w:iCs w:val="1"/>
                <w:color w:val="auto"/>
              </w:rPr>
              <w:t>Estimated future cash flows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340" w:type="dxa"/>
            <w:vAlign w:val="bottom"/>
          </w:tcPr>
          <w:p>
            <w:pPr>
              <w:ind w:left="440"/>
              <w:spacing w:after="0"/>
              <w:rPr>
                <w:sz w:val="20"/>
                <w:szCs w:val="20"/>
                <w:color w:val="auto"/>
              </w:rPr>
            </w:pPr>
            <w:r>
              <w:rPr>
                <w:rFonts w:ascii="Arial" w:cs="Arial" w:eastAsia="Arial" w:hAnsi="Arial"/>
                <w:sz w:val="18"/>
                <w:szCs w:val="18"/>
                <w:color w:val="auto"/>
              </w:rPr>
              <w:t>Expected fiscal 2016 Company contributions and estimated future benefit payments are as follows: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Expected Company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Expected Benefit Payments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 through 2025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17,296</w:t>
            </w:r>
          </w:p>
        </w:tc>
        <w:tc>
          <w:tcPr>
            <w:tcW w:w="0" w:type="dxa"/>
            <w:vAlign w:val="bottom"/>
          </w:tcPr>
          <w:p>
            <w:pPr>
              <w:spacing w:after="0"/>
              <w:rPr>
                <w:sz w:val="1"/>
                <w:szCs w:val="1"/>
                <w:color w:val="auto"/>
              </w:rPr>
            </w:pPr>
          </w:p>
        </w:tc>
      </w:tr>
      <w:tr>
        <w:trPr>
          <w:trHeight w:val="891"/>
        </w:trPr>
        <w:tc>
          <w:tcPr>
            <w:tcW w:w="8340" w:type="dxa"/>
            <w:vAlign w:val="bottom"/>
          </w:tcPr>
          <w:p>
            <w:pPr>
              <w:ind w:left="5620"/>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income tax computed at the U.S. federal statutory rates to income tax expense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Income tax provision reconciliation:</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at statutory 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283,540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255,271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285,363</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Net foreign income subject to lower tax rate</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(198,061)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(179,329)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(162,286)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benefit</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(6,361)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4,875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2,846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research and development tax credits</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(1,165)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(12,914)</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Change in uncertain tax positions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2,449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719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37,226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38,973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8,126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15,656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4,262</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57"/>
        </w:trPr>
        <w:tc>
          <w:tcPr>
            <w:tcW w:w="6580" w:type="dxa"/>
            <w:vAlign w:val="bottom"/>
          </w:tcPr>
          <w:p>
            <w:pPr>
              <w:ind w:left="380"/>
              <w:spacing w:after="0"/>
              <w:rPr>
                <w:sz w:val="20"/>
                <w:szCs w:val="20"/>
                <w:color w:val="auto"/>
              </w:rPr>
            </w:pPr>
            <w:r>
              <w:rPr>
                <w:rFonts w:ascii="Arial" w:cs="Arial" w:eastAsia="Arial" w:hAnsi="Arial"/>
                <w:sz w:val="18"/>
                <w:szCs w:val="18"/>
                <w:color w:val="auto"/>
              </w:rPr>
              <w:t>Total income tax provision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113,236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100,025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141,836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240" w:type="dxa"/>
            <w:vAlign w:val="bottom"/>
            <w:gridSpan w:val="5"/>
          </w:tcPr>
          <w:p>
            <w:pPr>
              <w:ind w:left="440"/>
              <w:spacing w:after="0"/>
              <w:rPr>
                <w:sz w:val="20"/>
                <w:szCs w:val="20"/>
                <w:color w:val="auto"/>
              </w:rPr>
            </w:pPr>
            <w:r>
              <w:rPr>
                <w:rFonts w:ascii="Arial" w:cs="Arial" w:eastAsia="Arial" w:hAnsi="Arial"/>
                <w:sz w:val="18"/>
                <w:szCs w:val="18"/>
                <w:color w:val="auto"/>
              </w:rPr>
              <w:t>For financial reporting purposes, income before income taxes includes the following components: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65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Pretax income:</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Domestic</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110,710</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127,084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124,737</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699,404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602,261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690,586</w:t>
            </w:r>
          </w:p>
        </w:tc>
        <w:tc>
          <w:tcPr>
            <w:tcW w:w="0" w:type="dxa"/>
            <w:vAlign w:val="bottom"/>
          </w:tcPr>
          <w:p>
            <w:pPr>
              <w:spacing w:after="0"/>
              <w:rPr>
                <w:sz w:val="1"/>
                <w:szCs w:val="1"/>
                <w:color w:val="auto"/>
              </w:rPr>
            </w:pPr>
          </w:p>
        </w:tc>
      </w:tr>
      <w:tr>
        <w:trPr>
          <w:trHeight w:val="257"/>
        </w:trPr>
        <w:tc>
          <w:tcPr>
            <w:tcW w:w="658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810,114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729,345</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815,323</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440"/>
              <w:spacing w:after="0"/>
              <w:rPr>
                <w:sz w:val="20"/>
                <w:szCs w:val="20"/>
                <w:color w:val="auto"/>
              </w:rPr>
            </w:pPr>
            <w:r>
              <w:rPr>
                <w:rFonts w:ascii="Arial" w:cs="Arial" w:eastAsia="Arial" w:hAnsi="Arial"/>
                <w:sz w:val="18"/>
                <w:szCs w:val="18"/>
                <w:color w:val="auto"/>
              </w:rPr>
              <w:t>The components of the provision for income taxes are as follows:</w:t>
            </w: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5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Federal tax</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65,942</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128,591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88,431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48,829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70,656</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165,450</w:t>
            </w:r>
          </w:p>
        </w:tc>
        <w:tc>
          <w:tcPr>
            <w:tcW w:w="4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177,736</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159,535</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Deferred (prepaid):</w:t>
            </w: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440" w:type="dxa"/>
            <w:vAlign w:val="bottom"/>
            <w:gridSpan w:val="3"/>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(27,933)</w:t>
            </w:r>
          </w:p>
        </w:tc>
        <w:tc>
          <w:tcPr>
            <w:tcW w:w="44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(74,263)</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(18,182)</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(24,822)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57"/>
        </w:trPr>
        <w:tc>
          <w:tcPr>
            <w:tcW w:w="6580" w:type="dxa"/>
            <w:vAlign w:val="bottom"/>
          </w:tcPr>
          <w:p>
            <w:pPr>
              <w:ind w:left="380"/>
              <w:spacing w:after="0"/>
              <w:rPr>
                <w:sz w:val="20"/>
                <w:szCs w:val="20"/>
                <w:color w:val="auto"/>
              </w:rPr>
            </w:pPr>
            <w:r>
              <w:rPr>
                <w:rFonts w:ascii="Arial" w:cs="Arial" w:eastAsia="Arial" w:hAnsi="Arial"/>
                <w:sz w:val="18"/>
                <w:szCs w:val="18"/>
                <w:color w:val="auto"/>
              </w:rPr>
              <w:t>Total (prepaid) deferred</w:t>
            </w:r>
          </w:p>
        </w:tc>
        <w:tc>
          <w:tcPr>
            <w:tcW w:w="1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(52,214)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(77,711)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Company continues to intend to reinvest certain of its foreign earnings indefinitely. Accordingly, no U.S. income taxes have been provided for approximately $4.4 billion of unremitted earnings of international subsidiaries. As of October 31, 2015, the amount of unrecognized deferred tax liability on these earnings was $1.2 billion.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1"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significant components of the Company’s deferred tax assets and liabilities for the fiscal years ended October 31, 2015 and November 1, 2014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 reserves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24,009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25,236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on shipments to distributors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38,025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Reserves for compensation and benefits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50,895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carryovers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59,909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68,530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74,487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Capital loss carryover</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4,266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36,711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22,165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288,612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285,503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(52,675)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(52,064)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235,937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233,439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(43,337)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Undistributed earnings of foreign subsidiaries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(31,904)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Acquisition-related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(235,569)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gross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(300,792)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(313,046)</w:t>
            </w:r>
          </w:p>
        </w:tc>
      </w:tr>
      <w:tr>
        <w:trPr>
          <w:trHeight w:val="257"/>
        </w:trPr>
        <w:tc>
          <w:tcPr>
            <w:tcW w:w="8340" w:type="dxa"/>
            <w:vAlign w:val="bottom"/>
          </w:tcPr>
          <w:p>
            <w:pPr>
              <w:ind w:left="720"/>
              <w:spacing w:after="0"/>
              <w:rPr>
                <w:sz w:val="20"/>
                <w:szCs w:val="20"/>
                <w:color w:val="auto"/>
              </w:rPr>
            </w:pPr>
            <w:r>
              <w:rPr>
                <w:rFonts w:ascii="Arial" w:cs="Arial" w:eastAsia="Arial" w:hAnsi="Arial"/>
                <w:sz w:val="18"/>
                <w:szCs w:val="18"/>
                <w:color w:val="auto"/>
              </w:rPr>
              <w:t>Net deferred tax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(64,855)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(79,607)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620" w:firstLine="432"/>
        <w:spacing w:after="0" w:line="308" w:lineRule="auto"/>
        <w:rPr>
          <w:sz w:val="20"/>
          <w:szCs w:val="20"/>
          <w:color w:val="auto"/>
        </w:rPr>
      </w:pPr>
      <w:r>
        <w:rPr>
          <w:rFonts w:ascii="Arial" w:cs="Arial" w:eastAsia="Arial" w:hAnsi="Arial"/>
          <w:sz w:val="17"/>
          <w:szCs w:val="17"/>
          <w:color w:val="auto"/>
        </w:rPr>
        <w:t>The valuation allowances of $52.7 million and $52.1 million at October 31, 2015 and November 1, 2014, respectively, are valuation allowances primarily for the Company’s state credit carryover. The state credit carryover of $64.8 million will begin to expire in 2016.</w:t>
      </w:r>
    </w:p>
    <w:p>
      <w:pPr>
        <w:spacing w:after="0" w:line="52"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As of October 31, 2015, the Company has foreign tax credit carryforwards of $3.1 million to offset future passive income. If not used, these carryforwards will expire between 2019 and 2023.</w:t>
      </w:r>
    </w:p>
    <w:p>
      <w:pPr>
        <w:spacing w:after="0" w:line="76"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8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of October 31, 2015 and November 1, 2014, the Company had a liability of $75.3 million and $63.0 million, respectively, for unrealized tax benefits, all of which, if settled in the Company’s favor, would lower the Company’s effective tax rate in the period recorded. In addition, as of October 31, 2015 and November 1, 2014, the Company had a liability of approximately $16.1 million and $12.0 million, respectively, for interest and penalties. The Company includes interest and penalties related to unrecognized tax benefits within the provision for taxes in the consolidated statements of income. The total liability as of October 31, 2015 and November 1, 2014 of $81.0 million and $70.6 million, respectively, for uncertain tax positions is classified as non-current, and is included in other non-current liabilities, because the Company believes that the ultimate payment or settlement of these liabilities may not occur within the next twelve months. The consolidated statements of income for fiscal year 2015, fiscal 2014 and fiscal 2013 include $4.1 million, $1.9 million and $7.1 million, respectively, of interest and penalties related to these uncertain tax positions. Over the next fiscal year, the Company anticipates the liability to be reduced by $1.3 million for the possible expiration of an income tax statute of limitations.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changes in the total amounts of unrealized tax benefits for fiscal 2013 through fiscal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Unrealized Tax Benefits</w:t>
            </w: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November 2,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68,139</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214</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Reductions due to lapse of applicable statute of limitations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November 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65,464</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524</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9,799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(2,745)</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due to lapse of applicable statute of limitations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Balance, October 31, 2015</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71,782</w:t>
            </w:r>
          </w:p>
        </w:tc>
      </w:tr>
      <w:tr>
        <w:trPr>
          <w:trHeight w:val="27"/>
        </w:trPr>
        <w:tc>
          <w:tcPr>
            <w:tcW w:w="9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Company has filed a petition with the U.S. Tax Court for one open matter for fiscal years 2006 and 2007 that pertains to Section 965 of the Internal Revenue Code related to the beneficial tax treatment of dividends paid from foreign owned companies under The American Jobs Creation Act. The potential liability for this adjustment is $36.5 million. On September 18, 2013, in a matter not involving the Company, the U.S. Tax Court held that accounts receivable created under Rev. Proc. 99-32 may constitute indebtedness for purposes of Section 965 (b)(3) of the Internal Revenue Code and that the IRS was not precluded from reducing the beneficial dividend received deduction because of the increase in related-party indebtedness (BMC Software Inc. v Commissioner, 141 T.C. No. 5 2013). After analyzing the Tax Court’s decision, the Company has determined that its tax position with respect to the Section 965(b)(3) no longer meets the more likely than not standard of recognition for accounting purposes. Accordingly, the Company recorded a $36.5 million reserve for this matter in the fourth quarter of 2013.</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of the Company's U.S. federal tax returns prior to fiscal 2012 are no longer subject to examination.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of the Company's Ireland tax returns prior to fiscal 2011 are no longer subject to examination.</w:t>
      </w:r>
    </w:p>
    <w:p>
      <w:pPr>
        <w:spacing w:after="0" w:line="221"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w:t>
      </w:r>
    </w:p>
    <w:p>
      <w:pPr>
        <w:spacing w:after="0" w:line="13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December 19, 2012, the Company entered into a five-year, $500.0 million senior unsecured revolving credit facility with certain institutional lenders (the Credit Agreement). On July 10, 2015, the Company amended and restated the Credit Agreement. The Credit Agreement expires on July 10, 2020 and provides that the Company may borrow up to $750.0 million. To date, the Company has not borrowed under this credit facility but the Company may borrow in the future and use the proceeds for repayment of existing indebtedness, stock repurchases, acquisitions, capital expenditures, working capital and other lawful corporate purposes. Revolving loans under the Credit Agreement (other than swing line loans) bear interest, at the Company's option, at either a rate equal to (a) the Eurodollar Rate (as defined in the Credit Agreement) plus a margin based on the Company's debt rating or (b) the Base Rate (defined as the highest of (i) the Bank of America prime rate, (ii) the Federal Funds Rate (as defined in the Credit Agreement) plus .50% or (iii) one month Eurodollar Rate plus a margin based on the Company's debt rating. The terms of the facility impose restrictions on the Company’s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October 31, 2015, the Company was compliant with these covenants.</w:t>
      </w:r>
    </w:p>
    <w:p>
      <w:pPr>
        <w:spacing w:after="0" w:line="179"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3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June 30, 2009, the Company issued $375.0 million aggregate principal amount of 5.0% senior unsecured notes due July 1, 2014 (the 2014 Notes) with semi-annual fixed interest payments due on January 1 and July 1 of each year, commencing January 1, 2010. The sale of the 2014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were amortized over the term of the 2014 Notes.</w:t>
      </w:r>
    </w:p>
    <w:p>
      <w:pPr>
        <w:spacing w:after="0" w:line="7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June 30, 2009, the Company entered into interest rate swap transactions related to its outstanding 2014 Notes where the Company swapped the notional amount of its $375.0 million of fixed rate debt at 5.0% into floating interest rate debt through July 1, 2014. The Company designated these swaps as fair value hedges. The changes in the fair value of the interest rate swaps were reflected in the carrying value of the interest rate swaps in other assets on the balance sheet. The carrying value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of the debt on the balance sheet was adjusted by an equal and offsetting amount. In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Company's consolidated statements of cash flows. As a result of the termination, the carrying value of the 2014 Notes was adjusted for the change in the fair value of the interest component of the debt up to the date of the termination of the swap in an amount equal to the fair value of the swap, and was amortized into earnings as a reduction of interest expense over the remaining life of the debt. During fiscal 2012, $5.3 million was amortized into earnings as a reduction of interest expense related to the swap termination. During the third quarter of fiscal 2013, in conjunction with the redemption of the 2014 Notes, the Company recognized the remaining $8.6 million in unamortized proceeds received from the termination of the interest rate swap as other, net, within non-operating (income) expense.</w:t>
      </w:r>
    </w:p>
    <w:p>
      <w:pPr>
        <w:spacing w:after="0" w:line="7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During the third quarter of fiscal 2013, the Company redeemed its outstanding 2014 Notes. The redemption price was 104.744% of the principal amount of the 2014 Notes. In accordance with the applicable guidance, the Company concluded that the debt transaction qualified as a debt extinguishment and as a result recognized a net loss on debt extinguishment of approximately $10.2 million recorded in other, net within non-operating (income) expense. This loss was comprised of the make-whole premium of $17.8 million paid to bondholders on the 2014 Notes in accordance with the terms of the notes, the recognition of the remaining $8.6 million of unamortized proceeds received from the termination of the interest rate swap associated with the debt, and the write-off of approximately $1.0 million of debt issuance and discount costs that remained to be amortized. The write-off of the remaining unamortized portion of debt issuance costs, discount and swap proceeds are reflected in the Company's consolidated statements of cash flows within operating activities, and the make-whole premium is reflected within financing activities.</w:t>
      </w:r>
    </w:p>
    <w:p>
      <w:pPr>
        <w:spacing w:after="0" w:line="84"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On April 4, 2011, the Company issued $375.0 million aggregate principal amount of 3.0% senior unsecured notes due April 15, 2016 (the 2016 Notes) with semi-annual fixed interest payments due on April 15 and October 15 of each year, commencing October 15, 2011. The sale of the 2016 Notes was made pursuant to the terms of an underwriting agreement, dated March 30, 2011 between the Company and Credit Suisse Securities (USA) LLC and Merrill Lynch, Pierce, Fenner and Smith Incorporated, as representative of the several underwriters named therein. The net proceeds of the offering were $370.5 million, after issuing at a discount and deducting expenses, underwriting fees and commissions, which will be amortized over the term of the 2016 Notes. The indenture governing the 2016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October 31, 2015, the Company was compliant with these covenants. The 2016 Notes are subordinated to any future secured debt and to the other liabilities of the Company’s subsidiaries.</w:t>
      </w:r>
    </w:p>
    <w:p>
      <w:pPr>
        <w:spacing w:after="0" w:line="72"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On June 3, 2013, the Company issued $500.0 million aggregate principal amount of 2.875% senior unsecured notes due June 1, 2023 (the 2023 Notes) with semi-annual fixed interest payments due on June 1 and December 1 of each year, commencing December 1, 2013. Prior to issuing the 2023 Notes, on April 24, 2013, the Company entered into a treasury rate lock agreement with Bank of America. This agreement allowed the Company to lock a 10-year US Treasury rate of 1.7845% through June 14, 2013 for its anticipated issuance of the 2023 Notes. Upon issuing the 2023 Notes, the Company simultaneously terminated the treasury rate lock agreement resulting in a gain of approximately $11.0 million. This gain will be amortized into interest expense over the 10-year term of the 2023 Notes. The sale of the 2023 Notes was made pursuant to the terms of an underwriting agreement, dated as of May 22, 2013, among the Company and J.P. Morgan Securities LLC, Merrill Lynch, Pierce, Fenner &amp; Smith Incorporated and Credit Suisse Securities (USA) LLC, as the representatives of the several underwriters named therein. The net proceeds of the offering were $493.9 million, after discount and issuance costs. Debt discount and issuance costs will be amortized through interest expense over the term of the 2023 Notes. The indenture governing the 2023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October 31, 2015, the Company was compliant with these covenants. The notes are subordinated to any future secured debt and to the other liabilities of the Company's subsidiaries.</w:t>
      </w:r>
    </w:p>
    <w:p>
      <w:pPr>
        <w:spacing w:after="0" w:line="9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On July 22, 2014, the Company entered into a 90-day term loan facility in an aggregate principal amount of $2.0 billion with Credit Suisse AG, as Administrative Agent, and each lender from time to time party thereto (the Term Loan Agreement) to finance the Acquisition. On August 29, 2014 the outstanding principal balance due under the Term Loan Agreement was repaid. Loans under the Term Loan Agreement bore interest at the Eurodollar Rate (as defined in the Term Loan Agreement) plus 1.00% (1.16% as of August 2, 2014). Payments of the principal amounts of revolving loans under the Term Loan Agreement were due no later than October 20, 2014 and did not require interim amortization. Expenses incurred related to the debt were amortized over the 90-day term. The Term Loan Agreement contained customary representations and warranties and affirmative and negative covenants, including, among others, limitations on liens, indebtedness of subsidiaries, mergers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1" w:right="2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other fundamental changes, sales and other dispositions of property or assets and transactions with affiliates. The Term Loan Agreement contained a consolidated leverage ratio covenant of total consolidated funded debt to consolidated EBITDA of not greater than 3.0 to 1.0.</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principal payments related to its debt obligations are as follows: $375.0 million in fiscal 2016 and $500.0 million in fiscal 2023.</w:t>
      </w:r>
    </w:p>
    <w:p>
      <w:pPr>
        <w:spacing w:after="0" w:line="233"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Gain on Sale of Product Line</w:t>
      </w:r>
    </w:p>
    <w:p>
      <w:pPr>
        <w:spacing w:after="0" w:line="13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On October 31, 2013, the Company completed the sale of the assets and intellectual property related to its microphone product line to InvenSense, Inc. (InvenSense). The Company received $100.0 million in cash for the assets and intellectual property and after providing for the write-off of inventory, fixed assets and other costs incurred to complete the transaction, recorded a net gain of $85.4 million in nonoperating income during fiscal 2013. The sale of the assets and intellectual property related to the microphone product line did not qualify as a discontinued operation as it was not considered to be a component of the Company.</w:t>
      </w:r>
    </w:p>
    <w:p>
      <w:pPr>
        <w:spacing w:after="0" w:line="184"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November 23, 2015, the Board of Directors of the Company declared a cash dividend of $0.40 per outstanding share of common stock. The dividend will be paid on December 15, 2015 to all shareholders of record at the close of business on December 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SUPPLEMENTARY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(thousands, except per share amounts and as noted)</w:t>
      </w:r>
    </w:p>
    <w:p>
      <w:pPr>
        <w:spacing w:after="0" w:line="11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Company’s fiscal year is the 52-week or 53-week period ending on the Saturday closest to the last day in October. The Company's interim periods operates on a 4-4-5 fiscal calendar, where each fiscal quarter is comprised of two 4-week periods and one 5-week period, with each week ending on a Saturday. The Company's fiscal year quarterly financial information for fiscal 2015 and fiscal 2014 includes results of operations of Hittite from July 22, 2014: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20" w:type="dxa"/>
            <w:vAlign w:val="bottom"/>
          </w:tcPr>
          <w:p>
            <w:pPr>
              <w:spacing w:after="0"/>
              <w:rPr>
                <w:sz w:val="15"/>
                <w:szCs w:val="15"/>
                <w:color w:val="auto"/>
              </w:rPr>
            </w:pPr>
          </w:p>
        </w:tc>
        <w:tc>
          <w:tcPr>
            <w:tcW w:w="1140" w:type="dxa"/>
            <w:vAlign w:val="bottom"/>
            <w:gridSpan w:val="2"/>
          </w:tcPr>
          <w:p>
            <w:pPr>
              <w:ind w:left="360"/>
              <w:spacing w:after="0"/>
              <w:rPr>
                <w:sz w:val="20"/>
                <w:szCs w:val="20"/>
                <w:color w:val="auto"/>
              </w:rPr>
            </w:pPr>
            <w:r>
              <w:rPr>
                <w:rFonts w:ascii="Arial" w:cs="Arial" w:eastAsia="Arial" w:hAnsi="Arial"/>
                <w:sz w:val="13"/>
                <w:szCs w:val="13"/>
                <w:b w:val="1"/>
                <w:bCs w:val="1"/>
                <w:color w:val="auto"/>
              </w:rPr>
              <w:t>4Q15</w:t>
            </w:r>
          </w:p>
        </w:tc>
        <w:tc>
          <w:tcPr>
            <w:tcW w:w="1140" w:type="dxa"/>
            <w:vAlign w:val="bottom"/>
            <w:gridSpan w:val="2"/>
          </w:tcPr>
          <w:p>
            <w:pPr>
              <w:ind w:left="380"/>
              <w:spacing w:after="0"/>
              <w:rPr>
                <w:sz w:val="20"/>
                <w:szCs w:val="20"/>
                <w:color w:val="auto"/>
              </w:rPr>
            </w:pPr>
            <w:r>
              <w:rPr>
                <w:rFonts w:ascii="Arial" w:cs="Arial" w:eastAsia="Arial" w:hAnsi="Arial"/>
                <w:sz w:val="13"/>
                <w:szCs w:val="13"/>
                <w:b w:val="1"/>
                <w:bCs w:val="1"/>
                <w:color w:val="auto"/>
              </w:rPr>
              <w:t>3Q15</w:t>
            </w:r>
          </w:p>
        </w:tc>
        <w:tc>
          <w:tcPr>
            <w:tcW w:w="1060" w:type="dxa"/>
            <w:vAlign w:val="bottom"/>
            <w:gridSpan w:val="2"/>
          </w:tcPr>
          <w:p>
            <w:pPr>
              <w:ind w:left="340"/>
              <w:spacing w:after="0"/>
              <w:rPr>
                <w:sz w:val="20"/>
                <w:szCs w:val="20"/>
                <w:color w:val="auto"/>
              </w:rPr>
            </w:pPr>
            <w:r>
              <w:rPr>
                <w:rFonts w:ascii="Arial" w:cs="Arial" w:eastAsia="Arial" w:hAnsi="Arial"/>
                <w:sz w:val="13"/>
                <w:szCs w:val="13"/>
                <w:b w:val="1"/>
                <w:bCs w:val="1"/>
                <w:color w:val="auto"/>
              </w:rPr>
              <w:t>2Q15</w:t>
            </w:r>
          </w:p>
        </w:tc>
        <w:tc>
          <w:tcPr>
            <w:tcW w:w="1060" w:type="dxa"/>
            <w:vAlign w:val="bottom"/>
            <w:gridSpan w:val="2"/>
          </w:tcPr>
          <w:p>
            <w:pPr>
              <w:ind w:left="340"/>
              <w:spacing w:after="0"/>
              <w:rPr>
                <w:sz w:val="20"/>
                <w:szCs w:val="20"/>
                <w:color w:val="auto"/>
              </w:rPr>
            </w:pPr>
            <w:r>
              <w:rPr>
                <w:rFonts w:ascii="Arial" w:cs="Arial" w:eastAsia="Arial" w:hAnsi="Arial"/>
                <w:sz w:val="13"/>
                <w:szCs w:val="13"/>
                <w:b w:val="1"/>
                <w:bCs w:val="1"/>
                <w:color w:val="auto"/>
              </w:rPr>
              <w:t>1Q15</w:t>
            </w:r>
          </w:p>
        </w:tc>
        <w:tc>
          <w:tcPr>
            <w:tcW w:w="1040" w:type="dxa"/>
            <w:vAlign w:val="bottom"/>
            <w:gridSpan w:val="2"/>
          </w:tcPr>
          <w:p>
            <w:pPr>
              <w:ind w:left="320"/>
              <w:spacing w:after="0"/>
              <w:rPr>
                <w:sz w:val="20"/>
                <w:szCs w:val="20"/>
                <w:color w:val="auto"/>
              </w:rPr>
            </w:pPr>
            <w:r>
              <w:rPr>
                <w:rFonts w:ascii="Arial" w:cs="Arial" w:eastAsia="Arial" w:hAnsi="Arial"/>
                <w:sz w:val="13"/>
                <w:szCs w:val="13"/>
                <w:b w:val="1"/>
                <w:bCs w:val="1"/>
                <w:color w:val="auto"/>
              </w:rPr>
              <w:t>4Q14</w:t>
            </w:r>
          </w:p>
        </w:tc>
        <w:tc>
          <w:tcPr>
            <w:tcW w:w="1060" w:type="dxa"/>
            <w:vAlign w:val="bottom"/>
            <w:gridSpan w:val="2"/>
          </w:tcPr>
          <w:p>
            <w:pPr>
              <w:ind w:left="340"/>
              <w:spacing w:after="0"/>
              <w:rPr>
                <w:sz w:val="20"/>
                <w:szCs w:val="20"/>
                <w:color w:val="auto"/>
              </w:rPr>
            </w:pPr>
            <w:r>
              <w:rPr>
                <w:rFonts w:ascii="Arial" w:cs="Arial" w:eastAsia="Arial" w:hAnsi="Arial"/>
                <w:sz w:val="13"/>
                <w:szCs w:val="13"/>
                <w:b w:val="1"/>
                <w:bCs w:val="1"/>
                <w:color w:val="auto"/>
              </w:rPr>
              <w:t>3Q14</w:t>
            </w:r>
          </w:p>
        </w:tc>
        <w:tc>
          <w:tcPr>
            <w:tcW w:w="1060" w:type="dxa"/>
            <w:vAlign w:val="bottom"/>
            <w:gridSpan w:val="2"/>
          </w:tcPr>
          <w:p>
            <w:pPr>
              <w:ind w:left="340"/>
              <w:spacing w:after="0"/>
              <w:rPr>
                <w:sz w:val="20"/>
                <w:szCs w:val="20"/>
                <w:color w:val="auto"/>
              </w:rPr>
            </w:pPr>
            <w:r>
              <w:rPr>
                <w:rFonts w:ascii="Arial" w:cs="Arial" w:eastAsia="Arial" w:hAnsi="Arial"/>
                <w:sz w:val="13"/>
                <w:szCs w:val="13"/>
                <w:b w:val="1"/>
                <w:bCs w:val="1"/>
                <w:color w:val="auto"/>
              </w:rPr>
              <w:t>2Q14</w:t>
            </w:r>
          </w:p>
        </w:tc>
        <w:tc>
          <w:tcPr>
            <w:tcW w:w="940" w:type="dxa"/>
            <w:vAlign w:val="bottom"/>
          </w:tcPr>
          <w:p>
            <w:pPr>
              <w:jc w:val="right"/>
              <w:ind w:right="240"/>
              <w:spacing w:after="0"/>
              <w:rPr>
                <w:sz w:val="20"/>
                <w:szCs w:val="20"/>
                <w:color w:val="auto"/>
              </w:rPr>
            </w:pPr>
            <w:r>
              <w:rPr>
                <w:rFonts w:ascii="Arial" w:cs="Arial" w:eastAsia="Arial" w:hAnsi="Arial"/>
                <w:sz w:val="13"/>
                <w:szCs w:val="13"/>
                <w:b w:val="1"/>
                <w:bCs w:val="1"/>
                <w:color w:val="auto"/>
              </w:rPr>
              <w:t>1Q14</w:t>
            </w:r>
          </w:p>
        </w:tc>
      </w:tr>
      <w:tr>
        <w:trPr>
          <w:trHeight w:val="237"/>
        </w:trPr>
        <w:tc>
          <w:tcPr>
            <w:tcW w:w="2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04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978,722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863,365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821,019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771,986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814,247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727,752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694,536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628,238</w:t>
            </w: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Cost of sales (a)</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336,926</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294,328</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276,197</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268,379</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328,210</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251,462</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235,793</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219,120</w:t>
            </w:r>
          </w:p>
        </w:tc>
      </w:tr>
      <w:tr>
        <w:trPr>
          <w:trHeight w:val="33"/>
        </w:trPr>
        <w:tc>
          <w:tcPr>
            <w:tcW w:w="29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641,796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569,037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544,822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503,607</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486,037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476,290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458,743</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409,118</w:t>
            </w:r>
          </w:p>
        </w:tc>
      </w:tr>
      <w:tr>
        <w:trPr>
          <w:trHeight w:val="237"/>
        </w:trPr>
        <w:tc>
          <w:tcPr>
            <w:tcW w:w="292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04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33"/>
        </w:trPr>
        <w:tc>
          <w:tcPr>
            <w:tcW w:w="2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170,736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160,784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154,233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151,706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154,797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140,095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136,203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128,591</w:t>
            </w:r>
          </w:p>
        </w:tc>
      </w:tr>
      <w:tr>
        <w:trPr>
          <w:trHeight w:val="220"/>
        </w:trPr>
        <w:tc>
          <w:tcPr>
            <w:tcW w:w="2920" w:type="dxa"/>
            <w:vAlign w:val="bottom"/>
          </w:tcPr>
          <w:p>
            <w:pPr>
              <w:ind w:left="180"/>
              <w:spacing w:after="0"/>
              <w:rPr>
                <w:sz w:val="20"/>
                <w:szCs w:val="20"/>
                <w:color w:val="auto"/>
              </w:rPr>
            </w:pPr>
            <w:r>
              <w:rPr>
                <w:rFonts w:ascii="Arial" w:cs="Arial" w:eastAsia="Arial" w:hAnsi="Arial"/>
                <w:sz w:val="16"/>
                <w:szCs w:val="16"/>
                <w:color w:val="auto"/>
              </w:rPr>
              <w:t>Selling, marketing, general and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2920" w:type="dxa"/>
            <w:vAlign w:val="bottom"/>
          </w:tcPr>
          <w:p>
            <w:pPr>
              <w:ind w:left="180"/>
              <w:spacing w:after="0"/>
              <w:rPr>
                <w:sz w:val="20"/>
                <w:szCs w:val="20"/>
                <w:color w:val="auto"/>
              </w:rPr>
            </w:pPr>
            <w:r>
              <w:rPr>
                <w:rFonts w:ascii="Arial" w:cs="Arial" w:eastAsia="Arial" w:hAnsi="Arial"/>
                <w:sz w:val="16"/>
                <w:szCs w:val="16"/>
                <w:color w:val="auto"/>
              </w:rPr>
              <w:t>administrative</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121,400</w:t>
            </w:r>
          </w:p>
        </w:tc>
        <w:tc>
          <w:tcPr>
            <w:tcW w:w="100" w:type="dxa"/>
            <w:vAlign w:val="bottom"/>
          </w:tcPr>
          <w:p>
            <w:pPr>
              <w:spacing w:after="0"/>
              <w:rPr>
                <w:sz w:val="17"/>
                <w:szCs w:val="17"/>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120,030</w:t>
            </w:r>
          </w:p>
        </w:tc>
        <w:tc>
          <w:tcPr>
            <w:tcW w:w="100" w:type="dxa"/>
            <w:vAlign w:val="bottom"/>
          </w:tcPr>
          <w:p>
            <w:pPr>
              <w:spacing w:after="0"/>
              <w:rPr>
                <w:sz w:val="17"/>
                <w:szCs w:val="17"/>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117,371</w:t>
            </w:r>
          </w:p>
        </w:tc>
        <w:tc>
          <w:tcPr>
            <w:tcW w:w="100" w:type="dxa"/>
            <w:vAlign w:val="bottom"/>
          </w:tcPr>
          <w:p>
            <w:pPr>
              <w:spacing w:after="0"/>
              <w:rPr>
                <w:sz w:val="17"/>
                <w:szCs w:val="17"/>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120,171</w:t>
            </w:r>
          </w:p>
        </w:tc>
        <w:tc>
          <w:tcPr>
            <w:tcW w:w="120" w:type="dxa"/>
            <w:vAlign w:val="bottom"/>
          </w:tcPr>
          <w:p>
            <w:pPr>
              <w:spacing w:after="0"/>
              <w:rPr>
                <w:sz w:val="17"/>
                <w:szCs w:val="17"/>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121,424</w:t>
            </w:r>
          </w:p>
        </w:tc>
        <w:tc>
          <w:tcPr>
            <w:tcW w:w="100" w:type="dxa"/>
            <w:vAlign w:val="bottom"/>
          </w:tcPr>
          <w:p>
            <w:pPr>
              <w:spacing w:after="0"/>
              <w:rPr>
                <w:sz w:val="17"/>
                <w:szCs w:val="17"/>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132,989</w:t>
            </w:r>
          </w:p>
        </w:tc>
        <w:tc>
          <w:tcPr>
            <w:tcW w:w="100" w:type="dxa"/>
            <w:vAlign w:val="bottom"/>
          </w:tcPr>
          <w:p>
            <w:pPr>
              <w:spacing w:after="0"/>
              <w:rPr>
                <w:sz w:val="17"/>
                <w:szCs w:val="17"/>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102,085</w:t>
            </w:r>
          </w:p>
        </w:tc>
        <w:tc>
          <w:tcPr>
            <w:tcW w:w="120" w:type="dxa"/>
            <w:vAlign w:val="bottom"/>
          </w:tcPr>
          <w:p>
            <w:pPr>
              <w:spacing w:after="0"/>
              <w:rPr>
                <w:sz w:val="17"/>
                <w:szCs w:val="17"/>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98,178</w:t>
            </w:r>
          </w:p>
        </w:tc>
      </w:tr>
      <w:tr>
        <w:trPr>
          <w:trHeight w:val="33"/>
        </w:trPr>
        <w:tc>
          <w:tcPr>
            <w:tcW w:w="2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Special charges</w:t>
            </w: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34,637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2,685</w:t>
            </w:r>
          </w:p>
        </w:tc>
      </w:tr>
      <w:tr>
        <w:trPr>
          <w:trHeight w:val="237"/>
        </w:trPr>
        <w:tc>
          <w:tcPr>
            <w:tcW w:w="2920" w:type="dxa"/>
            <w:vAlign w:val="bottom"/>
          </w:tcPr>
          <w:p>
            <w:pPr>
              <w:ind w:left="220"/>
              <w:spacing w:after="0"/>
              <w:rPr>
                <w:sz w:val="20"/>
                <w:szCs w:val="20"/>
                <w:color w:val="auto"/>
              </w:rPr>
            </w:pPr>
            <w:r>
              <w:rPr>
                <w:rFonts w:ascii="Arial" w:cs="Arial" w:eastAsia="Arial" w:hAnsi="Arial"/>
                <w:sz w:val="16"/>
                <w:szCs w:val="16"/>
                <w:color w:val="auto"/>
              </w:rPr>
              <w:t>Other operating expense (b)</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223,672</w:t>
            </w:r>
          </w:p>
        </w:tc>
        <w:tc>
          <w:tcPr>
            <w:tcW w:w="1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2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17,358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22,954</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24,210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23,796</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25,250</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660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w:t>
            </w:r>
          </w:p>
        </w:tc>
      </w:tr>
      <w:tr>
        <w:trPr>
          <w:trHeight w:val="217"/>
        </w:trPr>
        <w:tc>
          <w:tcPr>
            <w:tcW w:w="292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104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533,166</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303,768</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295,814</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295,673</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336,108</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273,744</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238,343</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229,509</w:t>
            </w:r>
          </w:p>
        </w:tc>
      </w:tr>
      <w:tr>
        <w:trPr>
          <w:trHeight w:val="33"/>
        </w:trPr>
        <w:tc>
          <w:tcPr>
            <w:tcW w:w="2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108,630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265,269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249,008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207,934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149,929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202,546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220,400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179,609</w:t>
            </w:r>
          </w:p>
        </w:tc>
      </w:tr>
      <w:tr>
        <w:trPr>
          <w:trHeight w:val="237"/>
        </w:trPr>
        <w:tc>
          <w:tcPr>
            <w:tcW w:w="292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2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Nonoperating (income) expenses:</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292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6,739</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6,755</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6,880</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6,656</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13,161</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8,178</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6,874</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6,571</w:t>
            </w:r>
          </w:p>
        </w:tc>
      </w:tr>
      <w:tr>
        <w:trPr>
          <w:trHeight w:val="33"/>
        </w:trPr>
        <w:tc>
          <w:tcPr>
            <w:tcW w:w="2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(3,284)</w:t>
            </w:r>
          </w:p>
        </w:tc>
      </w:tr>
      <w:tr>
        <w:trPr>
          <w:trHeight w:val="237"/>
        </w:trPr>
        <w:tc>
          <w:tcPr>
            <w:tcW w:w="292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2,552</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431</w:t>
            </w:r>
          </w:p>
        </w:tc>
      </w:tr>
      <w:tr>
        <w:trPr>
          <w:trHeight w:val="33"/>
        </w:trPr>
        <w:tc>
          <w:tcPr>
            <w:tcW w:w="29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nonoperating (income) expense</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3,953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5,791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3,819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7,164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11,231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5,158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3,032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3,718</w:t>
            </w:r>
          </w:p>
        </w:tc>
      </w:tr>
      <w:tr>
        <w:trPr>
          <w:trHeight w:val="217"/>
        </w:trPr>
        <w:tc>
          <w:tcPr>
            <w:tcW w:w="29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04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104,677</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259,478</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245,189</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200,770</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138,698</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197,388</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217,368</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175,891</w:t>
            </w:r>
          </w:p>
        </w:tc>
      </w:tr>
      <w:tr>
        <w:trPr>
          <w:trHeight w:val="33"/>
        </w:trPr>
        <w:tc>
          <w:tcPr>
            <w:tcW w:w="2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 of Revenue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Provision for income taxes (c)</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8,372</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43,000</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39,851</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22,013</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30,003</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16,782</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29,935</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23,305</w:t>
            </w:r>
          </w:p>
        </w:tc>
      </w:tr>
      <w:tr>
        <w:trPr>
          <w:trHeight w:val="33"/>
        </w:trPr>
        <w:tc>
          <w:tcPr>
            <w:tcW w:w="29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96,305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216,478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205,338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178,757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108,695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180,606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187,433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152,586</w:t>
            </w:r>
          </w:p>
        </w:tc>
      </w:tr>
      <w:tr>
        <w:trPr>
          <w:trHeight w:val="20"/>
        </w:trPr>
        <w:tc>
          <w:tcPr>
            <w:tcW w:w="2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1"/>
        </w:trPr>
        <w:tc>
          <w:tcPr>
            <w:tcW w:w="292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2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earnings per share</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0.49</w:t>
            </w:r>
          </w:p>
        </w:tc>
      </w:tr>
      <w:tr>
        <w:trPr>
          <w:trHeight w:val="237"/>
        </w:trPr>
        <w:tc>
          <w:tcPr>
            <w:tcW w:w="2920" w:type="dxa"/>
            <w:vAlign w:val="bottom"/>
          </w:tcPr>
          <w:p>
            <w:pPr>
              <w:ind w:left="380"/>
              <w:spacing w:after="0"/>
              <w:rPr>
                <w:sz w:val="20"/>
                <w:szCs w:val="20"/>
                <w:color w:val="auto"/>
              </w:rPr>
            </w:pPr>
            <w:r>
              <w:rPr>
                <w:rFonts w:ascii="Arial" w:cs="Arial" w:eastAsia="Arial" w:hAnsi="Arial"/>
                <w:sz w:val="16"/>
                <w:szCs w:val="16"/>
                <w:color w:val="auto"/>
              </w:rPr>
              <w:t>Diluted earnings per share</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0.48</w:t>
            </w:r>
          </w:p>
        </w:tc>
      </w:tr>
      <w:tr>
        <w:trPr>
          <w:trHeight w:val="33"/>
        </w:trPr>
        <w:tc>
          <w:tcPr>
            <w:tcW w:w="2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used to compute earnings per</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(in thousands):</w:t>
            </w: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37"/>
        </w:trPr>
        <w:tc>
          <w:tcPr>
            <w:tcW w:w="2920" w:type="dxa"/>
            <w:vAlign w:val="bottom"/>
          </w:tcPr>
          <w:p>
            <w:pPr>
              <w:ind w:left="180"/>
              <w:spacing w:after="0"/>
              <w:rPr>
                <w:sz w:val="20"/>
                <w:szCs w:val="20"/>
                <w:color w:val="auto"/>
              </w:rPr>
            </w:pPr>
            <w:r>
              <w:rPr>
                <w:rFonts w:ascii="Arial" w:cs="Arial" w:eastAsia="Arial" w:hAnsi="Arial"/>
                <w:sz w:val="16"/>
                <w:szCs w:val="16"/>
                <w:color w:val="auto"/>
              </w:rPr>
              <w:t>Basic</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312,829</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313,877</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312,660</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311,274</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312,815</w:t>
            </w:r>
          </w:p>
        </w:tc>
        <w:tc>
          <w:tcPr>
            <w:tcW w:w="10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314,190</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313,488</w:t>
            </w:r>
          </w:p>
        </w:tc>
        <w:tc>
          <w:tcPr>
            <w:tcW w:w="12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312,286</w:t>
            </w:r>
          </w:p>
        </w:tc>
      </w:tr>
      <w:tr>
        <w:trPr>
          <w:trHeight w:val="33"/>
        </w:trPr>
        <w:tc>
          <w:tcPr>
            <w:tcW w:w="2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316,571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318,187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317,047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315,684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316,868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318,876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318,347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318,017</w:t>
            </w:r>
          </w:p>
        </w:tc>
      </w:tr>
      <w:tr>
        <w:trPr>
          <w:trHeight w:val="250"/>
        </w:trPr>
        <w:tc>
          <w:tcPr>
            <w:tcW w:w="292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0.34</w:t>
            </w:r>
          </w:p>
        </w:tc>
      </w:tr>
      <w:tr>
        <w:trPr>
          <w:trHeight w:val="20"/>
        </w:trPr>
        <w:tc>
          <w:tcPr>
            <w:tcW w:w="2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8"/>
        <w:spacing w:after="0" w:line="258" w:lineRule="auto"/>
        <w:tabs>
          <w:tab w:leader="none" w:pos="1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Cost of sales in the fourth quarter of fiscal 2014 includes $53.6 million related to the sale of acquired inventory written up to fair value as a result of the Acquisition.</w:t>
      </w:r>
    </w:p>
    <w:p>
      <w:pPr>
        <w:spacing w:after="0" w:line="1" w:lineRule="exact"/>
        <w:rPr>
          <w:rFonts w:ascii="Arial" w:cs="Arial" w:eastAsia="Arial" w:hAnsi="Arial"/>
          <w:sz w:val="18"/>
          <w:szCs w:val="18"/>
          <w:color w:val="auto"/>
        </w:rPr>
      </w:pPr>
    </w:p>
    <w:p>
      <w:pPr>
        <w:ind w:right="40" w:firstLine="8"/>
        <w:spacing w:after="0" w:line="250" w:lineRule="auto"/>
        <w:tabs>
          <w:tab w:leader="none" w:pos="1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converted the benefits provided to participants in the Company’s Irish defined benefits pension plan to benefits provided under the Company’s Irish defined contribution plan. As a result the Company recorded expenses of $223.7 million, including settlement charges, legal, accounting and other professional fees to settle the pension obligation.</w:t>
      </w:r>
    </w:p>
    <w:p>
      <w:pPr>
        <w:spacing w:after="0" w:line="1" w:lineRule="exact"/>
        <w:rPr>
          <w:rFonts w:ascii="Arial" w:cs="Arial" w:eastAsia="Arial" w:hAnsi="Arial"/>
          <w:sz w:val="18"/>
          <w:szCs w:val="18"/>
          <w:color w:val="auto"/>
        </w:rPr>
      </w:pPr>
    </w:p>
    <w:p>
      <w:pPr>
        <w:ind w:right="20" w:firstLine="8"/>
        <w:spacing w:after="0" w:line="277" w:lineRule="auto"/>
        <w:tabs>
          <w:tab w:leader="none" w:pos="185"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Provision for income taxes in the fourth quarter of fiscal 2015 includes a benefit of $13.0 million for the reversal of certain prior period tax liabilities and in the first quarter of fiscal 2015 includes a tax benefit of $7.0 million from the reinstatement of the U.S. federal research and development tax credit in December 2014 retroactive to January 1, 2014 and a tax benefit of $3.8 million as a result of an acquisition accounting adjustment.</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580" w:right="239" w:bottom="1440" w:gutter="0" w:footer="0" w:header="0"/>
          <w:type w:val="continuous"/>
        </w:sectPr>
      </w:pPr>
    </w:p>
    <w:bookmarkStart w:id="83" w:name="page84"/>
    <w:bookmarkEnd w:id="83"/>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ind w:firstLine="440"/>
        <w:spacing w:after="0" w:line="269" w:lineRule="auto"/>
        <w:tabs>
          <w:tab w:leader="none" w:pos="677"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Our management, with the participation of our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evaluated the effectiveness of Analog’s disclosure controls and procedures as of October 31, 2015.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October 31, 2015, our Chief Executive Officer and Chief Financial Officer concluded that, as of such date, our disclosure controls and procedures were effective at the reasonable assurance level.</w:t>
      </w:r>
    </w:p>
    <w:p>
      <w:pPr>
        <w:spacing w:after="0" w:line="44" w:lineRule="exact"/>
        <w:rPr>
          <w:rFonts w:ascii="Arial" w:cs="Arial" w:eastAsia="Arial" w:hAnsi="Arial"/>
          <w:sz w:val="17"/>
          <w:szCs w:val="17"/>
          <w:color w:val="auto"/>
        </w:rPr>
      </w:pPr>
    </w:p>
    <w:p>
      <w:pPr>
        <w:ind w:left="700" w:hanging="260"/>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Management’s Report on Internal Control Over Financial Reporting.</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0" w:lineRule="exact"/>
        <w:rPr>
          <w:sz w:val="20"/>
          <w:szCs w:val="20"/>
          <w:color w:val="auto"/>
        </w:rPr>
      </w:pPr>
    </w:p>
    <w:p>
      <w:pPr>
        <w:ind w:left="820" w:right="360" w:hanging="326"/>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8" w:lineRule="exact"/>
        <w:rPr>
          <w:rFonts w:ascii="Arial" w:cs="Arial" w:eastAsia="Arial" w:hAnsi="Arial"/>
          <w:sz w:val="18"/>
          <w:szCs w:val="18"/>
          <w:color w:val="auto"/>
        </w:rPr>
      </w:pPr>
    </w:p>
    <w:p>
      <w:pPr>
        <w:ind w:left="820" w:right="20" w:hanging="326"/>
        <w:spacing w:after="0" w:line="264"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9"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3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4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management assessed the effectiveness of our internal control over financial reporting as of October 31, 2015. In making this assessment, the company’s management used the criteria set forth by the Committee of Sponsoring Organizations of the Treadway Commission (COSO) in Internal Control-Integrated 2013 Framework.</w:t>
      </w:r>
    </w:p>
    <w:p>
      <w:pPr>
        <w:spacing w:after="0" w:line="4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Based on this assessment, our management concluded that, as of October 31, 2015, our internal control over financial reporting is effective based on those criteria.</w:t>
      </w:r>
    </w:p>
    <w:p>
      <w:pPr>
        <w:spacing w:after="0" w:line="3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independent registered public accounting firm that audited the financial statements included in this annual report has issued an attestation report on our internal control over financial reporting. This report appears below.</w:t>
      </w:r>
    </w:p>
    <w:p>
      <w:pPr>
        <w:spacing w:after="0" w:line="35" w:lineRule="exact"/>
        <w:rPr>
          <w:sz w:val="20"/>
          <w:szCs w:val="20"/>
          <w:color w:val="auto"/>
        </w:rPr>
      </w:pPr>
    </w:p>
    <w:p>
      <w:pPr>
        <w:ind w:left="700" w:hanging="260"/>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Attestation Report of the Registered Public Accounting Firm</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15" w:right="239" w:bottom="1440" w:gutter="0" w:footer="0" w:header="0"/>
        </w:sectPr>
      </w:pPr>
    </w:p>
    <w:bookmarkStart w:id="84" w:name="page85"/>
    <w:bookmarkEnd w:id="84"/>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Analog Devices, Inc.’s internal control over financial reporting as of October 31, 2015, based on criteria established in Internal Control-Integrated Framework issued by the Committee of Sponsoring Organizations of the Treadway Commission (2013 framework), (the COSO criteria). Analog Devices,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Analog Devices, Inc. maintained, in all material respects, effective internal control over financial reporting as of October 31, 2015,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Analog Devices, Inc. as of October 31, 2015 and November 1, 2014, and the related consolidated statements of income, comprehensive income, shareholders’ equity, and cash flows for each of the three years in the period ended October 31, 2015 of Analog Devices, Inc. and our report dated November 24, 2015 expressed an unqualified opinion thereon.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24, 2015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918" w:right="239" w:bottom="1440" w:gutter="0" w:footer="0" w:header="0"/>
        </w:sectPr>
      </w:pPr>
    </w:p>
    <w:bookmarkStart w:id="85" w:name="page86"/>
    <w:bookmarkEnd w:id="85"/>
    <w:p>
      <w:pPr>
        <w:ind w:firstLine="440"/>
        <w:spacing w:after="0" w:line="264" w:lineRule="auto"/>
        <w:tabs>
          <w:tab w:leader="none" w:pos="687"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w:t>
      </w:r>
      <w:r>
        <w:rPr>
          <w:rFonts w:ascii="Arial" w:cs="Arial" w:eastAsia="Arial" w:hAnsi="Arial"/>
          <w:sz w:val="18"/>
          <w:szCs w:val="18"/>
          <w:i w:val="1"/>
          <w:iCs w:val="1"/>
          <w:color w:val="auto"/>
        </w:rPr>
        <w:t xml:space="preserve"> </w:t>
      </w:r>
      <w:r>
        <w:rPr>
          <w:rFonts w:ascii="Arial" w:cs="Arial" w:eastAsia="Arial" w:hAnsi="Arial"/>
          <w:sz w:val="18"/>
          <w:szCs w:val="18"/>
          <w:color w:val="auto"/>
        </w:rPr>
        <w:t>and 15d-15(f) under the Securities Exchange Act) occurred during the fiscal quarter ended October 31, 2015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60"/>
          </w:cols>
          <w:pgMar w:left="240" w:top="800" w:right="499"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3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Information required by this item relating to our directors and nominees is contained under the caption “Proposal 1 — Election of Directors” contained in our 2016 proxy statement to be filed with the U.S. Securities and Exchange Commission (the SEC) within 120 days after October 31, 2015 and is incorporated herein by reference. Information required by this item relating to our executive officers is contained under the caption “EXECUTIVE OFFICERS OF THE REGISTRANT” in Part I of this Annual Report on Form 10-K and is incorporated herein by reference. Information required by this item relating to compliance with Section 16(a) of the Securities Exchange Act of 1934 is contained under the caption “Section 16(a) Beneficial Ownership Reporting Compliance” in our 2016 proxy statement to be filed with the SEC within 120 days after October 31, 2015 and is incorporated herein by reference.</w:t>
      </w:r>
    </w:p>
    <w:p>
      <w:pPr>
        <w:spacing w:after="0" w:line="7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 xml:space="preserve">We have adopted a written code of business conduct and ethics that applies to our principal executive officer, principal financial officer, principal accounting officer or controller, or persons performing similar functions and have posted it in the Corporate Governance section of our website which is located at </w:t>
      </w:r>
      <w:r>
        <w:rPr>
          <w:rFonts w:ascii="Arial" w:cs="Arial" w:eastAsia="Arial" w:hAnsi="Arial"/>
          <w:sz w:val="18"/>
          <w:szCs w:val="18"/>
          <w:u w:val="single" w:color="auto"/>
          <w:color w:val="auto"/>
        </w:rPr>
        <w:t>www.analog.com</w:t>
      </w:r>
      <w:r>
        <w:rPr>
          <w:rFonts w:ascii="Arial" w:cs="Arial" w:eastAsia="Arial" w:hAnsi="Arial"/>
          <w:sz w:val="18"/>
          <w:szCs w:val="18"/>
          <w:color w:val="auto"/>
        </w:rPr>
        <w:t xml:space="preserve">. To the extent permitted by NASDAQ and SEC regulations, we intend to satisfy any disclosure requirement under Item 5.05 of Form 8-K regarding any amendments to, or waivers from, our code of business conduct and ethics by posting such information on our website which is located at </w:t>
      </w:r>
      <w:r>
        <w:rPr>
          <w:rFonts w:ascii="Arial" w:cs="Arial" w:eastAsia="Arial" w:hAnsi="Arial"/>
          <w:sz w:val="18"/>
          <w:szCs w:val="18"/>
          <w:u w:val="single" w:color="auto"/>
          <w:color w:val="auto"/>
        </w:rPr>
        <w:t>www.analog.com.</w:t>
      </w:r>
    </w:p>
    <w:p>
      <w:pPr>
        <w:spacing w:after="0" w:line="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During the fourth quarter of fiscal 2015, we made no material change to the procedures by which shareholders may recommend nominees to our Board of Directors, as described in our 2015 proxy statement.</w:t>
      </w:r>
    </w:p>
    <w:p>
      <w:pPr>
        <w:spacing w:after="0" w:line="76"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Information required by this item relating to the audit committee of our Board of Directors is contained under the caption “Corporate Governance — Board of Directors Meetings and Committees — Audit Committee” in our 2016 proxy statement to be filed with the SEC within 120 days after October 31, 2015 and is incorporated herein by reference.</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35" w:lineRule="exact"/>
        <w:rPr>
          <w:sz w:val="20"/>
          <w:szCs w:val="20"/>
          <w:color w:val="auto"/>
        </w:rPr>
      </w:pPr>
    </w:p>
    <w:p>
      <w:pPr>
        <w:jc w:val="both"/>
        <w:ind w:right="600" w:firstLine="432"/>
        <w:spacing w:after="0" w:line="264" w:lineRule="auto"/>
        <w:rPr>
          <w:sz w:val="20"/>
          <w:szCs w:val="20"/>
          <w:color w:val="auto"/>
        </w:rPr>
      </w:pPr>
      <w:r>
        <w:rPr>
          <w:rFonts w:ascii="Arial" w:cs="Arial" w:eastAsia="Arial" w:hAnsi="Arial"/>
          <w:sz w:val="18"/>
          <w:szCs w:val="18"/>
          <w:color w:val="auto"/>
        </w:rPr>
        <w:t>Information required by this item is contained under the captions “Corporate Governance — Director Compensation” and “Information About Executive Compensation” in our 2016 proxy statement to be filed with the SEC within 120 days after October 31, 2015 and is incorporated herein by reference.</w:t>
      </w:r>
    </w:p>
    <w:p>
      <w:pPr>
        <w:spacing w:after="0" w:line="177" w:lineRule="exact"/>
        <w:rPr>
          <w:sz w:val="20"/>
          <w:szCs w:val="20"/>
          <w:color w:val="auto"/>
        </w:rPr>
      </w:pPr>
    </w:p>
    <w:p>
      <w:pPr>
        <w:ind w:left="1140" w:right="3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7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Information required by this item relating to security ownership of certain beneficial owners and management is contained under the caption “Security Ownership of Certain Beneficial Owners and Management” in our 2016 proxy statement to be filed with the SEC within 120 days after October 31, 2015 and is incorporated herein by reference. Information required by this item relating to securities authorized for issuance under equity compensation plans is contained under the caption “Information About Executive Compensation — Securities Authorized for Issuance Under Equity Compensation Plans” in our 2016 proxy statement to be filed with the SEC within 120 days after October 31, 2015 and is incorporated herein by reference.</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3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Information required by this item relating to transactions with related persons is contained under the caption “Corporate Governance — Certain Relationships and Related Transactions” in our 2016 proxy statement to be filed with the SEC within 120 days after October 31, 2015 and is incorporated herein by reference. Information required by this item relating to director independence is contained under the caption “Corporate Governance — Determination of Independence” in our 2016 proxy statement to be filed with the SEC within 120 days after October 31, 2015 and is incorporated herein by reference.</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35"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Information required by this item is contained under the caption “Corporate Governance — Independent Registered Public Accounting Firm Fees and Other Matters” in our 2016 proxy statement to be filed with the SEC within 120 days after October 31, 2015 and is incorporated herein by reference.</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580" w:right="299" w:bottom="1440" w:gutter="0" w:footer="0" w:header="0"/>
        </w:sectPr>
      </w:pPr>
    </w:p>
    <w:bookmarkStart w:id="87" w:name="page88"/>
    <w:bookmarkEnd w:id="87"/>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35"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The following are filed as part of this Annual Report on Form 10-K:</w:t>
      </w:r>
    </w:p>
    <w:p>
      <w:pPr>
        <w:spacing w:after="0" w:line="167" w:lineRule="exact"/>
        <w:rPr>
          <w:sz w:val="20"/>
          <w:szCs w:val="20"/>
          <w:color w:val="auto"/>
        </w:rPr>
      </w:pPr>
    </w:p>
    <w:p>
      <w:pPr>
        <w:ind w:left="620" w:hanging="585"/>
        <w:spacing w:after="0"/>
        <w:tabs>
          <w:tab w:leader="none" w:pos="6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consolidated financial statements are included in Item 8 of this Annual Report on Form 10-K:</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Income for the years ended October 31, 2015, November 1, 2014 and November 2, 2013</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Comprehensive Income for the years ended October 31, 2015, November 1, 2014 and November 2, 2013</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Balance Sheets as of October 31, 2015 and November 1, 2014</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Shareholders’ Equity for the years ended October 31, 2015, November 1, 2014 and November 2, 2013</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Cash Flows for the years ended October 31, 2015, November 1, 2014 and November 2, 2013</w:t>
      </w:r>
    </w:p>
    <w:p>
      <w:pPr>
        <w:spacing w:after="0" w:line="32"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consolidated financial statement schedule is included in Item 15(b) of this Annual Report on Form 10-K:</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 II — Valuation and Qualifying Accounts</w:t>
      </w:r>
    </w:p>
    <w:p>
      <w:pPr>
        <w:spacing w:after="0" w:line="13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Exhibits</w:t>
      </w:r>
    </w:p>
    <w:p>
      <w:pPr>
        <w:spacing w:after="0" w:line="13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or furnished with or incorporated by reference in this Annual Report on Form 10-K.</w:t>
      </w:r>
    </w:p>
    <w:p>
      <w:pPr>
        <w:spacing w:after="0" w:line="1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240" w:top="580" w:right="53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OCTOBER 31, 2015</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15(b)</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 SCHEDULE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9019"/>
          </w:cols>
          <w:pgMar w:left="1440" w:top="1440"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31, 2015, November 1, 2014 and November 2, 2013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Additions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Balance at Beginning</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(Reductions)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Charged to Income</w:t>
            </w:r>
          </w:p>
        </w:tc>
        <w:tc>
          <w:tcPr>
            <w:tcW w:w="24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Deductions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of Period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Statement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End of Period</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Accounts Receivable Reserves and Allowances: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November 2, 2013</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Year ended November 1, 2014</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4,563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51"/>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 ended October 31, 2015</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2,686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Valuation Reserve for Deferred Tax Asset: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November 2, 2013</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37,350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6,152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43,502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Year ended November 1, 2014</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43,502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4,297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4,265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52,064</w:t>
            </w:r>
          </w:p>
        </w:tc>
        <w:tc>
          <w:tcPr>
            <w:tcW w:w="0" w:type="dxa"/>
            <w:vAlign w:val="bottom"/>
          </w:tcPr>
          <w:p>
            <w:pPr>
              <w:spacing w:after="0"/>
              <w:rPr>
                <w:sz w:val="1"/>
                <w:szCs w:val="1"/>
                <w:color w:val="auto"/>
              </w:rPr>
            </w:pPr>
          </w:p>
        </w:tc>
      </w:tr>
      <w:tr>
        <w:trPr>
          <w:trHeight w:val="251"/>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 ended October 31, 2015</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52,064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4,876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4,265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52,675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0" w:name="page91"/>
    <w:bookmarkEnd w:id="90"/>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ANALOG DEVICES, INC.</w:t>
      </w:r>
    </w:p>
    <w:p>
      <w:pPr>
        <w:spacing w:after="0" w:line="185" w:lineRule="exact"/>
        <w:rPr>
          <w:sz w:val="20"/>
          <w:szCs w:val="20"/>
          <w:color w:val="auto"/>
        </w:rPr>
      </w:pPr>
    </w:p>
    <w:p>
      <w:pPr>
        <w:ind w:left="552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VINCENT 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31750</wp:posOffset>
            </wp:positionV>
            <wp:extent cx="3439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Vincent T. Roche</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24, 2015</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580" w:right="299" w:bottom="1440" w:gutter="0" w:footer="0" w:header="0"/>
        </w:sectPr>
      </w:pPr>
    </w:p>
    <w:bookmarkStart w:id="91" w:name="page92"/>
    <w:bookmarkEnd w:id="91"/>
    <w:p>
      <w:pPr>
        <w:ind w:right="66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spacing w:after="0"/>
              <w:rPr>
                <w:sz w:val="16"/>
                <w:szCs w:val="16"/>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46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59"/>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Ray Stata</w:t>
            </w:r>
          </w:p>
        </w:tc>
        <w:tc>
          <w:tcPr>
            <w:tcW w:w="460" w:type="dxa"/>
            <w:vAlign w:val="bottom"/>
          </w:tcPr>
          <w:p>
            <w:pPr>
              <w:spacing w:after="0"/>
              <w:rPr>
                <w:sz w:val="24"/>
                <w:szCs w:val="24"/>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Chairman of the Board</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24, 2015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8"/>
              </w:rPr>
              <w:t>Ray Stata</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4800" w:type="dxa"/>
            <w:vAlign w:val="bottom"/>
          </w:tcPr>
          <w:p>
            <w:pPr>
              <w:jc w:val="center"/>
              <w:spacing w:after="0"/>
              <w:rPr>
                <w:sz w:val="20"/>
                <w:szCs w:val="20"/>
                <w:color w:val="auto"/>
              </w:rPr>
            </w:pPr>
            <w:r>
              <w:rPr>
                <w:rFonts w:ascii="Arial" w:cs="Arial" w:eastAsia="Arial" w:hAnsi="Arial"/>
                <w:sz w:val="18"/>
                <w:szCs w:val="18"/>
                <w:color w:val="auto"/>
                <w:w w:val="92"/>
              </w:rPr>
              <w:t>/s/ Vincent T. Roche</w:t>
            </w:r>
          </w:p>
        </w:tc>
        <w:tc>
          <w:tcPr>
            <w:tcW w:w="460" w:type="dxa"/>
            <w:vAlign w:val="bottom"/>
          </w:tcPr>
          <w:p>
            <w:pPr>
              <w:spacing w:after="0"/>
              <w:rPr>
                <w:sz w:val="24"/>
                <w:szCs w:val="24"/>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President and Chief Executive Officer and 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24, 2015</w:t>
            </w:r>
          </w:p>
        </w:tc>
        <w:tc>
          <w:tcPr>
            <w:tcW w:w="0" w:type="dxa"/>
            <w:vAlign w:val="bottom"/>
          </w:tcPr>
          <w:p>
            <w:pPr>
              <w:spacing w:after="0"/>
              <w:rPr>
                <w:sz w:val="1"/>
                <w:szCs w:val="1"/>
                <w:color w:val="auto"/>
              </w:rPr>
            </w:pPr>
          </w:p>
        </w:tc>
      </w:tr>
      <w:tr>
        <w:trPr>
          <w:trHeight w:val="41"/>
        </w:trPr>
        <w:tc>
          <w:tcPr>
            <w:tcW w:w="4800" w:type="dxa"/>
            <w:vAlign w:val="bottom"/>
            <w:tcBorders>
              <w:bottom w:val="single" w:sz="8" w:color="auto"/>
            </w:tcBorders>
          </w:tcPr>
          <w:p>
            <w:pPr>
              <w:spacing w:after="0"/>
              <w:rPr>
                <w:sz w:val="3"/>
                <w:szCs w:val="3"/>
                <w:color w:val="auto"/>
              </w:rPr>
            </w:pPr>
          </w:p>
        </w:tc>
        <w:tc>
          <w:tcPr>
            <w:tcW w:w="460" w:type="dxa"/>
            <w:vAlign w:val="bottom"/>
            <w:vMerge w:val="restart"/>
          </w:tcPr>
          <w:p>
            <w:pPr>
              <w:spacing w:after="0"/>
              <w:rPr>
                <w:sz w:val="3"/>
                <w:szCs w:val="3"/>
                <w:color w:val="auto"/>
              </w:rPr>
            </w:pPr>
          </w:p>
        </w:tc>
        <w:tc>
          <w:tcPr>
            <w:tcW w:w="422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4"/>
              </w:rPr>
              <w:t>(Principal Executive Officer)</w:t>
            </w: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1"/>
              </w:rPr>
              <w:t>Vincent T. Roche</w:t>
            </w:r>
          </w:p>
        </w:tc>
        <w:tc>
          <w:tcPr>
            <w:tcW w:w="460" w:type="dxa"/>
            <w:vAlign w:val="bottom"/>
            <w:vMerge w:val="continue"/>
          </w:tcPr>
          <w:p>
            <w:pPr>
              <w:spacing w:after="0"/>
              <w:rPr>
                <w:sz w:val="14"/>
                <w:szCs w:val="14"/>
                <w:color w:val="auto"/>
              </w:rPr>
            </w:pPr>
          </w:p>
        </w:tc>
        <w:tc>
          <w:tcPr>
            <w:tcW w:w="4220" w:type="dxa"/>
            <w:vAlign w:val="bottom"/>
            <w:gridSpan w:val="2"/>
            <w:vMerge w:val="continue"/>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8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6"/>
              </w:rPr>
              <w:t>/s/ David A. Zinsner</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Senior Vice President, Finance and</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24, 2015</w:t>
            </w:r>
          </w:p>
        </w:tc>
        <w:tc>
          <w:tcPr>
            <w:tcW w:w="0" w:type="dxa"/>
            <w:vAlign w:val="bottom"/>
          </w:tcPr>
          <w:p>
            <w:pPr>
              <w:spacing w:after="0"/>
              <w:rPr>
                <w:sz w:val="1"/>
                <w:szCs w:val="1"/>
                <w:color w:val="auto"/>
              </w:rPr>
            </w:pPr>
          </w:p>
        </w:tc>
      </w:tr>
      <w:tr>
        <w:trPr>
          <w:trHeight w:val="82"/>
        </w:trPr>
        <w:tc>
          <w:tcPr>
            <w:tcW w:w="48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22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vMerge w:val="restart"/>
          </w:tcPr>
          <w:p>
            <w:pPr>
              <w:spacing w:after="0"/>
              <w:rPr>
                <w:sz w:val="2"/>
                <w:szCs w:val="2"/>
                <w:color w:val="auto"/>
              </w:rPr>
            </w:pPr>
          </w:p>
        </w:tc>
        <w:tc>
          <w:tcPr>
            <w:tcW w:w="4220" w:type="dxa"/>
            <w:vAlign w:val="bottom"/>
            <w:gridSpan w:val="2"/>
            <w:vMerge w:val="continue"/>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8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220" w:type="dxa"/>
            <w:vAlign w:val="bottom"/>
            <w:gridSpan w:val="2"/>
            <w:vMerge w:val="continue"/>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94"/>
              </w:rPr>
              <w:t>David A. Zinsner</w:t>
            </w:r>
          </w:p>
        </w:tc>
        <w:tc>
          <w:tcPr>
            <w:tcW w:w="460" w:type="dxa"/>
            <w:vAlign w:val="bottom"/>
          </w:tcPr>
          <w:p>
            <w:pPr>
              <w:spacing w:after="0"/>
              <w:rPr>
                <w:sz w:val="20"/>
                <w:szCs w:val="20"/>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(Principal Financial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4"/>
              </w:rPr>
              <w:t>/s/ Eileen Wynne</w:t>
            </w:r>
          </w:p>
        </w:tc>
        <w:tc>
          <w:tcPr>
            <w:tcW w:w="460" w:type="dxa"/>
            <w:vAlign w:val="bottom"/>
          </w:tcPr>
          <w:p>
            <w:pPr>
              <w:spacing w:after="0"/>
              <w:rPr>
                <w:sz w:val="24"/>
                <w:szCs w:val="24"/>
                <w:color w:val="auto"/>
              </w:rPr>
            </w:pPr>
          </w:p>
        </w:tc>
        <w:tc>
          <w:tcPr>
            <w:tcW w:w="422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92"/>
              </w:rPr>
              <w:t>Vice President and Chief Accounting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24, 2015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220" w:type="dxa"/>
            <w:vAlign w:val="bottom"/>
            <w:gridSpan w:val="2"/>
            <w:vMerge w:val="continue"/>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Eileen Wynne</w:t>
            </w:r>
          </w:p>
        </w:tc>
        <w:tc>
          <w:tcPr>
            <w:tcW w:w="460" w:type="dxa"/>
            <w:vAlign w:val="bottom"/>
          </w:tcPr>
          <w:p>
            <w:pPr>
              <w:spacing w:after="0"/>
              <w:rPr>
                <w:sz w:val="20"/>
                <w:szCs w:val="20"/>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(Principal Accounting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5"/>
              </w:rPr>
              <w:t>/s/ Richard M. Beyer</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24, 2015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3"/>
              </w:rPr>
              <w:t>Richard M. Beyer</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2"/>
              </w:rPr>
              <w:t>/s/ James A. Champy</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24, 2015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James A. Champy</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2"/>
              </w:rPr>
              <w:t>/s/ Bruce R. Evans</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24, 2015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Bruce R. Evans</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4"/>
              </w:rPr>
              <w:t>/s/ Edward H. Frank</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24, 2015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Edward H. Frank</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John C. Hodgson</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24, 2015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John C. Hodgson</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Yves-Andre Istel</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24, 2015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2"/>
              </w:rPr>
              <w:t>Yves-Andre Istel</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9"/>
              </w:rPr>
              <w:t>/s/ Neil Novich</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24, 2015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6"/>
              </w:rPr>
              <w:t>Neil Novich</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800" w:type="dxa"/>
            <w:vAlign w:val="bottom"/>
          </w:tcPr>
          <w:p>
            <w:pPr>
              <w:spacing w:after="0"/>
              <w:rPr>
                <w:sz w:val="24"/>
                <w:szCs w:val="24"/>
                <w:color w:val="auto"/>
              </w:rPr>
            </w:pPr>
          </w:p>
        </w:tc>
        <w:tc>
          <w:tcPr>
            <w:tcW w:w="4220" w:type="dxa"/>
            <w:vAlign w:val="bottom"/>
            <w:gridSpan w:val="2"/>
          </w:tcPr>
          <w:p>
            <w:pPr>
              <w:jc w:val="right"/>
              <w:ind w:right="3131"/>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spacing w:after="0"/>
              <w:rPr>
                <w:sz w:val="16"/>
                <w:szCs w:val="16"/>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46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59"/>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Kenton J. Sicchitano</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24, 2015</w:t>
            </w: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Kenton J. Sicchitano</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5"/>
              </w:rPr>
              <w:t>/s/ Lisa T. Su</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24, 2015</w:t>
            </w: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Lisa T. Su</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918"/>
        </w:trPr>
        <w:tc>
          <w:tcPr>
            <w:tcW w:w="4800" w:type="dxa"/>
            <w:vAlign w:val="bottom"/>
          </w:tcPr>
          <w:p>
            <w:pPr>
              <w:spacing w:after="0"/>
              <w:rPr>
                <w:sz w:val="24"/>
                <w:szCs w:val="24"/>
                <w:color w:val="auto"/>
              </w:rPr>
            </w:pPr>
          </w:p>
        </w:tc>
        <w:tc>
          <w:tcPr>
            <w:tcW w:w="4220" w:type="dxa"/>
            <w:vAlign w:val="bottom"/>
            <w:gridSpan w:val="2"/>
          </w:tcPr>
          <w:p>
            <w:pPr>
              <w:jc w:val="right"/>
              <w:ind w:right="3136"/>
              <w:spacing w:after="0"/>
              <w:rPr>
                <w:sz w:val="20"/>
                <w:szCs w:val="20"/>
                <w:color w:val="auto"/>
              </w:rPr>
            </w:pPr>
            <w:r>
              <w:rPr>
                <w:rFonts w:ascii="Arial" w:cs="Arial" w:eastAsia="Arial" w:hAnsi="Arial"/>
                <w:sz w:val="18"/>
                <w:szCs w:val="18"/>
                <w:color w:val="auto"/>
              </w:rPr>
              <w:t>92</w:t>
            </w: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954"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318"/>
        </w:trPr>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 No.</w:t>
            </w: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9"/>
                <w:szCs w:val="19"/>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Restated Articles of Organization of Analog Devices, Inc., as amended, filed as exhibit 3.1 to the Company's Quarterly Report on Form 10-</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Q for the fiscal quarter ended May 3, 2008 (File No. 1-7819) as filed with the Commission on May 20, 2008 and incorporated herein by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Amendment to Restated Articles of Organization of Analog Devices, Inc., filed as exhibit 3.1 to the Company's Current Report on Form 8-</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K (File No. 1-7819) as filed with the Commission on December 8, 2008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Amended and Restated By-Laws of Analog Devices, Inc., filed as exhibit 3.1 to the Company's Current Report on Form 8-K (File No. 1-</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7819) as filed with the Commission on January 28, 2010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Indenture, by and between Analog Devices, Inc. and The Bank of New York Mellon Trust Company, N.A. as trustee dated as of June 30,</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2009, filed as exhibit 4.1 to the Company's Quarterly Report on Form 10-Q for the fiscal quarter ended August 1, 2009 (File No. 1-7819) as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filed with the Commission on August 18, 2009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Supplemental Indenture, dated April 4, 2011, by and between Analog Devices, Inc. and The Bank of New York Mellon Trust Company,</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N.A., as trustee, filed as exhibit 4.1 to the Company's Current Report on Form 8-K (File No. 1-7819) as filed with the Commission on April</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4, 2011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Form of 3.00% Global Note due April 15, 2016, filed as exhibit 4.2 to the Company's Current Report on Form 8-K (File No. 1-7819) as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filed with the Commission on April 4, 2011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Indenture, dated as of June 3, 2013, by and between Analog Devices, Inc. and The Bank of New York Mellon Trust Company, N.A., as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trustee, filed as exhibit 4.1 to the Company's Current Report on Form 8-K (File No. 1-7819) as filed with the Commission on June 3, 2013</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8"/>
              </w:rPr>
              <w:t>Supplemental Indenture, dated as of June 3, 2013, by and between Analog Devices, Inc. and The Bank of New York Mellon Trust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Company, N.A., as trustee, filed as exhibit 4.2 to the Company's Current Report on Form 8-K (File No. 1-7819) as filed with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Commission on June 3, 2013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Analog Devices, Inc. Amended and Restated Deferred Compensation Plan, filed as exhibit 10.1 to the Company's Current Report on Form</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8-K as filed with the Commission on December 8, 2008 (File No. 1-7819)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First Amendment to the Analog Devices, Inc. Amended and Restated Deferred Compensation Plan, filed as exhibit 10.1 to the Company's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Quarterly Report on Form 10-Q for the fiscal quarter ended July 30, 2011 (File No. 1-7819) as filed with the Commission on August 16,</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2011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8"/>
              </w:rPr>
              <w:t>Second Amendment to the Analog Devices, Inc. Amended and Restated Deferred Compensation Plan, filed as exhibit 10.1 to the</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Company's Quarterly Report on Form 10-Q for the fiscal quarter ended August 1, 2015 (File No. 1-7819) as filed with the Commission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August 18, 2015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Trust Agreement for Deferred Compensation Plan dated as of October 1, 2003 between Analog Devices, Inc. and Fidelity Management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Trust Company, filed as exhibit 10.28 to the Company's Annual Report on Form 10-K for the fiscal year ended November 1, 2003 (File No.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1-7819) as filed with the Commission on December 23, 2003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First Amendment to Trust Agreement for Deferred Compensation Plan between Analog Devices, Inc. and Fidelity Management Trust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Company dated as of January 1, 2005, filed as exhibit 10.3 to the Company's Annual Report on Form 10-K for the fiscal year ended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October 28, 2006 (File No. 1-7819) as filed with the Commission on November 20, 2006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Second Amendment to Trust Agreement for Deferred Compensation Plan between Analog Devices, Inc. and Fidelity Management Trust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Company dated as of December 10, 2007, filed as exhibit 10.41 to the Company's Annual Report on Form 10-K for the fiscal year ended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9"/>
              </w:rPr>
              <w:t>November 1, 2008 (File No. 1-7819) as filed with the Commission on November 25, 2008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1998 Stock Option Plan of Analog Devices Inc., as amended, filed as exhibit 10.2 to the Company's Annual Report on Form 10-K for the</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fiscal year ended November 2, 2002 (File No. 1-7819) as filed with the Commission on January 29, 2003 and incorporated herein by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Analog Devices, Inc. 2001 Broad-Based Stock Option Plan, as amended, filed as exhibit 10.12 to the Company's Annual Report on Form</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10-K for the fiscal year ended November 2, 2002 (File No. 1-7819) as filed with the Commission on January 29, 2003 and incorporated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herein by reference.</w:t>
            </w:r>
          </w:p>
        </w:tc>
      </w:tr>
    </w:tbl>
    <w:p>
      <w:pPr>
        <w:sectPr>
          <w:pgSz w:w="11900" w:h="16838" w:orient="portrait"/>
          <w:cols w:equalWidth="0" w:num="1">
            <w:col w:w="11420"/>
          </w:cols>
          <w:pgMar w:left="240" w:top="1202" w:right="239" w:bottom="1440" w:gutter="0" w:footer="0" w:header="0"/>
        </w:sectPr>
      </w:pPr>
    </w:p>
    <w:bookmarkStart w:id="94" w:name="page95"/>
    <w:bookmarkEnd w:id="94"/>
    <w:p>
      <w:pPr>
        <w:spacing w:after="0"/>
        <w:tabs>
          <w:tab w:leader="none" w:pos="57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66675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0"/>
          <w:szCs w:val="20"/>
          <w:color w:val="auto"/>
        </w:rPr>
      </w:pPr>
    </w:p>
    <w:p>
      <w:pPr>
        <w:jc w:val="both"/>
        <w:ind w:left="1060" w:right="360" w:hanging="911"/>
        <w:spacing w:after="0" w:line="264" w:lineRule="auto"/>
        <w:tabs>
          <w:tab w:leader="none" w:pos="10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Amended and Restated 2006 Stock Incentive Plan of Analog Devices, Inc., filed as exhibit 10.1 to the Company's Quarterly Report on Form 10-Q for the fiscal quarter ended May 2, 2015 (File No. 1-7819) as filed with the Commission on May 19, 2015 and incorporated herein by reference.</w:t>
      </w:r>
    </w:p>
    <w:p>
      <w:pPr>
        <w:spacing w:after="0" w:line="19" w:lineRule="exact"/>
        <w:rPr>
          <w:sz w:val="20"/>
          <w:szCs w:val="20"/>
          <w:color w:val="auto"/>
        </w:rPr>
      </w:pPr>
    </w:p>
    <w:p>
      <w:pPr>
        <w:jc w:val="both"/>
        <w:ind w:left="1060" w:right="80" w:hanging="956"/>
        <w:spacing w:after="0" w:line="286" w:lineRule="auto"/>
        <w:tabs>
          <w:tab w:leader="none" w:pos="10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Form of Global Non-Qualified Stock Option Agreement for Employees for usage under the Company's Amended and Restated 2006 Stock Incentive Plan, filed as exhibit 10.1 to the Company's Quarterly Report on Form 10-Q for the fiscal quarter ended May 2, 2015 (File No. 1-7819) as filed with the Commission on May 19, 2015 and incorporated herein by reference.</w:t>
      </w:r>
    </w:p>
    <w:p>
      <w:pPr>
        <w:spacing w:after="0" w:line="3" w:lineRule="exact"/>
        <w:rPr>
          <w:sz w:val="20"/>
          <w:szCs w:val="20"/>
          <w:color w:val="auto"/>
        </w:rPr>
      </w:pPr>
    </w:p>
    <w:p>
      <w:pPr>
        <w:ind w:left="1060" w:right="40" w:hanging="952"/>
        <w:spacing w:after="0" w:line="264" w:lineRule="auto"/>
        <w:tabs>
          <w:tab w:leader="none" w:pos="10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Non-Qualified Stock Option Agreement for Directors for usage under the Company's Amended and Restated 2006 Stock Incentive Plan, filed as exhibit 10.2 to the Company's Quarterly Report on Form 10-Q for the fiscal quarter ended May 2, 2015 (File No. 1-7819) as filed with the Commission on May 19, 2015 and incorporated herein by reference.</w:t>
      </w:r>
    </w:p>
    <w:p>
      <w:pPr>
        <w:spacing w:after="0" w:line="19" w:lineRule="exact"/>
        <w:rPr>
          <w:sz w:val="20"/>
          <w:szCs w:val="20"/>
          <w:color w:val="auto"/>
        </w:rPr>
      </w:pPr>
    </w:p>
    <w:p>
      <w:pPr>
        <w:ind w:left="1060" w:right="80" w:hanging="956"/>
        <w:spacing w:after="0" w:line="264" w:lineRule="auto"/>
        <w:tabs>
          <w:tab w:leader="none" w:pos="10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Global Restricted Stock Unit Agreement for Employees for usage under the Company's Amended and Restated 2006 Stock Incentive Plan, filed as exhibit 10.3 to the Company's Quarterly Report on Form 10-Q for the fiscal quarter ended May 2, 2015 (File No. 1-7819) as filed with the Commission on May 19, 2015 and incorporated herein by reference.</w:t>
      </w:r>
    </w:p>
    <w:p>
      <w:pPr>
        <w:spacing w:after="0" w:line="19" w:lineRule="exact"/>
        <w:rPr>
          <w:sz w:val="20"/>
          <w:szCs w:val="20"/>
          <w:color w:val="auto"/>
        </w:rPr>
      </w:pPr>
    </w:p>
    <w:p>
      <w:pPr>
        <w:jc w:val="both"/>
        <w:ind w:left="1060" w:right="80" w:hanging="956"/>
        <w:spacing w:after="0" w:line="286" w:lineRule="auto"/>
        <w:tabs>
          <w:tab w:leader="none" w:pos="10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Form of Performance Restricted Stock Unit Agreement for Employees for usage under the Company's Amended and Restated 2006 Stock Incentive Plan, filed as exhibit 10.4 to the Company's Quarterly Report on Form 10-Q for the fiscal quarter ended May 2, 2015 (File No. 1-7819) as filed with the Commission on May 19, 2015 and incorporated herein by reference.</w:t>
      </w:r>
    </w:p>
    <w:p>
      <w:pPr>
        <w:spacing w:after="0" w:line="3" w:lineRule="exact"/>
        <w:rPr>
          <w:sz w:val="20"/>
          <w:szCs w:val="20"/>
          <w:color w:val="auto"/>
        </w:rPr>
      </w:pPr>
    </w:p>
    <w:p>
      <w:pPr>
        <w:jc w:val="both"/>
        <w:ind w:left="1060" w:right="140" w:hanging="956"/>
        <w:spacing w:after="0" w:line="264" w:lineRule="auto"/>
        <w:tabs>
          <w:tab w:leader="none" w:pos="10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Restricted Stock Unit Agreement for Directors for usage under the Company's Amended and Restated 2006 Stock Incentive Plan, filed as exhibit 10.5 to the Company's Quarterly Report on Form 10-Q for the fiscal quarter ended May 2, 2015 (File No. 1-7819) as filed with the Commission on May 19, 2015 and incorporated herein by reference.</w:t>
      </w:r>
    </w:p>
    <w:p>
      <w:pPr>
        <w:spacing w:after="0" w:line="19" w:lineRule="exact"/>
        <w:rPr>
          <w:sz w:val="20"/>
          <w:szCs w:val="20"/>
          <w:color w:val="auto"/>
        </w:rPr>
      </w:pPr>
    </w:p>
    <w:p>
      <w:pPr>
        <w:ind w:left="1060" w:right="20" w:hanging="956"/>
        <w:spacing w:after="0" w:line="264" w:lineRule="auto"/>
        <w:tabs>
          <w:tab w:leader="none" w:pos="10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Analog Devices BV (Ireland) Employee Stock Option Program, as amended, filed as exhibit 10.3 to the Company's Annual Report on Form 10-K for the fiscal year ended November 2, 2002 (File No. 1-7819) as filed with the Commission on January 29, 2003 and incorporated herein by reference.</w:t>
      </w:r>
    </w:p>
    <w:p>
      <w:pPr>
        <w:spacing w:after="0" w:line="19" w:lineRule="exact"/>
        <w:rPr>
          <w:sz w:val="20"/>
          <w:szCs w:val="20"/>
          <w:color w:val="auto"/>
        </w:rPr>
      </w:pPr>
    </w:p>
    <w:p>
      <w:pPr>
        <w:ind w:left="1060" w:right="60" w:hanging="956"/>
        <w:spacing w:after="0" w:line="317" w:lineRule="auto"/>
        <w:tabs>
          <w:tab w:leader="none" w:pos="10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2015 Executive Performance Incentive Plan, filed as exhibit 10.16 to the Company's Annual Report on Form 10-K for the fiscal year ended November 1, 2014 (File No. 1-7819) as filed with the Commission on December, 10, 2014 and incorporated herein by reference.</w:t>
      </w:r>
    </w:p>
    <w:p>
      <w:pPr>
        <w:ind w:left="40"/>
        <w:spacing w:after="0"/>
        <w:tabs>
          <w:tab w:leader="none" w:pos="10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2016 Executive Performance Incentive Plan.</w:t>
      </w:r>
    </w:p>
    <w:p>
      <w:pPr>
        <w:spacing w:after="0" w:line="63" w:lineRule="exact"/>
        <w:rPr>
          <w:sz w:val="20"/>
          <w:szCs w:val="20"/>
          <w:color w:val="auto"/>
        </w:rPr>
      </w:pPr>
    </w:p>
    <w:p>
      <w:pPr>
        <w:ind w:left="1060" w:right="220" w:hanging="956"/>
        <w:spacing w:after="0" w:line="264" w:lineRule="auto"/>
        <w:tabs>
          <w:tab w:leader="none" w:pos="10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Analog Devices, Inc. Executive Section 162(m) plan, as amended, filed as exhibit 10.1 to the Company's Quarterly Report on Form 10-Q for the fiscal quarter ended May 4, 2013 (File No. 1-7819) as filed with the Commission on May 21, 2013 and incorporated herein by reference.</w:t>
      </w:r>
    </w:p>
    <w:p>
      <w:pPr>
        <w:spacing w:after="0" w:line="19" w:lineRule="exact"/>
        <w:rPr>
          <w:sz w:val="20"/>
          <w:szCs w:val="20"/>
          <w:color w:val="auto"/>
        </w:rPr>
      </w:pPr>
    </w:p>
    <w:p>
      <w:pPr>
        <w:ind w:left="1060" w:right="20" w:hanging="956"/>
        <w:spacing w:after="0" w:line="298" w:lineRule="auto"/>
        <w:tabs>
          <w:tab w:leader="none" w:pos="10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7"/>
          <w:szCs w:val="17"/>
          <w:color w:val="auto"/>
        </w:rPr>
        <w:t>Form of Employee Retention Agreement, filed as exhibit 10.1 to the Company's Quarterly Report on Form 10-Q for the fiscal quarter ended May 5, 2012 (File No. 1-7819) as filed with the Commission on May 22, 2012 and incorporated herein by reference.</w:t>
      </w:r>
    </w:p>
    <w:p>
      <w:pPr>
        <w:spacing w:after="0" w:line="1" w:lineRule="exact"/>
        <w:rPr>
          <w:sz w:val="20"/>
          <w:szCs w:val="20"/>
          <w:color w:val="auto"/>
        </w:rPr>
      </w:pPr>
    </w:p>
    <w:p>
      <w:pPr>
        <w:ind w:left="1060" w:right="180" w:hanging="956"/>
        <w:spacing w:after="0" w:line="264" w:lineRule="auto"/>
        <w:tabs>
          <w:tab w:leader="none" w:pos="10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Employee Change in Control Severance Policy of Analog Devices, Inc., as amended, filed as exhibit 10.20 to the Company's Annual Report on Form 10-K for the fiscal year ended October 30, 1999 (File No. 1-7819) as filed with the Commission on January 28, 2000 and incorporated herein by reference.</w:t>
      </w:r>
    </w:p>
    <w:p>
      <w:pPr>
        <w:spacing w:after="0" w:line="19" w:lineRule="exact"/>
        <w:rPr>
          <w:sz w:val="20"/>
          <w:szCs w:val="20"/>
          <w:color w:val="auto"/>
        </w:rPr>
      </w:pPr>
    </w:p>
    <w:p>
      <w:pPr>
        <w:jc w:val="both"/>
        <w:ind w:left="1060" w:right="320" w:hanging="956"/>
        <w:spacing w:after="0" w:line="264" w:lineRule="auto"/>
        <w:tabs>
          <w:tab w:leader="none" w:pos="10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Senior Management Change in Control Severance Policy of Analog Devices, Inc., as amended, filed as exhibit 10.21 to the Company's Annual Report on Form 10-K for the fiscal year ended October 30, 1999 (File No. 1-7819) as filed with the Commission on January 28, 2000 and incorporated herein by reference.</w:t>
      </w:r>
    </w:p>
    <w:p>
      <w:pPr>
        <w:spacing w:after="0" w:line="19" w:lineRule="exact"/>
        <w:rPr>
          <w:sz w:val="20"/>
          <w:szCs w:val="20"/>
          <w:color w:val="auto"/>
        </w:rPr>
      </w:pPr>
    </w:p>
    <w:p>
      <w:pPr>
        <w:ind w:left="1060" w:right="60" w:hanging="956"/>
        <w:spacing w:after="0" w:line="264" w:lineRule="auto"/>
        <w:tabs>
          <w:tab w:leader="none" w:pos="10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Offer Letter for David A. Zinsner, dated November 18, 2008, filed as exhibit 10.1 to the Company's Quarterly Report on Form 10-Q for the fiscal quarter ended January 31, 2009 (File No. 1-7819) as filed with the Commission on February 18, 2009 and incorporated herein by reference.</w:t>
      </w:r>
    </w:p>
    <w:p>
      <w:pPr>
        <w:spacing w:after="0" w:line="19" w:lineRule="exact"/>
        <w:rPr>
          <w:sz w:val="20"/>
          <w:szCs w:val="20"/>
          <w:color w:val="auto"/>
        </w:rPr>
      </w:pPr>
    </w:p>
    <w:p>
      <w:pPr>
        <w:ind w:left="1060" w:right="80" w:hanging="956"/>
        <w:spacing w:after="0" w:line="264" w:lineRule="auto"/>
        <w:tabs>
          <w:tab w:leader="none" w:pos="10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Form of Indemnification Agreement for Directors and Officers, filed as exhibit 10.30 to the Company's Annual Report on Form 10-K for the fiscal year ended November 1, 2008 (File No. 1-7819) as filed with the Commission on November 25, 2008 and incorporated herein by reference.</w:t>
      </w:r>
    </w:p>
    <w:p>
      <w:pPr>
        <w:spacing w:after="0" w:line="19" w:lineRule="exact"/>
        <w:rPr>
          <w:sz w:val="20"/>
          <w:szCs w:val="20"/>
          <w:color w:val="auto"/>
        </w:rPr>
      </w:pPr>
    </w:p>
    <w:p>
      <w:pPr>
        <w:ind w:left="1060" w:hanging="956"/>
        <w:spacing w:after="0" w:line="264" w:lineRule="auto"/>
        <w:tabs>
          <w:tab w:leader="none" w:pos="10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Employment Agreement between Hittite Microwave Corporation and Rick D. Hess dated March 13, 2013, filed as exhibit 10.1 to the Company's Quarterly Report on Form 10-Q for the fiscal quarter ended January 31, 2015 (File No. 1-7819) as filed with the Commission on February 17, 2015 and incorporated herein by reference.</w:t>
      </w:r>
    </w:p>
    <w:p>
      <w:pPr>
        <w:spacing w:after="0" w:line="19" w:lineRule="exact"/>
        <w:rPr>
          <w:sz w:val="20"/>
          <w:szCs w:val="20"/>
          <w:color w:val="auto"/>
        </w:rPr>
      </w:pPr>
    </w:p>
    <w:p>
      <w:pPr>
        <w:jc w:val="both"/>
        <w:ind w:left="1060" w:right="200" w:hanging="956"/>
        <w:spacing w:after="0" w:line="264" w:lineRule="auto"/>
        <w:tabs>
          <w:tab w:leader="none" w:pos="10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Amendment No. 1 to Employment Agreement between Hittite Microwave Corporation and Rick D. Hess dated August 27, 2013, filed as exhibit 10.2 to the Company's Quarterly Report on Form 10-Q for the the fiscal quarter ended January 31, 2015 (File No. 1-7819) as filed with the Commission on February 17, 2015 and incorporated herein by reference.</w:t>
      </w:r>
    </w:p>
    <w:p>
      <w:pPr>
        <w:spacing w:after="0" w:line="19" w:lineRule="exact"/>
        <w:rPr>
          <w:sz w:val="20"/>
          <w:szCs w:val="20"/>
          <w:color w:val="auto"/>
        </w:rPr>
      </w:pPr>
    </w:p>
    <w:p>
      <w:pPr>
        <w:ind w:left="1060" w:right="80" w:hanging="956"/>
        <w:spacing w:after="0" w:line="264" w:lineRule="auto"/>
        <w:tabs>
          <w:tab w:leader="none" w:pos="10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Amendment No. 2 to Employment Agreement between Hittite Microwave Corporation and Rick D. Hess dated April 14, 2014, filed as exhibit 10.2 to Hittite Microwave Corporation's Quarterly Report on Form 10-Q for the fiscal quarter ended March 31, 2014 (File No. 000-51448) as filed with the Commission on May 6, 2014 and incorporated herein by reference.</w:t>
      </w:r>
    </w:p>
    <w:p>
      <w:pPr>
        <w:sectPr>
          <w:pgSz w:w="11900" w:h="16838" w:orient="portrait"/>
          <w:cols w:equalWidth="0" w:num="1">
            <w:col w:w="11160"/>
          </w:cols>
          <w:pgMar w:left="480" w:top="738" w:right="259" w:bottom="1440" w:gutter="0" w:footer="0" w:header="0"/>
        </w:sectPr>
      </w:pPr>
    </w:p>
    <w:bookmarkStart w:id="95" w:name="page96"/>
    <w:bookmarkEnd w:id="95"/>
    <w:tbl>
      <w:tblPr>
        <w:tblLayout w:type="fixed"/>
        <w:tblInd w:w="220" w:type="dxa"/>
        <w:tblCellMar>
          <w:top w:w="0" w:type="dxa"/>
          <w:left w:w="0" w:type="dxa"/>
          <w:bottom w:w="0" w:type="dxa"/>
          <w:right w:w="0" w:type="dxa"/>
        </w:tblCellMar>
      </w:tblPr>
      <w:tr>
        <w:trPr>
          <w:trHeight w:val="186"/>
        </w:trPr>
        <w:tc>
          <w:tcPr>
            <w:tcW w:w="900" w:type="dxa"/>
            <w:vAlign w:val="bottom"/>
          </w:tcPr>
          <w:p>
            <w:pPr>
              <w:jc w:val="center"/>
              <w:ind w:right="71"/>
              <w:spacing w:after="0"/>
              <w:rPr>
                <w:sz w:val="20"/>
                <w:szCs w:val="20"/>
                <w:color w:val="auto"/>
              </w:rPr>
            </w:pPr>
            <w:r>
              <w:rPr>
                <w:rFonts w:ascii="Arial" w:cs="Arial" w:eastAsia="Arial" w:hAnsi="Arial"/>
                <w:sz w:val="14"/>
                <w:szCs w:val="14"/>
                <w:b w:val="1"/>
                <w:bCs w:val="1"/>
                <w:color w:val="auto"/>
                <w:w w:val="95"/>
              </w:rPr>
              <w:t>Exhibit No.</w:t>
            </w:r>
          </w:p>
        </w:tc>
        <w:tc>
          <w:tcPr>
            <w:tcW w:w="10280" w:type="dxa"/>
            <w:vAlign w:val="bottom"/>
          </w:tcPr>
          <w:p>
            <w:pPr>
              <w:ind w:left="4860"/>
              <w:spacing w:after="0"/>
              <w:rPr>
                <w:sz w:val="20"/>
                <w:szCs w:val="20"/>
                <w:color w:val="auto"/>
              </w:rPr>
            </w:pPr>
            <w:r>
              <w:rPr>
                <w:rFonts w:ascii="Arial" w:cs="Arial" w:eastAsia="Arial" w:hAnsi="Arial"/>
                <w:sz w:val="14"/>
                <w:szCs w:val="14"/>
                <w:b w:val="1"/>
                <w:bCs w:val="1"/>
                <w:color w:val="auto"/>
              </w:rPr>
              <w:t>Description</w:t>
            </w:r>
          </w:p>
        </w:tc>
      </w:tr>
      <w:tr>
        <w:trPr>
          <w:trHeight w:val="241"/>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2"/>
              </w:rPr>
              <w:t>*10.27</w:t>
            </w:r>
          </w:p>
        </w:tc>
        <w:tc>
          <w:tcPr>
            <w:tcW w:w="10280" w:type="dxa"/>
            <w:vAlign w:val="bottom"/>
          </w:tcPr>
          <w:p>
            <w:pPr>
              <w:ind w:left="180"/>
              <w:spacing w:after="0"/>
              <w:rPr>
                <w:sz w:val="20"/>
                <w:szCs w:val="20"/>
                <w:color w:val="auto"/>
              </w:rPr>
            </w:pPr>
            <w:r>
              <w:rPr>
                <w:rFonts w:ascii="Arial" w:cs="Arial" w:eastAsia="Arial" w:hAnsi="Arial"/>
                <w:sz w:val="18"/>
                <w:szCs w:val="18"/>
                <w:color w:val="auto"/>
                <w:w w:val="93"/>
              </w:rPr>
              <w:t>Amendment No. 3 to Employment Agreement with Rick D. Hess dated June 9, 2014, filed as exhibit d(3) to the Company's Tender Offer</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2"/>
              </w:rPr>
              <w:t>Statement on Schedule TO-T (File No, 005-81515) as filed with the Commission on June 23, 2014 and incorporated herein by reference.</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2"/>
              </w:rPr>
              <w:t>*10.28</w:t>
            </w:r>
          </w:p>
        </w:tc>
        <w:tc>
          <w:tcPr>
            <w:tcW w:w="10280" w:type="dxa"/>
            <w:vAlign w:val="bottom"/>
          </w:tcPr>
          <w:p>
            <w:pPr>
              <w:ind w:left="180"/>
              <w:spacing w:after="0"/>
              <w:rPr>
                <w:sz w:val="20"/>
                <w:szCs w:val="20"/>
                <w:color w:val="auto"/>
              </w:rPr>
            </w:pPr>
            <w:r>
              <w:rPr>
                <w:rFonts w:ascii="Arial" w:cs="Arial" w:eastAsia="Arial" w:hAnsi="Arial"/>
                <w:sz w:val="18"/>
                <w:szCs w:val="18"/>
                <w:color w:val="auto"/>
                <w:w w:val="93"/>
              </w:rPr>
              <w:t>Amendment No. 4 to Employment Agreement with Rick D. Hess dated June 9, 2014, filed as exhibit d(4) to the Company’s Tender Offer</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2"/>
              </w:rPr>
              <w:t>Statement on Schedule TO-T (File No. 005-81515) as filed with the Commission on June 23, 2014 and incorporated herein by reference.</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2"/>
              </w:rPr>
              <w:t>*10.29</w:t>
            </w:r>
          </w:p>
        </w:tc>
        <w:tc>
          <w:tcPr>
            <w:tcW w:w="10280" w:type="dxa"/>
            <w:vAlign w:val="bottom"/>
          </w:tcPr>
          <w:p>
            <w:pPr>
              <w:ind w:left="180"/>
              <w:spacing w:after="0"/>
              <w:rPr>
                <w:sz w:val="20"/>
                <w:szCs w:val="20"/>
                <w:color w:val="auto"/>
              </w:rPr>
            </w:pPr>
            <w:r>
              <w:rPr>
                <w:rFonts w:ascii="Arial" w:cs="Arial" w:eastAsia="Arial" w:hAnsi="Arial"/>
                <w:sz w:val="18"/>
                <w:szCs w:val="18"/>
                <w:color w:val="auto"/>
                <w:w w:val="92"/>
              </w:rPr>
              <w:t>Amendment No. 5 to Employment Agreement with Rick D. Hess dated October 31, 2014, filed as exhibit 10.6 to the Company's Quarterly</w:t>
            </w:r>
          </w:p>
        </w:tc>
      </w:tr>
      <w:tr>
        <w:trPr>
          <w:trHeight w:val="216"/>
        </w:trPr>
        <w:tc>
          <w:tcPr>
            <w:tcW w:w="90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2"/>
              </w:rPr>
              <w:t>Report on Form 10-Q for the fiscal quarter ended January 31, 2015 (File No. 1-7819) as filed with the Commission on February 17, 2015</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and incorporated herein by reference.</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10.30</w:t>
            </w:r>
          </w:p>
        </w:tc>
        <w:tc>
          <w:tcPr>
            <w:tcW w:w="10280" w:type="dxa"/>
            <w:vAlign w:val="bottom"/>
          </w:tcPr>
          <w:p>
            <w:pPr>
              <w:ind w:left="180"/>
              <w:spacing w:after="0"/>
              <w:rPr>
                <w:sz w:val="20"/>
                <w:szCs w:val="20"/>
                <w:color w:val="auto"/>
              </w:rPr>
            </w:pPr>
            <w:r>
              <w:rPr>
                <w:rFonts w:ascii="Arial" w:cs="Arial" w:eastAsia="Arial" w:hAnsi="Arial"/>
                <w:sz w:val="18"/>
                <w:szCs w:val="18"/>
                <w:color w:val="auto"/>
                <w:w w:val="90"/>
              </w:rPr>
              <w:t>Amended and Restated Lease Agreement dated May 1, 1992 between Analog Devices, Inc. and the trustees of Everett Street Trust relating</w:t>
            </w:r>
          </w:p>
        </w:tc>
      </w:tr>
      <w:tr>
        <w:trPr>
          <w:trHeight w:val="216"/>
        </w:trPr>
        <w:tc>
          <w:tcPr>
            <w:tcW w:w="90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0"/>
              </w:rPr>
              <w:t>to the premises at 3 Technology Way, Norwood, Massachusetts, filed as exhibit 10.8 to the Company's Annual Report on Form 10-K for the</w:t>
            </w:r>
          </w:p>
        </w:tc>
      </w:tr>
      <w:tr>
        <w:trPr>
          <w:trHeight w:val="216"/>
        </w:trPr>
        <w:tc>
          <w:tcPr>
            <w:tcW w:w="90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5"/>
              </w:rPr>
              <w:t>fiscal year ended November 1, 1997 (File No. 1-7819) as filed with the Commission on January 28, 1998 and incorporated herein by</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reference.</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10.31</w:t>
            </w:r>
          </w:p>
        </w:tc>
        <w:tc>
          <w:tcPr>
            <w:tcW w:w="10280" w:type="dxa"/>
            <w:vAlign w:val="bottom"/>
          </w:tcPr>
          <w:p>
            <w:pPr>
              <w:ind w:left="180"/>
              <w:spacing w:after="0"/>
              <w:rPr>
                <w:sz w:val="20"/>
                <w:szCs w:val="20"/>
                <w:color w:val="auto"/>
              </w:rPr>
            </w:pPr>
            <w:r>
              <w:rPr>
                <w:rFonts w:ascii="Arial" w:cs="Arial" w:eastAsia="Arial" w:hAnsi="Arial"/>
                <w:sz w:val="18"/>
                <w:szCs w:val="18"/>
                <w:color w:val="auto"/>
                <w:w w:val="93"/>
              </w:rPr>
              <w:t>Guaranty dated as of May 1, 1994 between Analog Devices, Inc. and Metropolitan Life Insurance Company relating to the premises at 3</w:t>
            </w:r>
          </w:p>
        </w:tc>
      </w:tr>
      <w:tr>
        <w:trPr>
          <w:trHeight w:val="216"/>
        </w:trPr>
        <w:tc>
          <w:tcPr>
            <w:tcW w:w="90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2"/>
              </w:rPr>
              <w:t>Technology Way, Norwood, Massachusetts, filed as exhibit 10.9 to the Company's Annual Report on Form 10-K for the fiscal year ended</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October 30, 1999 (File No. 1-7819) as filed with the Commission on January 28, 2000 and incorporated herein by reference.</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10.32</w:t>
            </w:r>
          </w:p>
        </w:tc>
        <w:tc>
          <w:tcPr>
            <w:tcW w:w="10280" w:type="dxa"/>
            <w:vAlign w:val="bottom"/>
          </w:tcPr>
          <w:p>
            <w:pPr>
              <w:ind w:left="180"/>
              <w:spacing w:after="0"/>
              <w:rPr>
                <w:sz w:val="20"/>
                <w:szCs w:val="20"/>
                <w:color w:val="auto"/>
              </w:rPr>
            </w:pPr>
            <w:r>
              <w:rPr>
                <w:rFonts w:ascii="Arial" w:cs="Arial" w:eastAsia="Arial" w:hAnsi="Arial"/>
                <w:sz w:val="18"/>
                <w:szCs w:val="18"/>
                <w:color w:val="auto"/>
                <w:w w:val="96"/>
              </w:rPr>
              <w:t>Letter Agreement dated as of May 18, 1994 between Analog Devices, Inc. and Metropolitan Life Insurance Company relating to the</w:t>
            </w:r>
          </w:p>
        </w:tc>
      </w:tr>
      <w:tr>
        <w:trPr>
          <w:trHeight w:val="216"/>
        </w:trPr>
        <w:tc>
          <w:tcPr>
            <w:tcW w:w="90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4"/>
              </w:rPr>
              <w:t>premises at 3 Technology Way, Norwood, Massachusetts, filed as exhibit 10.10 to the Company's Annual Report on Form 10-K for the</w:t>
            </w:r>
          </w:p>
        </w:tc>
      </w:tr>
      <w:tr>
        <w:trPr>
          <w:trHeight w:val="216"/>
        </w:trPr>
        <w:tc>
          <w:tcPr>
            <w:tcW w:w="90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6"/>
              </w:rPr>
              <w:t>fiscal year ended October 30, 1999 (File No. 1-7819) as filed with the Commission on January 28, 2000 and incorporated herein by</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reference.</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10.33</w:t>
            </w:r>
          </w:p>
        </w:tc>
        <w:tc>
          <w:tcPr>
            <w:tcW w:w="10280" w:type="dxa"/>
            <w:vAlign w:val="bottom"/>
          </w:tcPr>
          <w:p>
            <w:pPr>
              <w:ind w:left="180"/>
              <w:spacing w:after="0"/>
              <w:rPr>
                <w:sz w:val="20"/>
                <w:szCs w:val="20"/>
                <w:color w:val="auto"/>
              </w:rPr>
            </w:pPr>
            <w:r>
              <w:rPr>
                <w:rFonts w:ascii="Arial" w:cs="Arial" w:eastAsia="Arial" w:hAnsi="Arial"/>
                <w:sz w:val="18"/>
                <w:szCs w:val="18"/>
                <w:color w:val="auto"/>
                <w:w w:val="90"/>
              </w:rPr>
              <w:t>Reimbursement Agreement dated May 18, 1992 between Analog Devices, Inc. and the trustees of Everett Street Trust, filed as exhibit 10.11</w:t>
            </w:r>
          </w:p>
        </w:tc>
      </w:tr>
      <w:tr>
        <w:trPr>
          <w:trHeight w:val="216"/>
        </w:trPr>
        <w:tc>
          <w:tcPr>
            <w:tcW w:w="90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1"/>
              </w:rPr>
              <w:t>to the Company's Annual Report on Form 10-K for the fiscal year ended November 1, 1997 (File No. 1-7819) as filed with the Commission</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on January 28, 1998 and incorporated herein by reference.</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10.34</w:t>
            </w:r>
          </w:p>
        </w:tc>
        <w:tc>
          <w:tcPr>
            <w:tcW w:w="10280" w:type="dxa"/>
            <w:vAlign w:val="bottom"/>
          </w:tcPr>
          <w:p>
            <w:pPr>
              <w:ind w:left="180"/>
              <w:spacing w:after="0"/>
              <w:rPr>
                <w:sz w:val="20"/>
                <w:szCs w:val="20"/>
                <w:color w:val="auto"/>
              </w:rPr>
            </w:pPr>
            <w:r>
              <w:rPr>
                <w:rFonts w:ascii="Arial" w:cs="Arial" w:eastAsia="Arial" w:hAnsi="Arial"/>
                <w:sz w:val="18"/>
                <w:szCs w:val="18"/>
                <w:color w:val="auto"/>
                <w:w w:val="91"/>
              </w:rPr>
              <w:t>Amended and Restated Credit Agreement, dated as of July 10, 2015, among Analog Devices, Inc., as Borrower, Bank of America, N.A. as</w:t>
            </w:r>
          </w:p>
        </w:tc>
      </w:tr>
      <w:tr>
        <w:trPr>
          <w:trHeight w:val="216"/>
        </w:trPr>
        <w:tc>
          <w:tcPr>
            <w:tcW w:w="90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6"/>
              </w:rPr>
              <w:t>Administrative Agent, Swing Line Lender and L/C Issuer and each lender from time to time party thereto, filed as exhibit 10.1 to the</w:t>
            </w:r>
          </w:p>
        </w:tc>
      </w:tr>
      <w:tr>
        <w:trPr>
          <w:trHeight w:val="216"/>
        </w:trPr>
        <w:tc>
          <w:tcPr>
            <w:tcW w:w="90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6"/>
              </w:rPr>
              <w:t>Company's Current Report on Form 8-K (File No. 1-7819) as filed with the Commission on July 13, 2015 and incorporated herein by</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reference.</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†12.1</w:t>
            </w:r>
          </w:p>
        </w:tc>
        <w:tc>
          <w:tcPr>
            <w:tcW w:w="10280" w:type="dxa"/>
            <w:vAlign w:val="bottom"/>
          </w:tcPr>
          <w:p>
            <w:pPr>
              <w:ind w:left="180"/>
              <w:spacing w:after="0"/>
              <w:rPr>
                <w:sz w:val="20"/>
                <w:szCs w:val="20"/>
                <w:color w:val="auto"/>
              </w:rPr>
            </w:pPr>
            <w:r>
              <w:rPr>
                <w:rFonts w:ascii="Arial" w:cs="Arial" w:eastAsia="Arial" w:hAnsi="Arial"/>
                <w:sz w:val="18"/>
                <w:szCs w:val="18"/>
                <w:color w:val="auto"/>
              </w:rPr>
              <w:t>Computation of Consolidated Ratios of Earnings to Fixed Charges.</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3"/>
              </w:rPr>
              <w:t>†21</w:t>
            </w:r>
          </w:p>
        </w:tc>
        <w:tc>
          <w:tcPr>
            <w:tcW w:w="10280" w:type="dxa"/>
            <w:vAlign w:val="bottom"/>
          </w:tcPr>
          <w:p>
            <w:pPr>
              <w:ind w:left="180"/>
              <w:spacing w:after="0"/>
              <w:rPr>
                <w:sz w:val="20"/>
                <w:szCs w:val="20"/>
                <w:color w:val="auto"/>
              </w:rPr>
            </w:pPr>
            <w:r>
              <w:rPr>
                <w:rFonts w:ascii="Arial" w:cs="Arial" w:eastAsia="Arial" w:hAnsi="Arial"/>
                <w:sz w:val="18"/>
                <w:szCs w:val="18"/>
                <w:color w:val="auto"/>
              </w:rPr>
              <w:t>Subsidiaries of the Company.</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3"/>
              </w:rPr>
              <w:t>†23</w:t>
            </w:r>
          </w:p>
        </w:tc>
        <w:tc>
          <w:tcPr>
            <w:tcW w:w="10280" w:type="dxa"/>
            <w:vAlign w:val="bottom"/>
          </w:tcPr>
          <w:p>
            <w:pPr>
              <w:ind w:left="18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†31.1</w:t>
            </w:r>
          </w:p>
        </w:tc>
        <w:tc>
          <w:tcPr>
            <w:tcW w:w="10280" w:type="dxa"/>
            <w:vAlign w:val="bottom"/>
          </w:tcPr>
          <w:p>
            <w:pPr>
              <w:ind w:left="180"/>
              <w:spacing w:after="0"/>
              <w:rPr>
                <w:sz w:val="20"/>
                <w:szCs w:val="20"/>
                <w:color w:val="auto"/>
              </w:rPr>
            </w:pPr>
            <w:r>
              <w:rPr>
                <w:rFonts w:ascii="Arial" w:cs="Arial" w:eastAsia="Arial" w:hAnsi="Arial"/>
                <w:sz w:val="18"/>
                <w:szCs w:val="18"/>
                <w:color w:val="auto"/>
                <w:w w:val="90"/>
              </w:rPr>
              <w:t>Certification Pursuant to Rule 13a-14(a) and 15d-14(a) of the Exchange Act, as Adopted Pursuant to Section 302 of the Sarbanes-Oxley Act</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of 2002 (Chief Executive Officer).</w:t>
            </w:r>
          </w:p>
        </w:tc>
      </w:tr>
      <w:tr>
        <w:trPr>
          <w:trHeight w:val="256"/>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†31.2</w:t>
            </w:r>
          </w:p>
        </w:tc>
        <w:tc>
          <w:tcPr>
            <w:tcW w:w="10280" w:type="dxa"/>
            <w:vAlign w:val="bottom"/>
          </w:tcPr>
          <w:p>
            <w:pPr>
              <w:ind w:left="180"/>
              <w:spacing w:after="0"/>
              <w:rPr>
                <w:sz w:val="20"/>
                <w:szCs w:val="20"/>
                <w:color w:val="auto"/>
              </w:rPr>
            </w:pPr>
            <w:r>
              <w:rPr>
                <w:rFonts w:ascii="Arial" w:cs="Arial" w:eastAsia="Arial" w:hAnsi="Arial"/>
                <w:sz w:val="18"/>
                <w:szCs w:val="18"/>
                <w:color w:val="auto"/>
                <w:w w:val="90"/>
              </w:rPr>
              <w:t>Certification Pursuant to Rule 13a-14(a) and 15d-14(a) of the Exchange Act, as Adopted Pursuant to Section 302 of the Sarbanes-Oxley Act</w:t>
            </w:r>
          </w:p>
        </w:tc>
      </w:tr>
      <w:tr>
        <w:trPr>
          <w:trHeight w:val="230"/>
        </w:trPr>
        <w:tc>
          <w:tcPr>
            <w:tcW w:w="9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of 2002 (Chief Financial Officer).</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†32.1</w:t>
            </w:r>
          </w:p>
        </w:tc>
        <w:tc>
          <w:tcPr>
            <w:tcW w:w="10280" w:type="dxa"/>
            <w:vAlign w:val="bottom"/>
          </w:tcPr>
          <w:p>
            <w:pPr>
              <w:ind w:left="180"/>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†32.2</w:t>
            </w:r>
          </w:p>
        </w:tc>
        <w:tc>
          <w:tcPr>
            <w:tcW w:w="10280" w:type="dxa"/>
            <w:vAlign w:val="bottom"/>
          </w:tcPr>
          <w:p>
            <w:pPr>
              <w:ind w:left="180"/>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1"/>
              </w:rPr>
              <w:t>101. INS</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2"/>
              </w:rPr>
              <w:t>101. SCH</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Schema Document.</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5"/>
              </w:rPr>
              <w:t>101. CAL</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Calculation Linkbase Document.</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97"/>
              </w:rPr>
              <w:t>101. LAB</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Labels Linkbase Document.</w:t>
            </w:r>
          </w:p>
        </w:tc>
      </w:tr>
      <w:tr>
        <w:trPr>
          <w:trHeight w:val="270"/>
        </w:trPr>
        <w:tc>
          <w:tcPr>
            <w:tcW w:w="900" w:type="dxa"/>
            <w:vAlign w:val="bottom"/>
          </w:tcPr>
          <w:p>
            <w:pPr>
              <w:jc w:val="center"/>
              <w:ind w:right="91"/>
              <w:spacing w:after="0"/>
              <w:rPr>
                <w:sz w:val="20"/>
                <w:szCs w:val="20"/>
                <w:color w:val="auto"/>
              </w:rPr>
            </w:pPr>
            <w:r>
              <w:rPr>
                <w:rFonts w:ascii="Arial" w:cs="Arial" w:eastAsia="Arial" w:hAnsi="Arial"/>
                <w:sz w:val="18"/>
                <w:szCs w:val="18"/>
                <w:color w:val="auto"/>
                <w:w w:val="88"/>
              </w:rPr>
              <w:t>101. PRE</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Presentation Linkbase Document.</w:t>
            </w:r>
          </w:p>
        </w:tc>
      </w:tr>
      <w:tr>
        <w:trPr>
          <w:trHeight w:val="270"/>
        </w:trPr>
        <w:tc>
          <w:tcPr>
            <w:tcW w:w="900" w:type="dxa"/>
            <w:vAlign w:val="bottom"/>
          </w:tcPr>
          <w:p>
            <w:pPr>
              <w:jc w:val="center"/>
              <w:ind w:right="71"/>
              <w:spacing w:after="0"/>
              <w:rPr>
                <w:sz w:val="20"/>
                <w:szCs w:val="20"/>
                <w:color w:val="auto"/>
              </w:rPr>
            </w:pPr>
            <w:r>
              <w:rPr>
                <w:rFonts w:ascii="Arial" w:cs="Arial" w:eastAsia="Arial" w:hAnsi="Arial"/>
                <w:sz w:val="18"/>
                <w:szCs w:val="18"/>
                <w:color w:val="auto"/>
                <w:w w:val="92"/>
              </w:rPr>
              <w:t>101. DEF</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Definition Linkbase Document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68" w:lineRule="exact"/>
        <w:rPr>
          <w:sz w:val="20"/>
          <w:szCs w:val="20"/>
          <w:color w:val="auto"/>
        </w:rPr>
      </w:pPr>
    </w:p>
    <w:p>
      <w:pPr>
        <w:ind w:left="620" w:hanging="585"/>
        <w:spacing w:after="0"/>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80" w:hanging="545"/>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Management contracts and compensatory plan or arrangements required to be filed as an Exhibit pursuant to Item 15(b) of Form 10-K.</w:t>
      </w:r>
    </w:p>
    <w:p>
      <w:pPr>
        <w:spacing w:after="0" w:line="158"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Consolidated Statements of Income for the years ended October 31, 2015, November 1, 2014 and November 2, 2013, (ii) Consolidated Balance Sheets as of October 31, 2015 and November 1, 2014, (iii) Consolidated Statements of Shareholders’ Equity for the years ended October 31, 2015, November 1, 2014 and November 2, 2013, (iv) Consolidated Statements of Comprehensive Income for the years ended October 31, 2015, November 1, 2014 and November 2, 2013, (v) Consolidated</w:t>
      </w:r>
    </w:p>
    <w:p>
      <w:pPr>
        <w:sectPr>
          <w:pgSz w:w="11900" w:h="16838" w:orient="portrait"/>
          <w:cols w:equalWidth="0" w:num="1">
            <w:col w:w="11400"/>
          </w:cols>
          <w:pgMar w:left="240" w:top="805" w:right="259" w:bottom="1440" w:gutter="0" w:footer="0" w:header="0"/>
        </w:sectPr>
      </w:pPr>
    </w:p>
    <w:bookmarkStart w:id="96" w:name="page97"/>
    <w:bookmarkEnd w:id="96"/>
    <w:p>
      <w:pPr>
        <w:spacing w:after="0" w:line="277" w:lineRule="auto"/>
        <w:rPr>
          <w:sz w:val="20"/>
          <w:szCs w:val="20"/>
          <w:color w:val="auto"/>
        </w:rPr>
      </w:pPr>
      <w:r>
        <w:rPr>
          <w:rFonts w:ascii="Arial" w:cs="Arial" w:eastAsia="Arial" w:hAnsi="Arial"/>
          <w:sz w:val="18"/>
          <w:szCs w:val="18"/>
          <w:color w:val="auto"/>
        </w:rPr>
        <w:t>Statements of Cash Flows for the years ended October 31, 2015, November 1, 2014 and November 2, 2013, (vi) Notes to Consolidated Financial Statements for the years ended October 31, 2015, November 1, 2014 and November 2, 2013.</w:t>
      </w:r>
    </w:p>
    <w:p>
      <w:pPr>
        <w:sectPr>
          <w:pgSz w:w="11900" w:h="16838" w:orient="portrait"/>
          <w:cols w:equalWidth="0" w:num="1">
            <w:col w:w="11280"/>
          </w:cols>
          <w:pgMar w:left="240" w:top="706" w:right="379" w:bottom="1440" w:gutter="0" w:footer="0" w:header="0"/>
        </w:sectPr>
      </w:pPr>
    </w:p>
    <w:bookmarkStart w:id="97" w:name="page98"/>
    <w:bookmarkEnd w:id="97"/>
    <w:p>
      <w:pPr>
        <w:jc w:val="right"/>
        <w:spacing w:after="0"/>
        <w:rPr>
          <w:sz w:val="20"/>
          <w:szCs w:val="20"/>
          <w:color w:val="auto"/>
        </w:rPr>
      </w:pPr>
      <w:r>
        <w:rPr>
          <w:rFonts w:ascii="Arial" w:cs="Arial" w:eastAsia="Arial" w:hAnsi="Arial"/>
          <w:sz w:val="20"/>
          <w:szCs w:val="20"/>
          <w:b w:val="1"/>
          <w:bCs w:val="1"/>
          <w:color w:val="auto"/>
        </w:rPr>
        <w:t>Exhibit 10.17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2016 Executive Performance Incentive Plan</w:t>
      </w:r>
    </w:p>
    <w:p>
      <w:pPr>
        <w:spacing w:after="0" w:line="235" w:lineRule="exact"/>
        <w:rPr>
          <w:sz w:val="20"/>
          <w:szCs w:val="20"/>
          <w:color w:val="auto"/>
        </w:rPr>
      </w:pPr>
    </w:p>
    <w:p>
      <w:pPr>
        <w:ind w:right="20" w:firstLine="878"/>
        <w:spacing w:after="0" w:line="244" w:lineRule="auto"/>
        <w:rPr>
          <w:sz w:val="20"/>
          <w:szCs w:val="20"/>
          <w:color w:val="auto"/>
        </w:rPr>
      </w:pPr>
      <w:r>
        <w:rPr>
          <w:rFonts w:ascii="Arial" w:cs="Arial" w:eastAsia="Arial" w:hAnsi="Arial"/>
          <w:sz w:val="20"/>
          <w:szCs w:val="20"/>
          <w:color w:val="auto"/>
        </w:rPr>
        <w:t>On September 16, 2015, the Compensation Committee of the Board of Directors of Analog Devices, Inc. (the “Company”) approved the extension of the existing Executive Performance Incentive Plan (the “Existing Plan”) for fiscal 2016 (the “Executive Performance Incentive Plan”) on the same terms as the Existing Plan, as set forth below. All executive officers and other senior management selected by the Chief Executive Officer will participate in the Executive Performance Incentive Plan. Bonus payments under the Executive Performance Incentive Plan are calculated and paid as follows:</w:t>
      </w:r>
    </w:p>
    <w:p>
      <w:pPr>
        <w:spacing w:after="0" w:line="208" w:lineRule="exact"/>
        <w:rPr>
          <w:sz w:val="20"/>
          <w:szCs w:val="20"/>
          <w:color w:val="auto"/>
        </w:rPr>
      </w:pPr>
    </w:p>
    <w:p>
      <w:pPr>
        <w:ind w:right="340" w:firstLine="454"/>
        <w:spacing w:after="0" w:line="260" w:lineRule="auto"/>
        <w:tabs>
          <w:tab w:leader="none" w:pos="644" w:val="left"/>
        </w:tabs>
        <w:numPr>
          <w:ilvl w:val="1"/>
          <w:numId w:val="68"/>
        </w:numPr>
        <w:rPr>
          <w:rFonts w:ascii="Arial" w:cs="Arial" w:eastAsia="Arial" w:hAnsi="Arial"/>
          <w:sz w:val="20"/>
          <w:szCs w:val="20"/>
          <w:color w:val="auto"/>
        </w:rPr>
      </w:pPr>
      <w:r>
        <w:rPr>
          <w:rFonts w:ascii="Arial" w:cs="Arial" w:eastAsia="Arial" w:hAnsi="Arial"/>
          <w:sz w:val="20"/>
          <w:szCs w:val="20"/>
          <w:color w:val="auto"/>
        </w:rPr>
        <w:t>Each participant’s Fiscal 2016 Bonus Target is obtained by multiplying his or her Base Salary by his or her Individual Target Bonus Percentage:</w:t>
      </w:r>
    </w:p>
    <w:p>
      <w:pPr>
        <w:spacing w:after="0" w:line="201" w:lineRule="exact"/>
        <w:rPr>
          <w:rFonts w:ascii="Arial" w:cs="Arial" w:eastAsia="Arial" w:hAnsi="Arial"/>
          <w:sz w:val="20"/>
          <w:szCs w:val="20"/>
          <w:color w:val="auto"/>
        </w:rPr>
      </w:pPr>
    </w:p>
    <w:p>
      <w:pPr>
        <w:ind w:left="1100" w:hanging="322"/>
        <w:spacing w:after="0"/>
        <w:tabs>
          <w:tab w:leader="none" w:pos="1100" w:val="left"/>
        </w:tabs>
        <w:numPr>
          <w:ilvl w:val="2"/>
          <w:numId w:val="68"/>
        </w:numPr>
        <w:rPr>
          <w:rFonts w:ascii="Arial" w:cs="Arial" w:eastAsia="Arial" w:hAnsi="Arial"/>
          <w:sz w:val="22"/>
          <w:szCs w:val="22"/>
          <w:color w:val="auto"/>
        </w:rPr>
      </w:pPr>
      <w:r>
        <w:rPr>
          <w:rFonts w:ascii="Arial" w:cs="Arial" w:eastAsia="Arial" w:hAnsi="Arial"/>
          <w:sz w:val="20"/>
          <w:szCs w:val="20"/>
          <w:color w:val="auto"/>
        </w:rPr>
        <w:t>Base Salary – the individual’s base pay during the applicable bonus period.</w:t>
      </w:r>
    </w:p>
    <w:p>
      <w:pPr>
        <w:spacing w:after="0" w:line="235" w:lineRule="exact"/>
        <w:rPr>
          <w:rFonts w:ascii="Arial" w:cs="Arial" w:eastAsia="Arial" w:hAnsi="Arial"/>
          <w:sz w:val="22"/>
          <w:szCs w:val="22"/>
          <w:color w:val="auto"/>
        </w:rPr>
      </w:pPr>
    </w:p>
    <w:p>
      <w:pPr>
        <w:ind w:left="1100" w:right="140" w:hanging="322"/>
        <w:spacing w:after="0" w:line="265" w:lineRule="auto"/>
        <w:tabs>
          <w:tab w:leader="none" w:pos="1100" w:val="left"/>
        </w:tabs>
        <w:numPr>
          <w:ilvl w:val="2"/>
          <w:numId w:val="68"/>
        </w:numPr>
        <w:rPr>
          <w:rFonts w:ascii="Arial" w:cs="Arial" w:eastAsia="Arial" w:hAnsi="Arial"/>
          <w:sz w:val="22"/>
          <w:szCs w:val="22"/>
          <w:color w:val="auto"/>
        </w:rPr>
      </w:pPr>
      <w:r>
        <w:rPr>
          <w:rFonts w:ascii="Arial" w:cs="Arial" w:eastAsia="Arial" w:hAnsi="Arial"/>
          <w:sz w:val="20"/>
          <w:szCs w:val="20"/>
          <w:color w:val="auto"/>
        </w:rPr>
        <w:t>Individual Target Bonus Percentage — a percentage of the individual’s Base Salary, determined individually for each participant by the Compensation Committee and ranging from 50% to 160%.</w:t>
      </w:r>
    </w:p>
    <w:p>
      <w:pPr>
        <w:spacing w:after="0" w:line="196" w:lineRule="exact"/>
        <w:rPr>
          <w:rFonts w:ascii="Arial" w:cs="Arial" w:eastAsia="Arial" w:hAnsi="Arial"/>
          <w:sz w:val="22"/>
          <w:szCs w:val="22"/>
          <w:color w:val="auto"/>
        </w:rPr>
      </w:pPr>
    </w:p>
    <w:p>
      <w:pPr>
        <w:ind w:left="660" w:hanging="206"/>
        <w:spacing w:after="0"/>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Each participant’s Fiscal 2016 Bonus Target is then multiplied by the Bonus Payout Factor. The Bonus Payout Factor is equal to</w:t>
      </w:r>
    </w:p>
    <w:p>
      <w:pPr>
        <w:spacing w:after="0" w:line="38" w:lineRule="exact"/>
        <w:rPr>
          <w:rFonts w:ascii="Arial" w:cs="Arial" w:eastAsia="Arial" w:hAnsi="Arial"/>
          <w:sz w:val="18"/>
          <w:szCs w:val="18"/>
          <w:color w:val="auto"/>
        </w:rPr>
      </w:pPr>
    </w:p>
    <w:p>
      <w:pPr>
        <w:ind w:right="60" w:firstLine="8"/>
        <w:spacing w:after="0" w:line="278" w:lineRule="auto"/>
        <w:tabs>
          <w:tab w:leader="none" w:pos="324" w:val="left"/>
        </w:tabs>
        <w:numPr>
          <w:ilvl w:val="0"/>
          <w:numId w:val="69"/>
        </w:numPr>
        <w:rPr>
          <w:rFonts w:ascii="Arial" w:cs="Arial" w:eastAsia="Arial" w:hAnsi="Arial"/>
          <w:sz w:val="17"/>
          <w:szCs w:val="17"/>
          <w:color w:val="auto"/>
        </w:rPr>
      </w:pPr>
      <w:r>
        <w:rPr>
          <w:rFonts w:ascii="Arial" w:cs="Arial" w:eastAsia="Arial" w:hAnsi="Arial"/>
          <w:sz w:val="17"/>
          <w:szCs w:val="17"/>
          <w:color w:val="auto"/>
        </w:rPr>
        <w:t>50% of the Bonus Payout Factor (as shown in the table below) based on the Company’s operating profit before tax (OPBT) as a percentage of revenue for the applicable quarter plus (B) 50% of the Bonus Payout Factor (as shown in the table below) based on the Company’s revenue growth for the applicable quarter compared to the same quarter in the prior fiscal year.</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The calculations of revenue growth and OPBT as a percentage of revenue are adjustable by the Compensation Committee in its sole discretion to take account of special items, including but not limited to: restructuring-related expense, acquisition- or disposition-related items, non-recurring royalty payments or receipts, and other similar non-cash or non-recurring items. If OPBT is equal to or less than 20% of revenue for the applicable quarter, the Bonus Payout Factor shall be zero for that quarter, even if the Company has revenue growth for that quarter. The Bonus Payout Factor can range from 0% to 300%.</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following Bonus Payout Factor tables apply under the 2016 Executive Performance Incentive Plan:</w:t>
      </w:r>
    </w:p>
    <w:p>
      <w:pPr>
        <w:spacing w:after="0" w:line="161" w:lineRule="exact"/>
        <w:rPr>
          <w:sz w:val="20"/>
          <w:szCs w:val="20"/>
          <w:color w:val="auto"/>
        </w:rPr>
      </w:pPr>
    </w:p>
    <w:tbl>
      <w:tblPr>
        <w:tblLayout w:type="fixed"/>
        <w:tblInd w:w="2400" w:type="dxa"/>
        <w:tblCellMar>
          <w:top w:w="0" w:type="dxa"/>
          <w:left w:w="0" w:type="dxa"/>
          <w:bottom w:w="0" w:type="dxa"/>
          <w:right w:w="0" w:type="dxa"/>
        </w:tblCellMar>
      </w:tblPr>
      <w:tr>
        <w:trPr>
          <w:trHeight w:val="230"/>
        </w:trPr>
        <w:tc>
          <w:tcPr>
            <w:tcW w:w="2820" w:type="dxa"/>
            <w:vAlign w:val="bottom"/>
          </w:tcPr>
          <w:p>
            <w:pPr>
              <w:jc w:val="center"/>
              <w:spacing w:after="0"/>
              <w:rPr>
                <w:sz w:val="20"/>
                <w:szCs w:val="20"/>
                <w:color w:val="auto"/>
              </w:rPr>
            </w:pPr>
            <w:r>
              <w:rPr>
                <w:rFonts w:ascii="Arial" w:cs="Arial" w:eastAsia="Arial" w:hAnsi="Arial"/>
                <w:sz w:val="20"/>
                <w:szCs w:val="20"/>
                <w:color w:val="auto"/>
                <w:w w:val="89"/>
              </w:rPr>
              <w:t>50% of Bonus</w:t>
            </w:r>
          </w:p>
        </w:tc>
        <w:tc>
          <w:tcPr>
            <w:tcW w:w="94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30"/>
        </w:trPr>
        <w:tc>
          <w:tcPr>
            <w:tcW w:w="2820" w:type="dxa"/>
            <w:vAlign w:val="bottom"/>
          </w:tcPr>
          <w:p>
            <w:pPr>
              <w:jc w:val="center"/>
              <w:spacing w:after="0"/>
              <w:rPr>
                <w:sz w:val="20"/>
                <w:szCs w:val="20"/>
                <w:color w:val="auto"/>
              </w:rPr>
            </w:pPr>
            <w:r>
              <w:rPr>
                <w:rFonts w:ascii="Arial" w:cs="Arial" w:eastAsia="Arial" w:hAnsi="Arial"/>
                <w:sz w:val="20"/>
                <w:szCs w:val="20"/>
                <w:color w:val="auto"/>
                <w:w w:val="85"/>
              </w:rPr>
              <w:t>Based on</w:t>
            </w:r>
          </w:p>
        </w:tc>
        <w:tc>
          <w:tcPr>
            <w:tcW w:w="94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50"/>
        </w:trPr>
        <w:tc>
          <w:tcPr>
            <w:tcW w:w="2820" w:type="dxa"/>
            <w:vAlign w:val="bottom"/>
          </w:tcPr>
          <w:p>
            <w:pPr>
              <w:jc w:val="center"/>
              <w:spacing w:after="0"/>
              <w:rPr>
                <w:sz w:val="20"/>
                <w:szCs w:val="20"/>
                <w:color w:val="auto"/>
              </w:rPr>
            </w:pPr>
            <w:r>
              <w:rPr>
                <w:rFonts w:ascii="Arial" w:cs="Arial" w:eastAsia="Arial" w:hAnsi="Arial"/>
                <w:sz w:val="20"/>
                <w:szCs w:val="20"/>
                <w:color w:val="auto"/>
                <w:w w:val="89"/>
              </w:rPr>
              <w:t>OPBT/Revenue</w:t>
            </w:r>
          </w:p>
        </w:tc>
        <w:tc>
          <w:tcPr>
            <w:tcW w:w="940" w:type="dxa"/>
            <w:vAlign w:val="bottom"/>
          </w:tcPr>
          <w:p>
            <w:pPr>
              <w:spacing w:after="0"/>
              <w:rPr>
                <w:sz w:val="21"/>
                <w:szCs w:val="21"/>
                <w:color w:val="auto"/>
              </w:rPr>
            </w:pPr>
          </w:p>
        </w:tc>
        <w:tc>
          <w:tcPr>
            <w:tcW w:w="2820" w:type="dxa"/>
            <w:vAlign w:val="bottom"/>
          </w:tcPr>
          <w:p>
            <w:pPr>
              <w:ind w:left="580"/>
              <w:spacing w:after="0"/>
              <w:rPr>
                <w:sz w:val="20"/>
                <w:szCs w:val="20"/>
                <w:color w:val="auto"/>
              </w:rPr>
            </w:pPr>
            <w:r>
              <w:rPr>
                <w:rFonts w:ascii="Arial" w:cs="Arial" w:eastAsia="Arial" w:hAnsi="Arial"/>
                <w:sz w:val="20"/>
                <w:szCs w:val="20"/>
                <w:color w:val="auto"/>
              </w:rPr>
              <w:t>Bonus Payout Factor</w:t>
            </w:r>
          </w:p>
        </w:tc>
      </w:tr>
      <w:tr>
        <w:trPr>
          <w:trHeight w:val="23"/>
        </w:trPr>
        <w:tc>
          <w:tcPr>
            <w:tcW w:w="282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311"/>
        </w:trPr>
        <w:tc>
          <w:tcPr>
            <w:tcW w:w="2820" w:type="dxa"/>
            <w:vAlign w:val="bottom"/>
            <w:tcBorders>
              <w:bottom w:val="single" w:sz="8" w:color="CCEEFF"/>
            </w:tcBorders>
            <w:shd w:val="clear" w:color="auto" w:fill="CCEEFF"/>
          </w:tcPr>
          <w:p>
            <w:pPr>
              <w:jc w:val="right"/>
              <w:ind w:right="1041"/>
              <w:spacing w:after="0"/>
              <w:rPr>
                <w:sz w:val="20"/>
                <w:szCs w:val="20"/>
                <w:color w:val="auto"/>
              </w:rPr>
            </w:pPr>
            <w:r>
              <w:rPr>
                <w:rFonts w:ascii="Arial" w:cs="Arial" w:eastAsia="Arial" w:hAnsi="Arial"/>
                <w:sz w:val="20"/>
                <w:szCs w:val="20"/>
                <w:color w:val="auto"/>
              </w:rPr>
              <w:t>20%</w:t>
            </w:r>
          </w:p>
        </w:tc>
        <w:tc>
          <w:tcPr>
            <w:tcW w:w="94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0%</w:t>
            </w:r>
          </w:p>
        </w:tc>
      </w:tr>
      <w:tr>
        <w:trPr>
          <w:trHeight w:val="315"/>
        </w:trPr>
        <w:tc>
          <w:tcPr>
            <w:tcW w:w="2820" w:type="dxa"/>
            <w:vAlign w:val="bottom"/>
          </w:tcPr>
          <w:p>
            <w:pPr>
              <w:jc w:val="right"/>
              <w:ind w:right="1041"/>
              <w:spacing w:after="0"/>
              <w:rPr>
                <w:sz w:val="20"/>
                <w:szCs w:val="20"/>
                <w:color w:val="auto"/>
              </w:rPr>
            </w:pPr>
            <w:r>
              <w:rPr>
                <w:rFonts w:ascii="Arial" w:cs="Arial" w:eastAsia="Arial" w:hAnsi="Arial"/>
                <w:sz w:val="20"/>
                <w:szCs w:val="20"/>
                <w:color w:val="auto"/>
              </w:rPr>
              <w:t>30%</w:t>
            </w:r>
          </w:p>
        </w:tc>
        <w:tc>
          <w:tcPr>
            <w:tcW w:w="3760" w:type="dxa"/>
            <w:vAlign w:val="bottom"/>
            <w:gridSpan w:val="2"/>
          </w:tcPr>
          <w:p>
            <w:pPr>
              <w:jc w:val="center"/>
              <w:ind w:left="841"/>
              <w:spacing w:after="0"/>
              <w:rPr>
                <w:sz w:val="20"/>
                <w:szCs w:val="20"/>
                <w:color w:val="auto"/>
              </w:rPr>
            </w:pPr>
            <w:r>
              <w:rPr>
                <w:rFonts w:ascii="Arial" w:cs="Arial" w:eastAsia="Arial" w:hAnsi="Arial"/>
                <w:sz w:val="20"/>
                <w:szCs w:val="20"/>
                <w:color w:val="auto"/>
                <w:w w:val="89"/>
              </w:rPr>
              <w:t>100%</w:t>
            </w:r>
          </w:p>
        </w:tc>
      </w:tr>
      <w:tr>
        <w:trPr>
          <w:trHeight w:val="23"/>
        </w:trPr>
        <w:tc>
          <w:tcPr>
            <w:tcW w:w="28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r>
      <w:tr>
        <w:trPr>
          <w:trHeight w:val="318"/>
        </w:trPr>
        <w:tc>
          <w:tcPr>
            <w:tcW w:w="2820" w:type="dxa"/>
            <w:vAlign w:val="bottom"/>
            <w:tcBorders>
              <w:bottom w:val="single" w:sz="8" w:color="CCEEFF"/>
            </w:tcBorders>
            <w:shd w:val="clear" w:color="auto" w:fill="CCEEFF"/>
          </w:tcPr>
          <w:p>
            <w:pPr>
              <w:jc w:val="right"/>
              <w:ind w:right="1041"/>
              <w:spacing w:after="0"/>
              <w:rPr>
                <w:sz w:val="20"/>
                <w:szCs w:val="20"/>
                <w:color w:val="auto"/>
              </w:rPr>
            </w:pPr>
            <w:r>
              <w:rPr>
                <w:rFonts w:ascii="Arial" w:cs="Arial" w:eastAsia="Arial" w:hAnsi="Arial"/>
                <w:sz w:val="20"/>
                <w:szCs w:val="20"/>
                <w:color w:val="auto"/>
              </w:rPr>
              <w:t>35%</w:t>
            </w:r>
          </w:p>
        </w:tc>
        <w:tc>
          <w:tcPr>
            <w:tcW w:w="94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200%</w:t>
            </w:r>
          </w:p>
        </w:tc>
      </w:tr>
      <w:tr>
        <w:trPr>
          <w:trHeight w:val="315"/>
        </w:trPr>
        <w:tc>
          <w:tcPr>
            <w:tcW w:w="2820" w:type="dxa"/>
            <w:vAlign w:val="bottom"/>
          </w:tcPr>
          <w:p>
            <w:pPr>
              <w:jc w:val="right"/>
              <w:ind w:right="1041"/>
              <w:spacing w:after="0"/>
              <w:rPr>
                <w:sz w:val="20"/>
                <w:szCs w:val="20"/>
                <w:color w:val="auto"/>
              </w:rPr>
            </w:pPr>
            <w:r>
              <w:rPr>
                <w:rFonts w:ascii="Arial" w:cs="Arial" w:eastAsia="Arial" w:hAnsi="Arial"/>
                <w:sz w:val="20"/>
                <w:szCs w:val="20"/>
                <w:color w:val="auto"/>
              </w:rPr>
              <w:t>40%</w:t>
            </w:r>
          </w:p>
        </w:tc>
        <w:tc>
          <w:tcPr>
            <w:tcW w:w="3760" w:type="dxa"/>
            <w:vAlign w:val="bottom"/>
            <w:gridSpan w:val="2"/>
          </w:tcPr>
          <w:p>
            <w:pPr>
              <w:jc w:val="center"/>
              <w:ind w:left="841"/>
              <w:spacing w:after="0"/>
              <w:rPr>
                <w:sz w:val="20"/>
                <w:szCs w:val="20"/>
                <w:color w:val="auto"/>
              </w:rPr>
            </w:pPr>
            <w:r>
              <w:rPr>
                <w:rFonts w:ascii="Arial" w:cs="Arial" w:eastAsia="Arial" w:hAnsi="Arial"/>
                <w:sz w:val="20"/>
                <w:szCs w:val="20"/>
                <w:color w:val="auto"/>
                <w:w w:val="89"/>
              </w:rPr>
              <w:t>300%</w:t>
            </w:r>
          </w:p>
        </w:tc>
      </w:tr>
    </w:tbl>
    <w:p>
      <w:pPr>
        <w:sectPr>
          <w:pgSz w:w="11900" w:h="16838" w:orient="portrait"/>
          <w:cols w:equalWidth="0" w:num="1">
            <w:col w:w="11420"/>
          </w:cols>
          <w:pgMar w:left="240" w:top="360" w:right="239" w:bottom="1440" w:gutter="0" w:footer="0" w:header="0"/>
        </w:sectPr>
      </w:pPr>
    </w:p>
    <w:bookmarkStart w:id="98" w:name="page99"/>
    <w:bookmarkEnd w:id="98"/>
    <w:p>
      <w:pPr>
        <w:spacing w:after="0" w:line="1" w:lineRule="exact"/>
        <w:rPr>
          <w:sz w:val="20"/>
          <w:szCs w:val="20"/>
          <w:color w:val="auto"/>
        </w:rPr>
      </w:pPr>
    </w:p>
    <w:tbl>
      <w:tblPr>
        <w:tblLayout w:type="fixed"/>
        <w:tblInd w:w="2400" w:type="dxa"/>
        <w:tblCellMar>
          <w:top w:w="0" w:type="dxa"/>
          <w:left w:w="0" w:type="dxa"/>
          <w:bottom w:w="0" w:type="dxa"/>
          <w:right w:w="0" w:type="dxa"/>
        </w:tblCellMar>
      </w:tblPr>
      <w:tr>
        <w:trPr>
          <w:trHeight w:val="230"/>
        </w:trPr>
        <w:tc>
          <w:tcPr>
            <w:tcW w:w="2820" w:type="dxa"/>
            <w:vAlign w:val="bottom"/>
          </w:tcPr>
          <w:p>
            <w:pPr>
              <w:jc w:val="center"/>
              <w:spacing w:after="0"/>
              <w:rPr>
                <w:sz w:val="20"/>
                <w:szCs w:val="20"/>
                <w:color w:val="auto"/>
              </w:rPr>
            </w:pPr>
            <w:r>
              <w:rPr>
                <w:rFonts w:ascii="Arial" w:cs="Arial" w:eastAsia="Arial" w:hAnsi="Arial"/>
                <w:sz w:val="20"/>
                <w:szCs w:val="20"/>
                <w:color w:val="auto"/>
                <w:w w:val="89"/>
              </w:rPr>
              <w:t>50% of Bonus</w:t>
            </w:r>
          </w:p>
        </w:tc>
        <w:tc>
          <w:tcPr>
            <w:tcW w:w="94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30"/>
        </w:trPr>
        <w:tc>
          <w:tcPr>
            <w:tcW w:w="2820" w:type="dxa"/>
            <w:vAlign w:val="bottom"/>
          </w:tcPr>
          <w:p>
            <w:pPr>
              <w:jc w:val="center"/>
              <w:spacing w:after="0"/>
              <w:rPr>
                <w:sz w:val="20"/>
                <w:szCs w:val="20"/>
                <w:color w:val="auto"/>
              </w:rPr>
            </w:pPr>
            <w:r>
              <w:rPr>
                <w:rFonts w:ascii="Arial" w:cs="Arial" w:eastAsia="Arial" w:hAnsi="Arial"/>
                <w:sz w:val="20"/>
                <w:szCs w:val="20"/>
                <w:color w:val="auto"/>
                <w:w w:val="85"/>
              </w:rPr>
              <w:t>Based on</w:t>
            </w:r>
          </w:p>
        </w:tc>
        <w:tc>
          <w:tcPr>
            <w:tcW w:w="94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50"/>
        </w:trPr>
        <w:tc>
          <w:tcPr>
            <w:tcW w:w="2820" w:type="dxa"/>
            <w:vAlign w:val="bottom"/>
          </w:tcPr>
          <w:p>
            <w:pPr>
              <w:jc w:val="center"/>
              <w:spacing w:after="0"/>
              <w:rPr>
                <w:sz w:val="20"/>
                <w:szCs w:val="20"/>
                <w:color w:val="auto"/>
              </w:rPr>
            </w:pPr>
            <w:r>
              <w:rPr>
                <w:rFonts w:ascii="Arial" w:cs="Arial" w:eastAsia="Arial" w:hAnsi="Arial"/>
                <w:sz w:val="20"/>
                <w:szCs w:val="20"/>
                <w:color w:val="auto"/>
                <w:w w:val="89"/>
              </w:rPr>
              <w:t>Revenue Growth</w:t>
            </w:r>
          </w:p>
        </w:tc>
        <w:tc>
          <w:tcPr>
            <w:tcW w:w="940" w:type="dxa"/>
            <w:vAlign w:val="bottom"/>
          </w:tcPr>
          <w:p>
            <w:pPr>
              <w:spacing w:after="0"/>
              <w:rPr>
                <w:sz w:val="21"/>
                <w:szCs w:val="21"/>
                <w:color w:val="auto"/>
              </w:rPr>
            </w:pPr>
          </w:p>
        </w:tc>
        <w:tc>
          <w:tcPr>
            <w:tcW w:w="2820" w:type="dxa"/>
            <w:vAlign w:val="bottom"/>
          </w:tcPr>
          <w:p>
            <w:pPr>
              <w:ind w:left="580"/>
              <w:spacing w:after="0"/>
              <w:rPr>
                <w:sz w:val="20"/>
                <w:szCs w:val="20"/>
                <w:color w:val="auto"/>
              </w:rPr>
            </w:pPr>
            <w:r>
              <w:rPr>
                <w:rFonts w:ascii="Arial" w:cs="Arial" w:eastAsia="Arial" w:hAnsi="Arial"/>
                <w:sz w:val="20"/>
                <w:szCs w:val="20"/>
                <w:color w:val="auto"/>
              </w:rPr>
              <w:t>Bonus Payout Factor</w:t>
            </w:r>
          </w:p>
        </w:tc>
      </w:tr>
      <w:tr>
        <w:trPr>
          <w:trHeight w:val="23"/>
        </w:trPr>
        <w:tc>
          <w:tcPr>
            <w:tcW w:w="282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311"/>
        </w:trPr>
        <w:tc>
          <w:tcPr>
            <w:tcW w:w="2820" w:type="dxa"/>
            <w:vAlign w:val="bottom"/>
            <w:tcBorders>
              <w:bottom w:val="single" w:sz="8" w:color="CCEEFF"/>
            </w:tcBorders>
            <w:shd w:val="clear" w:color="auto" w:fill="CCEEFF"/>
          </w:tcPr>
          <w:p>
            <w:pPr>
              <w:jc w:val="center"/>
              <w:ind w:left="61"/>
              <w:spacing w:after="0"/>
              <w:rPr>
                <w:sz w:val="20"/>
                <w:szCs w:val="20"/>
                <w:color w:val="auto"/>
              </w:rPr>
            </w:pPr>
            <w:r>
              <w:rPr>
                <w:rFonts w:ascii="Arial" w:cs="Arial" w:eastAsia="Arial" w:hAnsi="Arial"/>
                <w:sz w:val="20"/>
                <w:szCs w:val="20"/>
                <w:color w:val="auto"/>
                <w:w w:val="89"/>
              </w:rPr>
              <w:t>0%</w:t>
            </w:r>
          </w:p>
        </w:tc>
        <w:tc>
          <w:tcPr>
            <w:tcW w:w="94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0%</w:t>
            </w:r>
          </w:p>
        </w:tc>
      </w:tr>
      <w:tr>
        <w:trPr>
          <w:trHeight w:val="315"/>
        </w:trPr>
        <w:tc>
          <w:tcPr>
            <w:tcW w:w="2820" w:type="dxa"/>
            <w:vAlign w:val="bottom"/>
          </w:tcPr>
          <w:p>
            <w:pPr>
              <w:jc w:val="center"/>
              <w:ind w:left="61"/>
              <w:spacing w:after="0"/>
              <w:rPr>
                <w:sz w:val="20"/>
                <w:szCs w:val="20"/>
                <w:color w:val="auto"/>
              </w:rPr>
            </w:pPr>
            <w:r>
              <w:rPr>
                <w:rFonts w:ascii="Arial" w:cs="Arial" w:eastAsia="Arial" w:hAnsi="Arial"/>
                <w:sz w:val="20"/>
                <w:szCs w:val="20"/>
                <w:color w:val="auto"/>
                <w:w w:val="89"/>
              </w:rPr>
              <w:t>8%</w:t>
            </w:r>
          </w:p>
        </w:tc>
        <w:tc>
          <w:tcPr>
            <w:tcW w:w="3760" w:type="dxa"/>
            <w:vAlign w:val="bottom"/>
            <w:gridSpan w:val="2"/>
          </w:tcPr>
          <w:p>
            <w:pPr>
              <w:jc w:val="center"/>
              <w:ind w:left="841"/>
              <w:spacing w:after="0"/>
              <w:rPr>
                <w:sz w:val="20"/>
                <w:szCs w:val="20"/>
                <w:color w:val="auto"/>
              </w:rPr>
            </w:pPr>
            <w:r>
              <w:rPr>
                <w:rFonts w:ascii="Arial" w:cs="Arial" w:eastAsia="Arial" w:hAnsi="Arial"/>
                <w:sz w:val="20"/>
                <w:szCs w:val="20"/>
                <w:color w:val="auto"/>
                <w:w w:val="89"/>
              </w:rPr>
              <w:t>100%</w:t>
            </w:r>
          </w:p>
        </w:tc>
      </w:tr>
      <w:tr>
        <w:trPr>
          <w:trHeight w:val="23"/>
        </w:trPr>
        <w:tc>
          <w:tcPr>
            <w:tcW w:w="28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r>
      <w:tr>
        <w:trPr>
          <w:trHeight w:val="318"/>
        </w:trPr>
        <w:tc>
          <w:tcPr>
            <w:tcW w:w="2820" w:type="dxa"/>
            <w:vAlign w:val="bottom"/>
            <w:tcBorders>
              <w:bottom w:val="single" w:sz="8" w:color="CCEEFF"/>
            </w:tcBorders>
            <w:shd w:val="clear" w:color="auto" w:fill="CCEEFF"/>
          </w:tcPr>
          <w:p>
            <w:pPr>
              <w:jc w:val="center"/>
              <w:ind w:left="81"/>
              <w:spacing w:after="0"/>
              <w:rPr>
                <w:sz w:val="20"/>
                <w:szCs w:val="20"/>
                <w:color w:val="auto"/>
              </w:rPr>
            </w:pPr>
            <w:r>
              <w:rPr>
                <w:rFonts w:ascii="Arial" w:cs="Arial" w:eastAsia="Arial" w:hAnsi="Arial"/>
                <w:sz w:val="20"/>
                <w:szCs w:val="20"/>
                <w:color w:val="auto"/>
                <w:w w:val="89"/>
              </w:rPr>
              <w:t>18%</w:t>
            </w:r>
          </w:p>
        </w:tc>
        <w:tc>
          <w:tcPr>
            <w:tcW w:w="94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200%</w:t>
            </w:r>
          </w:p>
        </w:tc>
      </w:tr>
      <w:tr>
        <w:trPr>
          <w:trHeight w:val="315"/>
        </w:trPr>
        <w:tc>
          <w:tcPr>
            <w:tcW w:w="2820" w:type="dxa"/>
            <w:vAlign w:val="bottom"/>
          </w:tcPr>
          <w:p>
            <w:pPr>
              <w:jc w:val="center"/>
              <w:ind w:left="81"/>
              <w:spacing w:after="0"/>
              <w:rPr>
                <w:sz w:val="20"/>
                <w:szCs w:val="20"/>
                <w:color w:val="auto"/>
              </w:rPr>
            </w:pPr>
            <w:r>
              <w:rPr>
                <w:rFonts w:ascii="Arial" w:cs="Arial" w:eastAsia="Arial" w:hAnsi="Arial"/>
                <w:sz w:val="20"/>
                <w:szCs w:val="20"/>
                <w:color w:val="auto"/>
                <w:w w:val="89"/>
              </w:rPr>
              <w:t>28%</w:t>
            </w:r>
          </w:p>
        </w:tc>
        <w:tc>
          <w:tcPr>
            <w:tcW w:w="3760" w:type="dxa"/>
            <w:vAlign w:val="bottom"/>
            <w:gridSpan w:val="2"/>
          </w:tcPr>
          <w:p>
            <w:pPr>
              <w:jc w:val="center"/>
              <w:ind w:left="841"/>
              <w:spacing w:after="0"/>
              <w:rPr>
                <w:sz w:val="20"/>
                <w:szCs w:val="20"/>
                <w:color w:val="auto"/>
              </w:rPr>
            </w:pPr>
            <w:r>
              <w:rPr>
                <w:rFonts w:ascii="Arial" w:cs="Arial" w:eastAsia="Arial" w:hAnsi="Arial"/>
                <w:sz w:val="20"/>
                <w:szCs w:val="20"/>
                <w:color w:val="auto"/>
                <w:w w:val="89"/>
              </w:rPr>
              <w:t>300%</w:t>
            </w:r>
          </w:p>
        </w:tc>
      </w:tr>
    </w:tbl>
    <w:p>
      <w:pPr>
        <w:spacing w:after="0" w:line="236" w:lineRule="exact"/>
        <w:rPr>
          <w:sz w:val="20"/>
          <w:szCs w:val="20"/>
          <w:color w:val="auto"/>
        </w:rPr>
      </w:pPr>
    </w:p>
    <w:p>
      <w:pPr>
        <w:ind w:right="240" w:firstLine="886"/>
        <w:spacing w:after="0" w:line="249" w:lineRule="auto"/>
        <w:tabs>
          <w:tab w:leader="none" w:pos="972"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In order to facilitate a comparison of fiscal quarters for purposes of the revenue growth element of the plan, all 14-week quarters will be normalized to a 13-week quarter.</w:t>
      </w:r>
    </w:p>
    <w:p>
      <w:pPr>
        <w:spacing w:after="0" w:line="200" w:lineRule="exact"/>
        <w:rPr>
          <w:sz w:val="20"/>
          <w:szCs w:val="20"/>
          <w:color w:val="auto"/>
        </w:rPr>
      </w:pPr>
    </w:p>
    <w:p>
      <w:pPr>
        <w:ind w:firstLine="878"/>
        <w:spacing w:after="0" w:line="259" w:lineRule="auto"/>
        <w:rPr>
          <w:sz w:val="20"/>
          <w:szCs w:val="20"/>
          <w:color w:val="auto"/>
        </w:rPr>
      </w:pPr>
      <w:r>
        <w:rPr>
          <w:rFonts w:ascii="Arial" w:cs="Arial" w:eastAsia="Arial" w:hAnsi="Arial"/>
          <w:sz w:val="19"/>
          <w:szCs w:val="19"/>
          <w:color w:val="auto"/>
        </w:rPr>
        <w:t>The Bonus Payout Factor is determined quarterly and will be linearly interpolated between the values specified in the tables above. For example, if OPBT for a quarter is 32% of revenue (which would result in a Bonus Payout Factor of 140% for that element) and revenue growth for the quarter compared to the same quarter in the prior fiscal year was 11% (which would result in a Bonus Payout Factor of 130% for that element), then the Bonus Payout Factor for the quarter would be 135% which is the sum of 50% of the OPBT factor of 140% and 50% of the revenue growth factor of 130%. The Bonus Payout Factor is also used to determine the bonuses paid to all other employees of the Company under the Company’s 2016 Bonus Plan for Employees.</w:t>
      </w:r>
    </w:p>
    <w:p>
      <w:pPr>
        <w:spacing w:after="0" w:line="192" w:lineRule="exact"/>
        <w:rPr>
          <w:sz w:val="20"/>
          <w:szCs w:val="20"/>
          <w:color w:val="auto"/>
        </w:rPr>
      </w:pPr>
    </w:p>
    <w:p>
      <w:pPr>
        <w:jc w:val="both"/>
        <w:ind w:right="20" w:firstLine="878"/>
        <w:spacing w:after="0" w:line="250" w:lineRule="auto"/>
        <w:rPr>
          <w:sz w:val="20"/>
          <w:szCs w:val="20"/>
          <w:color w:val="auto"/>
        </w:rPr>
      </w:pPr>
      <w:r>
        <w:rPr>
          <w:rFonts w:ascii="Arial" w:cs="Arial" w:eastAsia="Arial" w:hAnsi="Arial"/>
          <w:sz w:val="20"/>
          <w:szCs w:val="20"/>
          <w:color w:val="auto"/>
        </w:rPr>
        <w:t>A participant’s bonus for a quarter shall be equal to the product obtained by multiplying a participant’s Fiscal 2016 Bonus Target for the quarter by the Bonus Payout Factor for that quarter. Each participant’s Fiscal 2016 Bonus Payment can range from zero to three times his or her Fiscal 2016 Bonus Target.</w:t>
      </w:r>
    </w:p>
    <w:p>
      <w:pPr>
        <w:spacing w:after="0" w:line="200" w:lineRule="exact"/>
        <w:rPr>
          <w:sz w:val="20"/>
          <w:szCs w:val="20"/>
          <w:color w:val="auto"/>
        </w:rPr>
      </w:pPr>
    </w:p>
    <w:p>
      <w:pPr>
        <w:ind w:right="40" w:firstLine="454"/>
        <w:spacing w:after="0" w:line="291" w:lineRule="auto"/>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Fiscal 2016 bonus payments, if any, under the Executive Performance Incentive Plan will be calculated at the end of each fiscal quarter and distributed after the first half and second half of fiscal year 2016. The bonus payment for the first half of Fiscal 2016 will be paid on or before June 30, 2016 and the bonus payment for the second half of Fiscal 2016 will be paid on or before December 31, 2016.</w:t>
      </w:r>
    </w:p>
    <w:p>
      <w:pPr>
        <w:spacing w:after="0" w:line="165" w:lineRule="exact"/>
        <w:rPr>
          <w:rFonts w:ascii="Arial" w:cs="Arial" w:eastAsia="Arial" w:hAnsi="Arial"/>
          <w:sz w:val="18"/>
          <w:szCs w:val="18"/>
          <w:color w:val="auto"/>
        </w:rPr>
      </w:pPr>
    </w:p>
    <w:p>
      <w:pPr>
        <w:jc w:val="both"/>
        <w:ind w:right="60" w:firstLine="454"/>
        <w:spacing w:after="0" w:line="246" w:lineRule="auto"/>
        <w:tabs>
          <w:tab w:leader="none" w:pos="644" w:val="left"/>
        </w:tabs>
        <w:numPr>
          <w:ilvl w:val="0"/>
          <w:numId w:val="71"/>
        </w:numPr>
        <w:rPr>
          <w:rFonts w:ascii="Arial" w:cs="Arial" w:eastAsia="Arial" w:hAnsi="Arial"/>
          <w:sz w:val="20"/>
          <w:szCs w:val="20"/>
          <w:color w:val="auto"/>
        </w:rPr>
      </w:pPr>
      <w:r>
        <w:rPr>
          <w:rFonts w:ascii="Arial" w:cs="Arial" w:eastAsia="Arial" w:hAnsi="Arial"/>
          <w:sz w:val="20"/>
          <w:szCs w:val="20"/>
          <w:color w:val="auto"/>
        </w:rPr>
        <w:t>Executives are eligible for a bonus payment with respect to their first full fiscal quarter of employment, so long as they remain actively employed by the Company on the applicable bonus payment date in June or December. For example, an executive hired during the first quarter would only be eligible for a bonus payment with respect to the second quarter, so long as he or she was still actively employed on the June payment date.</w:t>
      </w:r>
    </w:p>
    <w:p>
      <w:pPr>
        <w:sectPr>
          <w:pgSz w:w="11900" w:h="16838" w:orient="portrait"/>
          <w:cols w:equalWidth="0" w:num="1">
            <w:col w:w="11400"/>
          </w:cols>
          <w:pgMar w:left="240" w:top="527" w:right="25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Exhibit 12.1</w:t>
            </w:r>
          </w:p>
        </w:tc>
      </w:tr>
      <w:tr>
        <w:trPr>
          <w:trHeight w:val="756"/>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5"/>
          </w:tcPr>
          <w:p>
            <w:pPr>
              <w:jc w:val="center"/>
              <w:ind w:left="570"/>
              <w:spacing w:after="0"/>
              <w:rPr>
                <w:sz w:val="20"/>
                <w:szCs w:val="20"/>
                <w:color w:val="auto"/>
              </w:rPr>
            </w:pPr>
            <w:r>
              <w:rPr>
                <w:rFonts w:ascii="Arial" w:cs="Arial" w:eastAsia="Arial" w:hAnsi="Arial"/>
                <w:sz w:val="18"/>
                <w:szCs w:val="18"/>
                <w:b w:val="1"/>
                <w:bCs w:val="1"/>
                <w:color w:val="auto"/>
                <w:w w:val="89"/>
              </w:rPr>
              <w:t>Analog Devices, Inc.</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8"/>
          </w:tcPr>
          <w:p>
            <w:pPr>
              <w:jc w:val="center"/>
              <w:ind w:right="580"/>
              <w:spacing w:after="0"/>
              <w:rPr>
                <w:sz w:val="20"/>
                <w:szCs w:val="20"/>
                <w:color w:val="auto"/>
              </w:rPr>
            </w:pPr>
            <w:r>
              <w:rPr>
                <w:rFonts w:ascii="Arial" w:cs="Arial" w:eastAsia="Arial" w:hAnsi="Arial"/>
                <w:sz w:val="18"/>
                <w:szCs w:val="18"/>
                <w:b w:val="1"/>
                <w:bCs w:val="1"/>
                <w:color w:val="auto"/>
                <w:w w:val="90"/>
              </w:rPr>
              <w:t>Ratio of Earnings to Fixed Charges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ind w:left="280"/>
              <w:spacing w:after="0"/>
              <w:rPr>
                <w:sz w:val="20"/>
                <w:szCs w:val="20"/>
                <w:color w:val="auto"/>
              </w:rPr>
            </w:pPr>
            <w:r>
              <w:rPr>
                <w:rFonts w:ascii="Arial" w:cs="Arial" w:eastAsia="Arial" w:hAnsi="Arial"/>
                <w:sz w:val="18"/>
                <w:szCs w:val="18"/>
                <w:b w:val="1"/>
                <w:bCs w:val="1"/>
                <w:color w:val="auto"/>
              </w:rPr>
              <w:t>Fiscal Year Ended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Oct. 30,</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Oct. 29,</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Nov. 3,</w:t>
            </w:r>
          </w:p>
        </w:tc>
        <w:tc>
          <w:tcPr>
            <w:tcW w:w="22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Nov. 2,</w:t>
            </w:r>
          </w:p>
        </w:tc>
        <w:tc>
          <w:tcPr>
            <w:tcW w:w="22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Nov. 1,</w:t>
            </w:r>
          </w:p>
        </w:tc>
        <w:tc>
          <w:tcPr>
            <w:tcW w:w="1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Oct. 31,</w:t>
            </w: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(In thousands, except ratios)</w:t>
            </w:r>
          </w:p>
        </w:tc>
        <w:tc>
          <w:tcPr>
            <w:tcW w:w="200" w:type="dxa"/>
            <w:vAlign w:val="bottom"/>
          </w:tcPr>
          <w:p>
            <w:pPr>
              <w:spacing w:after="0"/>
              <w:rPr>
                <w:sz w:val="23"/>
                <w:szCs w:val="23"/>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Determination of earnings: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4020" w:type="dxa"/>
            <w:vAlign w:val="bottom"/>
            <w:gridSpan w:val="2"/>
          </w:tcPr>
          <w:p>
            <w:pPr>
              <w:ind w:left="12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020" w:type="dxa"/>
            <w:vAlign w:val="bottom"/>
            <w:gridSpan w:val="2"/>
          </w:tcPr>
          <w:p>
            <w:pPr>
              <w:ind w:left="120"/>
              <w:spacing w:after="0"/>
              <w:rPr>
                <w:sz w:val="20"/>
                <w:szCs w:val="20"/>
                <w:color w:val="auto"/>
              </w:rPr>
            </w:pPr>
            <w:r>
              <w:rPr>
                <w:rFonts w:ascii="Arial" w:cs="Arial" w:eastAsia="Arial" w:hAnsi="Arial"/>
                <w:sz w:val="18"/>
                <w:szCs w:val="18"/>
                <w:color w:val="auto"/>
              </w:rPr>
              <w:t>before provision for taxes on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901,665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1,061,447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813,533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815,323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729,345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810,114</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Capitalized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4020" w:type="dxa"/>
            <w:vAlign w:val="bottom"/>
            <w:gridSpan w:val="2"/>
          </w:tcPr>
          <w:p>
            <w:pPr>
              <w:ind w:left="120"/>
              <w:spacing w:after="0"/>
              <w:rPr>
                <w:sz w:val="20"/>
                <w:szCs w:val="20"/>
                <w:color w:val="auto"/>
              </w:rPr>
            </w:pPr>
            <w:r>
              <w:rPr>
                <w:rFonts w:ascii="Arial" w:cs="Arial" w:eastAsia="Arial" w:hAnsi="Arial"/>
                <w:sz w:val="18"/>
                <w:szCs w:val="18"/>
                <w:color w:val="auto"/>
              </w:rPr>
              <w:t>Fixed charges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11,388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32,529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32,223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28,191</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earnings as defined</w:t>
            </w: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913,493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1,081,393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846,116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847,600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765,372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838,359</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gridSpan w:val="2"/>
          </w:tcPr>
          <w:p>
            <w:pPr>
              <w:ind w:left="120"/>
              <w:spacing w:after="0"/>
              <w:rPr>
                <w:sz w:val="20"/>
                <w:szCs w:val="20"/>
                <w:color w:val="auto"/>
              </w:rPr>
            </w:pPr>
            <w:r>
              <w:rPr>
                <w:rFonts w:ascii="Arial" w:cs="Arial" w:eastAsia="Arial" w:hAnsi="Arial"/>
                <w:sz w:val="18"/>
                <w:szCs w:val="18"/>
                <w:color w:val="auto"/>
              </w:rPr>
              <w:t>Interest and amortization expense</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18,892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31,525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31,585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35,055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27,368</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 portion of rent expense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r>
      <w:tr>
        <w:trPr>
          <w:trHeight w:val="237"/>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Fixed charges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32,223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28,191</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Capitalized interest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fixed charges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11,388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19,892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32,529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32,223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35,973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28,191</w:t>
            </w:r>
          </w:p>
        </w:tc>
      </w:tr>
      <w:tr>
        <w:trPr>
          <w:trHeight w:val="311"/>
        </w:trPr>
        <w:tc>
          <w:tcPr>
            <w:tcW w:w="3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4020" w:type="dxa"/>
            <w:vAlign w:val="bottom"/>
            <w:gridSpan w:val="2"/>
          </w:tcPr>
          <w:p>
            <w:pPr>
              <w:ind w:left="80"/>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61" w:right="239" w:bottom="1440" w:gutter="0" w:footer="0" w:header="0"/>
        </w:sectPr>
      </w:pPr>
    </w:p>
    <w:bookmarkStart w:id="100" w:name="page101"/>
    <w:bookmarkEnd w:id="10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60" w:type="dxa"/>
            <w:vAlign w:val="bottom"/>
            <w:gridSpan w:val="3"/>
          </w:tcPr>
          <w:p>
            <w:pPr>
              <w:ind w:left="2160"/>
              <w:spacing w:after="0"/>
              <w:rPr>
                <w:sz w:val="20"/>
                <w:szCs w:val="20"/>
                <w:color w:val="auto"/>
              </w:rPr>
            </w:pPr>
            <w:r>
              <w:rPr>
                <w:rFonts w:ascii="Arial" w:cs="Arial" w:eastAsia="Arial" w:hAnsi="Arial"/>
                <w:sz w:val="20"/>
                <w:szCs w:val="20"/>
                <w:b w:val="1"/>
                <w:bCs w:val="1"/>
                <w:color w:val="auto"/>
                <w:w w:val="90"/>
              </w:rPr>
              <w:t>Exhibit 21</w:t>
            </w:r>
          </w:p>
        </w:tc>
      </w:tr>
      <w:tr>
        <w:trPr>
          <w:trHeight w:val="432"/>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40" w:type="dxa"/>
            <w:vAlign w:val="bottom"/>
          </w:tcPr>
          <w:p>
            <w:pPr>
              <w:jc w:val="center"/>
              <w:ind w:left="1261"/>
              <w:spacing w:after="0"/>
              <w:rPr>
                <w:sz w:val="20"/>
                <w:szCs w:val="20"/>
                <w:color w:val="auto"/>
              </w:rPr>
            </w:pPr>
            <w:r>
              <w:rPr>
                <w:rFonts w:ascii="Arial" w:cs="Arial" w:eastAsia="Arial" w:hAnsi="Arial"/>
                <w:sz w:val="20"/>
                <w:szCs w:val="20"/>
                <w:b w:val="1"/>
                <w:bCs w:val="1"/>
                <w:color w:val="auto"/>
                <w:w w:val="98"/>
              </w:rPr>
              <w:t>SUBSIDIARIES OF ANALOG DEVICES, INC.</w:t>
            </w: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640" w:type="dxa"/>
            <w:vAlign w:val="bottom"/>
          </w:tcPr>
          <w:p>
            <w:pPr>
              <w:jc w:val="center"/>
              <w:ind w:left="1261"/>
              <w:spacing w:after="0"/>
              <w:rPr>
                <w:sz w:val="20"/>
                <w:szCs w:val="20"/>
                <w:color w:val="auto"/>
              </w:rPr>
            </w:pPr>
            <w:r>
              <w:rPr>
                <w:rFonts w:ascii="Arial" w:cs="Arial" w:eastAsia="Arial" w:hAnsi="Arial"/>
                <w:sz w:val="20"/>
                <w:szCs w:val="20"/>
                <w:b w:val="1"/>
                <w:bCs w:val="1"/>
                <w:color w:val="auto"/>
                <w:w w:val="89"/>
              </w:rPr>
              <w:t>As of October 31, 2015</w:t>
            </w:r>
          </w:p>
        </w:tc>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590"/>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0"/>
                <w:szCs w:val="20"/>
                <w:b w:val="1"/>
                <w:bCs w:val="1"/>
                <w:color w:val="auto"/>
              </w:rPr>
              <w:t>Name of Subsidiary</w:t>
            </w:r>
          </w:p>
        </w:tc>
        <w:tc>
          <w:tcPr>
            <w:tcW w:w="3080" w:type="dxa"/>
            <w:vAlign w:val="bottom"/>
            <w:tcBorders>
              <w:right w:val="single" w:sz="8" w:color="auto"/>
            </w:tcBorders>
            <w:gridSpan w:val="4"/>
          </w:tcPr>
          <w:p>
            <w:pPr>
              <w:ind w:left="20"/>
              <w:spacing w:after="0" w:line="209" w:lineRule="exact"/>
              <w:rPr>
                <w:sz w:val="20"/>
                <w:szCs w:val="20"/>
                <w:color w:val="auto"/>
              </w:rPr>
            </w:pPr>
            <w:r>
              <w:rPr>
                <w:rFonts w:ascii="Arial" w:cs="Arial" w:eastAsia="Arial" w:hAnsi="Arial"/>
                <w:sz w:val="20"/>
                <w:szCs w:val="20"/>
                <w:b w:val="1"/>
                <w:bCs w:val="1"/>
                <w:color w:val="auto"/>
              </w:rPr>
              <w:t>State or Other Jurisdiction of</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6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Borders>
              <w:right w:val="single" w:sz="8" w:color="auto"/>
            </w:tcBorders>
            <w:gridSpan w:val="3"/>
          </w:tcPr>
          <w:p>
            <w:pPr>
              <w:spacing w:after="0" w:line="209" w:lineRule="exact"/>
              <w:rPr>
                <w:sz w:val="20"/>
                <w:szCs w:val="20"/>
                <w:color w:val="auto"/>
              </w:rPr>
            </w:pPr>
            <w:r>
              <w:rPr>
                <w:rFonts w:ascii="Arial" w:cs="Arial" w:eastAsia="Arial" w:hAnsi="Arial"/>
                <w:sz w:val="20"/>
                <w:szCs w:val="20"/>
                <w:b w:val="1"/>
                <w:bCs w:val="1"/>
                <w:color w:val="auto"/>
              </w:rPr>
              <w:t>Incorporation or Organization</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66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5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Australia Pty.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Pty,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GMBH</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Austria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Canada,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Canada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(China) Co.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(Shanghai) Co.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A/S</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Denmark</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Egypt LLC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Egypt</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(Finland) OY</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Finland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SAS</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GmbH</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India Private Limited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India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International</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International Financial Services Limited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Global</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Technology</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Israel,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Israel</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SRL</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Italy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K.K.</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Korea,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Korea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Coöperatief, U.A.</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Holdings, B.V.</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Nederland, B.V.</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(Philippines),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Philippines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Gen. Trias,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Philippines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Realty Holdings,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Philippines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S.L.U.</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Spain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A.B.</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Sweden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Taiwan,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Taiwan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Mikroelektronik Sanayi Ve Ticaret Ltd. Sirketi</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Turkey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Limited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International,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Massachusetts,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Federal LLC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ADI Micromachines,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360" w:right="219" w:bottom="1440" w:gutter="0" w:footer="0" w:header="0"/>
        </w:sectPr>
      </w:pPr>
    </w:p>
    <w:bookmarkStart w:id="101" w:name="page102"/>
    <w:bookmarkEnd w:id="10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8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Hittite Microwave Co. Limited</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Hittite Microwave SARL</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Hittite Microwave Deutschland GmbH</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Hittite Microwave India Pvt. Ltd.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Hittite Microwave Asia Co., Limited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Korea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Hittite Microwave Malaysia SDN.BHD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Malaysia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Hittite Microwave Nordic AB</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Sweden</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Hittite Microwave LLC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HMC Netherlands, C.V.</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Lyric Semiconductor, Inc.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Multigig, Inc.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498" w:right="219" w:bottom="1440" w:gutter="0" w:footer="0" w:header="0"/>
        </w:sectPr>
      </w:pPr>
    </w:p>
    <w:bookmarkStart w:id="102" w:name="page103"/>
    <w:bookmarkEnd w:id="102"/>
    <w:p>
      <w:pPr>
        <w:ind w:left="10620"/>
        <w:spacing w:after="0"/>
        <w:rPr>
          <w:sz w:val="20"/>
          <w:szCs w:val="20"/>
          <w:color w:val="auto"/>
        </w:rPr>
      </w:pPr>
      <w:r>
        <w:rPr>
          <w:rFonts w:ascii="Arial" w:cs="Arial" w:eastAsia="Arial" w:hAnsi="Arial"/>
          <w:sz w:val="16"/>
          <w:szCs w:val="16"/>
          <w:b w:val="1"/>
          <w:bCs w:val="1"/>
          <w:color w:val="auto"/>
        </w:rPr>
        <w:t>Exhibit 23</w:t>
      </w:r>
    </w:p>
    <w:p>
      <w:pPr>
        <w:spacing w:after="0" w:line="24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jc w:val="both"/>
        <w:ind w:left="660" w:hanging="328"/>
        <w:spacing w:after="0" w:line="25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Statements on Form S-8 (Nos. 2-63561, 2-90023, 33-4067, 33-22604, 33-22605, 33-29484, 33-39851, 33-39852, 33-46521, 33-60642, 33-60696, 33-61427, 33-64849, 333-04771, 333-04819, 333-04821, 333-40222, 333-40224, 333-47787, 333-47789, 333-48243, 333-57444, 333-69359, 333-79551</w:t>
      </w:r>
      <w:r>
        <w:rPr>
          <w:rFonts w:ascii="Arial" w:cs="Arial" w:eastAsia="Arial" w:hAnsi="Arial"/>
          <w:sz w:val="18"/>
          <w:szCs w:val="18"/>
          <w:b w:val="1"/>
          <w:bCs w:val="1"/>
          <w:color w:val="auto"/>
        </w:rPr>
        <w:t>,</w:t>
      </w:r>
      <w:r>
        <w:rPr>
          <w:rFonts w:ascii="Arial" w:cs="Arial" w:eastAsia="Arial" w:hAnsi="Arial"/>
          <w:sz w:val="18"/>
          <w:szCs w:val="18"/>
          <w:color w:val="auto"/>
        </w:rPr>
        <w:t xml:space="preserve"> 333-87055, 333-50092, 333-53314, 333-53828, 333-75170, 333-113510, 333-132409, 33-156309, 333-163653, 333-181951 and 333-194556) of Analog Devices, Inc. and</w:t>
      </w:r>
    </w:p>
    <w:p>
      <w:pPr>
        <w:spacing w:after="0" w:line="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Statements on Form S-3 (Nos. 333-08505, 333-08509, 333-17651, 333-87053, 333-48928, 333-51530, 333-53660, 333-160215, 333-183490, and 333-207043) of Analog Devices, Inc. and in the related Prospectuses;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November 24, 2015, with respect to the consolidated financial statements and schedule of Analog Devices, Inc. and the effectiveness of internal control over financial reporting of Analog Devices, Inc. included in this Annual Report (Form 10-K) of Analog Devices, Inc. for the year ended October 31, 2015.</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24, 2015</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171" w:lineRule="exact"/>
        <w:rPr>
          <w:sz w:val="20"/>
          <w:szCs w:val="20"/>
          <w:color w:val="auto"/>
        </w:rPr>
      </w:pPr>
    </w:p>
    <w:p>
      <w:pPr>
        <w:ind w:left="520" w:hanging="188"/>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500" w:right="180" w:firstLine="318"/>
        <w:spacing w:after="0" w:line="264" w:lineRule="auto"/>
        <w:tabs>
          <w:tab w:leader="none" w:pos="1009"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500" w:right="400" w:firstLine="318"/>
        <w:spacing w:after="0" w:line="264" w:lineRule="auto"/>
        <w:tabs>
          <w:tab w:leader="none" w:pos="1019"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500" w:right="720" w:firstLine="318"/>
        <w:spacing w:after="0" w:line="342" w:lineRule="auto"/>
        <w:tabs>
          <w:tab w:leader="none" w:pos="1009"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500" w:right="180" w:firstLine="318"/>
        <w:spacing w:after="0" w:line="264" w:lineRule="auto"/>
        <w:tabs>
          <w:tab w:leader="none" w:pos="1019"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20" w:firstLine="332"/>
        <w:spacing w:after="0" w:line="308" w:lineRule="auto"/>
        <w:tabs>
          <w:tab w:leader="none" w:pos="504"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500" w:right="100" w:firstLine="318"/>
        <w:spacing w:after="0" w:line="277" w:lineRule="auto"/>
        <w:tabs>
          <w:tab w:leader="none" w:pos="1009"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500" w:right="60" w:firstLine="318"/>
        <w:spacing w:after="0" w:line="277" w:lineRule="auto"/>
        <w:tabs>
          <w:tab w:leader="none" w:pos="1019"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83185</wp:posOffset>
            </wp:positionV>
            <wp:extent cx="40563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Vincent Roche</w:t>
      </w:r>
    </w:p>
    <w:p>
      <w:pPr>
        <w:spacing w:after="0" w:line="14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24, 2015</w:t>
      </w:r>
    </w:p>
    <w:p>
      <w:pPr>
        <w:sectPr>
          <w:pgSz w:w="11900" w:h="16838" w:orient="portrait"/>
          <w:cols w:equalWidth="0" w:num="1">
            <w:col w:w="11420"/>
          </w:cols>
          <w:pgMar w:left="240" w:top="202"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171" w:lineRule="exact"/>
        <w:rPr>
          <w:sz w:val="20"/>
          <w:szCs w:val="20"/>
          <w:color w:val="auto"/>
        </w:rPr>
      </w:pPr>
    </w:p>
    <w:p>
      <w:pPr>
        <w:ind w:left="520" w:hanging="188"/>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500" w:right="180" w:firstLine="318"/>
        <w:spacing w:after="0" w:line="264" w:lineRule="auto"/>
        <w:tabs>
          <w:tab w:leader="none" w:pos="1009"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500" w:right="400" w:firstLine="318"/>
        <w:spacing w:after="0" w:line="264" w:lineRule="auto"/>
        <w:tabs>
          <w:tab w:leader="none" w:pos="1019"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500" w:right="720" w:firstLine="318"/>
        <w:spacing w:after="0" w:line="342" w:lineRule="auto"/>
        <w:tabs>
          <w:tab w:leader="none" w:pos="1009"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500" w:right="180" w:firstLine="318"/>
        <w:spacing w:after="0" w:line="264" w:lineRule="auto"/>
        <w:tabs>
          <w:tab w:leader="none" w:pos="1019"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20" w:firstLine="332"/>
        <w:spacing w:after="0" w:line="308" w:lineRule="auto"/>
        <w:tabs>
          <w:tab w:leader="none" w:pos="504"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500" w:right="100" w:firstLine="318"/>
        <w:spacing w:after="0" w:line="277" w:lineRule="auto"/>
        <w:tabs>
          <w:tab w:leader="none" w:pos="1009"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500" w:right="60" w:firstLine="318"/>
        <w:spacing w:after="0" w:line="277" w:lineRule="auto"/>
        <w:tabs>
          <w:tab w:leader="none" w:pos="1019"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83185</wp:posOffset>
            </wp:positionV>
            <wp:extent cx="40563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David A. Zinsner</w:t>
      </w:r>
    </w:p>
    <w:p>
      <w:pPr>
        <w:spacing w:after="0" w:line="14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Senior Vice President, Finance</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(Principal Financial Officer)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24, 2015</w:t>
      </w:r>
    </w:p>
    <w:p>
      <w:pPr>
        <w:sectPr>
          <w:pgSz w:w="11900" w:h="16838" w:orient="portrait"/>
          <w:cols w:equalWidth="0" w:num="1">
            <w:col w:w="11420"/>
          </w:cols>
          <w:pgMar w:left="240" w:top="202"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October 31, 2015 as filed with the Securities and Exchange Commission on the date hereof (the “Report”), the undersigned, Vincent Roche, Chief Executive Officer of the Company, hereby certifies, pursuant to 18 U.S.C. Section 1350, that:</w:t>
      </w:r>
    </w:p>
    <w:p>
      <w:pPr>
        <w:spacing w:after="0" w:line="127" w:lineRule="exact"/>
        <w:rPr>
          <w:sz w:val="20"/>
          <w:szCs w:val="20"/>
          <w:color w:val="auto"/>
        </w:rPr>
      </w:pPr>
    </w:p>
    <w:p>
      <w:pPr>
        <w:ind w:left="920" w:hanging="264"/>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83185</wp:posOffset>
            </wp:positionV>
            <wp:extent cx="3910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Vincent Roche</w:t>
      </w:r>
    </w:p>
    <w:p>
      <w:pPr>
        <w:spacing w:after="0" w:line="1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24, 2015</w:t>
      </w:r>
    </w:p>
    <w:p>
      <w:pPr>
        <w:sectPr>
          <w:pgSz w:w="11900" w:h="16838" w:orient="portrait"/>
          <w:cols w:equalWidth="0" w:num="1">
            <w:col w:w="11420"/>
          </w:cols>
          <w:pgMar w:left="240" w:top="202"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October 31, 2015 as filed with the Securities and Exchange Commission on the date hereof (the “Report”), the undersigned, David. A. Zinsner, Chief Financial Officer of the Company, hereby certifies, pursuant to 18 U.S.C. Section 1350, that:</w:t>
      </w:r>
    </w:p>
    <w:p>
      <w:pPr>
        <w:spacing w:after="0" w:line="127" w:lineRule="exact"/>
        <w:rPr>
          <w:sz w:val="20"/>
          <w:szCs w:val="20"/>
          <w:color w:val="auto"/>
        </w:rPr>
      </w:pPr>
    </w:p>
    <w:p>
      <w:pPr>
        <w:ind w:left="920" w:hanging="264"/>
        <w:spacing w:after="0"/>
        <w:tabs>
          <w:tab w:leader="none" w:pos="9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83185</wp:posOffset>
            </wp:positionV>
            <wp:extent cx="3910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David. A. Zinsner</w:t>
      </w:r>
    </w:p>
    <w:p>
      <w:pPr>
        <w:spacing w:after="0" w:line="1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24, 2015</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o"/>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1)"/>
      <w:numFmt w:val="lowerLetter"/>
      <w:start w:val="1"/>
    </w:lvl>
  </w:abstractNum>
  <w:abstractNum w:abstractNumId="11">
    <w:nsid w:val="725A06FB"/>
    <w:multiLevelType w:val="hybridMultilevel"/>
    <w:lvl w:ilvl="0">
      <w:lvlJc w:val="left"/>
      <w:lvlText w:val="(%1)"/>
      <w:numFmt w:val="lowerLetter"/>
      <w:start w:val="1"/>
    </w:lvl>
  </w:abstractNum>
  <w:abstractNum w:abstractNumId="12">
    <w:nsid w:val="2CD89A32"/>
    <w:multiLevelType w:val="hybridMultilevel"/>
    <w:lvl w:ilvl="0">
      <w:lvlJc w:val="left"/>
      <w:lvlText w:val="(%1)"/>
      <w:numFmt w:val="decimal"/>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lowerLetter"/>
      <w:start w:val="1"/>
    </w:lvl>
  </w:abstractNum>
  <w:abstractNum w:abstractNumId="15">
    <w:nsid w:val="4B588F54"/>
    <w:multiLevelType w:val="hybridMultilevel"/>
    <w:lvl w:ilvl="0">
      <w:lvlJc w:val="left"/>
      <w:lvlText w:val="%1."/>
      <w:numFmt w:val="lowerLetter"/>
      <w:start w:val="3"/>
    </w:lvl>
  </w:abstractNum>
  <w:abstractNum w:abstractNumId="16">
    <w:nsid w:val="542289EC"/>
    <w:multiLevelType w:val="hybridMultilevel"/>
    <w:lvl w:ilvl="0">
      <w:lvlJc w:val="left"/>
      <w:lvlText w:val="%1."/>
      <w:numFmt w:val="lowerLetter"/>
      <w:start w:val="4"/>
    </w:lvl>
  </w:abstractNum>
  <w:abstractNum w:abstractNumId="17">
    <w:nsid w:val="6DE91B18"/>
    <w:multiLevelType w:val="hybridMultilevel"/>
    <w:lvl w:ilvl="0">
      <w:lvlJc w:val="left"/>
      <w:lvlText w:val="%1."/>
      <w:numFmt w:val="lowerLetter"/>
      <w:start w:val="5"/>
    </w:lvl>
  </w:abstractNum>
  <w:abstractNum w:abstractNumId="18">
    <w:nsid w:val="38437FDB"/>
    <w:multiLevelType w:val="hybridMultilevel"/>
    <w:lvl w:ilvl="0">
      <w:lvlJc w:val="left"/>
      <w:lvlText w:val="%1."/>
      <w:numFmt w:val="lowerLetter"/>
      <w:start w:val="6"/>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1."/>
      <w:numFmt w:val="lowerLetter"/>
      <w:start w:val="7"/>
    </w:lvl>
  </w:abstractNum>
  <w:abstractNum w:abstractNumId="21">
    <w:nsid w:val="684A481A"/>
    <w:multiLevelType w:val="hybridMultilevel"/>
    <w:lvl w:ilvl="0">
      <w:lvlJc w:val="left"/>
      <w:lvlText w:val="%1."/>
      <w:numFmt w:val="lowerRoman"/>
      <w:start w:val="1"/>
    </w:lvl>
  </w:abstractNum>
  <w:abstractNum w:abstractNumId="22">
    <w:nsid w:val="579478FE"/>
    <w:multiLevelType w:val="hybridMultilevel"/>
    <w:lvl w:ilvl="0">
      <w:lvlJc w:val="left"/>
      <w:lvlText w:val="%1."/>
      <w:numFmt w:val="lowerLetter"/>
      <w:start w:val="10"/>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1."/>
      <w:numFmt w:val="lowerLetter"/>
      <w:start w:val="11"/>
    </w:lvl>
  </w:abstractNum>
  <w:abstractNum w:abstractNumId="27">
    <w:nsid w:val="75C6C33A"/>
    <w:multiLevelType w:val="hybridMultilevel"/>
    <w:lvl w:ilvl="0">
      <w:lvlJc w:val="left"/>
      <w:lvlText w:val="%1."/>
      <w:numFmt w:val="lowerLetter"/>
      <w:start w:val="12"/>
    </w:lvl>
  </w:abstractNum>
  <w:abstractNum w:abstractNumId="28">
    <w:nsid w:val="12E685FB"/>
    <w:multiLevelType w:val="hybridMultilevel"/>
    <w:lvl w:ilvl="0">
      <w:lvlJc w:val="left"/>
      <w:lvlText w:val="%1."/>
      <w:numFmt w:val="lowerLetter"/>
      <w:start w:val="15"/>
    </w:lvl>
  </w:abstractNum>
  <w:abstractNum w:abstractNumId="29">
    <w:nsid w:val="70C6A529"/>
    <w:multiLevelType w:val="hybridMultilevel"/>
    <w:lvl w:ilvl="0">
      <w:lvlJc w:val="left"/>
      <w:lvlText w:val="%1)"/>
      <w:numFmt w:val="lowerLetter"/>
      <w:start w:val="1"/>
    </w:lvl>
  </w:abstractNum>
  <w:abstractNum w:abstractNumId="30">
    <w:nsid w:val="520EEDD1"/>
    <w:multiLevelType w:val="hybridMultilevel"/>
    <w:lvl w:ilvl="0">
      <w:lvlJc w:val="left"/>
      <w:lvlText w:val="%1."/>
      <w:numFmt w:val="lowerLetter"/>
      <w:start w:val="16"/>
    </w:lvl>
  </w:abstractNum>
  <w:abstractNum w:abstractNumId="31">
    <w:nsid w:val="374A3FE6"/>
    <w:multiLevelType w:val="hybridMultilevel"/>
    <w:lvl w:ilvl="0">
      <w:lvlJc w:val="left"/>
      <w:lvlText w:val="%1."/>
      <w:numFmt w:val="lowerLetter"/>
      <w:start w:val="17"/>
    </w:lvl>
  </w:abstractNum>
  <w:abstractNum w:abstractNumId="32">
    <w:nsid w:val="4F4EF005"/>
    <w:multiLevelType w:val="hybridMultilevel"/>
    <w:lvl w:ilvl="0">
      <w:lvlJc w:val="left"/>
      <w:lvlText w:val="%1."/>
      <w:numFmt w:val="lowerLetter"/>
      <w:start w:val="18"/>
    </w:lvl>
  </w:abstractNum>
  <w:abstractNum w:abstractNumId="33">
    <w:nsid w:val="23F9C13C"/>
    <w:multiLevelType w:val="hybridMultilevel"/>
    <w:lvl w:ilvl="0">
      <w:lvlJc w:val="left"/>
      <w:lvlText w:val="%1."/>
      <w:numFmt w:val="lowerLetter"/>
      <w:start w:val="19"/>
    </w:lvl>
  </w:abstractNum>
  <w:abstractNum w:abstractNumId="34">
    <w:nsid w:val="649BB77C"/>
    <w:multiLevelType w:val="hybridMultilevel"/>
    <w:lvl w:ilvl="0">
      <w:lvlJc w:val="left"/>
      <w:lvlText w:val="%1."/>
      <w:numFmt w:val="lowerLetter"/>
      <w:start w:val="20"/>
    </w:lvl>
  </w:abstractNum>
  <w:abstractNum w:abstractNumId="35">
    <w:nsid w:val="275AC794"/>
    <w:multiLevelType w:val="hybridMultilevel"/>
    <w:lvl w:ilvl="0">
      <w:lvlJc w:val="left"/>
      <w:lvlText w:val="%1."/>
      <w:numFmt w:val="decimal"/>
      <w:start w:val="3"/>
    </w:lvl>
  </w:abstractNum>
  <w:abstractNum w:abstractNumId="36">
    <w:nsid w:val="39386575"/>
    <w:multiLevelType w:val="hybridMultilevel"/>
    <w:lvl w:ilvl="0">
      <w:lvlJc w:val="left"/>
      <w:lvlText w:val="(%1)"/>
      <w:numFmt w:val="decimal"/>
      <w:start w:val="4"/>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4"/>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1."/>
      <w:numFmt w:val="decimal"/>
      <w:start w:val="6"/>
    </w:lvl>
  </w:abstractNum>
  <w:abstractNum w:abstractNumId="42">
    <w:nsid w:val="15B5AF5C"/>
    <w:multiLevelType w:val="hybridMultilevel"/>
    <w:lvl w:ilvl="0">
      <w:lvlJc w:val="left"/>
      <w:lvlText w:val="(%1)"/>
      <w:numFmt w:val="lowerLetter"/>
      <w:start w:val="1"/>
    </w:lvl>
  </w:abstractNum>
  <w:abstractNum w:abstractNumId="43">
    <w:nsid w:val="741226BB"/>
    <w:multiLevelType w:val="hybridMultilevel"/>
    <w:lvl w:ilvl="0">
      <w:lvlJc w:val="left"/>
      <w:lvlText w:val="%1."/>
      <w:numFmt w:val="decimal"/>
      <w:start w:val="7"/>
    </w:lvl>
  </w:abstractNum>
  <w:abstractNum w:abstractNumId="44">
    <w:nsid w:val="D34B6A8"/>
    <w:multiLevelType w:val="hybridMultilevel"/>
    <w:lvl w:ilvl="0">
      <w:lvlJc w:val="left"/>
      <w:lvlText w:val="%1."/>
      <w:numFmt w:val="decimal"/>
      <w:start w:val="8"/>
    </w:lvl>
  </w:abstractNum>
  <w:abstractNum w:abstractNumId="45">
    <w:nsid w:val="10233C99"/>
    <w:multiLevelType w:val="hybridMultilevel"/>
    <w:lvl w:ilvl="0">
      <w:lvlJc w:val="left"/>
      <w:lvlText w:val="%1."/>
      <w:numFmt w:val="decimal"/>
      <w:start w:val="9"/>
    </w:lvl>
  </w:abstractNum>
  <w:abstractNum w:abstractNumId="46">
    <w:nsid w:val="3F6AB60F"/>
    <w:multiLevelType w:val="hybridMultilevel"/>
    <w:lvl w:ilvl="0">
      <w:lvlJc w:val="left"/>
      <w:lvlText w:val="%1."/>
      <w:numFmt w:val="decimal"/>
      <w:start w:val="10"/>
    </w:lvl>
  </w:abstractNum>
  <w:abstractNum w:abstractNumId="47">
    <w:nsid w:val="61574095"/>
    <w:multiLevelType w:val="hybridMultilevel"/>
    <w:lvl w:ilvl="0">
      <w:lvlJc w:val="left"/>
      <w:lvlText w:val="%1."/>
      <w:numFmt w:val="decimal"/>
      <w:start w:val="11"/>
    </w:lvl>
  </w:abstractNum>
  <w:abstractNum w:abstractNumId="48">
    <w:nsid w:val="7E0C57B1"/>
    <w:multiLevelType w:val="hybridMultilevel"/>
    <w:lvl w:ilvl="0">
      <w:lvlJc w:val="left"/>
      <w:lvlText w:val="%1."/>
      <w:numFmt w:val="decimal"/>
      <w:start w:val="12"/>
    </w:lvl>
  </w:abstractNum>
  <w:abstractNum w:abstractNumId="49">
    <w:nsid w:val="77AE35EB"/>
    <w:multiLevelType w:val="hybridMultilevel"/>
    <w:lvl w:ilvl="0">
      <w:lvlJc w:val="left"/>
      <w:lvlText w:val="%1."/>
      <w:numFmt w:val="decimal"/>
      <w:start w:val="13"/>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1)"/>
      <w:numFmt w:val="decimal"/>
      <w:start w:val="2"/>
    </w:lvl>
  </w:abstractNum>
  <w:abstractNum w:abstractNumId="52">
    <w:nsid w:val="5FF87E05"/>
    <w:multiLevelType w:val="hybridMultilevel"/>
    <w:lvl w:ilvl="0">
      <w:lvlJc w:val="left"/>
      <w:lvlText w:val="%1."/>
      <w:numFmt w:val="decimal"/>
      <w:start w:val="14"/>
    </w:lvl>
  </w:abstractNum>
  <w:abstractNum w:abstractNumId="53">
    <w:nsid w:val="2F305DEF"/>
    <w:multiLevelType w:val="hybridMultilevel"/>
    <w:lvl w:ilvl="0">
      <w:lvlJc w:val="left"/>
      <w:lvlText w:val="%1."/>
      <w:numFmt w:val="decimal"/>
      <w:start w:val="15"/>
    </w:lvl>
  </w:abstractNum>
  <w:abstractNum w:abstractNumId="54">
    <w:nsid w:val="25A70BF7"/>
    <w:multiLevelType w:val="hybridMultilevel"/>
    <w:lvl w:ilvl="0">
      <w:lvlJc w:val="left"/>
      <w:lvlText w:val="%1."/>
      <w:numFmt w:val="decimal"/>
      <w:start w:val="16"/>
    </w:lvl>
  </w:abstractNum>
  <w:abstractNum w:abstractNumId="55">
    <w:nsid w:val="1DBABF00"/>
    <w:multiLevelType w:val="hybridMultilevel"/>
    <w:lvl w:ilvl="0">
      <w:lvlJc w:val="left"/>
      <w:lvlText w:val="%1."/>
      <w:numFmt w:val="decimal"/>
      <w:start w:val="17"/>
    </w:lvl>
  </w:abstractNum>
  <w:abstractNum w:abstractNumId="56">
    <w:nsid w:val="4AD084E9"/>
    <w:multiLevelType w:val="hybridMultilevel"/>
    <w:lvl w:ilvl="0">
      <w:lvlJc w:val="left"/>
      <w:lvlText w:val="%1."/>
      <w:numFmt w:val="decimal"/>
      <w:start w:val="18"/>
    </w:lvl>
  </w:abstractNum>
  <w:abstractNum w:abstractNumId="57">
    <w:nsid w:val="1F48EAA1"/>
    <w:multiLevelType w:val="hybridMultilevel"/>
    <w:lvl w:ilvl="0">
      <w:lvlJc w:val="left"/>
      <w:lvlText w:val="%1)"/>
      <w:numFmt w:val="lowerLetter"/>
      <w:start w:val="1"/>
    </w:lvl>
  </w:abstractNum>
  <w:abstractNum w:abstractNumId="58">
    <w:nsid w:val="1381823A"/>
    <w:multiLevelType w:val="hybridMultilevel"/>
    <w:lvl w:ilvl="0">
      <w:lvlJc w:val="left"/>
      <w:lvlText w:val="(%1)"/>
      <w:numFmt w:val="lowerLetter"/>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lowerLetter"/>
      <w:start w:val="4"/>
    </w:lvl>
  </w:abstractNum>
  <w:abstractNum w:abstractNumId="62">
    <w:nsid w:val="15014ACB"/>
    <w:multiLevelType w:val="hybridMultilevel"/>
    <w:lvl w:ilvl="0">
      <w:lvlJc w:val="left"/>
      <w:lvlText w:val="(%1)"/>
      <w:numFmt w:val="lowerLetter"/>
      <w:start w:val="1"/>
    </w:lvl>
  </w:abstractNum>
  <w:abstractNum w:abstractNumId="63">
    <w:nsid w:val="5F5E7FD0"/>
    <w:multiLevelType w:val="hybridMultilevel"/>
    <w:lvl w:ilvl="0">
      <w:lvlJc w:val="left"/>
      <w:lvlText w:val="%1."/>
      <w:numFmt w:val="decimal"/>
      <w:start w:val="1"/>
    </w:lvl>
  </w:abstractNum>
  <w:abstractNum w:abstractNumId="64">
    <w:nsid w:val="98A3148"/>
    <w:multiLevelType w:val="hybridMultilevel"/>
    <w:lvl w:ilvl="0">
      <w:lvlJc w:val="left"/>
      <w:lvlText w:val="(%1)"/>
      <w:numFmt w:val="lowerLetter"/>
      <w:start w:val="2"/>
    </w:lvl>
    <w:lvl w:ilvl="1">
      <w:lvlJc w:val="left"/>
      <w:lvlText w:val="\emdash "/>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68">
    <w:nsid w:val="168E121F"/>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69">
    <w:nsid w:val="1EBA5D23"/>
    <w:multiLevelType w:val="hybridMultilevel"/>
    <w:lvl w:ilvl="0">
      <w:lvlJc w:val="left"/>
      <w:lvlText w:val="1"/>
      <w:numFmt w:val="bullet"/>
      <w:start w:val="1"/>
    </w:lvl>
  </w:abstractNum>
  <w:abstractNum w:abstractNumId="70">
    <w:nsid w:val="661E3F1E"/>
    <w:multiLevelType w:val="hybridMultilevel"/>
    <w:lvl w:ilvl="0">
      <w:lvlJc w:val="left"/>
      <w:lvlText w:val="%1."/>
      <w:numFmt w:val="decimal"/>
      <w:start w:val="3"/>
    </w:lvl>
  </w:abstractNum>
  <w:abstractNum w:abstractNumId="71">
    <w:nsid w:val="5DC79EA8"/>
    <w:multiLevelType w:val="hybridMultilevel"/>
    <w:lvl w:ilvl="0">
      <w:lvlJc w:val="left"/>
      <w:lvlText w:val="(%1)"/>
      <w:numFmt w:val="decimal"/>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2019-12-05T02:39:00Z</dcterms:created>
  <dcterms:modified xsi:type="dcterms:W3CDTF">2019-12-05T02:39:00Z</dcterms:modified>
</cp:coreProperties>
</file>