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2640" w:right="2839" w:hanging="2316"/>
        <w:spacing w:after="0" w:line="235" w:lineRule="auto"/>
        <w:tabs>
          <w:tab w:leader="none" w:pos="148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JULY 29, 2000</w:t>
      </w:r>
    </w:p>
    <w:p>
      <w:pPr>
        <w:ind w:left="6120"/>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left="1480" w:right="2739" w:hanging="1156"/>
        <w:spacing w:after="0" w:line="235" w:lineRule="auto"/>
        <w:tabs>
          <w:tab w:leader="none" w:pos="-6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1-7819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26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MASSACHUSETTS</w:t>
            </w:r>
          </w:p>
        </w:tc>
        <w:tc>
          <w:tcPr>
            <w:tcW w:w="1900" w:type="dxa"/>
            <w:vAlign w:val="bottom"/>
          </w:tcPr>
          <w:p>
            <w:pPr>
              <w:spacing w:after="0"/>
              <w:rPr>
                <w:sz w:val="17"/>
                <w:szCs w:val="17"/>
                <w:color w:val="auto"/>
              </w:rPr>
            </w:pPr>
          </w:p>
        </w:tc>
        <w:tc>
          <w:tcPr>
            <w:tcW w:w="300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or other jurisdiction of</w:t>
            </w:r>
          </w:p>
        </w:tc>
        <w:tc>
          <w:tcPr>
            <w:tcW w:w="1900" w:type="dxa"/>
            <w:vAlign w:val="bottom"/>
          </w:tcPr>
          <w:p>
            <w:pPr>
              <w:spacing w:after="0"/>
              <w:rPr>
                <w:sz w:val="17"/>
                <w:szCs w:val="17"/>
                <w:color w:val="auto"/>
              </w:rPr>
            </w:pP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1900" w:type="dxa"/>
            <w:vAlign w:val="bottom"/>
          </w:tcPr>
          <w:p>
            <w:pPr>
              <w:spacing w:after="0"/>
              <w:rPr>
                <w:sz w:val="17"/>
                <w:szCs w:val="17"/>
                <w:color w:val="auto"/>
              </w:rPr>
            </w:pPr>
          </w:p>
        </w:tc>
        <w:tc>
          <w:tcPr>
            <w:tcW w:w="30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ONE</w:t>
            </w:r>
          </w:p>
        </w:tc>
        <w:tc>
          <w:tcPr>
            <w:tcW w:w="2620" w:type="dxa"/>
            <w:vAlign w:val="bottom"/>
          </w:tcPr>
          <w:p>
            <w:pPr>
              <w:jc w:val="right"/>
              <w:spacing w:after="0"/>
              <w:rPr>
                <w:sz w:val="20"/>
                <w:szCs w:val="20"/>
                <w:color w:val="auto"/>
              </w:rPr>
            </w:pPr>
            <w:r>
              <w:rPr>
                <w:rFonts w:ascii="Courier New" w:cs="Courier New" w:eastAsia="Courier New" w:hAnsi="Courier New"/>
                <w:sz w:val="18"/>
                <w:szCs w:val="18"/>
                <w:color w:val="auto"/>
                <w:w w:val="98"/>
              </w:rPr>
              <w:t>TECHNOLOGY WAY, NORWOOD,</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MA</w:t>
            </w:r>
          </w:p>
        </w:tc>
        <w:tc>
          <w:tcPr>
            <w:tcW w:w="300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(Address of principal executive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offices)</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329-4700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August 26, 2000 was 357,604,596 shares of Common Stock.</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tbl>
      <w:tblPr>
        <w:tblLayout w:type="fixed"/>
        <w:tblInd w:w="0" w:type="dxa"/>
        <w:tblCellMar>
          <w:top w:w="0" w:type="dxa"/>
          <w:left w:w="0" w:type="dxa"/>
          <w:bottom w:w="0" w:type="dxa"/>
          <w:right w:w="0" w:type="dxa"/>
        </w:tblCellMar>
      </w:tblPr>
      <w:tr>
        <w:trPr>
          <w:trHeight w:val="203"/>
        </w:trPr>
        <w:tc>
          <w:tcPr>
            <w:tcW w:w="538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w w:val="96"/>
              </w:rPr>
              <w:t>FINANCIAL INFORMATION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538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380" w:type="dxa"/>
            <w:vAlign w:val="bottom"/>
          </w:tcPr>
          <w:p>
            <w:pPr>
              <w:spacing w:after="0"/>
              <w:rPr>
                <w:sz w:val="17"/>
                <w:szCs w:val="17"/>
                <w:color w:val="auto"/>
              </w:rPr>
            </w:pP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JULY 29, 2000</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JULY 31, 1999</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$ 700,658</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$ 378,776</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300,519</w:t>
            </w:r>
          </w:p>
        </w:tc>
        <w:tc>
          <w:tcPr>
            <w:tcW w:w="6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190,481</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400,139</w:t>
            </w:r>
          </w:p>
        </w:tc>
        <w:tc>
          <w:tcPr>
            <w:tcW w:w="6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188,295</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103,429</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67,142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marketing, general</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77,198</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54,589</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180,627</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121,731</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219,512</w:t>
            </w:r>
          </w:p>
        </w:tc>
        <w:tc>
          <w:tcPr>
            <w:tcW w:w="6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66,564</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Nonoperating (income) expenses: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360</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(15,769)</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(6,881)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(44,020)</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(59,429)</w:t>
            </w:r>
          </w:p>
        </w:tc>
        <w:tc>
          <w:tcPr>
            <w:tcW w:w="6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(5,280)</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278,941</w:t>
            </w:r>
          </w:p>
        </w:tc>
        <w:tc>
          <w:tcPr>
            <w:tcW w:w="6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71,844</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6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86,740</w:t>
            </w:r>
          </w:p>
        </w:tc>
        <w:tc>
          <w:tcPr>
            <w:tcW w:w="64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17,243</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5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$ 192,201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54,601</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 basic</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355,018</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345,420</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to compute earnings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 diluted</w:t>
            </w:r>
          </w:p>
        </w:tc>
        <w:tc>
          <w:tcPr>
            <w:tcW w:w="36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383,544</w:t>
            </w:r>
          </w:p>
        </w:tc>
        <w:tc>
          <w:tcPr>
            <w:tcW w:w="64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366,960</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0.54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0.16</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5380" w:type="dxa"/>
            <w:vAlign w:val="bottom"/>
          </w:tcPr>
          <w:p>
            <w:pPr>
              <w:spacing w:after="0"/>
              <w:rPr>
                <w:sz w:val="17"/>
                <w:szCs w:val="17"/>
                <w:color w:val="auto"/>
              </w:rPr>
            </w:pPr>
          </w:p>
        </w:tc>
        <w:tc>
          <w:tcPr>
            <w:tcW w:w="15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013"/>
        </w:trPr>
        <w:tc>
          <w:tcPr>
            <w:tcW w:w="4860" w:type="dxa"/>
            <w:vAlign w:val="bottom"/>
          </w:tcPr>
          <w:p>
            <w:pPr>
              <w:ind w:left="3900"/>
              <w:spacing w:after="0"/>
              <w:rPr>
                <w:sz w:val="20"/>
                <w:szCs w:val="20"/>
                <w:color w:val="auto"/>
              </w:rPr>
            </w:pPr>
            <w:r>
              <w:rPr>
                <w:rFonts w:ascii="Courier New" w:cs="Courier New" w:eastAsia="Courier New" w:hAnsi="Courier New"/>
                <w:sz w:val="18"/>
                <w:szCs w:val="18"/>
                <w:color w:val="auto"/>
              </w:rPr>
              <w:t>PART I</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810"/>
        </w:trPr>
        <w:tc>
          <w:tcPr>
            <w:tcW w:w="4860" w:type="dxa"/>
            <w:vAlign w:val="bottom"/>
          </w:tcPr>
          <w:p>
            <w:pPr>
              <w:spacing w:after="0"/>
              <w:rPr>
                <w:sz w:val="20"/>
                <w:szCs w:val="20"/>
                <w:color w:val="auto"/>
              </w:rPr>
            </w:pPr>
            <w:r>
              <w:rPr>
                <w:rFonts w:ascii="Courier New" w:cs="Courier New" w:eastAsia="Courier New" w:hAnsi="Courier New"/>
                <w:sz w:val="18"/>
                <w:szCs w:val="18"/>
                <w:color w:val="auto"/>
              </w:rPr>
              <w:t>ITEM 1. FINANCIAL STATEMENTS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840" w:type="dxa"/>
            <w:vAlign w:val="bottom"/>
          </w:tcPr>
          <w:p>
            <w:pPr>
              <w:spacing w:after="0"/>
              <w:rPr>
                <w:sz w:val="24"/>
                <w:szCs w:val="24"/>
                <w:color w:val="auto"/>
              </w:rPr>
            </w:pPr>
          </w:p>
        </w:tc>
      </w:tr>
      <w:tr>
        <w:trPr>
          <w:trHeight w:val="203"/>
        </w:trPr>
        <w:tc>
          <w:tcPr>
            <w:tcW w:w="486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JULY 29, 2000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JULY 31, 1999</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$ 1,771,930</w:t>
            </w:r>
          </w:p>
        </w:tc>
        <w:tc>
          <w:tcPr>
            <w:tcW w:w="16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$ 1,019,343</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782,790</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529,721</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989,140</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489,622</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277,143</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181,625</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Write-off of purchased in-process</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5,140</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marketing, general</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212,795</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149,937</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489,938</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336,702</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499,202</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152,920</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Equity in loss of WaferTech</w:t>
            </w:r>
          </w:p>
        </w:tc>
        <w:tc>
          <w:tcPr>
            <w:tcW w:w="68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(income) expenses: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2,863</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8,182</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6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(41,270)</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(17,298)</w:t>
            </w: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6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(42,757)</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(81,164)</w:t>
            </w:r>
          </w:p>
        </w:tc>
        <w:tc>
          <w:tcPr>
            <w:tcW w:w="8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(8,138)</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580,366</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159,909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173,106</w:t>
            </w:r>
          </w:p>
        </w:tc>
        <w:tc>
          <w:tcPr>
            <w:tcW w:w="8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36,308</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407,260</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123,601</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 basic</w:t>
            </w: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352,359</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332,862</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to compute earnings</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 - diluted</w:t>
            </w:r>
          </w:p>
        </w:tc>
        <w:tc>
          <w:tcPr>
            <w:tcW w:w="6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380,107</w:t>
            </w:r>
          </w:p>
        </w:tc>
        <w:tc>
          <w:tcPr>
            <w:tcW w:w="8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360,690</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1.15</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0.37</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1.07</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0.35</w:t>
            </w:r>
          </w:p>
        </w:tc>
      </w:tr>
      <w:tr>
        <w:trPr>
          <w:trHeight w:val="203"/>
        </w:trPr>
        <w:tc>
          <w:tcPr>
            <w:tcW w:w="48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78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35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JULY 29, 2000</w:t>
            </w:r>
          </w:p>
        </w:tc>
        <w:tc>
          <w:tcPr>
            <w:tcW w:w="1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30, 1999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JULY 31, 1999</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619,084</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355,891</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405,627</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439,323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406,553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231,505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420,440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260,871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247,674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Raw materials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16,101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13,735</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13,909</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172,682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150,427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155,096</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Finished goods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125,118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84,774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86,580</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313,901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248,936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255,585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115,000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89,780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25,629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17,079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13,844</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1,933,377</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1,379,110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1,249,235</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cost:</w:t>
            </w: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201,488</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166,130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162,840</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1,195,596</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1,088,939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1,066,595</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83,334</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74,530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73,627</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115,945</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108,530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106,685</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1,596,363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1,438,129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1,409,747</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Less accumulated depreciation</w:t>
            </w: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892,481</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795,323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763,423</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Net property, plant and equipment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703,882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642,806</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646,324</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249,566</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119,301</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104,297</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36,652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30,563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29,619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27,822</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46,574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46,702</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314,040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196,438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180,618</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$2,951,299</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$2,218,354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$2,076,177</w:t>
            </w:r>
          </w:p>
        </w:tc>
      </w:tr>
      <w:tr>
        <w:trPr>
          <w:trHeight w:val="203"/>
        </w:trPr>
        <w:tc>
          <w:tcPr>
            <w:tcW w:w="35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17"/>
                <w:szCs w:val="17"/>
                <w:color w:val="auto"/>
              </w:rPr>
            </w:pP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JULY 29,</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30,</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JULY 31,</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8,832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82,344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2,606</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11,884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14,717</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14,607</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162,744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103,368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88,115</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distributors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134,269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100,788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103,763</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161,667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66,761</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61,582</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138,251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111,285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87,119</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617,647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479,263</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357,792</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11,168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16,214</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19,842</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49,000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40,002</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38,000</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214,730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66,844</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61,458</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274,898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123,060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199,300</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Preferred stock, $1.00 par</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value, 471,934 shares authorized,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none outstanding</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357,314,704 shares issued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(178,049,189 in October 1999</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and 177,481,502 in July 1999)</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59,554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29,675</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29,581</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479,532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523,106</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501,609</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1,518,071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1,110,811</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1,037,593</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12,209</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7,942</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2,060,922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1,675,801</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1,576,725</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26,593 shares in treasury, at</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(3,161,774 in October 1999</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3,133,179 in July 1999)</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59,770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57,640</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2,058,754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1,616,031</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1,519,085</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$2,951,299</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$2,218,354</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$2,076,177</w:t>
            </w:r>
          </w:p>
        </w:tc>
      </w:tr>
      <w:tr>
        <w:trPr>
          <w:trHeight w:val="203"/>
        </w:trPr>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2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54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JULY 29, 2000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JULY 31, 1999</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$ 407,260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$ 123,601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to net cash provided</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operations: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110,444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106,827</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investment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(43,857)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Write-off of purchased research</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development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5,140</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in loss of WaferTech,</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dividends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1,149</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(20,865)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9,314</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non-cash expense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3,127</w:t>
            </w: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operating assets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liabilities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(17,984)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14,798</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28,296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140,355</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435,556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263,956</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(589,408)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(356,918)</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556,638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166,988</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for acquisitions, net of</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acquired</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(5,176)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(20,019)</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sale of investment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64,641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long-term investments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105,501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net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(167,895)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(46,451)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other assets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4,904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5,040</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(135,948)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(145,859)</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41,093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31,444</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Payments on capital lease</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(7,878)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(10,591)</w:t>
            </w: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(decrease) increase in variable</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rate borrowings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(73,317)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2,265</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provided by</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(40,102)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23,118</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3,687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1,081</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263,193</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142,296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355,891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263,331</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at end of period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$ 619,084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$ 405,627</w:t>
            </w:r>
          </w:p>
        </w:tc>
      </w:tr>
      <w:tr>
        <w:trPr>
          <w:trHeight w:val="203"/>
        </w:trPr>
        <w:tc>
          <w:tcPr>
            <w:tcW w:w="45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INFORMATION Non-cash disclosure:</w:t>
      </w:r>
    </w:p>
    <w:p>
      <w:pPr>
        <w:ind w:left="420"/>
        <w:spacing w:after="0" w:line="238" w:lineRule="auto"/>
        <w:rPr>
          <w:sz w:val="20"/>
          <w:szCs w:val="20"/>
          <w:color w:val="auto"/>
        </w:rPr>
      </w:pPr>
      <w:r>
        <w:rPr>
          <w:rFonts w:ascii="Courier New" w:cs="Courier New" w:eastAsia="Courier New" w:hAnsi="Courier New"/>
          <w:sz w:val="18"/>
          <w:szCs w:val="18"/>
          <w:color w:val="auto"/>
        </w:rPr>
        <w:t>Conversion of 3 1/2% Subordinated Notes</w:t>
      </w:r>
    </w:p>
    <w:p>
      <w:pPr>
        <w:sectPr>
          <w:pgSz w:w="11900" w:h="16838" w:orient="portrait"/>
          <w:cols w:equalWidth="0" w:num="1">
            <w:col w:w="10219"/>
          </w:cols>
          <w:pgMar w:left="240" w:top="312" w:right="1440" w:bottom="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6"/>
          <w:szCs w:val="16"/>
          <w:color w:val="auto"/>
        </w:rPr>
        <w:t>to common stock</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$ 229,952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140" w:space="720"/>
            <w:col w:w="1060" w:space="720"/>
            <w:col w:w="3579"/>
          </w:cols>
          <w:pgMar w:left="240" w:top="142"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4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5"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For the three months and nine months ended July 29, 2000 (all tabular amounts in thousands except per share amounts)</w:t>
      </w:r>
    </w:p>
    <w:p>
      <w:pPr>
        <w:spacing w:after="0" w:line="37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condensed consolidated financial statements reflects all normal recurring adjustments that are necessary to fairly state the results for this interim period and should be read in conjunction with Analog Devices, Inc. (the "Company") Annual Report to Stockholders on Form 10-K for the fiscal year ended October 30, 1999 (1999 Annual Report).</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fiscal 2000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Comprehensive Income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comprehensive income, i.e., net income plus available-for-sale securities valuation adjustments and currency translation adjustments to stockholders' equity, for the third quarters of fiscal 2000 and fiscal 1999 was $170 million and $55 million, respectively. For the first nine months of fiscal 2000 and fiscal 1999, total comprehensive income was $399 million and $126 million,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Earnings Per Share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8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800" w:type="dxa"/>
            <w:vAlign w:val="bottom"/>
          </w:tcPr>
          <w:p>
            <w:pPr>
              <w:spacing w:after="0"/>
              <w:rPr>
                <w:sz w:val="17"/>
                <w:szCs w:val="17"/>
                <w:color w:val="auto"/>
              </w:rPr>
            </w:pPr>
          </w:p>
        </w:tc>
        <w:tc>
          <w:tcPr>
            <w:tcW w:w="4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JULY 29, 2000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JULY 31, 1999</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$192,201</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$ 54,601</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940" w:type="dxa"/>
            <w:vAlign w:val="bottom"/>
          </w:tcPr>
          <w:p>
            <w:pPr>
              <w:spacing w:after="0"/>
              <w:rPr>
                <w:sz w:val="24"/>
                <w:szCs w:val="24"/>
                <w:color w:val="auto"/>
              </w:rPr>
            </w:pPr>
          </w:p>
        </w:tc>
        <w:tc>
          <w:tcPr>
            <w:tcW w:w="164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5"/>
              </w:rPr>
              <w:t>355,018</w:t>
            </w:r>
          </w:p>
        </w:tc>
        <w:tc>
          <w:tcPr>
            <w:tcW w:w="90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345,420</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0.54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0.16</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$192,201</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$ 54,601</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shares outstanding</w:t>
            </w:r>
          </w:p>
        </w:tc>
        <w:tc>
          <w:tcPr>
            <w:tcW w:w="9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355,018</w:t>
            </w:r>
          </w:p>
        </w:tc>
        <w:tc>
          <w:tcPr>
            <w:tcW w:w="9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345,420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exercise of common</w:t>
            </w: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9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28,526</w:t>
            </w:r>
          </w:p>
        </w:tc>
        <w:tc>
          <w:tcPr>
            <w:tcW w:w="9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21,540</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and</w:t>
            </w: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equivalent shares</w:t>
            </w:r>
          </w:p>
        </w:tc>
        <w:tc>
          <w:tcPr>
            <w:tcW w:w="94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383,544</w:t>
            </w:r>
          </w:p>
        </w:tc>
        <w:tc>
          <w:tcPr>
            <w:tcW w:w="9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366,960</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0.15</w:t>
            </w:r>
          </w:p>
        </w:tc>
      </w:tr>
      <w:tr>
        <w:trPr>
          <w:trHeight w:val="203"/>
        </w:trPr>
        <w:tc>
          <w:tcPr>
            <w:tcW w:w="3800" w:type="dxa"/>
            <w:vAlign w:val="bottom"/>
          </w:tcPr>
          <w:p>
            <w:pPr>
              <w:spacing w:after="0"/>
              <w:rPr>
                <w:sz w:val="17"/>
                <w:szCs w:val="17"/>
                <w:color w:val="auto"/>
              </w:rPr>
            </w:pPr>
          </w:p>
        </w:tc>
        <w:tc>
          <w:tcPr>
            <w:tcW w:w="25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987"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28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4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96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4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JULY 29, 2000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JULY 31, 1999</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$407,260</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$123,601</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Weighted shares outstanding</w:t>
            </w:r>
          </w:p>
        </w:tc>
        <w:tc>
          <w:tcPr>
            <w:tcW w:w="880" w:type="dxa"/>
            <w:vAlign w:val="bottom"/>
          </w:tcPr>
          <w:p>
            <w:pPr>
              <w:spacing w:after="0"/>
              <w:rPr>
                <w:sz w:val="24"/>
                <w:szCs w:val="24"/>
                <w:color w:val="auto"/>
              </w:rPr>
            </w:pP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5"/>
              </w:rPr>
              <w:t>352,359</w:t>
            </w:r>
          </w:p>
        </w:tc>
        <w:tc>
          <w:tcPr>
            <w:tcW w:w="8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332,862</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Earnings per share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1.15</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0.37</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$407,260</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$123,601</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related to convertible</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subordinated notes, net of tax</w:t>
            </w:r>
          </w:p>
        </w:tc>
        <w:tc>
          <w:tcPr>
            <w:tcW w:w="880" w:type="dxa"/>
            <w:vAlign w:val="bottom"/>
          </w:tcPr>
          <w:p>
            <w:pPr>
              <w:spacing w:after="0"/>
              <w:rPr>
                <w:sz w:val="17"/>
                <w:szCs w:val="17"/>
                <w:color w:val="auto"/>
              </w:rPr>
            </w:pPr>
          </w:p>
        </w:tc>
        <w:tc>
          <w:tcPr>
            <w:tcW w:w="14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1,906</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Earnings available for common stock</w:t>
            </w:r>
          </w:p>
        </w:tc>
        <w:tc>
          <w:tcPr>
            <w:tcW w:w="232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$407,260</w:t>
            </w:r>
          </w:p>
        </w:tc>
        <w:tc>
          <w:tcPr>
            <w:tcW w:w="1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$125,507</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Weighted shares outstanding</w:t>
            </w:r>
          </w:p>
        </w:tc>
        <w:tc>
          <w:tcPr>
            <w:tcW w:w="880" w:type="dxa"/>
            <w:vAlign w:val="bottom"/>
          </w:tcPr>
          <w:p>
            <w:pPr>
              <w:spacing w:after="0"/>
              <w:rPr>
                <w:sz w:val="24"/>
                <w:szCs w:val="24"/>
                <w:color w:val="auto"/>
              </w:rPr>
            </w:pP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5"/>
              </w:rPr>
              <w:t>352,359</w:t>
            </w:r>
          </w:p>
        </w:tc>
        <w:tc>
          <w:tcPr>
            <w:tcW w:w="88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332,862</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exercise of common stock</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equivalents</w:t>
            </w:r>
          </w:p>
        </w:tc>
        <w:tc>
          <w:tcPr>
            <w:tcW w:w="880" w:type="dxa"/>
            <w:vAlign w:val="bottom"/>
          </w:tcPr>
          <w:p>
            <w:pPr>
              <w:spacing w:after="0"/>
              <w:rPr>
                <w:sz w:val="17"/>
                <w:szCs w:val="17"/>
                <w:color w:val="auto"/>
              </w:rPr>
            </w:pPr>
          </w:p>
        </w:tc>
        <w:tc>
          <w:tcPr>
            <w:tcW w:w="14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27,748</w:t>
            </w:r>
          </w:p>
        </w:tc>
        <w:tc>
          <w:tcPr>
            <w:tcW w:w="8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27,828</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880" w:type="dxa"/>
            <w:vAlign w:val="bottom"/>
          </w:tcPr>
          <w:p>
            <w:pPr>
              <w:spacing w:after="0"/>
              <w:rPr>
                <w:sz w:val="17"/>
                <w:szCs w:val="17"/>
                <w:color w:val="auto"/>
              </w:rPr>
            </w:pPr>
          </w:p>
        </w:tc>
        <w:tc>
          <w:tcPr>
            <w:tcW w:w="14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5"/>
              </w:rPr>
              <w:t>380,107</w:t>
            </w:r>
          </w:p>
        </w:tc>
        <w:tc>
          <w:tcPr>
            <w:tcW w:w="88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360,690</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ind w:left="120"/>
              <w:spacing w:after="0"/>
              <w:rPr>
                <w:sz w:val="20"/>
                <w:szCs w:val="20"/>
                <w:color w:val="auto"/>
              </w:rPr>
            </w:pPr>
            <w:r>
              <w:rPr>
                <w:rFonts w:ascii="Courier New" w:cs="Courier New" w:eastAsia="Courier New" w:hAnsi="Courier New"/>
                <w:sz w:val="18"/>
                <w:szCs w:val="18"/>
                <w:color w:val="auto"/>
              </w:rPr>
              <w:t>Earnings per share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1.07</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0.35</w:t>
            </w:r>
          </w:p>
        </w:tc>
      </w:tr>
      <w:tr>
        <w:trPr>
          <w:trHeight w:val="203"/>
        </w:trPr>
        <w:tc>
          <w:tcPr>
            <w:tcW w:w="4280" w:type="dxa"/>
            <w:vAlign w:val="bottom"/>
          </w:tcPr>
          <w:p>
            <w:pPr>
              <w:spacing w:after="0"/>
              <w:rPr>
                <w:sz w:val="17"/>
                <w:szCs w:val="17"/>
                <w:color w:val="auto"/>
              </w:rPr>
            </w:pPr>
          </w:p>
        </w:tc>
        <w:tc>
          <w:tcPr>
            <w:tcW w:w="2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Investments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third quarter of fiscal 2000, the Company sold its investment in the common stock of Chartered Semiconductor Manufacturing Pte., Ltd. The Company received approximately $65 million in cash and realized a pretax gain of approximately $44 million. The realized gain is included in other nonoperating income.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1999, the Company completed the sale of approximately 78% of its equity ownership in WaferTech, LLC, its joint venture with Taiwan Semiconductor Manufacturing Company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Convertible Debt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Acquisitions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30, 2000, the Company announced an offer to acquire BCO Technologies plc (BCO), a company incorporated in Northern Ireland and based in Belfast, in a cash-for-stock transaction valued at approximately $150 million. BCO is a leading supplier of silicon-on-insulator wafers used for fabricating micromechanical optical devices for optical switching and communications applications. The offer has been unconditionally accepted by BCO's shareholders under applicable laws and the transaction is anticipated to be completed in the fourth quarter of fiscal 2000. The Company expects no significant in-process research and development charge related to this acquisition.</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0"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up to a maximum of $10 million (to be accounted for as additional goodwill) payable if the acquired companies achieve certain revenue and operational objectives. As of July 29, 2000, approximately $7 million of contingent consideration had been paid. These acquisitions were accounted for as purchases. The excess of the purchase price over the fair value of assets acquired was allocated to existing technology, workforce in place, and tradenames, which are being amortized over periods ranging from six to ten years and goodwill which is being amortized on the straight-line basis over ten years. In connection with these acquisitions, the Company recorded a charge of $5.1 million for the write-off of in-process research and development in the second quarter of fiscal 1999.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Segment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operates in two segments: the design, manufacture and marketing of a broad range of integrated circuits, which comprises approximately 97% of the Company's revenue, and the design, manufacture and marketing of a range of assembled products, which accounts for the remaining 3% of the Company's revenue. Effectively, the Company operates in one reportable segment.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New Accounting Standard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October 31, 1999, the Company adopted Statement of Position 98-1, (SOP 98-1), "Accounting for the Cost of Computer Software Developed for or Obtained for Internal Use." The adoption of SOP 98-1 did not have a material impact on the results of operations or financial position.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Stock Split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15, 2000, the Company's Board of Directors approved a 2-for-1 split of the Company's common stock, effected as a 100% stock dividend on March 15, 2000 by the distribution of one share of common stock for every share held on the record date of February 28, 2000. All historical per share amounts in this report have been restated to reflect the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information should be read in conjunction with the unaudited condensed consolidated financial statements and the notes thereto included in Item 1 of this Quarterly Report and the audited consolidated financial statements and notes thereto and Management Analysis for the fiscal year ended October 30, 1999, contained in the Company's 1999 Annual Report.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the Company's 1999 Annual Report, which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that may be made to reflect events or circumstances after the date hereof or to reflect the occurrence of unanticipated events.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for the third quarter of fiscal 2000 were $701 million, an increase of 85% from the $379 million reported for the third quarter of fiscal 1999. Net sales for the first nine months of fiscal 2000 were $1,772 million, an increase of 74% from the $1,019 million reported for the comparable period of fiscal 1999. Analog IC product sales increased by 71% over the same quarter in fiscal 1999 and 62% over the same nine month period in fiscal 1999. Sales of DSP products increased 143% from the same quarter in fiscal 1999 and 124% over the same nine month period in fiscal 1999. For the quarter and the nine months ended July 29, 2000, sales increased in all markets with communications showing the highest increase. For the third quarter of fiscal 2000, sales to the communications market increased by 131% over the prior year quarter and represented 45% of total sales. The sales increase and growth in the communications market was driven by continued growth in demand for high-speed broadband access to the Internet, wireless infrastructure applications and wireless Internet appliances.</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Sales increased in all geographic regions for both the third quarter and first nine months of fiscal 2000 over the same periods in fiscal 1999, with the largest quarter over quarter increases occurring in Europe and Southeast Asia. International sales for the third quarter of fiscal 2000 represented 57% of sales compared to 54% of sales for the third quarter of fiscal 1999.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margin was 57.1% for the third quarter of fiscal 2000, compared to 49.7% for the third quarter of fiscal 1999. Gross margin was 55.8% for the first three quarters of fiscal 2000 compared to 48.0% for the first three quarters of fiscal 1999. For the quarter and nine months ended July 29, 2000, the improvement in gross margin was primarily due to the favorable effect of fixed costs allocated across a higher sales base and improved manufacturing efficiencies at the Company's wafer fabrication, assembly and test facilities.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Research and development (R&amp;D) expenses were $103 million and $277 million for the three months and nine months ended July 29, 2000, respectively, compared to $67 million and $182 million for the corresponding periods of fiscal 1999. As a percentage of sales, R&amp;D spending decreased during the third quarter of fiscal 2000 to 14.8%, down from 17.7% in the third quarter of fiscal 1999. However, R&amp;D spending in absolute dollar amounts increased by 54% and 53% in the quarter and first nine months ended July 29, 2000, respectively, over the same periods in fiscal 1999 as the Company continued to invest in various opportunities in the Company's served markets. The Company believes that a continued commitment to research and development is essential in order to further exploit existing product offerings and to provide innovative new product offerings. As a result, the Company expects to continue to make significant R&amp;D investments in the future.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30, 2000, the Company announced an offer to acquire BCO Technologies plc (BCO), a company incorporated in Northern Ireland and based in Belfast, in a cash-for-stock transaction valued at approximately $150 million. BCO is a leading supplier of silicon-on-insulator wafers used for fabricating micromechanical optical devices for optical switching and communications applications. The offer has been unconditionally accepted by BCO's shareholders under applicable laws and the transaction is anticipated to be completed in the fourth quarter of fiscal 2000. The Company expects no significant in-process research and development charge related to this acquisition.</w:t>
      </w:r>
    </w:p>
    <w:p>
      <w:pPr>
        <w:spacing w:after="0" w:line="38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During the second quarter of fiscal 1999, the Company incurred a charge of $5,140,000 for the write-off of in-process R&amp;D in connection with the</w:t>
      </w:r>
    </w:p>
    <w:p>
      <w:pPr>
        <w:sectPr>
          <w:pgSz w:w="11900" w:h="16838" w:orient="portrait"/>
          <w:cols w:equalWidth="0" w:num="1">
            <w:col w:w="10219"/>
          </w:cols>
          <w:pgMar w:left="240" w:top="312" w:right="1440" w:bottom="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acquisition of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of up to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maximum of $10 million (to be accounted for as goodwill) payable if the acquired companies achieve certain revenue and operational objectives. Through the third quarter of fiscal 2000, $7 million of the additional consideration has been paid.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marketing, general &amp; administrative (SMG&amp;A) expenses for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third quarter of fiscal 2000 were $77 million, an increase of $22 million from the $55 million reported for the third quarter of fiscal 1999. SMG&amp;A expenses for the nine months ended July 29, 2000 were $213 million, compared to $150 million for the nine months ended July 31, 1999. As a percentage of sales, SMG&amp;A expenses decreased from 14.4% for the third quarter of fiscal 1999 to 11.0% for the third quarter of fiscal 2000 as a result of the significant growth in revenue and continuing control over SMG&amp;A spending.</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increased to 31.1% for the third quarter of fiscal 2000 from 24.0% for the third quarter of fiscal 1999. The effective income tax rate increased to 29.8% for the first nine months of fiscal 2000 from 22.7% for the first nine months of fiscal 1999. These increases are primarily due to increased profits in higher tax jurisdictions.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July 29, 2000, cash, cash equivalents and short-term investments totaled $1,058 million, an increase of $296 million from the fourth quarter of fiscal 1999 and an increase of $421 million from the third quarter of fiscal 1999. The increase in cash, cash equivalents and short-term investments in the first nine months of fiscal 2000 was primarily due to operating cash inflows of $436 million and cash proceeds of $65 million received in the third quarter from the sale of an investment, partially offset by increased capital expenditures and debt repayment.</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Accounts receivable totaled $420 million at the end of the third quarter of fiscal 2000, an increase of $160 million from the fourth quarter of 1999 and of $173 million from the third quarter of fiscal 1999 due to higher sales levels. The Company's days sales outstanding improved from 60 days at July 31, 1999 to 55 days at July 29, 2000.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Inventories of $314 million at July 29, 2000 were $65 million higher than the inventory levels at October 30, 1999 and $58 million higher than at the end of the third quarter of fiscal 1999. The increase in inventory levels was a result of production increases in response to increased demand for the Company's products. Quarter over quarter, days cost of sales in inventory improved by 27 days.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third quarter of fiscal 2000, the Company sold its investment in the common stock of Chartered Semiconductor Manufacturing Pte., Ltd. The Company received approximately $65 million in cash and recognized a pretax gain of approximately $44 million.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1999, the Company completed the sale of approximately 78% of its equity ownership in WaferTech, LLC, its joint venture with Taiwan Semiconductor Manufacturing Company (TSMC)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additions to property, plant and equipment of $168 million for the first nine months of fiscal 2000 were funded with a combination of cash on hand and cash generated from operations. Capital spending in the first nine months of fiscal 2000 was up substantially from the $46 million spent in the first nine months of fiscal 1999. The increase in capital expenditures was attributable to the expansion of manufacturing capability to meet current sales growth. The Company currently plans to make capital expenditures of approximately $260 million during fiscal 2000.</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July 29, 2000, the Company's principal sources of liquidity were $1,058 million of cash and cash equivalents and short-term investments. In addition, the Company has various lines of credit both in the U.S. and overseas, including a $60 million credit facility in the U.S., which expires in October 2000, all of which were substantially unused at July 29, 2000.</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w:t>
      </w:r>
    </w:p>
    <w:p>
      <w:pPr>
        <w:sectPr>
          <w:pgSz w:w="11900" w:h="16838" w:orient="portrait"/>
          <w:cols w:equalWidth="0" w:num="1">
            <w:col w:w="10219"/>
          </w:cols>
          <w:pgMar w:left="240" w:top="312" w:right="1440" w:bottom="160" w:gutter="0" w:footer="0" w:header="0"/>
        </w:sectPr>
      </w:pPr>
    </w:p>
    <w:bookmarkStart w:id="14" w:name="page15"/>
    <w:bookmarkEnd w:id="14"/>
    <w:p>
      <w:pPr>
        <w:ind w:left="29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750"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the ability of the Company to continue hiring engineers and other qualified employees needed to meet the expected demands of its largest customers, changes in product mix and economic conditions in the United States and international markets.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3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Company's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cyclical nature of the industry has resulted in sustained or short-term periods when demand for the Company's products has increased or decreased rapidly. The semiconductor industry and the Company have experienced a period of rapid increases in demand during fiscal 1999 and the first nine months of fiscal 2000. The Company has increased its manufacturing capacity over the past three years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 capacity additions resulted in a significant increase in operating expenses. If revenue levels are not sufficient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 In addition, the Company and many companies in the semiconductor industry rely on internal manufacturing capacity located in California and Taiwan as well as wafer fabrication foundries in Taiwan and other subcontractors in geographically unstable locations around the world. Such reliance involves risks associated</w:t>
      </w:r>
    </w:p>
    <w:p>
      <w:pPr>
        <w:sectPr>
          <w:pgSz w:w="11900" w:h="16838" w:orient="portrait"/>
          <w:cols w:equalWidth="0" w:num="1">
            <w:col w:w="10219"/>
          </w:cols>
          <w:pgMar w:left="240" w:top="312" w:right="1440" w:bottom="139" w:gutter="0" w:footer="0" w:header="0"/>
        </w:sectPr>
      </w:pPr>
    </w:p>
    <w:bookmarkStart w:id="16" w:name="page17"/>
    <w:bookmarkEnd w:id="16"/>
    <w:p>
      <w:pPr>
        <w:ind w:right="1779"/>
        <w:spacing w:after="0" w:line="236" w:lineRule="auto"/>
        <w:rPr>
          <w:sz w:val="20"/>
          <w:szCs w:val="20"/>
          <w:color w:val="auto"/>
        </w:rPr>
      </w:pPr>
      <w:r>
        <w:rPr>
          <w:rFonts w:ascii="Courier New" w:cs="Courier New" w:eastAsia="Courier New" w:hAnsi="Courier New"/>
          <w:sz w:val="18"/>
          <w:szCs w:val="18"/>
          <w:color w:val="auto"/>
        </w:rPr>
        <w:t>with the impact of earthquakes on the Company and the semiconductor industry including temporary loss of capacity, availability and cost of key raw materials and equipment, and availability of key services including transport.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first nine months of fiscal 2000, 56% of the Company's revenues were derived from customers in international markets. The Company has manufacturing facilities outside the U.S. in Ireland, the Philippines and Taiwan. In addition to being exposed to the ongoing economic cycles in the semiconductor industry, the Company is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1999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3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the past several years the Company made significant investments in new manufacturing, financial and operating hardware and software. These investments were made to support the growth of its operations; however, the by-product of this effort was that the Company had year 2000 compliant hardware and software running on many of its major platforms. The Company established a task force to evaluate the remaining systems and equipment and upgrade or replace systems that were not year 2000 compliant. The cost of this effort, which commenced at the beginning of fiscal 1998 and continued through fiscal 1999, was approximately $10 million.</w:t>
      </w:r>
    </w:p>
    <w:p>
      <w:pPr>
        <w:spacing w:after="0" w:line="21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Company's computer systems and equipment did not experience any significant disruptions as a result of the advent of the year 2000. However, there may be latent problems that surface at key dates or events in the future. The Company has not experienced, and does not anticipate, any significant problems related to the transition to the year 2000. Furthermore, the Company does not anticipate any significant expenditure in the future related to year 2000 compliance.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herein by reference to the "Management Analysis" set forth on pages 1 through 7 of the 1999 Annual Report to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8-K There were no reports on Form 8-K filed for the three months ended July 29, 2000.</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Items 1, 2, 3, 4 and 5 of PART II are not applicable and have been</w:t>
      </w:r>
    </w:p>
    <w:p>
      <w:pPr>
        <w:spacing w:after="0" w:line="238" w:lineRule="auto"/>
        <w:rPr>
          <w:sz w:val="20"/>
          <w:szCs w:val="20"/>
          <w:color w:val="auto"/>
        </w:rPr>
      </w:pPr>
      <w:r>
        <w:rPr>
          <w:rFonts w:ascii="Courier New" w:cs="Courier New" w:eastAsia="Courier New" w:hAnsi="Courier New"/>
          <w:sz w:val="18"/>
          <w:szCs w:val="18"/>
          <w:color w:val="auto"/>
        </w:rPr>
        <w:t>omitted.</w:t>
      </w:r>
    </w:p>
    <w:p>
      <w:pPr>
        <w:sectPr>
          <w:pgSz w:w="11900" w:h="16838" w:orient="portrait"/>
          <w:cols w:equalWidth="0" w:num="1">
            <w:col w:w="10219"/>
          </w:cols>
          <w:pgMar w:left="240" w:top="312" w:right="1440" w:bottom="970"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14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ANALOG DEVICES, INC.</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Jerald G. Fishman</w:t>
      </w:r>
    </w:p>
    <w:p>
      <w:pPr>
        <w:ind w:left="320"/>
        <w:spacing w:after="0" w:line="238" w:lineRule="auto"/>
        <w:rPr>
          <w:sz w:val="20"/>
          <w:szCs w:val="20"/>
          <w:color w:val="auto"/>
        </w:rPr>
      </w:pPr>
      <w:r>
        <w:rPr>
          <w:rFonts w:ascii="Courier New" w:cs="Courier New" w:eastAsia="Courier New" w:hAnsi="Courier New"/>
          <w:sz w:val="18"/>
          <w:szCs w:val="18"/>
          <w:color w:val="auto"/>
        </w:rPr>
        <w:t>President and</w:t>
      </w:r>
    </w:p>
    <w:p>
      <w:pPr>
        <w:ind w:left="320"/>
        <w:spacing w:after="0"/>
        <w:rPr>
          <w:sz w:val="20"/>
          <w:szCs w:val="20"/>
          <w:color w:val="auto"/>
        </w:rPr>
      </w:pPr>
      <w:r>
        <w:rPr>
          <w:rFonts w:ascii="Courier New" w:cs="Courier New" w:eastAsia="Courier New" w:hAnsi="Courier New"/>
          <w:sz w:val="18"/>
          <w:szCs w:val="18"/>
          <w:color w:val="auto"/>
        </w:rPr>
        <w:t>Chief Executive Officer</w:t>
      </w:r>
    </w:p>
    <w:p>
      <w:pPr>
        <w:ind w:left="3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320"/>
            <w:col w:w="2640" w:space="720"/>
            <w:col w:w="599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2000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Joseph E. McDonough</w:t>
      </w:r>
    </w:p>
    <w:p>
      <w:pPr>
        <w:ind w:left="32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320"/>
        <w:spacing w:after="0"/>
        <w:rPr>
          <w:sz w:val="20"/>
          <w:szCs w:val="20"/>
          <w:color w:val="auto"/>
        </w:rPr>
      </w:pPr>
      <w:r>
        <w:rPr>
          <w:rFonts w:ascii="Courier New" w:cs="Courier New" w:eastAsia="Courier New" w:hAnsi="Courier New"/>
          <w:sz w:val="18"/>
          <w:szCs w:val="18"/>
          <w:color w:val="auto"/>
        </w:rPr>
        <w:t>and Chief Financial Officer</w:t>
      </w:r>
    </w:p>
    <w:p>
      <w:pPr>
        <w:ind w:left="32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3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320"/>
            <w:col w:w="2640" w:space="7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jc w:val="right"/>
        <w:ind w:right="493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OCT-28-2000</w:t>
      </w:r>
    </w:p>
    <w:p>
      <w:pPr>
        <w:ind w:left="3060"/>
        <w:spacing w:after="0"/>
        <w:rPr>
          <w:sz w:val="20"/>
          <w:szCs w:val="20"/>
          <w:color w:val="auto"/>
        </w:rPr>
      </w:pPr>
      <w:r>
        <w:rPr>
          <w:rFonts w:ascii="Courier New" w:cs="Courier New" w:eastAsia="Courier New" w:hAnsi="Courier New"/>
          <w:sz w:val="18"/>
          <w:szCs w:val="18"/>
          <w:color w:val="auto"/>
        </w:rPr>
        <w:t>OCT-31-1999</w:t>
      </w:r>
    </w:p>
    <w:p>
      <w:pPr>
        <w:ind w:left="3280"/>
        <w:spacing w:after="0" w:line="237" w:lineRule="auto"/>
        <w:rPr>
          <w:sz w:val="20"/>
          <w:szCs w:val="20"/>
          <w:color w:val="auto"/>
        </w:rPr>
      </w:pPr>
      <w:r>
        <w:rPr>
          <w:rFonts w:ascii="Courier New" w:cs="Courier New" w:eastAsia="Courier New" w:hAnsi="Courier New"/>
          <w:sz w:val="18"/>
          <w:szCs w:val="18"/>
          <w:color w:val="auto"/>
        </w:rPr>
        <w:t>JUL-29-2000</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619,084</w:t>
      </w:r>
    </w:p>
    <w:p>
      <w:pPr>
        <w:ind w:left="3700"/>
        <w:spacing w:after="0" w:line="237" w:lineRule="auto"/>
        <w:rPr>
          <w:sz w:val="20"/>
          <w:szCs w:val="20"/>
          <w:color w:val="auto"/>
        </w:rPr>
      </w:pPr>
      <w:r>
        <w:rPr>
          <w:rFonts w:ascii="Courier New" w:cs="Courier New" w:eastAsia="Courier New" w:hAnsi="Courier New"/>
          <w:sz w:val="18"/>
          <w:szCs w:val="18"/>
          <w:color w:val="auto"/>
        </w:rPr>
        <w:t>439,323</w:t>
      </w:r>
    </w:p>
    <w:p>
      <w:pPr>
        <w:ind w:left="3580"/>
        <w:spacing w:after="0"/>
        <w:rPr>
          <w:sz w:val="20"/>
          <w:szCs w:val="20"/>
          <w:color w:val="auto"/>
        </w:rPr>
      </w:pPr>
      <w:r>
        <w:rPr>
          <w:rFonts w:ascii="Courier New" w:cs="Courier New" w:eastAsia="Courier New" w:hAnsi="Courier New"/>
          <w:sz w:val="18"/>
          <w:szCs w:val="18"/>
          <w:color w:val="auto"/>
        </w:rPr>
        <w:t>420,440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313,901</w:t>
      </w:r>
    </w:p>
    <w:p>
      <w:pPr>
        <w:ind w:left="3060"/>
        <w:spacing w:after="0" w:line="237" w:lineRule="auto"/>
        <w:rPr>
          <w:sz w:val="20"/>
          <w:szCs w:val="20"/>
          <w:color w:val="auto"/>
        </w:rPr>
      </w:pPr>
      <w:r>
        <w:rPr>
          <w:rFonts w:ascii="Courier New" w:cs="Courier New" w:eastAsia="Courier New" w:hAnsi="Courier New"/>
          <w:sz w:val="18"/>
          <w:szCs w:val="18"/>
          <w:color w:val="auto"/>
        </w:rPr>
        <w:t>1,933,377</w:t>
      </w:r>
    </w:p>
    <w:p>
      <w:pPr>
        <w:ind w:left="4120"/>
        <w:spacing w:after="0" w:line="238" w:lineRule="auto"/>
        <w:rPr>
          <w:sz w:val="20"/>
          <w:szCs w:val="20"/>
          <w:color w:val="auto"/>
        </w:rPr>
      </w:pPr>
      <w:r>
        <w:rPr>
          <w:rFonts w:ascii="Courier New" w:cs="Courier New" w:eastAsia="Courier New" w:hAnsi="Courier New"/>
          <w:sz w:val="18"/>
          <w:szCs w:val="18"/>
          <w:color w:val="auto"/>
        </w:rPr>
        <w:t>1,596,363</w:t>
      </w:r>
    </w:p>
    <w:p>
      <w:pPr>
        <w:ind w:left="3480"/>
        <w:spacing w:after="0"/>
        <w:rPr>
          <w:sz w:val="20"/>
          <w:szCs w:val="20"/>
          <w:color w:val="auto"/>
        </w:rPr>
      </w:pPr>
      <w:r>
        <w:rPr>
          <w:rFonts w:ascii="Courier New" w:cs="Courier New" w:eastAsia="Courier New" w:hAnsi="Courier New"/>
          <w:sz w:val="18"/>
          <w:szCs w:val="18"/>
          <w:color w:val="auto"/>
        </w:rPr>
        <w:t>892,481</w:t>
      </w:r>
    </w:p>
    <w:p>
      <w:pPr>
        <w:ind w:left="3280"/>
        <w:spacing w:after="0" w:line="237" w:lineRule="auto"/>
        <w:rPr>
          <w:sz w:val="20"/>
          <w:szCs w:val="20"/>
          <w:color w:val="auto"/>
        </w:rPr>
      </w:pPr>
      <w:r>
        <w:rPr>
          <w:rFonts w:ascii="Courier New" w:cs="Courier New" w:eastAsia="Courier New" w:hAnsi="Courier New"/>
          <w:sz w:val="18"/>
          <w:szCs w:val="18"/>
          <w:color w:val="auto"/>
        </w:rPr>
        <w:t>2,951,299</w:t>
      </w:r>
    </w:p>
    <w:p>
      <w:pPr>
        <w:ind w:left="2740"/>
        <w:spacing w:after="0"/>
        <w:rPr>
          <w:sz w:val="20"/>
          <w:szCs w:val="20"/>
          <w:color w:val="auto"/>
        </w:rPr>
      </w:pPr>
      <w:r>
        <w:rPr>
          <w:rFonts w:ascii="Courier New" w:cs="Courier New" w:eastAsia="Courier New" w:hAnsi="Courier New"/>
          <w:sz w:val="18"/>
          <w:szCs w:val="18"/>
          <w:color w:val="auto"/>
        </w:rPr>
        <w:t>617,647</w:t>
      </w:r>
    </w:p>
    <w:p>
      <w:pPr>
        <w:jc w:val="center"/>
        <w:ind w:right="419"/>
        <w:spacing w:after="0" w:line="237" w:lineRule="auto"/>
        <w:rPr>
          <w:sz w:val="20"/>
          <w:szCs w:val="20"/>
          <w:color w:val="auto"/>
        </w:rPr>
      </w:pPr>
      <w:r>
        <w:rPr>
          <w:rFonts w:ascii="Courier New" w:cs="Courier New" w:eastAsia="Courier New" w:hAnsi="Courier New"/>
          <w:sz w:val="18"/>
          <w:szCs w:val="18"/>
          <w:color w:val="auto"/>
        </w:rPr>
        <w:t>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line="238" w:lineRule="auto"/>
        <w:rPr>
          <w:sz w:val="20"/>
          <w:szCs w:val="20"/>
          <w:color w:val="auto"/>
        </w:rPr>
      </w:pPr>
      <w:r>
        <w:rPr>
          <w:rFonts w:ascii="Courier New" w:cs="Courier New" w:eastAsia="Courier New" w:hAnsi="Courier New"/>
          <w:sz w:val="18"/>
          <w:szCs w:val="18"/>
          <w:color w:val="auto"/>
        </w:rPr>
        <w:t>59,554</w:t>
      </w:r>
    </w:p>
    <w:p>
      <w:pPr>
        <w:ind w:left="3700"/>
        <w:spacing w:after="0"/>
        <w:rPr>
          <w:sz w:val="20"/>
          <w:szCs w:val="20"/>
          <w:color w:val="auto"/>
        </w:rPr>
      </w:pPr>
      <w:r>
        <w:rPr>
          <w:rFonts w:ascii="Courier New" w:cs="Courier New" w:eastAsia="Courier New" w:hAnsi="Courier New"/>
          <w:sz w:val="18"/>
          <w:szCs w:val="18"/>
          <w:color w:val="auto"/>
        </w:rPr>
        <w:t>1,999,200</w:t>
      </w:r>
    </w:p>
    <w:p>
      <w:pPr>
        <w:ind w:left="1800"/>
        <w:spacing w:after="0" w:line="237" w:lineRule="auto"/>
        <w:rPr>
          <w:sz w:val="20"/>
          <w:szCs w:val="20"/>
          <w:color w:val="auto"/>
        </w:rPr>
      </w:pPr>
      <w:r>
        <w:rPr>
          <w:rFonts w:ascii="Courier New" w:cs="Courier New" w:eastAsia="Courier New" w:hAnsi="Courier New"/>
          <w:sz w:val="18"/>
          <w:szCs w:val="18"/>
          <w:color w:val="auto"/>
        </w:rPr>
        <w:t>2,951,299</w:t>
      </w:r>
    </w:p>
    <w:p>
      <w:pPr>
        <w:ind w:left="4020"/>
        <w:spacing w:after="0"/>
        <w:rPr>
          <w:sz w:val="20"/>
          <w:szCs w:val="20"/>
          <w:color w:val="auto"/>
        </w:rPr>
      </w:pPr>
      <w:r>
        <w:rPr>
          <w:rFonts w:ascii="Courier New" w:cs="Courier New" w:eastAsia="Courier New" w:hAnsi="Courier New"/>
          <w:sz w:val="18"/>
          <w:szCs w:val="18"/>
          <w:color w:val="auto"/>
        </w:rPr>
        <w:t>1,771,930</w:t>
      </w:r>
    </w:p>
    <w:p>
      <w:pPr>
        <w:ind w:left="3060"/>
        <w:spacing w:after="0" w:line="237" w:lineRule="auto"/>
        <w:rPr>
          <w:sz w:val="20"/>
          <w:szCs w:val="20"/>
          <w:color w:val="auto"/>
        </w:rPr>
      </w:pPr>
      <w:r>
        <w:rPr>
          <w:rFonts w:ascii="Courier New" w:cs="Courier New" w:eastAsia="Courier New" w:hAnsi="Courier New"/>
          <w:sz w:val="18"/>
          <w:szCs w:val="18"/>
          <w:color w:val="auto"/>
        </w:rPr>
        <w:t>1,771,930</w:t>
      </w:r>
    </w:p>
    <w:p>
      <w:pPr>
        <w:jc w:val="right"/>
        <w:ind w:right="5059"/>
        <w:spacing w:after="0"/>
        <w:rPr>
          <w:sz w:val="20"/>
          <w:szCs w:val="20"/>
          <w:color w:val="auto"/>
        </w:rPr>
      </w:pPr>
      <w:r>
        <w:rPr>
          <w:rFonts w:ascii="Courier New" w:cs="Courier New" w:eastAsia="Courier New" w:hAnsi="Courier New"/>
          <w:sz w:val="18"/>
          <w:szCs w:val="18"/>
          <w:color w:val="auto"/>
        </w:rPr>
        <w:t>782,790</w:t>
      </w:r>
    </w:p>
    <w:p>
      <w:pPr>
        <w:ind w:left="3580"/>
        <w:spacing w:after="0" w:line="237" w:lineRule="auto"/>
        <w:rPr>
          <w:sz w:val="20"/>
          <w:szCs w:val="20"/>
          <w:color w:val="auto"/>
        </w:rPr>
      </w:pPr>
      <w:r>
        <w:rPr>
          <w:rFonts w:ascii="Courier New" w:cs="Courier New" w:eastAsia="Courier New" w:hAnsi="Courier New"/>
          <w:sz w:val="18"/>
          <w:szCs w:val="18"/>
          <w:color w:val="auto"/>
        </w:rPr>
        <w:t>782,790</w:t>
      </w:r>
    </w:p>
    <w:p>
      <w:pPr>
        <w:ind w:left="3280"/>
        <w:spacing w:after="0"/>
        <w:rPr>
          <w:sz w:val="20"/>
          <w:szCs w:val="20"/>
          <w:color w:val="auto"/>
        </w:rPr>
      </w:pPr>
      <w:r>
        <w:rPr>
          <w:rFonts w:ascii="Courier New" w:cs="Courier New" w:eastAsia="Courier New" w:hAnsi="Courier New"/>
          <w:sz w:val="18"/>
          <w:szCs w:val="18"/>
          <w:color w:val="auto"/>
        </w:rPr>
        <w:t>489,938</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2,863</w:t>
      </w:r>
    </w:p>
    <w:p>
      <w:pPr>
        <w:ind w:left="3380"/>
        <w:spacing w:after="0"/>
        <w:rPr>
          <w:sz w:val="20"/>
          <w:szCs w:val="20"/>
          <w:color w:val="auto"/>
        </w:rPr>
      </w:pPr>
      <w:r>
        <w:rPr>
          <w:rFonts w:ascii="Courier New" w:cs="Courier New" w:eastAsia="Courier New" w:hAnsi="Courier New"/>
          <w:sz w:val="18"/>
          <w:szCs w:val="18"/>
          <w:color w:val="auto"/>
        </w:rPr>
        <w:t>580,366</w:t>
      </w:r>
    </w:p>
    <w:p>
      <w:pPr>
        <w:ind w:left="3700"/>
        <w:spacing w:after="0" w:line="237" w:lineRule="auto"/>
        <w:rPr>
          <w:sz w:val="20"/>
          <w:szCs w:val="20"/>
          <w:color w:val="auto"/>
        </w:rPr>
      </w:pPr>
      <w:r>
        <w:rPr>
          <w:rFonts w:ascii="Courier New" w:cs="Courier New" w:eastAsia="Courier New" w:hAnsi="Courier New"/>
          <w:sz w:val="18"/>
          <w:szCs w:val="18"/>
          <w:color w:val="auto"/>
        </w:rPr>
        <w:t>173,106</w:t>
      </w:r>
    </w:p>
    <w:p>
      <w:pPr>
        <w:ind w:left="2960"/>
        <w:spacing w:after="0"/>
        <w:rPr>
          <w:sz w:val="20"/>
          <w:szCs w:val="20"/>
          <w:color w:val="auto"/>
        </w:rPr>
      </w:pPr>
      <w:r>
        <w:rPr>
          <w:rFonts w:ascii="Courier New" w:cs="Courier New" w:eastAsia="Courier New" w:hAnsi="Courier New"/>
          <w:sz w:val="18"/>
          <w:szCs w:val="18"/>
          <w:color w:val="auto"/>
        </w:rPr>
        <w:t>407,260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line="238" w:lineRule="auto"/>
        <w:rPr>
          <w:sz w:val="20"/>
          <w:szCs w:val="20"/>
          <w:color w:val="auto"/>
        </w:rPr>
      </w:pPr>
      <w:r>
        <w:rPr>
          <w:rFonts w:ascii="Courier New" w:cs="Courier New" w:eastAsia="Courier New" w:hAnsi="Courier New"/>
          <w:sz w:val="18"/>
          <w:szCs w:val="18"/>
          <w:color w:val="auto"/>
        </w:rPr>
        <w:t>407,260</w:t>
      </w:r>
    </w:p>
    <w:p>
      <w:pPr>
        <w:ind w:left="4120"/>
        <w:spacing w:after="0"/>
        <w:rPr>
          <w:sz w:val="20"/>
          <w:szCs w:val="20"/>
          <w:color w:val="auto"/>
        </w:rPr>
      </w:pPr>
      <w:r>
        <w:rPr>
          <w:rFonts w:ascii="Courier New" w:cs="Courier New" w:eastAsia="Courier New" w:hAnsi="Courier New"/>
          <w:sz w:val="18"/>
          <w:szCs w:val="18"/>
          <w:color w:val="auto"/>
        </w:rPr>
        <w:t>1.15</w:t>
      </w:r>
    </w:p>
    <w:p>
      <w:pPr>
        <w:ind w:left="3900"/>
        <w:spacing w:after="0" w:line="237" w:lineRule="auto"/>
        <w:rPr>
          <w:sz w:val="20"/>
          <w:szCs w:val="20"/>
          <w:color w:val="auto"/>
        </w:rPr>
      </w:pPr>
      <w:r>
        <w:rPr>
          <w:rFonts w:ascii="Courier New" w:cs="Courier New" w:eastAsia="Courier New" w:hAnsi="Courier New"/>
          <w:sz w:val="18"/>
          <w:szCs w:val="18"/>
          <w:color w:val="auto"/>
        </w:rPr>
        <w:t>1.07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2019-12-20T05:01:00Z</dcterms:created>
  <dcterms:modified xsi:type="dcterms:W3CDTF">2019-12-20T05:01:00Z</dcterms:modified>
</cp:coreProperties>
</file>