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112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0"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(Date of earliest event reported): February 18, 2020</w:t>
      </w:r>
    </w:p>
    <w:p>
      <w:pPr>
        <w:spacing w:after="0" w:line="2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4"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420"/>
          </w:cols>
          <w:pgMar w:left="240" w:top="1035" w:right="239" w:bottom="1440" w:gutter="0" w:footer="0" w:header="0"/>
        </w:sectPr>
      </w:pPr>
    </w:p>
    <w:p>
      <w:pPr>
        <w:spacing w:after="0" w:line="86" w:lineRule="exact"/>
        <w:rPr>
          <w:sz w:val="24"/>
          <w:szCs w:val="24"/>
          <w:color w:val="auto"/>
        </w:rPr>
      </w:pPr>
    </w:p>
    <w:p>
      <w:pPr>
        <w:ind w:left="126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248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90" w:lineRule="exact"/>
        <w:rPr>
          <w:sz w:val="24"/>
          <w:szCs w:val="24"/>
          <w:color w:val="auto"/>
        </w:rPr>
      </w:pPr>
    </w:p>
    <w:p>
      <w:pPr>
        <w:sectPr>
          <w:pgSz w:w="11900" w:h="16838" w:orient="portrait"/>
          <w:cols w:equalWidth="0" w:num="3">
            <w:col w:w="4780" w:space="720"/>
            <w:col w:w="2980" w:space="720"/>
            <w:col w:w="2220"/>
          </w:cols>
          <w:pgMar w:left="240" w:top="1035" w:right="2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3000" w:space="720"/>
            <w:col w:w="2460"/>
          </w:cols>
          <w:pgMar w:left="240" w:top="1035" w:right="239" w:bottom="1440" w:gutter="0" w:footer="0" w:header="0"/>
          <w:type w:val="continuous"/>
        </w:sectPr>
      </w:pPr>
    </w:p>
    <w:p>
      <w:pPr>
        <w:spacing w:after="0" w:line="223" w:lineRule="exact"/>
        <w:rPr>
          <w:sz w:val="24"/>
          <w:szCs w:val="24"/>
          <w:color w:val="auto"/>
        </w:rPr>
      </w:pPr>
    </w:p>
    <w:p>
      <w:pPr>
        <w:ind w:left="1120"/>
        <w:spacing w:after="0"/>
        <w:rPr>
          <w:sz w:val="20"/>
          <w:szCs w:val="20"/>
          <w:color w:val="auto"/>
        </w:rPr>
      </w:pPr>
      <w:r>
        <w:rPr>
          <w:rFonts w:ascii="Arial" w:cs="Arial" w:eastAsia="Arial" w:hAnsi="Arial"/>
          <w:sz w:val="15"/>
          <w:szCs w:val="15"/>
          <w:b w:val="1"/>
          <w:bCs w:val="1"/>
          <w:color w:val="auto"/>
        </w:rPr>
        <w:t>One Technology Way,</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Norwood, MA</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02062</w:t>
      </w:r>
    </w:p>
    <w:p>
      <w:pPr>
        <w:spacing w:after="0" w:line="90" w:lineRule="exact"/>
        <w:rPr>
          <w:sz w:val="24"/>
          <w:szCs w:val="24"/>
          <w:color w:val="auto"/>
        </w:rPr>
      </w:pPr>
    </w:p>
    <w:p>
      <w:pPr>
        <w:sectPr>
          <w:pgSz w:w="11900" w:h="16838" w:orient="portrait"/>
          <w:cols w:equalWidth="0" w:num="3">
            <w:col w:w="2780" w:space="400"/>
            <w:col w:w="4020" w:space="720"/>
            <w:col w:w="3500"/>
          </w:cols>
          <w:pgMar w:left="240" w:top="1035" w:right="2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7020" w:space="720"/>
            <w:col w:w="3680"/>
          </w:cols>
          <w:pgMar w:left="240" w:top="1035" w:right="2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0" w:lineRule="exact"/>
        <w:rPr>
          <w:sz w:val="24"/>
          <w:szCs w:val="24"/>
          <w:color w:val="auto"/>
        </w:rPr>
      </w:pPr>
    </w:p>
    <w:p>
      <w:pPr>
        <w:ind w:left="112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w:t>
      </w:r>
    </w:p>
    <w:p>
      <w:pPr>
        <w:spacing w:after="0" w:line="268" w:lineRule="exact"/>
        <w:rPr>
          <w:sz w:val="24"/>
          <w:szCs w:val="24"/>
          <w:color w:val="auto"/>
        </w:rPr>
      </w:pPr>
    </w:p>
    <w:p>
      <w:pPr>
        <w:ind w:right="12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1035" w:right="2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Trading</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Symbol(s)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w:t>
      </w:r>
    </w:p>
    <w:p>
      <w:pPr>
        <w:spacing w:after="0" w:line="62" w:lineRule="exact"/>
        <w:rPr>
          <w:sz w:val="24"/>
          <w:szCs w:val="24"/>
          <w:color w:val="auto"/>
        </w:rPr>
      </w:pPr>
    </w:p>
    <w:p>
      <w:pPr>
        <w:ind w:left="160"/>
        <w:spacing w:after="0"/>
        <w:rPr>
          <w:sz w:val="20"/>
          <w:szCs w:val="20"/>
          <w:color w:val="auto"/>
        </w:rPr>
      </w:pPr>
      <w:r>
        <w:rPr>
          <w:rFonts w:ascii="Arial" w:cs="Arial" w:eastAsia="Arial" w:hAnsi="Arial"/>
          <w:sz w:val="17"/>
          <w:szCs w:val="17"/>
          <w:b w:val="1"/>
          <w:bCs w:val="1"/>
          <w:color w:val="auto"/>
        </w:rPr>
        <w:t>on which registered</w:t>
      </w:r>
    </w:p>
    <w:p>
      <w:pPr>
        <w:spacing w:after="0" w:line="60" w:lineRule="exact"/>
        <w:rPr>
          <w:sz w:val="24"/>
          <w:szCs w:val="24"/>
          <w:color w:val="auto"/>
        </w:rPr>
      </w:pPr>
    </w:p>
    <w:p>
      <w:pPr>
        <w:sectPr>
          <w:pgSz w:w="11900" w:h="16838" w:orient="portrait"/>
          <w:cols w:equalWidth="0" w:num="3">
            <w:col w:w="4580" w:space="720"/>
            <w:col w:w="2200" w:space="720"/>
            <w:col w:w="3200"/>
          </w:cols>
          <w:pgMar w:left="240" w:top="1035"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22" w:lineRule="exact"/>
        <w:rPr>
          <w:sz w:val="24"/>
          <w:szCs w:val="24"/>
          <w:color w:val="auto"/>
        </w:rPr>
      </w:pPr>
    </w:p>
    <w:p>
      <w:pPr>
        <w:sectPr>
          <w:pgSz w:w="11900" w:h="16838" w:orient="portrait"/>
          <w:cols w:equalWidth="0" w:num="3">
            <w:col w:w="4800" w:space="720"/>
            <w:col w:w="1820" w:space="720"/>
            <w:col w:w="3360"/>
          </w:cols>
          <w:pgMar w:left="240" w:top="1035" w:right="239" w:bottom="1440" w:gutter="0" w:footer="0" w:header="0"/>
          <w:type w:val="continuous"/>
        </w:sectPr>
      </w:pPr>
    </w:p>
    <w:p>
      <w:pPr>
        <w:spacing w:after="0" w:line="187"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2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4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4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 February 19, 2020, Analog Devices, Inc. (the “Registrant”) announced its financial results for its fiscal first quarter ended February 1, 2020. The full text of the press release issued by the Registrant concerning the foregoing results is furnished herewith as Exhibit 99.2.</w:t>
      </w:r>
    </w:p>
    <w:p>
      <w:pPr>
        <w:spacing w:after="0" w:line="4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0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February 18, 2020, the Registrant announced that its Board of Directors declared a quarterly cash dividend of $0.62 per outstanding share of common stock, an increase from the previously paid dividend of $0.54 per outstanding share of common stock. The dividend will be paid on March 10, 2020 to all shareholders of record at the close of business on February 28, 2020. A copy of the Registrant's press release is attached as Exhibit 99.1 to this Current Report on Form 8-K and is incorporated herein by reference.</w:t>
      </w:r>
    </w:p>
    <w:p>
      <w:pPr>
        <w:spacing w:after="0" w:line="38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ectPr>
          <w:pgSz w:w="11900" w:h="16838" w:orient="portrait"/>
          <w:cols w:equalWidth="0" w:num="1">
            <w:col w:w="11400"/>
          </w:cols>
          <w:pgMar w:left="240" w:top="985" w:right="259" w:bottom="1440" w:gutter="0" w:footer="0" w:header="0"/>
        </w:sectPr>
      </w:pPr>
    </w:p>
    <w:p>
      <w:pPr>
        <w:spacing w:after="0" w:line="108" w:lineRule="exact"/>
        <w:rPr>
          <w:sz w:val="20"/>
          <w:szCs w:val="20"/>
          <w:color w:val="auto"/>
        </w:rPr>
      </w:pPr>
    </w:p>
    <w:p>
      <w:pPr>
        <w:jc w:val="both"/>
        <w:ind w:left="40" w:right="320" w:hanging="32"/>
        <w:spacing w:after="0" w:line="536" w:lineRule="auto"/>
        <w:tabs>
          <w:tab w:leader="none" w:pos="309"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Exhibits </w:t>
      </w:r>
      <w:r>
        <w:rPr>
          <w:rFonts w:ascii="Arial" w:cs="Arial" w:eastAsia="Arial" w:hAnsi="Arial"/>
          <w:sz w:val="16"/>
          <w:szCs w:val="16"/>
          <w:u w:val="single" w:color="auto"/>
          <w:color w:val="auto"/>
        </w:rPr>
        <w:t>Exhibit No.</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99.2</w:t>
      </w: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p>
    <w:p>
      <w:pPr>
        <w:spacing w:after="0" w:line="320" w:lineRule="exact"/>
        <w:rPr>
          <w:sz w:val="20"/>
          <w:szCs w:val="20"/>
          <w:color w:val="auto"/>
        </w:rPr>
      </w:pPr>
    </w:p>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w:t>
        </w:r>
        <w:r>
          <w:rPr>
            <w:rFonts w:ascii="Arial" w:cs="Arial" w:eastAsia="Arial" w:hAnsi="Arial"/>
            <w:sz w:val="18"/>
            <w:szCs w:val="18"/>
            <w:color w:val="0000FF"/>
          </w:rPr>
          <w:t xml:space="preserv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February 18, 2020</w:t>
      </w:r>
    </w:p>
    <w:p>
      <w:pPr>
        <w:spacing w:after="0" w:line="158" w:lineRule="exact"/>
        <w:rPr>
          <w:sz w:val="20"/>
          <w:szCs w:val="20"/>
          <w:color w:val="auto"/>
        </w:rPr>
      </w:pPr>
    </w:p>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Press release</w:t>
        </w:r>
        <w:r>
          <w:rPr>
            <w:rFonts w:ascii="Arial" w:cs="Arial" w:eastAsia="Arial" w:hAnsi="Arial"/>
            <w:sz w:val="18"/>
            <w:szCs w:val="18"/>
            <w:color w:val="0000FF"/>
          </w:rPr>
          <w:t xml:space="preserv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February 19, 2020</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8" w:lineRule="exact"/>
        <w:rPr>
          <w:sz w:val="20"/>
          <w:szCs w:val="20"/>
          <w:color w:val="auto"/>
        </w:rPr>
      </w:pPr>
    </w:p>
    <w:p>
      <w:pPr>
        <w:sectPr>
          <w:pgSz w:w="11900" w:h="16838" w:orient="portrait"/>
          <w:cols w:equalWidth="0" w:num="2">
            <w:col w:w="1220" w:space="720"/>
            <w:col w:w="9460"/>
          </w:cols>
          <w:pgMar w:left="240" w:top="985" w:right="259" w:bottom="1440" w:gutter="0" w:footer="0" w:header="0"/>
          <w:type w:val="continuous"/>
        </w:sectPr>
      </w:pPr>
    </w:p>
    <w:tbl>
      <w:tblPr>
        <w:tblLayout w:type="fixed"/>
        <w:tblInd w:w="48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4000" w:type="dxa"/>
            <w:vAlign w:val="bottom"/>
          </w:tcPr>
          <w:p>
            <w:pPr>
              <w:ind w:left="400"/>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4000" w:type="dxa"/>
            <w:vAlign w:val="bottom"/>
          </w:tcPr>
          <w:p>
            <w:pPr>
              <w:ind w:left="400"/>
              <w:spacing w:after="0"/>
              <w:rPr>
                <w:sz w:val="20"/>
                <w:szCs w:val="20"/>
                <w:color w:val="auto"/>
              </w:rPr>
            </w:pPr>
            <w:r>
              <w:rPr>
                <w:rFonts w:ascii="Arial" w:cs="Arial" w:eastAsia="Arial" w:hAnsi="Arial"/>
                <w:sz w:val="18"/>
                <w:szCs w:val="18"/>
                <w:color w:val="auto"/>
                <w:w w:val="96"/>
              </w:rPr>
              <w:t>Inline XBRL Calculation Linkbase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4000" w:type="dxa"/>
            <w:vAlign w:val="bottom"/>
          </w:tcPr>
          <w:p>
            <w:pPr>
              <w:ind w:left="400"/>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4000" w:type="dxa"/>
            <w:vAlign w:val="bottom"/>
          </w:tcPr>
          <w:p>
            <w:pPr>
              <w:ind w:left="400"/>
              <w:spacing w:after="0"/>
              <w:rPr>
                <w:sz w:val="20"/>
                <w:szCs w:val="20"/>
                <w:color w:val="auto"/>
              </w:rPr>
            </w:pPr>
            <w:r>
              <w:rPr>
                <w:rFonts w:ascii="Arial" w:cs="Arial" w:eastAsia="Arial" w:hAnsi="Arial"/>
                <w:sz w:val="18"/>
                <w:szCs w:val="18"/>
                <w:color w:val="auto"/>
                <w:w w:val="93"/>
              </w:rPr>
              <w:t>Inline XBRL Presentation Linkbase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4000" w:type="dxa"/>
            <w:vAlign w:val="bottom"/>
          </w:tcPr>
          <w:p>
            <w:pPr>
              <w:ind w:left="400"/>
              <w:spacing w:after="0"/>
              <w:rPr>
                <w:sz w:val="20"/>
                <w:szCs w:val="20"/>
                <w:color w:val="auto"/>
              </w:rPr>
            </w:pPr>
            <w:r>
              <w:rPr>
                <w:rFonts w:ascii="Arial" w:cs="Arial" w:eastAsia="Arial" w:hAnsi="Arial"/>
                <w:sz w:val="18"/>
                <w:szCs w:val="18"/>
                <w:color w:val="auto"/>
                <w:w w:val="99"/>
              </w:rPr>
              <w:t>Inline XBRL Definition Linkbase Document.**</w:t>
            </w:r>
          </w:p>
        </w:tc>
      </w:tr>
    </w:tbl>
    <w:p>
      <w:pPr>
        <w:spacing w:after="0" w:line="40" w:lineRule="exact"/>
        <w:rPr>
          <w:sz w:val="20"/>
          <w:szCs w:val="20"/>
          <w:color w:val="auto"/>
        </w:rPr>
      </w:pPr>
    </w:p>
    <w:p>
      <w:pPr>
        <w:ind w:left="1940" w:right="20" w:hanging="1263"/>
        <w:spacing w:after="0" w:line="277" w:lineRule="auto"/>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940" w:hanging="1219"/>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5" w:right="25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ind w:left="40"/>
        <w:spacing w:after="0"/>
        <w:tabs>
          <w:tab w:leader="none" w:pos="660" w:val="left"/>
          <w:tab w:leader="none" w:pos="6100" w:val="left"/>
        </w:tabs>
        <w:rPr>
          <w:sz w:val="20"/>
          <w:szCs w:val="20"/>
          <w:color w:val="auto"/>
        </w:rPr>
      </w:pPr>
      <w:r>
        <w:rPr>
          <w:rFonts w:ascii="Arial" w:cs="Arial" w:eastAsia="Arial" w:hAnsi="Arial"/>
          <w:sz w:val="18"/>
          <w:szCs w:val="18"/>
          <w:color w:val="auto"/>
        </w:rPr>
        <w:t>Date:</w:t>
        <w:tab/>
        <w:t>February 19, 2020</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612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1998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000"/>
          </w:cols>
          <w:pgMar w:left="240" w:top="98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Raises Quarterly Dividend By 15%</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NORWOOD, Mass.— February 18, 2020 —Analog Devices, Inc. (Nasdaq: ADI) today announced that its Board of Directors has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voted to increase its quarterly dividend from $0.54 per outstanding share of common stock to $0.62, which is the equivalent of</w:t>
      </w:r>
    </w:p>
    <w:p>
      <w:pPr>
        <w:spacing w:after="0" w:line="223" w:lineRule="auto"/>
        <w:rPr>
          <w:sz w:val="20"/>
          <w:szCs w:val="20"/>
          <w:color w:val="auto"/>
        </w:rPr>
      </w:pPr>
      <w:r>
        <w:rPr>
          <w:rFonts w:ascii="Arial" w:cs="Arial" w:eastAsia="Arial" w:hAnsi="Arial"/>
          <w:sz w:val="19"/>
          <w:szCs w:val="19"/>
          <w:color w:val="auto"/>
        </w:rPr>
        <w:t>$2.48 annually. The new dividend represents an increase of 15% and marks the Company's 17</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increase in the last 16 years. ADI</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has paid a dividend for 65 consecutive quarters, totaling $6.1 billion of cash returned to shareholders through dividends.</w:t>
      </w:r>
    </w:p>
    <w:p>
      <w:pPr>
        <w:spacing w:after="0" w:line="227"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"Our robust cash flow generation places us in the top 10% of companies in the S&amp;P 500 and we are committed to returning 100% of our free cash flow to shareholders after debt repayments,” said Vincent Roche, President and CEO. “I am confident that we are well positioned to drive sustained growth over the long-term due to our leading-edge technology and diverse business across customers, products and applications.”</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increase is effective with the dividend payable on March 10, 2020 to shareholders of record as of the close of business on February 28, 2020. The payment of any future quarterly dividends, or a future increase in the quarterly dividend amount, will be at the discretion of the Board and will be dependent upon ADI's financial position, results of operations, outlook, liquidity, and other factors deemed relevant by the Board.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w:t>
      </w:r>
    </w:p>
    <w:p>
      <w:pPr>
        <w:spacing w:after="0" w:line="239"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Editor’s Contact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Michael Lucarelli</w:t>
      </w:r>
    </w:p>
    <w:p>
      <w:pPr>
        <w:spacing w:after="0" w:line="238" w:lineRule="auto"/>
        <w:rPr>
          <w:sz w:val="20"/>
          <w:szCs w:val="20"/>
          <w:color w:val="auto"/>
        </w:rPr>
      </w:pPr>
      <w:r>
        <w:rPr>
          <w:rFonts w:ascii="Arial" w:cs="Arial" w:eastAsia="Arial" w:hAnsi="Arial"/>
          <w:sz w:val="22"/>
          <w:szCs w:val="22"/>
          <w:color w:val="auto"/>
        </w:rPr>
        <w:t>781-461-3282</w:t>
      </w:r>
    </w:p>
    <w:p>
      <w:pPr>
        <w:spacing w:after="0" w:line="230" w:lineRule="auto"/>
        <w:rPr>
          <w:sz w:val="20"/>
          <w:szCs w:val="20"/>
          <w:color w:val="auto"/>
        </w:rPr>
      </w:pPr>
      <w:r>
        <w:rPr>
          <w:rFonts w:ascii="Arial" w:cs="Arial" w:eastAsia="Arial" w:hAnsi="Arial"/>
          <w:sz w:val="22"/>
          <w:szCs w:val="22"/>
          <w:color w:val="auto"/>
        </w:rPr>
        <w:t>Sr. Director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Reports First Quarter Fiscal 2020 Results</w:t>
      </w:r>
    </w:p>
    <w:p>
      <w:pPr>
        <w:spacing w:after="0" w:line="25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Revenue of $1.3 billion, in-line with our expectations for the first quarter</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Operating cash flow of $2.2 billion and free cash flow of $2.0 billion on a trailing twelve months basis</w:t>
      </w:r>
    </w:p>
    <w:p>
      <w:pPr>
        <w:spacing w:after="0" w:line="3"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Returned over $300 million to shareholders in the first quarter through dividends and share repurchases</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Increased quarterly dividend by 15%, the high-end of target range of 7% to 15%</w:t>
      </w:r>
    </w:p>
    <w:p>
      <w:pPr>
        <w:spacing w:after="0" w:line="223" w:lineRule="exact"/>
        <w:rPr>
          <w:sz w:val="20"/>
          <w:szCs w:val="20"/>
          <w:color w:val="auto"/>
        </w:rPr>
      </w:pPr>
    </w:p>
    <w:p>
      <w:pPr>
        <w:ind w:right="460"/>
        <w:spacing w:after="0" w:line="256" w:lineRule="auto"/>
        <w:rPr>
          <w:sz w:val="20"/>
          <w:szCs w:val="20"/>
          <w:color w:val="auto"/>
        </w:rPr>
      </w:pPr>
      <w:r>
        <w:rPr>
          <w:rFonts w:ascii="Arial" w:cs="Arial" w:eastAsia="Arial" w:hAnsi="Arial"/>
          <w:sz w:val="22"/>
          <w:szCs w:val="22"/>
          <w:b w:val="1"/>
          <w:bCs w:val="1"/>
          <w:color w:val="auto"/>
        </w:rPr>
        <w:t>NORWOOD, Mass.--(BUSINESS WIRE)--February 19, 2020</w:t>
      </w:r>
      <w:r>
        <w:rPr>
          <w:rFonts w:ascii="Arial" w:cs="Arial" w:eastAsia="Arial" w:hAnsi="Arial"/>
          <w:sz w:val="22"/>
          <w:szCs w:val="22"/>
          <w:color w:val="auto"/>
        </w:rPr>
        <w:t>--Analog Devices, Inc. (Nasdaq: ADI), a leading global high-performance analog technology company, today announced financial results for its first quarter of fiscal 2020, which ended February 1, 2020.</w:t>
      </w:r>
    </w:p>
    <w:p>
      <w:pPr>
        <w:spacing w:after="0" w:line="196"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“ADI’s first quarter results were in-line with our expectations. Encouragingly, demand across our end markets has stabilized and is beginning to show signs of improvement as we enter our fiscal second quarter,” said Vincent Roche, President and CEO. “We are building on this momentum by executing on our 2020 priorities – deepening our customer-centricity, deploying our capital efficiently, and capitalizing on secular trends to expand our addressable markets and drive diversified growth. Further, we raised our quarterly dividend by 15%, reflecting the stability of our cash flows and our optimism regarding ADI’s future.”</w:t>
      </w:r>
    </w:p>
    <w:p>
      <w:pPr>
        <w:spacing w:after="0" w:line="175"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Roche continued, “I believe the demand for ADI’s solutions will be unprecedented as technological innovation underpinned by ubiquitous sensing, hyper-scale and edge computing, and pervasive connectivity continues to grow at an exponential pace. Our diversified business model combined with our leading technology portfolio position ADI to deliver sustainable long-term growth and strong shareholder returns in the years ahead.”</w:t>
      </w:r>
    </w:p>
    <w:p>
      <w:pPr>
        <w:sectPr>
          <w:pgSz w:w="11900" w:h="16838" w:orient="portrait"/>
          <w:cols w:equalWidth="0" w:num="1">
            <w:col w:w="11420"/>
          </w:cols>
          <w:pgMar w:left="240" w:top="89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Performance for the First Quarter of Fiscal 2020</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Results Summary</w:t>
      </w:r>
      <w:r>
        <w:rPr>
          <w:rFonts w:ascii="Arial" w:cs="Arial" w:eastAsia="Arial" w:hAnsi="Arial"/>
          <w:sz w:val="28"/>
          <w:szCs w:val="28"/>
          <w:b w:val="1"/>
          <w:bCs w:val="1"/>
          <w:color w:val="auto"/>
          <w:vertAlign w:val="superscript"/>
        </w:rPr>
        <w:t>(1)</w:t>
      </w:r>
    </w:p>
    <w:p>
      <w:pPr>
        <w:ind w:left="20"/>
        <w:spacing w:after="0"/>
        <w:rPr>
          <w:sz w:val="20"/>
          <w:szCs w:val="20"/>
          <w:color w:val="auto"/>
        </w:rPr>
      </w:pPr>
      <w:r>
        <w:rPr>
          <w:rFonts w:ascii="Arial" w:cs="Arial" w:eastAsia="Arial" w:hAnsi="Arial"/>
          <w:sz w:val="18"/>
          <w:szCs w:val="18"/>
          <w:i w:val="1"/>
          <w:iCs w:val="1"/>
          <w:color w:val="auto"/>
        </w:rPr>
        <w:t>(in millions, except per-share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184785</wp:posOffset>
            </wp:positionV>
            <wp:extent cx="3876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98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Feb. 1, 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Feb. 2, 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jc w:val="right"/>
              <w:ind w:right="6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848</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percentage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bps)</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273</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 bps)</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0.55</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5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rPr>
          <w:sz w:val="20"/>
          <w:szCs w:val="20"/>
          <w:color w:val="auto"/>
        </w:rPr>
      </w:pPr>
      <w:r>
        <w:rPr>
          <w:rFonts w:ascii="Arial" w:cs="Arial" w:eastAsia="Arial" w:hAnsi="Arial"/>
          <w:sz w:val="22"/>
          <w:szCs w:val="22"/>
          <w:b w:val="1"/>
          <w:bCs w:val="1"/>
          <w:color w:val="auto"/>
        </w:rPr>
        <w:t>Adjusted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0" w:type="dxa"/>
            <w:vAlign w:val="bottom"/>
            <w:shd w:val="clear" w:color="auto" w:fill="CCEEFF"/>
          </w:tcPr>
          <w:p>
            <w:pPr>
              <w:spacing w:after="0"/>
              <w:rPr>
                <w:sz w:val="23"/>
                <w:szCs w:val="23"/>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Adjusted gross margin percentage</w:t>
            </w:r>
          </w:p>
        </w:tc>
        <w:tc>
          <w:tcPr>
            <w:tcW w:w="19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 bps)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9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Adjusted operating margin</w:t>
            </w:r>
          </w:p>
        </w:tc>
        <w:tc>
          <w:tcPr>
            <w:tcW w:w="19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(430 bps)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diluted earnings per share</w:t>
            </w:r>
          </w:p>
        </w:tc>
        <w:tc>
          <w:tcPr>
            <w:tcW w:w="19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Borders>
              <w:bottom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Generation</w:t>
            </w: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3"/>
            <w:vMerge w:val="continue"/>
          </w:tcPr>
          <w:p>
            <w:pPr>
              <w:spacing w:after="0"/>
              <w:rPr>
                <w:sz w:val="18"/>
                <w:szCs w:val="18"/>
                <w:color w:val="auto"/>
              </w:rPr>
            </w:pPr>
          </w:p>
        </w:tc>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Feb. 1,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Feb. 1, 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80" w:type="dxa"/>
            <w:vAlign w:val="bottom"/>
            <w:tcBorders>
              <w:top w:val="single" w:sz="8" w:color="auto"/>
              <w:bottom w:val="single" w:sz="8" w:color="CCEEFF"/>
            </w:tcBorders>
          </w:tcPr>
          <w:p>
            <w:pPr>
              <w:spacing w:after="0"/>
              <w:rPr>
                <w:sz w:val="4"/>
                <w:szCs w:val="4"/>
                <w:color w:val="auto"/>
              </w:rPr>
            </w:pPr>
          </w:p>
        </w:tc>
        <w:tc>
          <w:tcPr>
            <w:tcW w:w="400" w:type="dxa"/>
            <w:vAlign w:val="bottom"/>
            <w:tcBorders>
              <w:top w:val="single" w:sz="8" w:color="auto"/>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 of revenue</w:t>
            </w:r>
          </w:p>
        </w:tc>
        <w:tc>
          <w:tcPr>
            <w:tcW w:w="1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Free cash flow</w:t>
            </w:r>
          </w:p>
        </w:tc>
        <w:tc>
          <w:tcPr>
            <w:tcW w:w="1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of revenue</w:t>
            </w:r>
          </w:p>
        </w:tc>
        <w:tc>
          <w:tcPr>
            <w:tcW w:w="1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Return</w:t>
            </w:r>
          </w:p>
        </w:tc>
        <w:tc>
          <w:tcPr>
            <w:tcW w:w="1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3"/>
            <w:vMerge w:val="continue"/>
          </w:tcPr>
          <w:p>
            <w:pPr>
              <w:spacing w:after="0"/>
              <w:rPr>
                <w:sz w:val="18"/>
                <w:szCs w:val="18"/>
                <w:color w:val="auto"/>
              </w:rPr>
            </w:pPr>
          </w:p>
        </w:tc>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Feb. 1,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Feb. 1, 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8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Dividend paid</w:t>
            </w:r>
          </w:p>
        </w:tc>
        <w:tc>
          <w:tcPr>
            <w:tcW w:w="19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Stock repurchases</w:t>
            </w:r>
          </w:p>
        </w:tc>
        <w:tc>
          <w:tcPr>
            <w:tcW w:w="1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1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sum and/or computation of the individual amounts may not equal the total due to rounding.</w:t>
      </w:r>
    </w:p>
    <w:p>
      <w:pPr>
        <w:sectPr>
          <w:pgSz w:w="11900" w:h="16838" w:orient="portrait"/>
          <w:cols w:equalWidth="0" w:num="1">
            <w:col w:w="11420"/>
          </w:cols>
          <w:pgMar w:left="240" w:top="895"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Outlook for the Second Quarter of Fiscal Year 2020</w:t>
      </w:r>
    </w:p>
    <w:p>
      <w:pPr>
        <w:spacing w:after="0" w:line="239"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color w:val="auto"/>
        </w:rPr>
        <w:t>For the second quarter of fiscal 2020, we are forecasting revenue of $1.35 billion, +/- $50 million. While the effects of the coronavirus are difficult to estimate and the situation remains dynamic, we have reduced our revenue guidance by $70 million to account for its potential impact. At the midpoint of this revenue outlook, we expect reported operating margins of approximately 26.0%, +/-150 bps, and adjusted operating margins of approximately 37.5%, +/-100 bps. We are planning for reported EPS to be $0.73, +/-$0.08, and adjusted EPS to be $1.10, +/-$0.08.</w:t>
      </w:r>
    </w:p>
    <w:p>
      <w:pPr>
        <w:spacing w:after="0" w:line="219"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Our second quarter fiscal 2020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15"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press release. See also “Non-GAAP Financial Information” section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Payment</w:t>
      </w:r>
    </w:p>
    <w:p>
      <w:pPr>
        <w:spacing w:after="0" w:line="253" w:lineRule="exact"/>
        <w:rPr>
          <w:sz w:val="20"/>
          <w:szCs w:val="20"/>
          <w:color w:val="auto"/>
        </w:rPr>
      </w:pPr>
    </w:p>
    <w:p>
      <w:pPr>
        <w:ind w:right="120"/>
        <w:spacing w:after="0" w:line="287" w:lineRule="auto"/>
        <w:rPr>
          <w:sz w:val="20"/>
          <w:szCs w:val="20"/>
          <w:color w:val="auto"/>
        </w:rPr>
      </w:pPr>
      <w:r>
        <w:rPr>
          <w:rFonts w:ascii="Arial" w:cs="Arial" w:eastAsia="Arial" w:hAnsi="Arial"/>
          <w:sz w:val="21"/>
          <w:szCs w:val="21"/>
          <w:color w:val="auto"/>
        </w:rPr>
        <w:t>The ADI Board of Directors has declared a quarterly cash dividend of $0.62 per outstanding share of common stock. The dividend will be paid on March 10, 2020 to all shareholders of record at the close of business on February 28, 2020.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Scheduled for Today, Wednesday, February 19, 2020 at 10:00 am ET</w:t>
      </w:r>
    </w:p>
    <w:p>
      <w:pPr>
        <w:spacing w:after="0" w:line="253"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color w:val="auto"/>
        </w:rPr>
        <w:t>ADI will host a conference call to discuss our first quarter fiscal 2020 results and short-term outlook today, beginning at 10:00 am ET. Investors may join via webcast, accessible at investor.analog.com, or by telephone (call 800-859-9560, or 706-634-7193 for international calls, ten minutes before the call begins and provide the password "ADI").</w:t>
      </w:r>
    </w:p>
    <w:p>
      <w:pPr>
        <w:spacing w:after="0" w:line="195"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7263078, or by visiting investor.analog.com.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253"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w:t>
      </w:r>
    </w:p>
    <w:p>
      <w:pPr>
        <w:sectPr>
          <w:pgSz w:w="11900" w:h="16838" w:orient="portrait"/>
          <w:cols w:equalWidth="0" w:num="1">
            <w:col w:w="11420"/>
          </w:cols>
          <w:pgMar w:left="240" w:top="895" w:right="239" w:bottom="1440" w:gutter="0" w:footer="0" w:header="0"/>
        </w:sectPr>
      </w:pPr>
    </w:p>
    <w:bookmarkStart w:id="7" w:name="page8"/>
    <w:bookmarkEnd w:id="7"/>
    <w:p>
      <w:pPr>
        <w:ind w:right="60"/>
        <w:spacing w:after="0" w:line="263" w:lineRule="auto"/>
        <w:rPr>
          <w:sz w:val="20"/>
          <w:szCs w:val="20"/>
          <w:color w:val="auto"/>
        </w:rPr>
      </w:pPr>
      <w:r>
        <w:rPr>
          <w:rFonts w:ascii="Arial" w:cs="Arial" w:eastAsia="Arial" w:hAnsi="Arial"/>
          <w:sz w:val="22"/>
          <w:szCs w:val="22"/>
          <w:color w:val="auto"/>
        </w:rPr>
        <w:t>comparable financial measures calculated and presented in accordance with GAAP are provided in the financial tables included in this release.</w:t>
      </w:r>
    </w:p>
    <w:p>
      <w:pPr>
        <w:spacing w:after="0" w:line="53"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1"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income before income taxes, adjusted provision for income taxes, adjusted tax rate, adjusted diluted earnings per share (EPS), free cash flow, and free cash flow margin percentage.</w:t>
      </w:r>
    </w:p>
    <w:p>
      <w:pPr>
        <w:spacing w:after="0" w:line="67" w:lineRule="exact"/>
        <w:rPr>
          <w:sz w:val="20"/>
          <w:szCs w:val="20"/>
          <w:color w:val="auto"/>
        </w:rPr>
      </w:pPr>
    </w:p>
    <w:p>
      <w:pPr>
        <w:ind w:right="380"/>
        <w:spacing w:after="0" w:line="228" w:lineRule="auto"/>
        <w:rPr>
          <w:sz w:val="20"/>
          <w:szCs w:val="20"/>
          <w:color w:val="auto"/>
        </w:rPr>
      </w:pPr>
      <w:r>
        <w:rPr>
          <w:rFonts w:ascii="Arial" w:cs="Arial" w:eastAsia="Arial" w:hAnsi="Arial"/>
          <w:sz w:val="22"/>
          <w:szCs w:val="22"/>
          <w:color w:val="auto"/>
        </w:rPr>
        <w:t xml:space="preserve">Adjusted gross margin is defined as gross margin, determined in accordance with GAAP, excluding certain </w:t>
      </w:r>
      <w:r>
        <w:rPr>
          <w:rFonts w:ascii="Arial" w:cs="Arial" w:eastAsia="Arial" w:hAnsi="Arial"/>
          <w:sz w:val="22"/>
          <w:szCs w:val="22"/>
          <w:i w:val="1"/>
          <w:iCs w:val="1"/>
          <w:color w:val="auto"/>
        </w:rPr>
        <w:t>acquisition-related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color w:val="auto"/>
          <w:vertAlign w:val="superscript"/>
        </w:rPr>
        <w:t>1</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gross margin percentage represents adjusted gross margin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revenue.</w:t>
      </w:r>
    </w:p>
    <w:p>
      <w:pPr>
        <w:spacing w:after="0" w:line="78"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 xml:space="preserve">Adjusted operating expenses is defined as operating expenses, determined in accordance with GAAP, excluding: certain </w:t>
      </w:r>
      <w:r>
        <w:rPr>
          <w:rFonts w:ascii="Arial" w:cs="Arial" w:eastAsia="Arial" w:hAnsi="Arial"/>
          <w:sz w:val="20"/>
          <w:szCs w:val="20"/>
          <w:i w:val="1"/>
          <w:iCs w:val="1"/>
          <w:color w:val="auto"/>
        </w:rPr>
        <w:t>acquisition-related expenses</w:t>
      </w:r>
      <w:r>
        <w:rPr>
          <w:rFonts w:ascii="Arial" w:cs="Arial" w:eastAsia="Arial" w:hAnsi="Arial"/>
          <w:sz w:val="26"/>
          <w:szCs w:val="26"/>
          <w:i w:val="1"/>
          <w:iCs w:val="1"/>
          <w:color w:val="auto"/>
          <w:vertAlign w:val="superscript"/>
        </w:rPr>
        <w:t>1</w:t>
      </w:r>
      <w:r>
        <w:rPr>
          <w:rFonts w:ascii="Arial" w:cs="Arial" w:eastAsia="Arial" w:hAnsi="Arial"/>
          <w:sz w:val="20"/>
          <w:szCs w:val="20"/>
          <w:color w:val="auto"/>
        </w:rPr>
        <w:t>;</w:t>
      </w:r>
      <w:r>
        <w:rPr>
          <w:rFonts w:ascii="Arial" w:cs="Arial" w:eastAsia="Arial" w:hAnsi="Arial"/>
          <w:sz w:val="20"/>
          <w:szCs w:val="20"/>
          <w:i w:val="1"/>
          <w:iCs w:val="1"/>
          <w:color w:val="auto"/>
        </w:rPr>
        <w:t xml:space="preserve"> restructuring related expense</w:t>
      </w:r>
      <w:r>
        <w:rPr>
          <w:rFonts w:ascii="Arial" w:cs="Arial" w:eastAsia="Arial" w:hAnsi="Arial"/>
          <w:sz w:val="26"/>
          <w:szCs w:val="26"/>
          <w:i w:val="1"/>
          <w:iCs w:val="1"/>
          <w:color w:val="auto"/>
          <w:vertAlign w:val="superscript"/>
        </w:rPr>
        <w:t>2</w:t>
      </w:r>
      <w:r>
        <w:rPr>
          <w:rFonts w:ascii="Arial" w:cs="Arial" w:eastAsia="Arial" w:hAnsi="Arial"/>
          <w:sz w:val="20"/>
          <w:szCs w:val="20"/>
          <w:color w:val="auto"/>
        </w:rPr>
        <w:t>; and</w:t>
      </w:r>
      <w:r>
        <w:rPr>
          <w:rFonts w:ascii="Arial" w:cs="Arial" w:eastAsia="Arial" w:hAnsi="Arial"/>
          <w:sz w:val="20"/>
          <w:szCs w:val="20"/>
          <w:i w:val="1"/>
          <w:iCs w:val="1"/>
          <w:color w:val="auto"/>
        </w:rPr>
        <w:t xml:space="preserve"> charitable foundation contribution</w:t>
      </w:r>
      <w:r>
        <w:rPr>
          <w:rFonts w:ascii="Arial" w:cs="Arial" w:eastAsia="Arial" w:hAnsi="Arial"/>
          <w:sz w:val="26"/>
          <w:szCs w:val="26"/>
          <w:i w:val="1"/>
          <w:iCs w:val="1"/>
          <w:color w:val="auto"/>
          <w:vertAlign w:val="superscript"/>
        </w:rPr>
        <w:t>3</w:t>
      </w:r>
      <w:r>
        <w:rPr>
          <w:rFonts w:ascii="Arial" w:cs="Arial" w:eastAsia="Arial" w:hAnsi="Arial"/>
          <w:sz w:val="20"/>
          <w:szCs w:val="20"/>
          <w:i w:val="1"/>
          <w:iCs w:val="1"/>
          <w:color w:val="auto"/>
        </w:rPr>
        <w:t xml:space="preserve"> </w:t>
      </w:r>
      <w:r>
        <w:rPr>
          <w:rFonts w:ascii="Arial" w:cs="Arial" w:eastAsia="Arial" w:hAnsi="Arial"/>
          <w:sz w:val="20"/>
          <w:szCs w:val="20"/>
          <w:color w:val="auto"/>
        </w:rPr>
        <w:t>which are described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below. Adjusted operating expenses percentage represents adjusted operating expenses divided by revenue.</w:t>
      </w:r>
    </w:p>
    <w:p>
      <w:pPr>
        <w:spacing w:after="0" w:line="44" w:lineRule="exact"/>
        <w:rPr>
          <w:sz w:val="20"/>
          <w:szCs w:val="20"/>
          <w:color w:val="auto"/>
        </w:rPr>
      </w:pPr>
    </w:p>
    <w:p>
      <w:pPr>
        <w:ind w:right="180"/>
        <w:spacing w:after="0" w:line="228" w:lineRule="auto"/>
        <w:rPr>
          <w:sz w:val="20"/>
          <w:szCs w:val="20"/>
          <w:color w:val="auto"/>
        </w:rPr>
      </w:pPr>
      <w:r>
        <w:rPr>
          <w:rFonts w:ascii="Arial" w:cs="Arial" w:eastAsia="Arial" w:hAnsi="Arial"/>
          <w:sz w:val="22"/>
          <w:szCs w:val="22"/>
          <w:color w:val="auto"/>
        </w:rPr>
        <w:t xml:space="preserve">Adjusted operating income is defined as operating income, determined in accordance with GAAP, excluding: </w:t>
      </w:r>
      <w:r>
        <w:rPr>
          <w:rFonts w:ascii="Arial" w:cs="Arial" w:eastAsia="Arial" w:hAnsi="Arial"/>
          <w:sz w:val="22"/>
          <w:szCs w:val="22"/>
          <w:i w:val="1"/>
          <w:iCs w:val="1"/>
          <w:color w:val="auto"/>
        </w:rPr>
        <w:t>acquisition-related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restructuring related expense</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 and</w:t>
      </w:r>
      <w:r>
        <w:rPr>
          <w:rFonts w:ascii="Arial" w:cs="Arial" w:eastAsia="Arial" w:hAnsi="Arial"/>
          <w:sz w:val="22"/>
          <w:szCs w:val="22"/>
          <w:i w:val="1"/>
          <w:iCs w:val="1"/>
          <w:color w:val="auto"/>
        </w:rPr>
        <w:t xml:space="preserve"> charitable foundation contribution</w:t>
      </w: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w:t>
      </w:r>
      <w:r>
        <w:rPr>
          <w:rFonts w:ascii="Arial" w:cs="Arial" w:eastAsia="Arial" w:hAnsi="Arial"/>
          <w:sz w:val="22"/>
          <w:szCs w:val="22"/>
          <w:i w:val="1"/>
          <w:iCs w:val="1"/>
          <w:color w:val="auto"/>
        </w:rPr>
        <w:t xml:space="preserve"> </w:t>
      </w:r>
      <w:r>
        <w:rPr>
          <w:rFonts w:ascii="Arial" w:cs="Arial" w:eastAsia="Arial" w:hAnsi="Arial"/>
          <w:sz w:val="22"/>
          <w:szCs w:val="22"/>
          <w:color w:val="auto"/>
        </w:rPr>
        <w:t>operating margin represents adjusted operating income divided by revenue.</w:t>
      </w:r>
    </w:p>
    <w:p>
      <w:pPr>
        <w:spacing w:after="0" w:line="78" w:lineRule="exact"/>
        <w:rPr>
          <w:sz w:val="20"/>
          <w:szCs w:val="20"/>
          <w:color w:val="auto"/>
        </w:rPr>
      </w:pPr>
    </w:p>
    <w:p>
      <w:pPr>
        <w:jc w:val="both"/>
        <w:ind w:right="20"/>
        <w:spacing w:after="0" w:line="210" w:lineRule="auto"/>
        <w:rPr>
          <w:sz w:val="20"/>
          <w:szCs w:val="20"/>
          <w:color w:val="auto"/>
        </w:rPr>
      </w:pPr>
      <w:r>
        <w:rPr>
          <w:rFonts w:ascii="Arial" w:cs="Arial" w:eastAsia="Arial" w:hAnsi="Arial"/>
          <w:sz w:val="22"/>
          <w:szCs w:val="22"/>
          <w:color w:val="auto"/>
        </w:rPr>
        <w:t xml:space="preserve">Adjusted income before income taxes is defined as income before income taxes, determined in accordance with GAAP, excluding: </w:t>
      </w:r>
      <w:r>
        <w:rPr>
          <w:rFonts w:ascii="Arial" w:cs="Arial" w:eastAsia="Arial" w:hAnsi="Arial"/>
          <w:sz w:val="22"/>
          <w:szCs w:val="22"/>
          <w:i w:val="1"/>
          <w:iCs w:val="1"/>
          <w:color w:val="auto"/>
        </w:rPr>
        <w:t>acquisition-related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restructuring related expense</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 and</w:t>
      </w:r>
      <w:r>
        <w:rPr>
          <w:rFonts w:ascii="Arial" w:cs="Arial" w:eastAsia="Arial" w:hAnsi="Arial"/>
          <w:sz w:val="22"/>
          <w:szCs w:val="22"/>
          <w:i w:val="1"/>
          <w:iCs w:val="1"/>
          <w:color w:val="auto"/>
        </w:rPr>
        <w:t xml:space="preserve"> charitable foundation contribution</w:t>
      </w: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w:t>
      </w:r>
      <w:r>
        <w:rPr>
          <w:rFonts w:ascii="Arial" w:cs="Arial" w:eastAsia="Arial" w:hAnsi="Arial"/>
          <w:sz w:val="22"/>
          <w:szCs w:val="22"/>
          <w:i w:val="1"/>
          <w:iCs w:val="1"/>
          <w:color w:val="auto"/>
        </w:rPr>
        <w:t xml:space="preserve"> </w:t>
      </w:r>
      <w:r>
        <w:rPr>
          <w:rFonts w:ascii="Arial" w:cs="Arial" w:eastAsia="Arial" w:hAnsi="Arial"/>
          <w:sz w:val="22"/>
          <w:szCs w:val="22"/>
          <w:color w:val="auto"/>
        </w:rPr>
        <w:t>below.</w:t>
      </w:r>
    </w:p>
    <w:p>
      <w:pPr>
        <w:spacing w:after="0" w:line="80"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 xml:space="preserve">Adjusted provision for income taxes is defined as provision for income taxes, determined in accordance with GAAP, excluding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related items</w:t>
      </w:r>
      <w:r>
        <w:rPr>
          <w:rFonts w:ascii="Arial" w:cs="Arial" w:eastAsia="Arial" w:hAnsi="Arial"/>
          <w:sz w:val="28"/>
          <w:szCs w:val="28"/>
          <w:i w:val="1"/>
          <w:iCs w:val="1"/>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 tax rate represents adjusted provision for income taxes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income before income taxes.</w:t>
      </w:r>
    </w:p>
    <w:p>
      <w:pPr>
        <w:spacing w:after="0" w:line="57"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 xml:space="preserve">Adjusted diluted EPS is defined as diluted EPS, determined in accordance with GAAP, excluding: </w:t>
      </w:r>
      <w:r>
        <w:rPr>
          <w:rFonts w:ascii="Arial" w:cs="Arial" w:eastAsia="Arial" w:hAnsi="Arial"/>
          <w:sz w:val="19"/>
          <w:szCs w:val="19"/>
          <w:i w:val="1"/>
          <w:iCs w:val="1"/>
          <w:color w:val="auto"/>
        </w:rPr>
        <w:t>acquisition-related expenses</w:t>
      </w:r>
      <w:r>
        <w:rPr>
          <w:rFonts w:ascii="Arial" w:cs="Arial" w:eastAsia="Arial" w:hAnsi="Arial"/>
          <w:sz w:val="25"/>
          <w:szCs w:val="25"/>
          <w:i w:val="1"/>
          <w:iCs w:val="1"/>
          <w:color w:val="auto"/>
          <w:vertAlign w:val="superscript"/>
        </w:rPr>
        <w:t>1</w:t>
      </w:r>
      <w:r>
        <w:rPr>
          <w:rFonts w:ascii="Arial" w:cs="Arial" w:eastAsia="Arial" w:hAnsi="Arial"/>
          <w:sz w:val="19"/>
          <w:szCs w:val="19"/>
          <w:color w:val="auto"/>
        </w:rPr>
        <w:t xml:space="preserve">; </w:t>
      </w:r>
      <w:r>
        <w:rPr>
          <w:rFonts w:ascii="Arial" w:cs="Arial" w:eastAsia="Arial" w:hAnsi="Arial"/>
          <w:sz w:val="19"/>
          <w:szCs w:val="19"/>
          <w:i w:val="1"/>
          <w:iCs w:val="1"/>
          <w:color w:val="auto"/>
        </w:rPr>
        <w:t>restructuring related expense</w:t>
      </w:r>
      <w:r>
        <w:rPr>
          <w:rFonts w:ascii="Arial" w:cs="Arial" w:eastAsia="Arial" w:hAnsi="Arial"/>
          <w:sz w:val="25"/>
          <w:szCs w:val="25"/>
          <w:i w:val="1"/>
          <w:iCs w:val="1"/>
          <w:color w:val="auto"/>
          <w:vertAlign w:val="superscript"/>
        </w:rPr>
        <w:t>2</w:t>
      </w:r>
      <w:r>
        <w:rPr>
          <w:rFonts w:ascii="Arial" w:cs="Arial" w:eastAsia="Arial" w:hAnsi="Arial"/>
          <w:sz w:val="19"/>
          <w:szCs w:val="19"/>
          <w:color w:val="auto"/>
        </w:rPr>
        <w:t>;</w:t>
      </w:r>
      <w:r>
        <w:rPr>
          <w:rFonts w:ascii="Arial" w:cs="Arial" w:eastAsia="Arial" w:hAnsi="Arial"/>
          <w:sz w:val="19"/>
          <w:szCs w:val="19"/>
          <w:i w:val="1"/>
          <w:iCs w:val="1"/>
          <w:color w:val="auto"/>
        </w:rPr>
        <w:t xml:space="preserve"> charitable foundation contribution</w:t>
      </w:r>
      <w:r>
        <w:rPr>
          <w:rFonts w:ascii="Arial" w:cs="Arial" w:eastAsia="Arial" w:hAnsi="Arial"/>
          <w:sz w:val="25"/>
          <w:szCs w:val="25"/>
          <w:i w:val="1"/>
          <w:iCs w:val="1"/>
          <w:color w:val="auto"/>
          <w:vertAlign w:val="superscript"/>
        </w:rPr>
        <w:t>3</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tax related items</w:t>
      </w:r>
      <w:r>
        <w:rPr>
          <w:rFonts w:ascii="Arial" w:cs="Arial" w:eastAsia="Arial" w:hAnsi="Arial"/>
          <w:sz w:val="25"/>
          <w:szCs w:val="25"/>
          <w:i w:val="1"/>
          <w:iCs w:val="1"/>
          <w:color w:val="auto"/>
          <w:vertAlign w:val="superscript"/>
        </w:rPr>
        <w:t>4</w:t>
      </w:r>
      <w:r>
        <w:rPr>
          <w:rFonts w:ascii="Arial" w:cs="Arial" w:eastAsia="Arial" w:hAnsi="Arial"/>
          <w:sz w:val="19"/>
          <w:szCs w:val="19"/>
          <w:i w:val="1"/>
          <w:iCs w:val="1"/>
          <w:color w:val="auto"/>
        </w:rPr>
        <w:t xml:space="preserve"> </w:t>
      </w:r>
      <w:r>
        <w:rPr>
          <w:rFonts w:ascii="Arial" w:cs="Arial" w:eastAsia="Arial" w:hAnsi="Arial"/>
          <w:sz w:val="19"/>
          <w:szCs w:val="19"/>
          <w:color w:val="auto"/>
        </w:rPr>
        <w:t>which are described further below.</w:t>
      </w:r>
    </w:p>
    <w:p>
      <w:pPr>
        <w:spacing w:after="0" w:line="1" w:lineRule="exact"/>
        <w:rPr>
          <w:sz w:val="20"/>
          <w:szCs w:val="20"/>
          <w:color w:val="auto"/>
        </w:rPr>
      </w:pPr>
    </w:p>
    <w:p>
      <w:pPr>
        <w:ind w:right="460"/>
        <w:spacing w:after="0" w:line="325" w:lineRule="auto"/>
        <w:rPr>
          <w:sz w:val="20"/>
          <w:szCs w:val="20"/>
          <w:color w:val="auto"/>
        </w:rPr>
      </w:pPr>
      <w:r>
        <w:rPr>
          <w:rFonts w:ascii="Arial" w:cs="Arial" w:eastAsia="Arial" w:hAnsi="Arial"/>
          <w:sz w:val="19"/>
          <w:szCs w:val="19"/>
          <w:color w:val="auto"/>
        </w:rPr>
        <w:t>Free cash flow is defined as net cash provided by operating activities, determined in accordance with GAAP, less additions to property, plant and equipment, net. Free cash flow margin percentage represents free cash flow divided by revenue.</w:t>
      </w:r>
    </w:p>
    <w:p>
      <w:pPr>
        <w:ind w:left="660" w:right="40"/>
        <w:spacing w:after="0" w:line="230" w:lineRule="auto"/>
        <w:rPr>
          <w:sz w:val="20"/>
          <w:szCs w:val="20"/>
          <w:color w:val="auto"/>
        </w:rPr>
      </w:pPr>
      <w:r>
        <w:rPr>
          <w:rFonts w:ascii="Arial" w:cs="Arial" w:eastAsia="Arial" w:hAnsi="Arial"/>
          <w:sz w:val="28"/>
          <w:szCs w:val="28"/>
          <w:i w:val="1"/>
          <w:iCs w:val="1"/>
          <w:color w:val="auto"/>
          <w:vertAlign w:val="superscript"/>
        </w:rPr>
        <w:t>1</w:t>
      </w:r>
      <w:r>
        <w:rPr>
          <w:rFonts w:ascii="Arial" w:cs="Arial" w:eastAsia="Arial" w:hAnsi="Arial"/>
          <w:sz w:val="22"/>
          <w:szCs w:val="22"/>
          <w:i w:val="1"/>
          <w:iCs w:val="1"/>
          <w:color w:val="auto"/>
        </w:rPr>
        <w:t>Acquisition-Related Expenses</w:t>
      </w:r>
      <w:r>
        <w:rPr>
          <w:rFonts w:ascii="Arial" w:cs="Arial" w:eastAsia="Arial" w:hAnsi="Arial"/>
          <w:sz w:val="22"/>
          <w:szCs w:val="22"/>
          <w:color w:val="auto"/>
        </w:rPr>
        <w:t>: Expenses incurred as a result of current and prior period acquisitions and primarily include</w:t>
      </w:r>
      <w:r>
        <w:rPr>
          <w:rFonts w:ascii="Arial" w:cs="Arial" w:eastAsia="Arial" w:hAnsi="Arial"/>
          <w:sz w:val="22"/>
          <w:szCs w:val="22"/>
          <w:i w:val="1"/>
          <w:iCs w:val="1"/>
          <w:color w:val="auto"/>
        </w:rPr>
        <w:t xml:space="preserve"> </w:t>
      </w:r>
      <w:r>
        <w:rPr>
          <w:rFonts w:ascii="Arial" w:cs="Arial" w:eastAsia="Arial" w:hAnsi="Arial"/>
          <w:sz w:val="22"/>
          <w:szCs w:val="22"/>
          <w:color w:val="auto"/>
        </w:rPr>
        <w:t>expenses associated with the fair value adjustments to inventory, property, plant and equipment and amortization of acquisition related intangibles, which</w:t>
      </w:r>
    </w:p>
    <w:p>
      <w:pPr>
        <w:sectPr>
          <w:pgSz w:w="11900" w:h="16838" w:orient="portrait"/>
          <w:cols w:equalWidth="0" w:num="1">
            <w:col w:w="11320"/>
          </w:cols>
          <w:pgMar w:left="240" w:top="901" w:right="339" w:bottom="1440" w:gutter="0" w:footer="0" w:header="0"/>
        </w:sectPr>
      </w:pPr>
    </w:p>
    <w:bookmarkStart w:id="8" w:name="page9"/>
    <w:bookmarkEnd w:id="8"/>
    <w:p>
      <w:pPr>
        <w:ind w:left="660" w:right="40"/>
        <w:spacing w:after="0" w:line="265" w:lineRule="auto"/>
        <w:rPr>
          <w:sz w:val="20"/>
          <w:szCs w:val="20"/>
          <w:color w:val="auto"/>
        </w:rPr>
      </w:pPr>
      <w:r>
        <w:rPr>
          <w:rFonts w:ascii="Arial" w:cs="Arial" w:eastAsia="Arial" w:hAnsi="Arial"/>
          <w:sz w:val="21"/>
          <w:szCs w:val="21"/>
          <w:color w:val="auto"/>
        </w:rPr>
        <w:t>include acquired intangibles such as purchased technology and customer relationships. Expenses also include severance payments, equity award accelerations, and the fair value adjustment associated with the replacement of share-based awards related to the Linear Technology acquisition. We excluded these costs from our non-GAAP measures because they relate to specific transactions and are not reflective of our ongoing financial performance.</w:t>
      </w:r>
    </w:p>
    <w:p>
      <w:pPr>
        <w:spacing w:after="0" w:line="33" w:lineRule="exact"/>
        <w:rPr>
          <w:sz w:val="20"/>
          <w:szCs w:val="20"/>
          <w:color w:val="auto"/>
        </w:rPr>
      </w:pPr>
    </w:p>
    <w:p>
      <w:pPr>
        <w:ind w:left="660" w:right="120"/>
        <w:spacing w:after="0" w:line="259" w:lineRule="auto"/>
        <w:rPr>
          <w:sz w:val="20"/>
          <w:szCs w:val="20"/>
          <w:color w:val="auto"/>
        </w:rPr>
      </w:pPr>
      <w:r>
        <w:rPr>
          <w:rFonts w:ascii="Arial" w:cs="Arial" w:eastAsia="Arial" w:hAnsi="Arial"/>
          <w:sz w:val="26"/>
          <w:szCs w:val="26"/>
          <w:i w:val="1"/>
          <w:iCs w:val="1"/>
          <w:color w:val="auto"/>
          <w:vertAlign w:val="superscript"/>
        </w:rPr>
        <w:t>2</w:t>
      </w:r>
      <w:r>
        <w:rPr>
          <w:rFonts w:ascii="Arial" w:cs="Arial" w:eastAsia="Arial" w:hAnsi="Arial"/>
          <w:sz w:val="20"/>
          <w:szCs w:val="20"/>
          <w:i w:val="1"/>
          <w:iCs w:val="1"/>
          <w:color w:val="auto"/>
        </w:rPr>
        <w:t>Restructuring-Related Expense</w:t>
      </w:r>
      <w:r>
        <w:rPr>
          <w:rFonts w:ascii="Arial" w:cs="Arial" w:eastAsia="Arial" w:hAnsi="Arial"/>
          <w:sz w:val="20"/>
          <w:szCs w:val="20"/>
          <w:color w:val="auto"/>
        </w:rPr>
        <w:t>: Expenses incurred in connection with facility closures, consolidation of manufacturing</w:t>
      </w:r>
      <w:r>
        <w:rPr>
          <w:rFonts w:ascii="Arial" w:cs="Arial" w:eastAsia="Arial" w:hAnsi="Arial"/>
          <w:sz w:val="20"/>
          <w:szCs w:val="20"/>
          <w:i w:val="1"/>
          <w:iCs w:val="1"/>
          <w:color w:val="auto"/>
        </w:rPr>
        <w:t xml:space="preserve"> </w:t>
      </w:r>
      <w:r>
        <w:rPr>
          <w:rFonts w:ascii="Arial" w:cs="Arial" w:eastAsia="Arial" w:hAnsi="Arial"/>
          <w:sz w:val="20"/>
          <w:szCs w:val="20"/>
          <w:color w:val="auto"/>
        </w:rPr>
        <w:t>facilities, severance, other accelerated stock-based compensation expense and other cost reduction efforts. We excluded these expenses from our non-GAAP measures because apart from ongoing expense savings as a result of such items, these expenses have no direct correlation to the operation of our business in the future.</w:t>
      </w:r>
    </w:p>
    <w:p>
      <w:pPr>
        <w:spacing w:after="0" w:line="54" w:lineRule="exact"/>
        <w:rPr>
          <w:sz w:val="20"/>
          <w:szCs w:val="20"/>
          <w:color w:val="auto"/>
        </w:rPr>
      </w:pPr>
    </w:p>
    <w:p>
      <w:pPr>
        <w:ind w:left="660" w:right="60"/>
        <w:spacing w:after="0"/>
        <w:rPr>
          <w:sz w:val="20"/>
          <w:szCs w:val="20"/>
          <w:color w:val="auto"/>
        </w:rPr>
      </w:pPr>
      <w:r>
        <w:rPr>
          <w:rFonts w:ascii="Arial" w:cs="Arial" w:eastAsia="Arial" w:hAnsi="Arial"/>
          <w:sz w:val="27"/>
          <w:szCs w:val="27"/>
          <w:i w:val="1"/>
          <w:iCs w:val="1"/>
          <w:color w:val="auto"/>
          <w:vertAlign w:val="superscript"/>
        </w:rPr>
        <w:t>3</w:t>
      </w:r>
      <w:r>
        <w:rPr>
          <w:rFonts w:ascii="Arial" w:cs="Arial" w:eastAsia="Arial" w:hAnsi="Arial"/>
          <w:sz w:val="21"/>
          <w:szCs w:val="21"/>
          <w:i w:val="1"/>
          <w:iCs w:val="1"/>
          <w:color w:val="auto"/>
        </w:rPr>
        <w:t>Charitable Foundation Contribution</w:t>
      </w:r>
      <w:r>
        <w:rPr>
          <w:rFonts w:ascii="Arial" w:cs="Arial" w:eastAsia="Arial" w:hAnsi="Arial"/>
          <w:sz w:val="21"/>
          <w:szCs w:val="21"/>
          <w:color w:val="auto"/>
        </w:rPr>
        <w:t>: Expenses incurred in connection with a one time contribution of registered shares of</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to the Analog Devices Foundation. We excluded this expense from our non-GAAP measures because this expense has no direct correlation to the operation of our business in the future.</w:t>
      </w:r>
    </w:p>
    <w:p>
      <w:pPr>
        <w:spacing w:after="0" w:line="71" w:lineRule="exact"/>
        <w:rPr>
          <w:sz w:val="20"/>
          <w:szCs w:val="20"/>
          <w:color w:val="auto"/>
        </w:rPr>
      </w:pPr>
    </w:p>
    <w:p>
      <w:pPr>
        <w:ind w:left="660" w:right="60"/>
        <w:spacing w:after="0" w:line="256" w:lineRule="auto"/>
        <w:rPr>
          <w:sz w:val="20"/>
          <w:szCs w:val="20"/>
          <w:color w:val="auto"/>
        </w:rPr>
      </w:pPr>
      <w:r>
        <w:rPr>
          <w:rFonts w:ascii="Arial" w:cs="Arial" w:eastAsia="Arial" w:hAnsi="Arial"/>
          <w:sz w:val="26"/>
          <w:szCs w:val="26"/>
          <w:i w:val="1"/>
          <w:iCs w:val="1"/>
          <w:color w:val="auto"/>
          <w:vertAlign w:val="superscript"/>
        </w:rPr>
        <w:t>4</w:t>
      </w:r>
      <w:r>
        <w:rPr>
          <w:rFonts w:ascii="Arial" w:cs="Arial" w:eastAsia="Arial" w:hAnsi="Arial"/>
          <w:sz w:val="20"/>
          <w:szCs w:val="20"/>
          <w:i w:val="1"/>
          <w:iCs w:val="1"/>
          <w:color w:val="auto"/>
        </w:rPr>
        <w:t>Tax-Related Items</w:t>
      </w:r>
      <w:r>
        <w:rPr>
          <w:rFonts w:ascii="Arial" w:cs="Arial" w:eastAsia="Arial" w:hAnsi="Arial"/>
          <w:sz w:val="20"/>
          <w:szCs w:val="20"/>
          <w:color w:val="auto"/>
        </w:rPr>
        <w:t>: Income tax effect of the non-GAAP items discussed above and income tax from certain discrete tax</w:t>
      </w:r>
      <w:r>
        <w:rPr>
          <w:rFonts w:ascii="Arial" w:cs="Arial" w:eastAsia="Arial" w:hAnsi="Arial"/>
          <w:sz w:val="20"/>
          <w:szCs w:val="20"/>
          <w:i w:val="1"/>
          <w:iCs w:val="1"/>
          <w:color w:val="auto"/>
        </w:rPr>
        <w:t xml:space="preserve"> </w:t>
      </w:r>
      <w:r>
        <w:rPr>
          <w:rFonts w:ascii="Arial" w:cs="Arial" w:eastAsia="Arial" w:hAnsi="Arial"/>
          <w:sz w:val="20"/>
          <w:szCs w:val="20"/>
          <w:color w:val="auto"/>
        </w:rPr>
        <w:t>items related to the impact of the Tax Cuts and Jobs Act of 2017. We excluded these tax-related items from our non-GAAP measures because they are not associated with the tax expense on our current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Analog Devices</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253" w:lineRule="exact"/>
        <w:rPr>
          <w:sz w:val="20"/>
          <w:szCs w:val="20"/>
          <w:color w:val="auto"/>
        </w:rPr>
      </w:pPr>
    </w:p>
    <w:p>
      <w:pPr>
        <w:ind w:right="60"/>
        <w:spacing w:after="0" w:line="285"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expected revenue, operating margin, tax rate, earnings per share, and other financial results, expected market trends, market share gains, operating leverage, production and inventory levels, and expected customer demand and order rates for our products,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our estimates of our expected tax rate based on current tax law; our ability to successfully integrate acquired businesses and technologies; the risk that expected benefits, synergies and growth prospects of acquisitions may not be fully achieved in a timely manner, or at all; adverse results in litigation matters; and the risk that we will be unable to retain and hire key personnel. For additional information about factors that could cause actual results to differ materially from those described in the forward-looking statements, please refer to our filings with the Securities and Exchange Commission (“SEC”), including the risk factors contained in</w:t>
      </w:r>
    </w:p>
    <w:p>
      <w:pPr>
        <w:sectPr>
          <w:pgSz w:w="11900" w:h="16838" w:orient="portrait"/>
          <w:cols w:equalWidth="0" w:num="1">
            <w:col w:w="11360"/>
          </w:cols>
          <w:pgMar w:left="240" w:top="996" w:right="299" w:bottom="1440" w:gutter="0" w:footer="0" w:header="0"/>
        </w:sectPr>
      </w:pPr>
    </w:p>
    <w:bookmarkStart w:id="9" w:name="page10"/>
    <w:bookmarkEnd w:id="9"/>
    <w:p>
      <w:pPr>
        <w:ind w:right="100"/>
        <w:spacing w:after="0" w:line="271" w:lineRule="auto"/>
        <w:rPr>
          <w:sz w:val="20"/>
          <w:szCs w:val="20"/>
          <w:color w:val="auto"/>
        </w:rPr>
      </w:pPr>
      <w:r>
        <w:rPr>
          <w:rFonts w:ascii="Arial" w:cs="Arial" w:eastAsia="Arial" w:hAnsi="Arial"/>
          <w:sz w:val="21"/>
          <w:szCs w:val="21"/>
          <w:i w:val="1"/>
          <w:iCs w:val="1"/>
          <w:color w:val="auto"/>
        </w:rPr>
        <w:t>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more information, please contact: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Sr. Director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781-461-3282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Media Contacts: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Ms. Andrea Calise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917-826-3804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andrea.calise@teneo.com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Ms. Megan Fenton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917-860-0356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megan.fenton@teneo.com</w:t>
      </w:r>
    </w:p>
    <w:p>
      <w:pPr>
        <w:sectPr>
          <w:pgSz w:w="11900" w:h="16838" w:orient="portrait"/>
          <w:cols w:equalWidth="0" w:num="1">
            <w:col w:w="11400"/>
          </w:cols>
          <w:pgMar w:left="240" w:top="90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177165</wp:posOffset>
            </wp:positionV>
            <wp:extent cx="2864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40" w:type="dxa"/>
            <w:vAlign w:val="bottom"/>
            <w:gridSpan w:val="4"/>
          </w:tcPr>
          <w:p>
            <w:pPr>
              <w:jc w:val="right"/>
              <w:ind w:right="13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Feb. 1, 2020</w:t>
            </w:r>
          </w:p>
        </w:tc>
        <w:tc>
          <w:tcPr>
            <w:tcW w:w="380" w:type="dxa"/>
            <w:vAlign w:val="bottom"/>
          </w:tcPr>
          <w:p>
            <w:pPr>
              <w:spacing w:after="0"/>
              <w:rPr>
                <w:sz w:val="20"/>
                <w:szCs w:val="20"/>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b w:val="1"/>
                <w:bCs w:val="1"/>
                <w:color w:val="auto"/>
              </w:rPr>
              <w:t>Feb. 2, 2019</w:t>
            </w:r>
          </w:p>
        </w:tc>
      </w:tr>
      <w:tr>
        <w:trPr>
          <w:trHeight w:val="27"/>
        </w:trPr>
        <w:tc>
          <w:tcPr>
            <w:tcW w:w="6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1,303,565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1,541,101</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455,423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501,445</w:t>
            </w:r>
          </w:p>
        </w:tc>
      </w:tr>
      <w:tr>
        <w:trPr>
          <w:trHeight w:val="27"/>
        </w:trPr>
        <w:tc>
          <w:tcPr>
            <w:tcW w:w="6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848,142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1,039,656</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&amp;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287,382</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199,280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167,342</w:t>
            </w:r>
          </w:p>
        </w:tc>
      </w:tr>
      <w:tr>
        <w:trPr>
          <w:trHeight w:val="27"/>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107,324</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Special charges</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21,782</w:t>
            </w:r>
          </w:p>
        </w:tc>
      </w:tr>
      <w:tr>
        <w:trPr>
          <w:trHeight w:val="27"/>
        </w:trPr>
        <w:tc>
          <w:tcPr>
            <w:tcW w:w="6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574,714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583,830</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273,428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455,826</w:t>
            </w:r>
          </w:p>
        </w:tc>
      </w:tr>
      <w:tr>
        <w:trPr>
          <w:trHeight w:val="27"/>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48,813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58,728</w:t>
            </w:r>
          </w:p>
        </w:tc>
      </w:tr>
      <w:tr>
        <w:trPr>
          <w:trHeight w:val="27"/>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6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55,880</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3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226,217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399,946</w:t>
            </w:r>
          </w:p>
        </w:tc>
      </w:tr>
      <w:tr>
        <w:trPr>
          <w:trHeight w:val="27"/>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44,940</w:t>
            </w:r>
          </w:p>
        </w:tc>
      </w:tr>
      <w:tr>
        <w:trPr>
          <w:trHeight w:val="264"/>
        </w:trPr>
        <w:tc>
          <w:tcPr>
            <w:tcW w:w="6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203,874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355,006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368,241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368,703</w:t>
            </w:r>
          </w:p>
        </w:tc>
      </w:tr>
      <w:tr>
        <w:trPr>
          <w:trHeight w:val="27"/>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372,506</w:t>
            </w:r>
          </w:p>
        </w:tc>
      </w:tr>
      <w:tr>
        <w:trPr>
          <w:trHeight w:val="257"/>
        </w:trPr>
        <w:tc>
          <w:tcPr>
            <w:tcW w:w="6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0.96</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0.95</w:t>
            </w:r>
          </w:p>
        </w:tc>
      </w:tr>
    </w:tbl>
    <w:p>
      <w:pPr>
        <w:sectPr>
          <w:pgSz w:w="11900" w:h="16838" w:orient="portrait"/>
          <w:cols w:equalWidth="0" w:num="1">
            <w:col w:w="11420"/>
          </w:cols>
          <w:pgMar w:left="240" w:top="891"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b w:val="1"/>
                <w:bCs w:val="1"/>
                <w:color w:val="auto"/>
              </w:rPr>
              <w:t>Feb. 1, 2020</w:t>
            </w:r>
          </w:p>
        </w:tc>
        <w:tc>
          <w:tcPr>
            <w:tcW w:w="360" w:type="dxa"/>
            <w:vAlign w:val="bottom"/>
          </w:tcPr>
          <w:p>
            <w:pPr>
              <w:spacing w:after="0"/>
              <w:rPr>
                <w:sz w:val="20"/>
                <w:szCs w:val="20"/>
                <w:color w:val="auto"/>
              </w:rPr>
            </w:pPr>
          </w:p>
        </w:tc>
        <w:tc>
          <w:tcPr>
            <w:tcW w:w="1840" w:type="dxa"/>
            <w:vAlign w:val="bottom"/>
          </w:tcPr>
          <w:p>
            <w:pPr>
              <w:jc w:val="right"/>
              <w:ind w:right="550"/>
              <w:spacing w:after="0"/>
              <w:rPr>
                <w:sz w:val="20"/>
                <w:szCs w:val="20"/>
                <w:color w:val="auto"/>
              </w:rPr>
            </w:pPr>
            <w:r>
              <w:rPr>
                <w:rFonts w:ascii="Arial" w:cs="Arial" w:eastAsia="Arial" w:hAnsi="Arial"/>
                <w:sz w:val="18"/>
                <w:szCs w:val="18"/>
                <w:b w:val="1"/>
                <w:bCs w:val="1"/>
                <w:color w:val="auto"/>
              </w:rPr>
              <w:t>Nov. 2, 2019</w:t>
            </w:r>
          </w:p>
        </w:tc>
      </w:tr>
      <w:tr>
        <w:trPr>
          <w:trHeight w:val="27"/>
        </w:trPr>
        <w:tc>
          <w:tcPr>
            <w:tcW w:w="6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654,408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648,322</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584,366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635,136</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588,503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609,886</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83,902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91,782</w:t>
            </w:r>
          </w:p>
        </w:tc>
      </w:tr>
      <w:tr>
        <w:trPr>
          <w:trHeight w:val="27"/>
        </w:trPr>
        <w:tc>
          <w:tcPr>
            <w:tcW w:w="6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1,911,179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1,985,126</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1,206,769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1,219,989</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77,324</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12,257,064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12,256,880</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4,073,078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4,217,224</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1,567,521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1,582,382</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282,988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53,716</w:t>
            </w:r>
          </w:p>
        </w:tc>
      </w:tr>
      <w:tr>
        <w:trPr>
          <w:trHeight w:val="264"/>
        </w:trPr>
        <w:tc>
          <w:tcPr>
            <w:tcW w:w="682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21,376,827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21,392,641</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6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1,022,082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1,208,965</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current</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748,460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299,667</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4,745,302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5,192,252</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2,055,100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2,088,212</w:t>
            </w: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1,116,366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894,357</w:t>
            </w:r>
          </w:p>
        </w:tc>
      </w:tr>
      <w:tr>
        <w:trPr>
          <w:trHeight w:val="27"/>
        </w:trPr>
        <w:tc>
          <w:tcPr>
            <w:tcW w:w="6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11,689,517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11,709,188</w:t>
            </w:r>
          </w:p>
        </w:tc>
      </w:tr>
      <w:tr>
        <w:trPr>
          <w:trHeight w:val="264"/>
        </w:trPr>
        <w:tc>
          <w:tcPr>
            <w:tcW w:w="6820" w:type="dxa"/>
            <w:vAlign w:val="bottom"/>
          </w:tcPr>
          <w:p>
            <w:pPr>
              <w:spacing w:after="0"/>
              <w:rPr>
                <w:sz w:val="20"/>
                <w:szCs w:val="20"/>
                <w:color w:val="auto"/>
              </w:rPr>
            </w:pPr>
            <w:r>
              <w:rPr>
                <w:rFonts w:ascii="Arial" w:cs="Arial" w:eastAsia="Arial" w:hAnsi="Arial"/>
                <w:sz w:val="18"/>
                <w:szCs w:val="18"/>
                <w:color w:val="auto"/>
              </w:rPr>
              <w:t>Total liabilities &amp; equity</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21,376,827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21,392,641</w:t>
            </w:r>
          </w:p>
        </w:tc>
      </w:tr>
      <w:tr>
        <w:trPr>
          <w:trHeight w:val="21"/>
        </w:trPr>
        <w:tc>
          <w:tcPr>
            <w:tcW w:w="6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80" w:top="891"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177165</wp:posOffset>
            </wp:positionV>
            <wp:extent cx="2778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gridSpan w:val="5"/>
          </w:tcPr>
          <w:p>
            <w:pPr>
              <w:jc w:val="right"/>
              <w:ind w:right="109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Feb. 1, 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Feb. 2, 2019</w:t>
            </w:r>
          </w:p>
        </w:tc>
        <w:tc>
          <w:tcPr>
            <w:tcW w:w="180" w:type="dxa"/>
            <w:vAlign w:val="bottom"/>
          </w:tcPr>
          <w:p>
            <w:pPr>
              <w:spacing w:after="0"/>
              <w:rPr>
                <w:sz w:val="20"/>
                <w:szCs w:val="20"/>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203,874</w:t>
            </w: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355,006</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43"/>
        </w:trPr>
        <w:tc>
          <w:tcPr>
            <w:tcW w:w="70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59,863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58,293</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144,069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142,292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37,501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36,393</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portion of special charge</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(13,982)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15,652</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contribution to charitable foundation</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340"/>
              <w:spacing w:after="0"/>
              <w:rPr>
                <w:sz w:val="20"/>
                <w:szCs w:val="20"/>
                <w:color w:val="auto"/>
              </w:rPr>
            </w:pPr>
            <w:r>
              <w:rPr>
                <w:rFonts w:ascii="Arial" w:cs="Arial" w:eastAsia="Arial" w:hAnsi="Arial"/>
                <w:sz w:val="18"/>
                <w:szCs w:val="18"/>
                <w:color w:val="auto"/>
              </w:rPr>
              <w:t>Other non-cash activity</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6,693</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(124,009)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(246,929)</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704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145,774</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80" w:type="dxa"/>
            <w:vAlign w:val="bottom"/>
            <w:tcBorders>
              <w:top w:val="single" w:sz="8" w:color="auto"/>
            </w:tcBorders>
          </w:tcPr>
          <w:p>
            <w:pPr>
              <w:spacing w:after="0"/>
              <w:rPr>
                <w:sz w:val="20"/>
                <w:szCs w:val="20"/>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349,648</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371,767</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37"/>
        </w:trPr>
        <w:tc>
          <w:tcPr>
            <w:tcW w:w="7040" w:type="dxa"/>
            <w:vAlign w:val="bottom"/>
          </w:tcPr>
          <w:p>
            <w:pPr>
              <w:ind w:left="160"/>
              <w:spacing w:after="0"/>
              <w:rPr>
                <w:sz w:val="20"/>
                <w:szCs w:val="20"/>
                <w:color w:val="auto"/>
              </w:rPr>
            </w:pPr>
            <w:r>
              <w:rPr>
                <w:rFonts w:ascii="Arial" w:cs="Arial" w:eastAsia="Arial" w:hAnsi="Arial"/>
                <w:sz w:val="18"/>
                <w:szCs w:val="18"/>
                <w:color w:val="auto"/>
              </w:rPr>
              <w:t>Percent of revenue</w:t>
            </w: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0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(54,839)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(90,993)</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Changes in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(54,732)</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(96,215)</w:t>
            </w:r>
          </w:p>
        </w:tc>
        <w:tc>
          <w:tcPr>
            <w:tcW w:w="180" w:type="dxa"/>
            <w:vAlign w:val="bottom"/>
            <w:tcBorders>
              <w:top w:val="single" w:sz="8" w:color="auto"/>
            </w:tcBorders>
          </w:tcPr>
          <w:p>
            <w:pPr>
              <w:spacing w:after="0"/>
              <w:rPr>
                <w:sz w:val="20"/>
                <w:szCs w:val="20"/>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7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revolver</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Payments on revolver</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repayments</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Dividend payments to shareholders</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(199,160)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(177,716)</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(106,030)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(227,093)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16,113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19,229</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Changes in 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(289,572)</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(486,149)</w:t>
            </w:r>
          </w:p>
        </w:tc>
        <w:tc>
          <w:tcPr>
            <w:tcW w:w="180" w:type="dxa"/>
            <w:vAlign w:val="bottom"/>
            <w:tcBorders>
              <w:top w:val="single" w:sz="8" w:color="auto"/>
            </w:tcBorders>
          </w:tcPr>
          <w:p>
            <w:pPr>
              <w:spacing w:after="0"/>
              <w:rPr>
                <w:sz w:val="20"/>
                <w:szCs w:val="20"/>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50"/>
        </w:trPr>
        <w:tc>
          <w:tcPr>
            <w:tcW w:w="70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(210,727)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648,322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816,591</w:t>
            </w:r>
          </w:p>
        </w:tc>
        <w:tc>
          <w:tcPr>
            <w:tcW w:w="180" w:type="dxa"/>
            <w:vAlign w:val="bottom"/>
          </w:tcPr>
          <w:p>
            <w:pPr>
              <w:spacing w:after="0"/>
              <w:rPr>
                <w:sz w:val="21"/>
                <w:szCs w:val="2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654,408</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605,864</w:t>
            </w:r>
          </w:p>
        </w:tc>
        <w:tc>
          <w:tcPr>
            <w:tcW w:w="180" w:type="dxa"/>
            <w:vAlign w:val="bottom"/>
            <w:shd w:val="clear" w:color="auto" w:fill="CCEEFF"/>
          </w:tcPr>
          <w:p>
            <w:pPr>
              <w:spacing w:after="0"/>
              <w:rPr>
                <w:sz w:val="24"/>
                <w:szCs w:val="24"/>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89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REVENUE TRENDS BY END MARKET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163195</wp:posOffset>
            </wp:positionV>
            <wp:extent cx="5454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Feb. 1, 2020</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3"/>
          </w:tcPr>
          <w:p>
            <w:pPr>
              <w:ind w:left="920"/>
              <w:spacing w:after="0"/>
              <w:rPr>
                <w:sz w:val="20"/>
                <w:szCs w:val="20"/>
                <w:color w:val="auto"/>
              </w:rPr>
            </w:pPr>
            <w:r>
              <w:rPr>
                <w:rFonts w:ascii="Arial" w:cs="Arial" w:eastAsia="Arial" w:hAnsi="Arial"/>
                <w:sz w:val="18"/>
                <w:szCs w:val="18"/>
                <w:b w:val="1"/>
                <w:bCs w:val="1"/>
                <w:color w:val="auto"/>
              </w:rPr>
              <w:t>Feb. 2, 2019</w:t>
            </w:r>
          </w:p>
        </w:tc>
      </w:tr>
      <w:tr>
        <w:trPr>
          <w:trHeight w:val="27"/>
        </w:trPr>
        <w:tc>
          <w:tcPr>
            <w:tcW w:w="2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 of revenue*</w:t>
            </w:r>
          </w:p>
        </w:tc>
        <w:tc>
          <w:tcPr>
            <w:tcW w:w="12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Y/Y %</w:t>
            </w:r>
          </w:p>
        </w:tc>
        <w:tc>
          <w:tcPr>
            <w:tcW w:w="30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620" w:type="dxa"/>
            <w:vAlign w:val="bottom"/>
          </w:tcPr>
          <w:p>
            <w:pPr>
              <w:ind w:left="240"/>
              <w:spacing w:after="0"/>
              <w:rPr>
                <w:sz w:val="20"/>
                <w:szCs w:val="20"/>
                <w:color w:val="auto"/>
              </w:rPr>
            </w:pPr>
            <w:r>
              <w:rPr>
                <w:rFonts w:ascii="Arial" w:cs="Arial" w:eastAsia="Arial" w:hAnsi="Arial"/>
                <w:sz w:val="18"/>
                <w:szCs w:val="18"/>
                <w:b w:val="1"/>
                <w:bCs w:val="1"/>
                <w:color w:val="auto"/>
              </w:rPr>
              <w:t>% of revenue*</w:t>
            </w:r>
          </w:p>
        </w:tc>
      </w:tr>
      <w:tr>
        <w:trPr>
          <w:trHeight w:val="27"/>
        </w:trPr>
        <w:tc>
          <w:tcPr>
            <w:tcW w:w="2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684,862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53%</w:t>
            </w:r>
          </w:p>
        </w:tc>
        <w:tc>
          <w:tcPr>
            <w:tcW w:w="17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733,432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48%</w:t>
            </w: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239,928</w:t>
            </w:r>
          </w:p>
        </w:tc>
        <w:tc>
          <w:tcPr>
            <w:tcW w:w="12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color w:val="auto"/>
                <w:w w:val="88"/>
              </w:rPr>
              <w:t>18%</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1"/>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347,016</w:t>
            </w:r>
          </w:p>
        </w:tc>
        <w:tc>
          <w:tcPr>
            <w:tcW w:w="120" w:type="dxa"/>
            <w:vAlign w:val="bottom"/>
          </w:tcPr>
          <w:p>
            <w:pPr>
              <w:spacing w:after="0"/>
              <w:rPr>
                <w:sz w:val="21"/>
                <w:szCs w:val="21"/>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88"/>
              </w:rPr>
              <w:t>23%</w:t>
            </w:r>
          </w:p>
        </w:tc>
      </w:tr>
      <w:tr>
        <w:trPr>
          <w:trHeight w:val="27"/>
        </w:trPr>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Automotive</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205,330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16%</w:t>
            </w:r>
          </w:p>
        </w:tc>
        <w:tc>
          <w:tcPr>
            <w:tcW w:w="17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244,062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16%</w:t>
            </w: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173,445</w:t>
            </w:r>
          </w:p>
        </w:tc>
        <w:tc>
          <w:tcPr>
            <w:tcW w:w="12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color w:val="auto"/>
                <w:w w:val="88"/>
              </w:rPr>
              <w:t>13%</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1"/>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216,591</w:t>
            </w:r>
          </w:p>
        </w:tc>
        <w:tc>
          <w:tcPr>
            <w:tcW w:w="120" w:type="dxa"/>
            <w:vAlign w:val="bottom"/>
          </w:tcPr>
          <w:p>
            <w:pPr>
              <w:spacing w:after="0"/>
              <w:rPr>
                <w:sz w:val="21"/>
                <w:szCs w:val="21"/>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88"/>
              </w:rPr>
              <w:t>14%</w:t>
            </w:r>
          </w:p>
        </w:tc>
      </w:tr>
      <w:tr>
        <w:trPr>
          <w:trHeight w:val="27"/>
        </w:trPr>
        <w:tc>
          <w:tcPr>
            <w:tcW w:w="2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9"/>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1,303,565</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5"/>
              </w:rPr>
              <w:t>100%</w:t>
            </w:r>
          </w:p>
        </w:tc>
        <w:tc>
          <w:tcPr>
            <w:tcW w:w="17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1,541,101</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5"/>
              </w:rPr>
              <w:t>100%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sum of the individual percentages may not equal the total due to rounding.</w:t>
      </w:r>
    </w:p>
    <w:p>
      <w:pPr>
        <w:sectPr>
          <w:pgSz w:w="11900" w:h="16838" w:orient="portrait"/>
          <w:cols w:equalWidth="0" w:num="1">
            <w:col w:w="11420"/>
          </w:cols>
          <w:pgMar w:left="240" w:top="89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177165</wp:posOffset>
            </wp:positionV>
            <wp:extent cx="276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gridSpan w:val="5"/>
          </w:tcPr>
          <w:p>
            <w:pPr>
              <w:jc w:val="right"/>
              <w:ind w:right="119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Feb. 1,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Feb. 2, 2019</w:t>
            </w:r>
          </w:p>
        </w:tc>
        <w:tc>
          <w:tcPr>
            <w:tcW w:w="16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34"/>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848,142</w:t>
            </w:r>
          </w:p>
        </w:tc>
        <w:tc>
          <w:tcPr>
            <w:tcW w:w="66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1,039,656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100"/>
              <w:spacing w:after="0"/>
              <w:rPr>
                <w:sz w:val="20"/>
                <w:szCs w:val="20"/>
                <w:color w:val="auto"/>
              </w:rPr>
            </w:pPr>
            <w:r>
              <w:rPr>
                <w:rFonts w:ascii="Arial" w:cs="Arial" w:eastAsia="Arial" w:hAnsi="Arial"/>
                <w:sz w:val="16"/>
                <w:szCs w:val="16"/>
                <w:color w:val="auto"/>
              </w:rPr>
              <w:t>Gross margin percentage</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67.5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45,016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43,495</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7080" w:type="dxa"/>
            <w:vAlign w:val="bottom"/>
          </w:tcPr>
          <w:p>
            <w:pPr>
              <w:ind w:left="20"/>
              <w:spacing w:after="0"/>
              <w:rPr>
                <w:sz w:val="20"/>
                <w:szCs w:val="20"/>
                <w:color w:val="auto"/>
              </w:rPr>
            </w:pPr>
            <w:r>
              <w:rPr>
                <w:rFonts w:ascii="Arial" w:cs="Arial" w:eastAsia="Arial" w:hAnsi="Arial"/>
                <w:sz w:val="16"/>
                <w:szCs w:val="16"/>
                <w:color w:val="auto"/>
              </w:rPr>
              <w:t>Adjusted gross margin</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893,158</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1,083,151</w:t>
            </w:r>
          </w:p>
        </w:tc>
        <w:tc>
          <w:tcPr>
            <w:tcW w:w="160" w:type="dxa"/>
            <w:vAlign w:val="bottom"/>
            <w:tcBorders>
              <w:top w:val="single" w:sz="8" w:color="auto"/>
              <w:bottom w:val="single" w:sz="8" w:color="auto"/>
            </w:tcBorders>
          </w:tcPr>
          <w:p>
            <w:pPr>
              <w:spacing w:after="0"/>
              <w:rPr>
                <w:sz w:val="21"/>
                <w:szCs w:val="2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4"/>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gross margin percentage</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54"/>
        </w:trPr>
        <w:tc>
          <w:tcPr>
            <w:tcW w:w="7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574,714</w:t>
            </w:r>
          </w:p>
        </w:tc>
        <w:tc>
          <w:tcPr>
            <w:tcW w:w="66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583,830</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100"/>
              <w:spacing w:after="0"/>
              <w:rPr>
                <w:sz w:val="20"/>
                <w:szCs w:val="20"/>
                <w:color w:val="auto"/>
              </w:rPr>
            </w:pPr>
            <w:r>
              <w:rPr>
                <w:rFonts w:ascii="Arial" w:cs="Arial" w:eastAsia="Arial" w:hAnsi="Arial"/>
                <w:sz w:val="16"/>
                <w:szCs w:val="16"/>
                <w:color w:val="auto"/>
              </w:rPr>
              <w:t>Percent of revenue</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(111,782)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(113,832)</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related expense</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(21,782)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7080" w:type="dxa"/>
            <w:vAlign w:val="bottom"/>
          </w:tcPr>
          <w:p>
            <w:pPr>
              <w:ind w:left="20"/>
              <w:spacing w:after="0"/>
              <w:rPr>
                <w:sz w:val="20"/>
                <w:szCs w:val="20"/>
                <w:color w:val="auto"/>
              </w:rPr>
            </w:pPr>
            <w:r>
              <w:rPr>
                <w:rFonts w:ascii="Arial" w:cs="Arial" w:eastAsia="Arial" w:hAnsi="Arial"/>
                <w:sz w:val="16"/>
                <w:szCs w:val="16"/>
                <w:color w:val="auto"/>
              </w:rPr>
              <w:t>Adjusted operating expenses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411,796</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448,216</w:t>
            </w:r>
          </w:p>
        </w:tc>
        <w:tc>
          <w:tcPr>
            <w:tcW w:w="160" w:type="dxa"/>
            <w:vAlign w:val="bottom"/>
            <w:tcBorders>
              <w:top w:val="single" w:sz="8" w:color="auto"/>
              <w:bottom w:val="single" w:sz="8" w:color="auto"/>
            </w:tcBorders>
          </w:tcPr>
          <w:p>
            <w:pPr>
              <w:spacing w:after="0"/>
              <w:rPr>
                <w:sz w:val="21"/>
                <w:szCs w:val="2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4"/>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operating expenses percentage</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54"/>
        </w:trPr>
        <w:tc>
          <w:tcPr>
            <w:tcW w:w="7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273,428</w:t>
            </w:r>
          </w:p>
        </w:tc>
        <w:tc>
          <w:tcPr>
            <w:tcW w:w="66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455,826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100"/>
              <w:spacing w:after="0"/>
              <w:rPr>
                <w:sz w:val="20"/>
                <w:szCs w:val="20"/>
                <w:color w:val="auto"/>
              </w:rPr>
            </w:pPr>
            <w:r>
              <w:rPr>
                <w:rFonts w:ascii="Arial" w:cs="Arial" w:eastAsia="Arial" w:hAnsi="Arial"/>
                <w:sz w:val="16"/>
                <w:szCs w:val="16"/>
                <w:color w:val="auto"/>
              </w:rPr>
              <w:t>Operating margin</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156,798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157,327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related expense</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21,782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708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481,362</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634,935</w:t>
            </w:r>
          </w:p>
        </w:tc>
        <w:tc>
          <w:tcPr>
            <w:tcW w:w="160" w:type="dxa"/>
            <w:vAlign w:val="bottom"/>
            <w:tcBorders>
              <w:top w:val="single" w:sz="8" w:color="auto"/>
              <w:bottom w:val="single" w:sz="8" w:color="auto"/>
            </w:tcBorders>
          </w:tcPr>
          <w:p>
            <w:pPr>
              <w:spacing w:after="0"/>
              <w:rPr>
                <w:sz w:val="21"/>
                <w:szCs w:val="2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4"/>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operating margin</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54"/>
        </w:trPr>
        <w:tc>
          <w:tcPr>
            <w:tcW w:w="7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22,343</w:t>
            </w:r>
          </w:p>
        </w:tc>
        <w:tc>
          <w:tcPr>
            <w:tcW w:w="66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44,940</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260"/>
              <w:spacing w:after="0"/>
              <w:rPr>
                <w:sz w:val="20"/>
                <w:szCs w:val="20"/>
                <w:color w:val="auto"/>
              </w:rPr>
            </w:pPr>
            <w:r>
              <w:rPr>
                <w:rFonts w:ascii="Arial" w:cs="Arial" w:eastAsia="Arial" w:hAnsi="Arial"/>
                <w:sz w:val="16"/>
                <w:szCs w:val="16"/>
                <w:color w:val="auto"/>
              </w:rPr>
              <w:t>Income tax effect of adjustments above</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28,280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24,900</w:t>
            </w:r>
          </w:p>
        </w:tc>
        <w:tc>
          <w:tcPr>
            <w:tcW w:w="160" w:type="dxa"/>
            <w:vAlign w:val="bottom"/>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from certain discrete tax items</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7080" w:type="dxa"/>
            <w:vAlign w:val="bottom"/>
          </w:tcPr>
          <w:p>
            <w:pPr>
              <w:ind w:left="20"/>
              <w:spacing w:after="0"/>
              <w:rPr>
                <w:sz w:val="20"/>
                <w:szCs w:val="20"/>
                <w:color w:val="auto"/>
              </w:rPr>
            </w:pPr>
            <w:r>
              <w:rPr>
                <w:rFonts w:ascii="Arial" w:cs="Arial" w:eastAsia="Arial" w:hAnsi="Arial"/>
                <w:sz w:val="16"/>
                <w:szCs w:val="16"/>
                <w:color w:val="auto"/>
              </w:rPr>
              <w:t>Adjusted provision for income taxes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50,623</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82,400</w:t>
            </w:r>
          </w:p>
        </w:tc>
        <w:tc>
          <w:tcPr>
            <w:tcW w:w="160" w:type="dxa"/>
            <w:vAlign w:val="bottom"/>
            <w:tcBorders>
              <w:top w:val="single" w:sz="8" w:color="auto"/>
              <w:bottom w:val="single" w:sz="8" w:color="auto"/>
            </w:tcBorders>
          </w:tcPr>
          <w:p>
            <w:pPr>
              <w:spacing w:after="0"/>
              <w:rPr>
                <w:sz w:val="21"/>
                <w:szCs w:val="21"/>
                <w:color w:val="auto"/>
              </w:rPr>
            </w:pPr>
          </w:p>
        </w:tc>
      </w:tr>
      <w:tr>
        <w:trPr>
          <w:trHeight w:val="49"/>
        </w:trPr>
        <w:tc>
          <w:tcPr>
            <w:tcW w:w="70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24"/>
        </w:trPr>
        <w:tc>
          <w:tcPr>
            <w:tcW w:w="70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226,217</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399,946</w:t>
            </w:r>
          </w:p>
        </w:tc>
        <w:tc>
          <w:tcPr>
            <w:tcW w:w="160" w:type="dxa"/>
            <w:vAlign w:val="bottom"/>
            <w:tcBorders>
              <w:top w:val="single" w:sz="8" w:color="CCEEFF"/>
            </w:tcBorders>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Effective tax rate</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7080" w:type="dxa"/>
            <w:vAlign w:val="bottom"/>
          </w:tcPr>
          <w:p>
            <w:pPr>
              <w:ind w:left="260"/>
              <w:spacing w:after="0"/>
              <w:rPr>
                <w:sz w:val="20"/>
                <w:szCs w:val="20"/>
                <w:color w:val="auto"/>
              </w:rPr>
            </w:pPr>
            <w:r>
              <w:rPr>
                <w:rFonts w:ascii="Arial" w:cs="Arial" w:eastAsia="Arial" w:hAnsi="Arial"/>
                <w:sz w:val="16"/>
                <w:szCs w:val="16"/>
                <w:color w:val="auto"/>
              </w:rPr>
              <w:t>Acquisition related expenses</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156,798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157,327</w:t>
            </w:r>
          </w:p>
        </w:tc>
        <w:tc>
          <w:tcPr>
            <w:tcW w:w="160" w:type="dxa"/>
            <w:vAlign w:val="bottom"/>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260"/>
              <w:spacing w:after="0"/>
              <w:rPr>
                <w:sz w:val="20"/>
                <w:szCs w:val="20"/>
                <w:color w:val="auto"/>
              </w:rPr>
            </w:pPr>
            <w:r>
              <w:rPr>
                <w:rFonts w:ascii="Arial" w:cs="Arial" w:eastAsia="Arial" w:hAnsi="Arial"/>
                <w:sz w:val="16"/>
                <w:szCs w:val="16"/>
                <w:color w:val="auto"/>
              </w:rPr>
              <w:t>Restructuring related expense</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11,136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21,782</w:t>
            </w:r>
          </w:p>
        </w:tc>
        <w:tc>
          <w:tcPr>
            <w:tcW w:w="160" w:type="dxa"/>
            <w:vAlign w:val="bottom"/>
          </w:tcPr>
          <w:p>
            <w:pPr>
              <w:spacing w:after="0"/>
              <w:rPr>
                <w:sz w:val="19"/>
                <w:szCs w:val="19"/>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income before income taxes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434,151</w:t>
            </w:r>
          </w:p>
        </w:tc>
        <w:tc>
          <w:tcPr>
            <w:tcW w:w="66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579,055</w:t>
            </w:r>
          </w:p>
        </w:tc>
        <w:tc>
          <w:tcPr>
            <w:tcW w:w="160" w:type="dxa"/>
            <w:vAlign w:val="bottom"/>
            <w:shd w:val="clear" w:color="auto" w:fill="CCEEFF"/>
          </w:tcPr>
          <w:p>
            <w:pPr>
              <w:spacing w:after="0"/>
              <w:rPr>
                <w:sz w:val="23"/>
                <w:szCs w:val="23"/>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7080" w:type="dxa"/>
            <w:vAlign w:val="bottom"/>
          </w:tcPr>
          <w:p>
            <w:pPr>
              <w:ind w:left="100"/>
              <w:spacing w:after="0"/>
              <w:rPr>
                <w:sz w:val="20"/>
                <w:szCs w:val="20"/>
                <w:color w:val="auto"/>
              </w:rPr>
            </w:pPr>
            <w:r>
              <w:rPr>
                <w:rFonts w:ascii="Arial" w:cs="Arial" w:eastAsia="Arial" w:hAnsi="Arial"/>
                <w:sz w:val="16"/>
                <w:szCs w:val="16"/>
                <w:color w:val="auto"/>
              </w:rPr>
              <w:t>Adjusted tax rate</w:t>
            </w:r>
          </w:p>
        </w:tc>
        <w:tc>
          <w:tcPr>
            <w:tcW w:w="3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67"/>
        </w:trPr>
        <w:tc>
          <w:tcPr>
            <w:tcW w:w="708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r>
      <w:tr>
        <w:trPr>
          <w:trHeight w:val="224"/>
        </w:trPr>
        <w:tc>
          <w:tcPr>
            <w:tcW w:w="708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0.55</w:t>
            </w:r>
          </w:p>
        </w:tc>
        <w:tc>
          <w:tcPr>
            <w:tcW w:w="66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0.95</w:t>
            </w:r>
          </w:p>
        </w:tc>
        <w:tc>
          <w:tcPr>
            <w:tcW w:w="160" w:type="dxa"/>
            <w:vAlign w:val="bottom"/>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related expense</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7080" w:type="dxa"/>
            <w:vAlign w:val="bottom"/>
          </w:tcPr>
          <w:p>
            <w:pPr>
              <w:ind w:left="260"/>
              <w:spacing w:after="0"/>
              <w:rPr>
                <w:sz w:val="20"/>
                <w:szCs w:val="20"/>
                <w:color w:val="auto"/>
              </w:rPr>
            </w:pPr>
            <w:r>
              <w:rPr>
                <w:rFonts w:ascii="Arial" w:cs="Arial" w:eastAsia="Arial" w:hAnsi="Arial"/>
                <w:sz w:val="16"/>
                <w:szCs w:val="16"/>
                <w:color w:val="auto"/>
              </w:rPr>
              <w:t>Income tax effect of adjustments above</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(0.07)</w:t>
            </w:r>
          </w:p>
        </w:tc>
        <w:tc>
          <w:tcPr>
            <w:tcW w:w="160" w:type="dxa"/>
            <w:vAlign w:val="bottom"/>
          </w:tcPr>
          <w:p>
            <w:pPr>
              <w:spacing w:after="0"/>
              <w:rPr>
                <w:sz w:val="19"/>
                <w:szCs w:val="19"/>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from certain discrete tax items</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7080" w:type="dxa"/>
            <w:vAlign w:val="bottom"/>
          </w:tcPr>
          <w:p>
            <w:pPr>
              <w:ind w:left="20"/>
              <w:spacing w:after="0"/>
              <w:rPr>
                <w:sz w:val="20"/>
                <w:szCs w:val="20"/>
                <w:color w:val="auto"/>
              </w:rPr>
            </w:pPr>
            <w:r>
              <w:rPr>
                <w:rFonts w:ascii="Arial" w:cs="Arial" w:eastAsia="Arial" w:hAnsi="Arial"/>
                <w:sz w:val="16"/>
                <w:szCs w:val="16"/>
                <w:color w:val="auto"/>
              </w:rPr>
              <w:t>Adjusted diluted EPS (1)</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Borders>
              <w:top w:val="single" w:sz="8" w:color="auto"/>
              <w:bottom w:val="single" w:sz="8" w:color="auto"/>
            </w:tcBorders>
          </w:tcPr>
          <w:p>
            <w:pPr>
              <w:spacing w:after="0"/>
              <w:rPr>
                <w:sz w:val="21"/>
                <w:szCs w:val="21"/>
                <w:color w:val="auto"/>
              </w:rPr>
            </w:pPr>
          </w:p>
        </w:tc>
      </w:tr>
      <w:tr>
        <w:trPr>
          <w:trHeight w:val="24"/>
        </w:trPr>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The sum of the individual per share amounts may not equal the total due to rounding.</w:t>
      </w:r>
    </w:p>
    <w:p>
      <w:pPr>
        <w:sectPr>
          <w:pgSz w:w="11900" w:h="16838" w:orient="portrait"/>
          <w:cols w:equalWidth="0" w:num="1">
            <w:col w:w="11420"/>
          </w:cols>
          <w:pgMar w:left="240" w:top="688"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177165</wp:posOffset>
            </wp:positionV>
            <wp:extent cx="48025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Trailing Twelve</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Months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Feb. 1, 2020</w:t>
            </w: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 1, 2020</w:t>
            </w:r>
          </w:p>
        </w:tc>
        <w:tc>
          <w:tcPr>
            <w:tcW w:w="1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Nov. 2, 2019</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Aug. 3, 2019</w:t>
            </w:r>
          </w:p>
        </w:tc>
        <w:tc>
          <w:tcPr>
            <w:tcW w:w="16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May 4, 2019</w:t>
            </w:r>
          </w:p>
        </w:tc>
      </w:tr>
      <w:tr>
        <w:trPr>
          <w:trHeight w:val="27"/>
        </w:trPr>
        <w:tc>
          <w:tcPr>
            <w:tcW w:w="3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5,753,529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1,303,565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1,443,219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1,480,143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1,526,602</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2,230,981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349,648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657,905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552,546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670,882</w:t>
            </w:r>
          </w:p>
        </w:tc>
      </w:tr>
      <w:tr>
        <w:trPr>
          <w:trHeight w:val="27"/>
        </w:trPr>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(239,218)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(54,839)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(51,076)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(58,094)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(75,209)</w:t>
            </w:r>
          </w:p>
        </w:tc>
      </w:tr>
      <w:tr>
        <w:trPr>
          <w:trHeight w:val="27"/>
        </w:trPr>
        <w:tc>
          <w:tcPr>
            <w:tcW w:w="3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1,991,763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294,809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606,829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494,452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595,673</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39 %</w:t>
            </w:r>
          </w:p>
        </w:tc>
      </w:tr>
    </w:tbl>
    <w:p>
      <w:pPr>
        <w:sectPr>
          <w:pgSz w:w="11900" w:h="16838" w:orient="portrait"/>
          <w:cols w:equalWidth="0" w:num="1">
            <w:col w:w="11360"/>
          </w:cols>
          <w:pgMar w:left="280" w:top="89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177165</wp:posOffset>
            </wp:positionV>
            <wp:extent cx="4271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6720" w:type="dxa"/>
            <w:vAlign w:val="bottom"/>
            <w:gridSpan w:val="3"/>
          </w:tcPr>
          <w:p>
            <w:pPr>
              <w:ind w:left="2020"/>
              <w:spacing w:after="0"/>
              <w:rPr>
                <w:sz w:val="20"/>
                <w:szCs w:val="20"/>
                <w:color w:val="auto"/>
              </w:rPr>
            </w:pPr>
            <w:r>
              <w:rPr>
                <w:rFonts w:ascii="Arial" w:cs="Arial" w:eastAsia="Arial" w:hAnsi="Arial"/>
                <w:sz w:val="18"/>
                <w:szCs w:val="18"/>
                <w:b w:val="1"/>
                <w:bCs w:val="1"/>
                <w:color w:val="auto"/>
              </w:rPr>
              <w:t>Three Months Ending May 2, 2020</w:t>
            </w:r>
          </w:p>
        </w:tc>
      </w:tr>
      <w:tr>
        <w:trPr>
          <w:trHeight w:val="27"/>
        </w:trPr>
        <w:tc>
          <w:tcPr>
            <w:tcW w:w="4660" w:type="dxa"/>
            <w:vAlign w:val="bottom"/>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7"/>
        </w:trPr>
        <w:tc>
          <w:tcPr>
            <w:tcW w:w="466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$1.35 Billion</w:t>
            </w:r>
          </w:p>
        </w:tc>
        <w:tc>
          <w:tcPr>
            <w:tcW w:w="3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$1.35 Billion</w:t>
            </w:r>
          </w:p>
        </w:tc>
      </w:tr>
      <w:tr>
        <w:trPr>
          <w:trHeight w:val="243"/>
        </w:trPr>
        <w:tc>
          <w:tcPr>
            <w:tcW w:w="4660" w:type="dxa"/>
            <w:vAlign w:val="bottom"/>
          </w:tcPr>
          <w:p>
            <w:pPr>
              <w:spacing w:after="0"/>
              <w:rPr>
                <w:sz w:val="21"/>
                <w:szCs w:val="21"/>
                <w:color w:val="auto"/>
              </w:rPr>
            </w:pP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 $50 Million)</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 $50 Million)</w:t>
            </w:r>
          </w:p>
        </w:tc>
      </w:tr>
      <w:tr>
        <w:trPr>
          <w:trHeight w:val="27"/>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37.5% (1)</w:t>
            </w:r>
          </w:p>
        </w:tc>
      </w:tr>
      <w:tr>
        <w:trPr>
          <w:trHeight w:val="243"/>
        </w:trPr>
        <w:tc>
          <w:tcPr>
            <w:tcW w:w="4660" w:type="dxa"/>
            <w:vAlign w:val="bottom"/>
          </w:tcPr>
          <w:p>
            <w:pPr>
              <w:spacing w:after="0"/>
              <w:rPr>
                <w:sz w:val="21"/>
                <w:szCs w:val="21"/>
                <w:color w:val="auto"/>
              </w:rPr>
            </w:pP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(+/-150 bps)</w:t>
            </w:r>
          </w:p>
        </w:tc>
        <w:tc>
          <w:tcPr>
            <w:tcW w:w="3320" w:type="dxa"/>
            <w:vAlign w:val="bottom"/>
          </w:tcPr>
          <w:p>
            <w:pPr>
              <w:jc w:val="center"/>
              <w:spacing w:after="0"/>
              <w:rPr>
                <w:sz w:val="20"/>
                <w:szCs w:val="20"/>
                <w:color w:val="auto"/>
              </w:rPr>
            </w:pPr>
            <w:r>
              <w:rPr>
                <w:rFonts w:ascii="Arial" w:cs="Arial" w:eastAsia="Arial" w:hAnsi="Arial"/>
                <w:sz w:val="18"/>
                <w:szCs w:val="18"/>
                <w:color w:val="auto"/>
                <w:w w:val="92"/>
              </w:rPr>
              <w:t>(+/-100 bps)</w:t>
            </w:r>
          </w:p>
        </w:tc>
      </w:tr>
      <w:tr>
        <w:trPr>
          <w:trHeight w:val="27"/>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3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 $48 Million</w:t>
            </w:r>
          </w:p>
        </w:tc>
        <w:tc>
          <w:tcPr>
            <w:tcW w:w="33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 $48 Million</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Tax rate</w:t>
            </w: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9% to 11%</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10% to 12% (2)</w:t>
            </w:r>
          </w:p>
        </w:tc>
      </w:tr>
      <w:tr>
        <w:trPr>
          <w:trHeight w:val="27"/>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$1.10 (3)</w:t>
            </w:r>
          </w:p>
        </w:tc>
      </w:tr>
      <w:tr>
        <w:trPr>
          <w:trHeight w:val="243"/>
        </w:trPr>
        <w:tc>
          <w:tcPr>
            <w:tcW w:w="4660" w:type="dxa"/>
            <w:vAlign w:val="bottom"/>
          </w:tcPr>
          <w:p>
            <w:pPr>
              <w:spacing w:after="0"/>
              <w:rPr>
                <w:sz w:val="21"/>
                <w:szCs w:val="21"/>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 $0.08)</w:t>
            </w:r>
          </w:p>
        </w:tc>
        <w:tc>
          <w:tcPr>
            <w:tcW w:w="10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 $0.08)</w:t>
            </w:r>
          </w:p>
        </w:tc>
      </w:tr>
    </w:tbl>
    <w:p>
      <w:pPr>
        <w:spacing w:after="0" w:line="364" w:lineRule="exact"/>
        <w:rPr>
          <w:sz w:val="20"/>
          <w:szCs w:val="20"/>
          <w:color w:val="auto"/>
        </w:rPr>
      </w:pPr>
    </w:p>
    <w:p>
      <w:pPr>
        <w:ind w:right="60" w:firstLine="8"/>
        <w:spacing w:after="0" w:line="258"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$157 million of adjustments related to acquisition related expenses as previously defined in the Non-GAAP Financial Information section of this press release.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$21 million of tax effects associated with the adjustment for acquisition related expenses above.</w:t>
      </w:r>
    </w:p>
    <w:p>
      <w:pPr>
        <w:spacing w:after="0" w:line="9" w:lineRule="exact"/>
        <w:rPr>
          <w:rFonts w:ascii="Arial" w:cs="Arial" w:eastAsia="Arial" w:hAnsi="Arial"/>
          <w:sz w:val="18"/>
          <w:szCs w:val="18"/>
          <w:color w:val="auto"/>
        </w:rPr>
      </w:pPr>
    </w:p>
    <w:p>
      <w:pPr>
        <w:ind w:right="54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$0.36 of adjustments related to the net impact of $0.42 of acquisition related expenses and $0.06 of tax effects on those acquisition related expenses.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Mr. Michael Lucarelli, 781-461-3282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Sr. Director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Media Contacts: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Ms. Andrea Calise, 917-826-3804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andrea.calise@teneo.com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Ms. Megan Fenton, 917-860-0356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megan.fenton@teneo.com</w:t>
      </w:r>
    </w:p>
    <w:sectPr>
      <w:pgSz w:w="11900" w:h="16838" w:orient="portrait"/>
      <w:cols w:equalWidth="0" w:num="1">
        <w:col w:w="11400"/>
      </w:cols>
      <w:pgMar w:left="240" w:top="8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2020-02-19T07:06:39Z</dcterms:created>
  <dcterms:modified xsi:type="dcterms:W3CDTF">2020-02-19T07:06:39Z</dcterms:modified>
</cp:coreProperties>
</file>