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August 22, 2012</w:t>
      </w:r>
    </w:p>
    <w:p>
      <w:pPr>
        <w:spacing w:after="0" w:line="1" w:lineRule="exact"/>
        <w:rPr>
          <w:sz w:val="24"/>
          <w:szCs w:val="24"/>
          <w:color w:val="auto"/>
        </w:rPr>
      </w:pPr>
    </w:p>
    <w:p>
      <w:pPr>
        <w:ind w:left="95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92710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ANALOG DEVICES,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1" w:lineRule="exact"/>
        <w:rPr>
          <w:sz w:val="24"/>
          <w:szCs w:val="24"/>
          <w:color w:val="auto"/>
        </w:rPr>
      </w:pPr>
    </w:p>
    <w:tbl>
      <w:tblPr>
        <w:tblLayout w:type="fixed"/>
        <w:tblInd w:w="1980" w:type="dxa"/>
        <w:tblCellMar>
          <w:top w:w="0" w:type="dxa"/>
          <w:left w:w="0" w:type="dxa"/>
          <w:bottom w:w="0" w:type="dxa"/>
          <w:right w:w="0" w:type="dxa"/>
        </w:tblCellMar>
      </w:tblPr>
      <w:tr>
        <w:trPr>
          <w:trHeight w:val="161"/>
        </w:trPr>
        <w:tc>
          <w:tcPr>
            <w:tcW w:w="186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Massachusetts</w:t>
            </w:r>
          </w:p>
        </w:tc>
        <w:tc>
          <w:tcPr>
            <w:tcW w:w="5500" w:type="dxa"/>
            <w:vAlign w:val="bottom"/>
            <w:gridSpan w:val="3"/>
          </w:tcPr>
          <w:p>
            <w:pPr>
              <w:jc w:val="center"/>
              <w:ind w:left="4112"/>
              <w:spacing w:after="0"/>
              <w:rPr>
                <w:sz w:val="20"/>
                <w:szCs w:val="20"/>
                <w:color w:val="auto"/>
              </w:rPr>
            </w:pPr>
            <w:r>
              <w:rPr>
                <w:rFonts w:ascii="Arial" w:cs="Arial" w:eastAsia="Arial" w:hAnsi="Arial"/>
                <w:sz w:val="14"/>
                <w:szCs w:val="14"/>
                <w:b w:val="1"/>
                <w:bCs w:val="1"/>
                <w:color w:val="auto"/>
                <w:w w:val="85"/>
              </w:rPr>
              <w:t>04-2348234</w:t>
            </w:r>
          </w:p>
        </w:tc>
      </w:tr>
      <w:tr>
        <w:trPr>
          <w:trHeight w:val="149"/>
        </w:trPr>
        <w:tc>
          <w:tcPr>
            <w:tcW w:w="18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6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40" w:type="dxa"/>
            <w:vAlign w:val="bottom"/>
          </w:tcPr>
          <w:p>
            <w:pPr>
              <w:jc w:val="center"/>
              <w:ind w:left="1052"/>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186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incorporation or organization)</w:t>
            </w:r>
          </w:p>
        </w:tc>
        <w:tc>
          <w:tcPr>
            <w:tcW w:w="6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40" w:type="dxa"/>
            <w:vAlign w:val="bottom"/>
          </w:tcPr>
          <w:p>
            <w:pPr>
              <w:jc w:val="center"/>
              <w:ind w:left="1032"/>
              <w:spacing w:after="0"/>
              <w:rPr>
                <w:sz w:val="20"/>
                <w:szCs w:val="20"/>
                <w:color w:val="auto"/>
              </w:rPr>
            </w:pPr>
            <w:r>
              <w:rPr>
                <w:rFonts w:ascii="Arial" w:cs="Arial" w:eastAsia="Arial" w:hAnsi="Arial"/>
                <w:sz w:val="14"/>
                <w:szCs w:val="14"/>
                <w:b w:val="1"/>
                <w:bCs w:val="1"/>
                <w:color w:val="auto"/>
                <w:w w:val="90"/>
              </w:rPr>
              <w:t>Identification Number)</w:t>
            </w:r>
          </w:p>
        </w:tc>
      </w:tr>
      <w:tr>
        <w:trPr>
          <w:trHeight w:val="177"/>
        </w:trPr>
        <w:tc>
          <w:tcPr>
            <w:tcW w:w="1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20" w:type="dxa"/>
            <w:vAlign w:val="bottom"/>
            <w:gridSpan w:val="2"/>
          </w:tcPr>
          <w:p>
            <w:pPr>
              <w:jc w:val="center"/>
              <w:ind w:right="2372"/>
              <w:spacing w:after="0"/>
              <w:rPr>
                <w:sz w:val="20"/>
                <w:szCs w:val="20"/>
                <w:color w:val="auto"/>
              </w:rPr>
            </w:pPr>
            <w:r>
              <w:rPr>
                <w:rFonts w:ascii="Arial" w:cs="Arial" w:eastAsia="Arial" w:hAnsi="Arial"/>
                <w:sz w:val="14"/>
                <w:szCs w:val="14"/>
                <w:b w:val="1"/>
                <w:bCs w:val="1"/>
                <w:color w:val="auto"/>
                <w:w w:val="86"/>
              </w:rPr>
              <w:t>One Technology Way,</w:t>
            </w: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20" w:type="dxa"/>
            <w:vAlign w:val="bottom"/>
            <w:gridSpan w:val="2"/>
          </w:tcPr>
          <w:p>
            <w:pPr>
              <w:jc w:val="center"/>
              <w:ind w:right="2352"/>
              <w:spacing w:after="0" w:line="149" w:lineRule="exact"/>
              <w:rPr>
                <w:sz w:val="20"/>
                <w:szCs w:val="20"/>
                <w:color w:val="auto"/>
              </w:rPr>
            </w:pPr>
            <w:r>
              <w:rPr>
                <w:rFonts w:ascii="Arial" w:cs="Arial" w:eastAsia="Arial" w:hAnsi="Arial"/>
                <w:sz w:val="14"/>
                <w:szCs w:val="14"/>
                <w:b w:val="1"/>
                <w:bCs w:val="1"/>
                <w:color w:val="auto"/>
                <w:w w:val="85"/>
              </w:rPr>
              <w:t>Norwood, Massachusetts 02062-9106</w:t>
            </w: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20" w:type="dxa"/>
            <w:vAlign w:val="bottom"/>
            <w:gridSpan w:val="2"/>
          </w:tcPr>
          <w:p>
            <w:pPr>
              <w:jc w:val="center"/>
              <w:ind w:right="2372"/>
              <w:spacing w:after="0" w:line="149" w:lineRule="exact"/>
              <w:rPr>
                <w:sz w:val="20"/>
                <w:szCs w:val="20"/>
                <w:color w:val="auto"/>
              </w:rPr>
            </w:pPr>
            <w:r>
              <w:rPr>
                <w:rFonts w:ascii="Arial" w:cs="Arial" w:eastAsia="Arial" w:hAnsi="Arial"/>
                <w:sz w:val="14"/>
                <w:szCs w:val="14"/>
                <w:b w:val="1"/>
                <w:bCs w:val="1"/>
                <w:color w:val="auto"/>
                <w:w w:val="85"/>
              </w:rPr>
              <w:t>Telephone: 781-329-4700</w:t>
            </w:r>
          </w:p>
        </w:tc>
      </w:tr>
      <w:tr>
        <w:trPr>
          <w:trHeight w:val="149"/>
        </w:trPr>
        <w:tc>
          <w:tcPr>
            <w:tcW w:w="1860" w:type="dxa"/>
            <w:vAlign w:val="bottom"/>
          </w:tcPr>
          <w:p>
            <w:pPr>
              <w:spacing w:after="0"/>
              <w:rPr>
                <w:sz w:val="12"/>
                <w:szCs w:val="12"/>
                <w:color w:val="auto"/>
              </w:rPr>
            </w:pPr>
          </w:p>
        </w:tc>
        <w:tc>
          <w:tcPr>
            <w:tcW w:w="5500" w:type="dxa"/>
            <w:vAlign w:val="bottom"/>
            <w:gridSpan w:val="3"/>
          </w:tcPr>
          <w:p>
            <w:pPr>
              <w:jc w:val="center"/>
              <w:ind w:right="1692"/>
              <w:spacing w:after="0" w:line="149" w:lineRule="exact"/>
              <w:rPr>
                <w:sz w:val="20"/>
                <w:szCs w:val="20"/>
                <w:color w:val="auto"/>
              </w:rPr>
            </w:pPr>
            <w:r>
              <w:rPr>
                <w:rFonts w:ascii="Arial" w:cs="Arial" w:eastAsia="Arial" w:hAnsi="Arial"/>
                <w:sz w:val="14"/>
                <w:szCs w:val="14"/>
                <w:b w:val="1"/>
                <w:bCs w:val="1"/>
                <w:color w:val="auto"/>
                <w:w w:val="85"/>
              </w:rPr>
              <w:t>(Address, including zip code, and telephone number,</w:t>
            </w:r>
          </w:p>
        </w:tc>
      </w:tr>
      <w:tr>
        <w:trPr>
          <w:trHeight w:val="174"/>
        </w:trPr>
        <w:tc>
          <w:tcPr>
            <w:tcW w:w="1860" w:type="dxa"/>
            <w:vAlign w:val="bottom"/>
          </w:tcPr>
          <w:p>
            <w:pPr>
              <w:spacing w:after="0"/>
              <w:rPr>
                <w:sz w:val="15"/>
                <w:szCs w:val="15"/>
                <w:color w:val="auto"/>
              </w:rPr>
            </w:pPr>
          </w:p>
        </w:tc>
        <w:tc>
          <w:tcPr>
            <w:tcW w:w="5500" w:type="dxa"/>
            <w:vAlign w:val="bottom"/>
            <w:gridSpan w:val="3"/>
          </w:tcPr>
          <w:p>
            <w:pPr>
              <w:jc w:val="center"/>
              <w:ind w:right="1692"/>
              <w:spacing w:after="0"/>
              <w:rPr>
                <w:sz w:val="20"/>
                <w:szCs w:val="20"/>
                <w:color w:val="auto"/>
              </w:rPr>
            </w:pPr>
            <w:r>
              <w:rPr>
                <w:rFonts w:ascii="Arial" w:cs="Arial" w:eastAsia="Arial" w:hAnsi="Arial"/>
                <w:sz w:val="14"/>
                <w:szCs w:val="14"/>
                <w:b w:val="1"/>
                <w:bCs w:val="1"/>
                <w:color w:val="auto"/>
                <w:w w:val="85"/>
              </w:rPr>
              <w:t>including area code, of registrant’s principal executive offices)</w:t>
            </w:r>
          </w:p>
        </w:tc>
      </w:tr>
      <w:tr>
        <w:trPr>
          <w:trHeight w:val="136"/>
        </w:trPr>
        <w:tc>
          <w:tcPr>
            <w:tcW w:w="1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r>
      <w:tr>
        <w:trPr>
          <w:trHeight w:val="170"/>
        </w:trPr>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20" w:type="dxa"/>
            <w:vAlign w:val="bottom"/>
            <w:gridSpan w:val="2"/>
          </w:tcPr>
          <w:p>
            <w:pPr>
              <w:jc w:val="center"/>
              <w:ind w:right="2372"/>
              <w:spacing w:after="0"/>
              <w:rPr>
                <w:sz w:val="20"/>
                <w:szCs w:val="20"/>
                <w:color w:val="auto"/>
              </w:rPr>
            </w:pPr>
            <w:r>
              <w:rPr>
                <w:rFonts w:ascii="Arial" w:cs="Arial" w:eastAsia="Arial" w:hAnsi="Arial"/>
                <w:sz w:val="14"/>
                <w:szCs w:val="14"/>
                <w:b w:val="1"/>
                <w:bCs w:val="1"/>
                <w:color w:val="auto"/>
                <w:w w:val="90"/>
              </w:rPr>
              <w:t>Margaret K. Seif, Esq.</w:t>
            </w:r>
          </w:p>
        </w:tc>
      </w:tr>
      <w:tr>
        <w:trPr>
          <w:trHeight w:val="149"/>
        </w:trPr>
        <w:tc>
          <w:tcPr>
            <w:tcW w:w="1860" w:type="dxa"/>
            <w:vAlign w:val="bottom"/>
          </w:tcPr>
          <w:p>
            <w:pPr>
              <w:spacing w:after="0"/>
              <w:rPr>
                <w:sz w:val="12"/>
                <w:szCs w:val="12"/>
                <w:color w:val="auto"/>
              </w:rPr>
            </w:pPr>
          </w:p>
        </w:tc>
        <w:tc>
          <w:tcPr>
            <w:tcW w:w="5500" w:type="dxa"/>
            <w:vAlign w:val="bottom"/>
            <w:gridSpan w:val="3"/>
          </w:tcPr>
          <w:p>
            <w:pPr>
              <w:jc w:val="center"/>
              <w:ind w:right="1692"/>
              <w:spacing w:after="0" w:line="149" w:lineRule="exact"/>
              <w:rPr>
                <w:sz w:val="20"/>
                <w:szCs w:val="20"/>
                <w:color w:val="auto"/>
              </w:rPr>
            </w:pPr>
            <w:r>
              <w:rPr>
                <w:rFonts w:ascii="Arial" w:cs="Arial" w:eastAsia="Arial" w:hAnsi="Arial"/>
                <w:sz w:val="14"/>
                <w:szCs w:val="14"/>
                <w:b w:val="1"/>
                <w:bCs w:val="1"/>
                <w:color w:val="auto"/>
                <w:w w:val="86"/>
              </w:rPr>
              <w:t>Vice President, General Counsel and Secretary</w:t>
            </w: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20" w:type="dxa"/>
            <w:vAlign w:val="bottom"/>
            <w:gridSpan w:val="2"/>
          </w:tcPr>
          <w:p>
            <w:pPr>
              <w:jc w:val="center"/>
              <w:ind w:right="2372"/>
              <w:spacing w:after="0" w:line="149" w:lineRule="exact"/>
              <w:rPr>
                <w:sz w:val="20"/>
                <w:szCs w:val="20"/>
                <w:color w:val="auto"/>
              </w:rPr>
            </w:pPr>
            <w:r>
              <w:rPr>
                <w:rFonts w:ascii="Arial" w:cs="Arial" w:eastAsia="Arial" w:hAnsi="Arial"/>
                <w:sz w:val="14"/>
                <w:szCs w:val="14"/>
                <w:b w:val="1"/>
                <w:bCs w:val="1"/>
                <w:color w:val="auto"/>
                <w:w w:val="85"/>
              </w:rPr>
              <w:t>One Technology Way</w:t>
            </w: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20" w:type="dxa"/>
            <w:vAlign w:val="bottom"/>
            <w:gridSpan w:val="2"/>
          </w:tcPr>
          <w:p>
            <w:pPr>
              <w:jc w:val="center"/>
              <w:ind w:right="2352"/>
              <w:spacing w:after="0" w:line="149" w:lineRule="exact"/>
              <w:rPr>
                <w:sz w:val="20"/>
                <w:szCs w:val="20"/>
                <w:color w:val="auto"/>
              </w:rPr>
            </w:pPr>
            <w:r>
              <w:rPr>
                <w:rFonts w:ascii="Arial" w:cs="Arial" w:eastAsia="Arial" w:hAnsi="Arial"/>
                <w:sz w:val="14"/>
                <w:szCs w:val="14"/>
                <w:b w:val="1"/>
                <w:bCs w:val="1"/>
                <w:color w:val="auto"/>
                <w:w w:val="85"/>
              </w:rPr>
              <w:t>Norwood, Massachusetts 02062-9106</w:t>
            </w: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20" w:type="dxa"/>
            <w:vAlign w:val="bottom"/>
            <w:gridSpan w:val="2"/>
          </w:tcPr>
          <w:p>
            <w:pPr>
              <w:jc w:val="center"/>
              <w:ind w:right="2372"/>
              <w:spacing w:after="0" w:line="149" w:lineRule="exact"/>
              <w:rPr>
                <w:sz w:val="20"/>
                <w:szCs w:val="20"/>
                <w:color w:val="auto"/>
              </w:rPr>
            </w:pPr>
            <w:r>
              <w:rPr>
                <w:rFonts w:ascii="Arial" w:cs="Arial" w:eastAsia="Arial" w:hAnsi="Arial"/>
                <w:sz w:val="14"/>
                <w:szCs w:val="14"/>
                <w:b w:val="1"/>
                <w:bCs w:val="1"/>
                <w:color w:val="auto"/>
                <w:w w:val="85"/>
              </w:rPr>
              <w:t>Telephone: 781-329-4700</w:t>
            </w:r>
          </w:p>
        </w:tc>
      </w:tr>
      <w:tr>
        <w:trPr>
          <w:trHeight w:val="149"/>
        </w:trPr>
        <w:tc>
          <w:tcPr>
            <w:tcW w:w="1860" w:type="dxa"/>
            <w:vAlign w:val="bottom"/>
          </w:tcPr>
          <w:p>
            <w:pPr>
              <w:spacing w:after="0"/>
              <w:rPr>
                <w:sz w:val="12"/>
                <w:szCs w:val="12"/>
                <w:color w:val="auto"/>
              </w:rPr>
            </w:pPr>
          </w:p>
        </w:tc>
        <w:tc>
          <w:tcPr>
            <w:tcW w:w="5500" w:type="dxa"/>
            <w:vAlign w:val="bottom"/>
            <w:gridSpan w:val="3"/>
          </w:tcPr>
          <w:p>
            <w:pPr>
              <w:jc w:val="center"/>
              <w:ind w:right="1692"/>
              <w:spacing w:after="0" w:line="149" w:lineRule="exact"/>
              <w:rPr>
                <w:sz w:val="20"/>
                <w:szCs w:val="20"/>
                <w:color w:val="auto"/>
              </w:rPr>
            </w:pPr>
            <w:r>
              <w:rPr>
                <w:rFonts w:ascii="Arial" w:cs="Arial" w:eastAsia="Arial" w:hAnsi="Arial"/>
                <w:sz w:val="14"/>
                <w:szCs w:val="14"/>
                <w:b w:val="1"/>
                <w:bCs w:val="1"/>
                <w:color w:val="auto"/>
                <w:w w:val="85"/>
              </w:rPr>
              <w:t>(Name, address, including zip code, and telephone number,</w:t>
            </w:r>
          </w:p>
        </w:tc>
      </w:tr>
      <w:tr>
        <w:trPr>
          <w:trHeight w:val="174"/>
        </w:trPr>
        <w:tc>
          <w:tcPr>
            <w:tcW w:w="1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20" w:type="dxa"/>
            <w:vAlign w:val="bottom"/>
            <w:gridSpan w:val="2"/>
          </w:tcPr>
          <w:p>
            <w:pPr>
              <w:jc w:val="center"/>
              <w:ind w:right="2372"/>
              <w:spacing w:after="0"/>
              <w:rPr>
                <w:sz w:val="20"/>
                <w:szCs w:val="20"/>
                <w:color w:val="auto"/>
              </w:rPr>
            </w:pPr>
            <w:r>
              <w:rPr>
                <w:rFonts w:ascii="Arial" w:cs="Arial" w:eastAsia="Arial" w:hAnsi="Arial"/>
                <w:sz w:val="14"/>
                <w:szCs w:val="14"/>
                <w:b w:val="1"/>
                <w:bCs w:val="1"/>
                <w:color w:val="auto"/>
                <w:w w:val="85"/>
              </w:rPr>
              <w:t>including area code, of agent for service)</w:t>
            </w:r>
          </w:p>
        </w:tc>
      </w:tr>
      <w:tr>
        <w:trPr>
          <w:trHeight w:val="122"/>
        </w:trPr>
        <w:tc>
          <w:tcPr>
            <w:tcW w:w="1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2440" w:type="dxa"/>
            <w:vAlign w:val="bottom"/>
          </w:tcPr>
          <w:p>
            <w:pPr>
              <w:spacing w:after="0"/>
              <w:rPr>
                <w:sz w:val="10"/>
                <w:szCs w:val="10"/>
                <w:color w:val="auto"/>
              </w:rPr>
            </w:pPr>
          </w:p>
        </w:tc>
      </w:tr>
      <w:tr>
        <w:trPr>
          <w:trHeight w:val="196"/>
        </w:trPr>
        <w:tc>
          <w:tcPr>
            <w:tcW w:w="1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20" w:type="dxa"/>
            <w:vAlign w:val="bottom"/>
            <w:gridSpan w:val="2"/>
          </w:tcPr>
          <w:p>
            <w:pPr>
              <w:jc w:val="center"/>
              <w:ind w:right="2372"/>
              <w:spacing w:after="0"/>
              <w:rPr>
                <w:sz w:val="20"/>
                <w:szCs w:val="20"/>
                <w:color w:val="auto"/>
              </w:rPr>
            </w:pPr>
            <w:r>
              <w:rPr>
                <w:rFonts w:ascii="Arial" w:cs="Arial" w:eastAsia="Arial" w:hAnsi="Arial"/>
                <w:sz w:val="14"/>
                <w:szCs w:val="14"/>
                <w:b w:val="1"/>
                <w:bCs w:val="1"/>
                <w:i w:val="1"/>
                <w:iCs w:val="1"/>
                <w:color w:val="auto"/>
                <w:w w:val="80"/>
              </w:rPr>
              <w:t>Copy to:</w:t>
            </w:r>
          </w:p>
        </w:tc>
      </w:tr>
      <w:tr>
        <w:trPr>
          <w:trHeight w:val="163"/>
        </w:trPr>
        <w:tc>
          <w:tcPr>
            <w:tcW w:w="1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20" w:type="dxa"/>
            <w:vAlign w:val="bottom"/>
            <w:gridSpan w:val="2"/>
          </w:tcPr>
          <w:p>
            <w:pPr>
              <w:jc w:val="center"/>
              <w:ind w:right="2352"/>
              <w:spacing w:after="0"/>
              <w:rPr>
                <w:sz w:val="20"/>
                <w:szCs w:val="20"/>
                <w:color w:val="auto"/>
              </w:rPr>
            </w:pPr>
            <w:r>
              <w:rPr>
                <w:rFonts w:ascii="Arial" w:cs="Arial" w:eastAsia="Arial" w:hAnsi="Arial"/>
                <w:sz w:val="14"/>
                <w:szCs w:val="14"/>
                <w:b w:val="1"/>
                <w:bCs w:val="1"/>
                <w:color w:val="auto"/>
                <w:w w:val="90"/>
              </w:rPr>
              <w:t>Mark G. Borden, Esq.</w:t>
            </w: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20" w:type="dxa"/>
            <w:vAlign w:val="bottom"/>
            <w:gridSpan w:val="2"/>
          </w:tcPr>
          <w:p>
            <w:pPr>
              <w:jc w:val="center"/>
              <w:ind w:right="2372"/>
              <w:spacing w:after="0" w:line="149" w:lineRule="exact"/>
              <w:rPr>
                <w:sz w:val="20"/>
                <w:szCs w:val="20"/>
                <w:color w:val="auto"/>
              </w:rPr>
            </w:pPr>
            <w:r>
              <w:rPr>
                <w:rFonts w:ascii="Arial" w:cs="Arial" w:eastAsia="Arial" w:hAnsi="Arial"/>
                <w:sz w:val="14"/>
                <w:szCs w:val="14"/>
                <w:b w:val="1"/>
                <w:bCs w:val="1"/>
                <w:color w:val="auto"/>
                <w:w w:val="86"/>
              </w:rPr>
              <w:t>Graham Robinson, Esq.</w:t>
            </w:r>
          </w:p>
        </w:tc>
      </w:tr>
      <w:tr>
        <w:trPr>
          <w:trHeight w:val="149"/>
        </w:trPr>
        <w:tc>
          <w:tcPr>
            <w:tcW w:w="1860" w:type="dxa"/>
            <w:vAlign w:val="bottom"/>
          </w:tcPr>
          <w:p>
            <w:pPr>
              <w:spacing w:after="0"/>
              <w:rPr>
                <w:sz w:val="12"/>
                <w:szCs w:val="12"/>
                <w:color w:val="auto"/>
              </w:rPr>
            </w:pPr>
          </w:p>
        </w:tc>
        <w:tc>
          <w:tcPr>
            <w:tcW w:w="5500" w:type="dxa"/>
            <w:vAlign w:val="bottom"/>
            <w:gridSpan w:val="3"/>
          </w:tcPr>
          <w:p>
            <w:pPr>
              <w:jc w:val="center"/>
              <w:ind w:right="1672"/>
              <w:spacing w:after="0" w:line="149" w:lineRule="exact"/>
              <w:rPr>
                <w:sz w:val="20"/>
                <w:szCs w:val="20"/>
                <w:color w:val="auto"/>
              </w:rPr>
            </w:pPr>
            <w:r>
              <w:rPr>
                <w:rFonts w:ascii="Arial" w:cs="Arial" w:eastAsia="Arial" w:hAnsi="Arial"/>
                <w:sz w:val="14"/>
                <w:szCs w:val="14"/>
                <w:b w:val="1"/>
                <w:bCs w:val="1"/>
                <w:color w:val="auto"/>
                <w:w w:val="91"/>
              </w:rPr>
              <w:t>Wilmer Cutler Pickering Hale and Dorr LLP</w:t>
            </w: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20" w:type="dxa"/>
            <w:vAlign w:val="bottom"/>
            <w:gridSpan w:val="2"/>
          </w:tcPr>
          <w:p>
            <w:pPr>
              <w:jc w:val="center"/>
              <w:ind w:right="2352"/>
              <w:spacing w:after="0" w:line="149" w:lineRule="exact"/>
              <w:rPr>
                <w:sz w:val="20"/>
                <w:szCs w:val="20"/>
                <w:color w:val="auto"/>
              </w:rPr>
            </w:pPr>
            <w:r>
              <w:rPr>
                <w:rFonts w:ascii="Arial" w:cs="Arial" w:eastAsia="Arial" w:hAnsi="Arial"/>
                <w:sz w:val="14"/>
                <w:szCs w:val="14"/>
                <w:b w:val="1"/>
                <w:bCs w:val="1"/>
                <w:color w:val="auto"/>
                <w:w w:val="86"/>
              </w:rPr>
              <w:t>60 State Street</w:t>
            </w:r>
          </w:p>
        </w:tc>
      </w:tr>
      <w:tr>
        <w:trPr>
          <w:trHeight w:val="149"/>
        </w:trPr>
        <w:tc>
          <w:tcPr>
            <w:tcW w:w="1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20" w:type="dxa"/>
            <w:vAlign w:val="bottom"/>
            <w:gridSpan w:val="2"/>
          </w:tcPr>
          <w:p>
            <w:pPr>
              <w:jc w:val="center"/>
              <w:ind w:right="2372"/>
              <w:spacing w:after="0" w:line="149" w:lineRule="exact"/>
              <w:rPr>
                <w:sz w:val="20"/>
                <w:szCs w:val="20"/>
                <w:color w:val="auto"/>
              </w:rPr>
            </w:pPr>
            <w:r>
              <w:rPr>
                <w:rFonts w:ascii="Arial" w:cs="Arial" w:eastAsia="Arial" w:hAnsi="Arial"/>
                <w:sz w:val="14"/>
                <w:szCs w:val="14"/>
                <w:b w:val="1"/>
                <w:bCs w:val="1"/>
                <w:color w:val="auto"/>
                <w:w w:val="83"/>
              </w:rPr>
              <w:t>Boston, Massachusetts 02109</w:t>
            </w:r>
          </w:p>
        </w:tc>
      </w:tr>
      <w:tr>
        <w:trPr>
          <w:trHeight w:val="174"/>
        </w:trPr>
        <w:tc>
          <w:tcPr>
            <w:tcW w:w="1860" w:type="dxa"/>
            <w:vAlign w:val="bottom"/>
          </w:tcPr>
          <w:p>
            <w:pPr>
              <w:spacing w:after="0"/>
              <w:rPr>
                <w:sz w:val="15"/>
                <w:szCs w:val="15"/>
                <w:color w:val="auto"/>
              </w:rPr>
            </w:pPr>
          </w:p>
        </w:tc>
        <w:tc>
          <w:tcPr>
            <w:tcW w:w="3060" w:type="dxa"/>
            <w:vAlign w:val="bottom"/>
            <w:gridSpan w:val="2"/>
          </w:tcPr>
          <w:p>
            <w:pPr>
              <w:jc w:val="center"/>
              <w:ind w:left="632"/>
              <w:spacing w:after="0"/>
              <w:rPr>
                <w:sz w:val="20"/>
                <w:szCs w:val="20"/>
                <w:color w:val="auto"/>
              </w:rPr>
            </w:pPr>
            <w:r>
              <w:rPr>
                <w:rFonts w:ascii="Arial" w:cs="Arial" w:eastAsia="Arial" w:hAnsi="Arial"/>
                <w:sz w:val="14"/>
                <w:szCs w:val="14"/>
                <w:b w:val="1"/>
                <w:bCs w:val="1"/>
                <w:color w:val="auto"/>
                <w:w w:val="87"/>
              </w:rPr>
              <w:t>617-526-6000</w:t>
            </w:r>
          </w:p>
        </w:tc>
        <w:tc>
          <w:tcPr>
            <w:tcW w:w="24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3"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From time to time after the effective date of this Registration Statement.</w:t>
      </w:r>
    </w:p>
    <w:p>
      <w:pPr>
        <w:spacing w:after="0" w:line="13" w:lineRule="exact"/>
        <w:rPr>
          <w:sz w:val="24"/>
          <w:szCs w:val="24"/>
          <w:color w:val="auto"/>
        </w:rPr>
      </w:pPr>
    </w:p>
    <w:p>
      <w:pPr>
        <w:ind w:left="360"/>
        <w:spacing w:after="0" w:line="138" w:lineRule="exact"/>
        <w:tabs>
          <w:tab w:leader="none" w:pos="870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MS PGothic" w:cs="MS PGothic" w:eastAsia="MS PGothic" w:hAnsi="MS PGothic"/>
          <w:sz w:val="12"/>
          <w:szCs w:val="12"/>
          <w:color w:val="auto"/>
        </w:rPr>
        <w:t>☐</w:t>
      </w:r>
    </w:p>
    <w:p>
      <w:pPr>
        <w:spacing w:after="0" w:line="68" w:lineRule="exact"/>
        <w:rPr>
          <w:sz w:val="24"/>
          <w:szCs w:val="24"/>
          <w:color w:val="auto"/>
        </w:rPr>
      </w:pPr>
    </w:p>
    <w:p>
      <w:pPr>
        <w:ind w:right="580" w:firstLine="342"/>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4"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firstLine="342"/>
        <w:spacing w:after="0" w:line="168"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4" w:lineRule="exact"/>
        <w:rPr>
          <w:sz w:val="24"/>
          <w:szCs w:val="24"/>
          <w:color w:val="auto"/>
        </w:rPr>
      </w:pPr>
    </w:p>
    <w:p>
      <w:pPr>
        <w:ind w:right="38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4" w:lineRule="exact"/>
        <w:rPr>
          <w:sz w:val="24"/>
          <w:szCs w:val="24"/>
          <w:color w:val="auto"/>
        </w:rPr>
      </w:pPr>
    </w:p>
    <w:p>
      <w:pPr>
        <w:ind w:right="50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260" w:type="dxa"/>
            <w:vAlign w:val="bottom"/>
            <w:gridSpan w:val="2"/>
          </w:tcPr>
          <w:p>
            <w:pPr>
              <w:spacing w:after="0"/>
              <w:rPr>
                <w:sz w:val="20"/>
                <w:szCs w:val="20"/>
                <w:color w:val="auto"/>
              </w:rPr>
            </w:pPr>
            <w:r>
              <w:rPr>
                <w:rFonts w:ascii="Arial" w:cs="Arial" w:eastAsia="Arial" w:hAnsi="Arial"/>
                <w:sz w:val="14"/>
                <w:szCs w:val="14"/>
                <w:color w:val="auto"/>
                <w:w w:val="89"/>
              </w:rPr>
              <w:t>Large accelerated filer</w:t>
            </w:r>
          </w:p>
        </w:tc>
        <w:tc>
          <w:tcPr>
            <w:tcW w:w="3460" w:type="dxa"/>
            <w:vAlign w:val="bottom"/>
            <w:gridSpan w:val="2"/>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1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140" w:type="dxa"/>
            <w:vAlign w:val="bottom"/>
            <w:gridSpan w:val="2"/>
          </w:tcPr>
          <w:p>
            <w:pPr>
              <w:ind w:left="1080"/>
              <w:spacing w:after="0"/>
              <w:rPr>
                <w:sz w:val="20"/>
                <w:szCs w:val="20"/>
                <w:color w:val="auto"/>
              </w:rPr>
            </w:pPr>
            <w:r>
              <w:rPr>
                <w:rFonts w:ascii="Arial" w:cs="Arial" w:eastAsia="Arial" w:hAnsi="Arial"/>
                <w:sz w:val="14"/>
                <w:szCs w:val="14"/>
                <w:color w:val="auto"/>
              </w:rPr>
              <w:t>Accelerated filer</w:t>
            </w:r>
          </w:p>
        </w:tc>
        <w:tc>
          <w:tcPr>
            <w:tcW w:w="1220" w:type="dxa"/>
            <w:vAlign w:val="bottom"/>
          </w:tcPr>
          <w:p>
            <w:pPr>
              <w:spacing w:after="0"/>
              <w:rPr>
                <w:sz w:val="14"/>
                <w:szCs w:val="14"/>
                <w:color w:val="auto"/>
              </w:rPr>
            </w:pP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260" w:type="dxa"/>
            <w:vAlign w:val="bottom"/>
            <w:gridSpan w:val="2"/>
          </w:tcPr>
          <w:p>
            <w:pPr>
              <w:spacing w:after="0"/>
              <w:rPr>
                <w:sz w:val="20"/>
                <w:szCs w:val="20"/>
                <w:color w:val="auto"/>
              </w:rPr>
            </w:pPr>
            <w:r>
              <w:rPr>
                <w:rFonts w:ascii="Arial" w:cs="Arial" w:eastAsia="Arial" w:hAnsi="Arial"/>
                <w:sz w:val="14"/>
                <w:szCs w:val="14"/>
                <w:color w:val="auto"/>
                <w:w w:val="95"/>
              </w:rPr>
              <w:t>Non-accelerated filer</w:t>
            </w:r>
          </w:p>
        </w:tc>
        <w:tc>
          <w:tcPr>
            <w:tcW w:w="3460" w:type="dxa"/>
            <w:vAlign w:val="bottom"/>
            <w:gridSpan w:val="2"/>
          </w:tcPr>
          <w:p>
            <w:pPr>
              <w:ind w:left="700"/>
              <w:spacing w:after="0" w:line="161" w:lineRule="exact"/>
              <w:rPr>
                <w:sz w:val="20"/>
                <w:szCs w:val="20"/>
                <w:color w:val="auto"/>
              </w:rPr>
            </w:pPr>
            <w:r>
              <w:rPr>
                <w:rFonts w:ascii="MS PGothic" w:cs="MS PGothic" w:eastAsia="MS PGothic" w:hAnsi="MS PGothic"/>
                <w:sz w:val="14"/>
                <w:szCs w:val="14"/>
                <w:color w:val="auto"/>
                <w:w w:val="91"/>
              </w:rPr>
              <w:t>☐</w:t>
            </w:r>
            <w:r>
              <w:rPr>
                <w:rFonts w:ascii="Arial" w:cs="Arial" w:eastAsia="Arial" w:hAnsi="Arial"/>
                <w:sz w:val="14"/>
                <w:szCs w:val="14"/>
                <w:color w:val="auto"/>
                <w:w w:val="91"/>
              </w:rPr>
              <w:t xml:space="preserve"> (Do not check if a smaller reporting company)</w:t>
            </w:r>
          </w:p>
        </w:tc>
        <w:tc>
          <w:tcPr>
            <w:tcW w:w="12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360" w:type="dxa"/>
            <w:vAlign w:val="bottom"/>
            <w:gridSpan w:val="3"/>
          </w:tcPr>
          <w:p>
            <w:pPr>
              <w:ind w:left="1080"/>
              <w:spacing w:after="0"/>
              <w:rPr>
                <w:sz w:val="20"/>
                <w:szCs w:val="20"/>
                <w:color w:val="auto"/>
              </w:rPr>
            </w:pPr>
            <w:r>
              <w:rPr>
                <w:rFonts w:ascii="Arial" w:cs="Arial" w:eastAsia="Arial" w:hAnsi="Arial"/>
                <w:sz w:val="14"/>
                <w:szCs w:val="14"/>
                <w:color w:val="auto"/>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4"/>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1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Calculation of Registration Fee</w:t>
            </w:r>
          </w:p>
        </w:tc>
        <w:tc>
          <w:tcPr>
            <w:tcW w:w="1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41"/>
        </w:trPr>
        <w:tc>
          <w:tcPr>
            <w:tcW w:w="2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8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34"/>
              <w:spacing w:after="0" w:line="117" w:lineRule="exact"/>
              <w:rPr>
                <w:sz w:val="20"/>
                <w:szCs w:val="20"/>
                <w:color w:val="auto"/>
              </w:rPr>
            </w:pPr>
            <w:r>
              <w:rPr>
                <w:rFonts w:ascii="Arial" w:cs="Arial" w:eastAsia="Arial" w:hAnsi="Arial"/>
                <w:sz w:val="12"/>
                <w:szCs w:val="12"/>
                <w:b w:val="1"/>
                <w:bCs w:val="1"/>
                <w:color w:val="auto"/>
                <w:w w:val="97"/>
              </w:rPr>
              <w:t>Proposed</w:t>
            </w:r>
          </w:p>
        </w:tc>
        <w:tc>
          <w:tcPr>
            <w:tcW w:w="18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3"/>
              </w:rPr>
              <w:t>Proposed</w:t>
            </w: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8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260" w:type="dxa"/>
            <w:vAlign w:val="bottom"/>
            <w:tcBorders>
              <w:right w:val="single" w:sz="8" w:color="auto"/>
            </w:tcBorders>
          </w:tcPr>
          <w:p>
            <w:pPr>
              <w:jc w:val="center"/>
              <w:ind w:right="412"/>
              <w:spacing w:after="0" w:line="149" w:lineRule="exact"/>
              <w:rPr>
                <w:sz w:val="20"/>
                <w:szCs w:val="20"/>
                <w:color w:val="auto"/>
              </w:rPr>
            </w:pPr>
            <w:r>
              <w:rPr>
                <w:rFonts w:ascii="Arial" w:cs="Arial" w:eastAsia="Arial" w:hAnsi="Arial"/>
                <w:sz w:val="14"/>
                <w:szCs w:val="14"/>
                <w:b w:val="1"/>
                <w:bCs w:val="1"/>
                <w:color w:val="auto"/>
                <w:w w:val="86"/>
              </w:rPr>
              <w:t>Amount</w:t>
            </w:r>
          </w:p>
        </w:tc>
        <w:tc>
          <w:tcPr>
            <w:tcW w:w="1840" w:type="dxa"/>
            <w:vAlign w:val="bottom"/>
            <w:tcBorders>
              <w:right w:val="single" w:sz="8" w:color="auto"/>
            </w:tcBorders>
          </w:tcPr>
          <w:p>
            <w:pPr>
              <w:jc w:val="center"/>
              <w:ind w:left="14"/>
              <w:spacing w:after="0" w:line="149" w:lineRule="exact"/>
              <w:rPr>
                <w:sz w:val="20"/>
                <w:szCs w:val="20"/>
                <w:color w:val="auto"/>
              </w:rPr>
            </w:pPr>
            <w:r>
              <w:rPr>
                <w:rFonts w:ascii="Arial" w:cs="Arial" w:eastAsia="Arial" w:hAnsi="Arial"/>
                <w:sz w:val="14"/>
                <w:szCs w:val="14"/>
                <w:b w:val="1"/>
                <w:bCs w:val="1"/>
                <w:color w:val="auto"/>
                <w:w w:val="92"/>
              </w:rPr>
              <w:t>Maximum</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80" w:type="dxa"/>
            <w:vAlign w:val="bottom"/>
            <w:tcBorders>
              <w:right w:val="single" w:sz="8" w:color="auto"/>
            </w:tcBorders>
          </w:tcPr>
          <w:p>
            <w:pPr>
              <w:jc w:val="center"/>
              <w:ind w:right="1192"/>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580" w:type="dxa"/>
            <w:vAlign w:val="bottom"/>
          </w:tcPr>
          <w:p>
            <w:pPr>
              <w:spacing w:after="0"/>
              <w:rPr>
                <w:sz w:val="12"/>
                <w:szCs w:val="12"/>
                <w:color w:val="auto"/>
              </w:rPr>
            </w:pPr>
          </w:p>
        </w:tc>
        <w:tc>
          <w:tcPr>
            <w:tcW w:w="1260" w:type="dxa"/>
            <w:vAlign w:val="bottom"/>
            <w:tcBorders>
              <w:right w:val="single" w:sz="8" w:color="auto"/>
            </w:tcBorders>
          </w:tcPr>
          <w:p>
            <w:pPr>
              <w:jc w:val="center"/>
              <w:ind w:right="432"/>
              <w:spacing w:after="0" w:line="149" w:lineRule="exact"/>
              <w:rPr>
                <w:sz w:val="20"/>
                <w:szCs w:val="20"/>
                <w:color w:val="auto"/>
              </w:rPr>
            </w:pPr>
            <w:r>
              <w:rPr>
                <w:rFonts w:ascii="Arial" w:cs="Arial" w:eastAsia="Arial" w:hAnsi="Arial"/>
                <w:sz w:val="14"/>
                <w:szCs w:val="14"/>
                <w:b w:val="1"/>
                <w:bCs w:val="1"/>
                <w:color w:val="auto"/>
                <w:w w:val="83"/>
              </w:rPr>
              <w:t>to be</w:t>
            </w:r>
          </w:p>
        </w:tc>
        <w:tc>
          <w:tcPr>
            <w:tcW w:w="1840" w:type="dxa"/>
            <w:vAlign w:val="bottom"/>
            <w:tcBorders>
              <w:right w:val="single" w:sz="8" w:color="auto"/>
            </w:tcBorders>
          </w:tcPr>
          <w:p>
            <w:pPr>
              <w:jc w:val="center"/>
              <w:ind w:left="14"/>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3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24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880" w:type="dxa"/>
            <w:vAlign w:val="bottom"/>
            <w:tcBorders>
              <w:bottom w:val="single" w:sz="8" w:color="auto"/>
              <w:right w:val="single" w:sz="8" w:color="auto"/>
            </w:tcBorders>
          </w:tcPr>
          <w:p>
            <w:pPr>
              <w:jc w:val="center"/>
              <w:ind w:right="1212"/>
              <w:spacing w:after="0"/>
              <w:rPr>
                <w:sz w:val="20"/>
                <w:szCs w:val="20"/>
                <w:color w:val="auto"/>
              </w:rPr>
            </w:pPr>
            <w:r>
              <w:rPr>
                <w:rFonts w:ascii="Arial" w:cs="Arial" w:eastAsia="Arial" w:hAnsi="Arial"/>
                <w:sz w:val="14"/>
                <w:szCs w:val="14"/>
                <w:b w:val="1"/>
                <w:bCs w:val="1"/>
                <w:color w:val="auto"/>
                <w:w w:val="84"/>
              </w:rPr>
              <w:t>Securities to be Registered</w:t>
            </w:r>
          </w:p>
        </w:tc>
        <w:tc>
          <w:tcPr>
            <w:tcW w:w="58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jc w:val="center"/>
              <w:ind w:right="412"/>
              <w:spacing w:after="0"/>
              <w:rPr>
                <w:sz w:val="20"/>
                <w:szCs w:val="20"/>
                <w:color w:val="auto"/>
              </w:rPr>
            </w:pPr>
            <w:r>
              <w:rPr>
                <w:rFonts w:ascii="Arial" w:cs="Arial" w:eastAsia="Arial" w:hAnsi="Arial"/>
                <w:sz w:val="14"/>
                <w:szCs w:val="14"/>
                <w:b w:val="1"/>
                <w:bCs w:val="1"/>
                <w:color w:val="auto"/>
                <w:w w:val="85"/>
              </w:rPr>
              <w:t>Registered</w:t>
            </w:r>
          </w:p>
        </w:tc>
        <w:tc>
          <w:tcPr>
            <w:tcW w:w="1840" w:type="dxa"/>
            <w:vAlign w:val="bottom"/>
            <w:tcBorders>
              <w:bottom w:val="single" w:sz="8" w:color="auto"/>
              <w:right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90"/>
              </w:rPr>
              <w:t>per Unit</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Offering Price</w:t>
            </w: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Registration Fee</w:t>
            </w:r>
          </w:p>
        </w:tc>
        <w:tc>
          <w:tcPr>
            <w:tcW w:w="240" w:type="dxa"/>
            <w:vAlign w:val="bottom"/>
            <w:tcBorders>
              <w:bottom w:val="single" w:sz="8" w:color="auto"/>
            </w:tcBorders>
          </w:tcPr>
          <w:p>
            <w:pPr>
              <w:spacing w:after="0"/>
              <w:rPr>
                <w:sz w:val="15"/>
                <w:szCs w:val="15"/>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Debt Securities(1)</w:t>
            </w:r>
          </w:p>
        </w:tc>
        <w:tc>
          <w:tcPr>
            <w:tcW w:w="2880" w:type="dxa"/>
            <w:vAlign w:val="bottom"/>
            <w:tcBorders>
              <w:bottom w:val="single" w:sz="8" w:color="auto"/>
              <w:right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84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57" w:lineRule="exact"/>
        <w:rPr>
          <w:sz w:val="24"/>
          <w:szCs w:val="24"/>
          <w:color w:val="auto"/>
        </w:rPr>
      </w:pPr>
    </w:p>
    <w:p>
      <w:pPr>
        <w:ind w:left="340" w:hanging="332"/>
        <w:spacing w:after="0" w:line="233"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 indeterminate amount of debt securities of Analog Devices, Inc. to be offered from time to time at indeterminate prices is being registered pursuant to this registration statement. In accordance with Rules 456(b) and Rule 457(r) under the Securities Act of 1933, as amended, the registrant is deferring payment of all registration fees and will pay the registration fees subsequently in advance or on a “pay as you go” basis.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452120</wp:posOffset>
            </wp:positionV>
            <wp:extent cx="1243330" cy="3517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333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Analog Devices, Inc.</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314325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may from time to time offer to sell the debt securities described in this prospectus. The debt securities will be senior unsecured obligations and will rank equally with all of our other senior unsecured indebtedness.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Each time we offer debt securities using this prospectus, we will provide specific terms and offering prices in supplements to this prospectus. The prospectus supplements may also add, update or change the information in this prospectus and will also describe the specific manner in which we will offer the debt securities. You should carefully read this prospectus and the applicable prospectus supplement, including the information incorporated by reference, prior to investing in our debt securities.</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We may offer and sell the debt securities on a continuous or delayed basis directly to investors or through underwriters, dealers or agents, or through a combination of these methods. The names of any underwriters, dealers or agents will be included in a prospectus supplement. If any agents, dealers or underwriters are involved in the sale of any debt securities, the applicable prospectus supplement will set forth any applicable commissions or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253365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456"/>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these debt securities involves risks. See the risk factors described under the heading “</w:t>
      </w:r>
      <w:hyperlink w:anchor="page5">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u w:val="single" w:color="auto"/>
            <w:color w:val="auto"/>
          </w:rPr>
          <w:t xml:space="preserve"> </w:t>
        </w:r>
      </w:hyperlink>
      <w:r>
        <w:rPr>
          <w:rFonts w:ascii="Arial" w:cs="Arial" w:eastAsia="Arial" w:hAnsi="Arial"/>
          <w:sz w:val="22"/>
          <w:szCs w:val="22"/>
          <w:b w:val="1"/>
          <w:bCs w:val="1"/>
          <w:color w:val="auto"/>
        </w:rPr>
        <w:t>” in any accompanying prospectus supplement and in the documents incorporated by reference in this prospectus and any accompanying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275590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245110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August 22, 2012.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180" w:type="dxa"/>
            <w:vAlign w:val="bottom"/>
            <w:gridSpan w:val="3"/>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9"/>
                <w:szCs w:val="19"/>
                <w:color w:val="auto"/>
              </w:rPr>
            </w:pPr>
          </w:p>
        </w:tc>
      </w:tr>
      <w:tr>
        <w:trPr>
          <w:trHeight w:val="380"/>
        </w:trPr>
        <w:tc>
          <w:tcPr>
            <w:tcW w:w="890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1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672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4"/>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INCORPORATION BY REFERENCE</w:t>
              </w:r>
            </w:hyperlink>
          </w:p>
        </w:tc>
        <w:tc>
          <w:tcPr>
            <w:tcW w:w="960" w:type="dxa"/>
            <w:vAlign w:val="bottom"/>
            <w:tcBorders>
              <w:top w:val="single" w:sz="8" w:color="0000EE"/>
            </w:tcBorders>
            <w:gridSpan w:val="2"/>
          </w:tcPr>
          <w:p>
            <w:pPr>
              <w:spacing w:after="0"/>
              <w:rPr>
                <w:sz w:val="17"/>
                <w:szCs w:val="17"/>
                <w:color w:val="auto"/>
              </w:rPr>
            </w:pPr>
          </w:p>
        </w:tc>
        <w:tc>
          <w:tcPr>
            <w:tcW w:w="518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564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8">
              <w:r>
                <w:rPr>
                  <w:rFonts w:ascii="Arial" w:cs="Arial" w:eastAsia="Arial" w:hAnsi="Arial"/>
                  <w:sz w:val="18"/>
                  <w:szCs w:val="18"/>
                  <w:color w:val="0000EE"/>
                  <w:w w:val="93"/>
                </w:rPr>
                <w:t>CAUTIONARY NOTE REGARDING FORWARD LOOKING STATEMENTS</w:t>
              </w:r>
            </w:hyperlink>
          </w:p>
        </w:tc>
        <w:tc>
          <w:tcPr>
            <w:tcW w:w="32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THE COMPANY</w:t>
              </w:r>
            </w:hyperlink>
          </w:p>
        </w:tc>
        <w:tc>
          <w:tcPr>
            <w:tcW w:w="764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900" w:type="dxa"/>
            <w:vAlign w:val="bottom"/>
            <w:gridSpan w:val="1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CONSOLIDATED RATIOS OF EARNINGS TO FIXED CHARGES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9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400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5940" w:type="dxa"/>
            <w:vAlign w:val="bottom"/>
            <w:gridSpan w:val="4"/>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29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DESCRIPTION OF DEBT SECURITIES</w:t>
              </w:r>
            </w:hyperlink>
          </w:p>
        </w:tc>
        <w:tc>
          <w:tcPr>
            <w:tcW w:w="594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9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FORMS OF SECURITIES</w:t>
              </w:r>
            </w:hyperlink>
          </w:p>
        </w:tc>
        <w:tc>
          <w:tcPr>
            <w:tcW w:w="698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8900" w:type="dxa"/>
            <w:vAlign w:val="bottom"/>
            <w:gridSpan w:val="1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PLAN OF DISTRIBUTION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LEGAL MATTERS</w:t>
              </w:r>
            </w:hyperlink>
          </w:p>
        </w:tc>
        <w:tc>
          <w:tcPr>
            <w:tcW w:w="690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7480" w:type="dxa"/>
            <w:vAlign w:val="bottom"/>
            <w:gridSpan w:val="10"/>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debt securities described in this prospectus in one or more offerings.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prospectus provides you with a general description of the debt securities we may offer. Each time we sell debt securities, we will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headings “Incorporation by Reference” and “Where You Can Find More Information” in this prospectus.</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are responsible only for the information contained in or incorporated by reference in this prospectus, any accompanying prospectus supplement or in any related “free writing prospectus” filed by us with the SEC. We have not authorized anyone to provide you with different or additional information. This prospectus and any accompanying prospectus supplement do not constitute an offer to sell or the solicitation of an offer to buy any debt securities other than the debt securities described in any accompanying prospectus supplement or an offer to sell or the solicitation of an offer to buy such debt securities in any circumstances in which such offer or solicitation is unlawful. You should assume that the information appearing in this prospectus, any prospectus supplement and the documents incorporated by reference is accurate only as of their respective dates. Our business, financial condition, results of operations and prospects may have changed materially since those dates.</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terms “the Company,” “we,” “our,” “ours” and “us” refer to Analog Devices, Inc., and its subsidiaries on a consolidated basis, unless the context otherwise requires.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Investing in our debt securities involves risk. You should carefully consider the risks and uncertainties described in this prospectus and any accompanying prospectus supplement, as well as all of the risk factors described in our filings with the SEC that are incorporated by reference herein, including the risk factors in our Annual Report on Form 10-K for the fiscal year ended October 29, 2011 and our Quarterly Reports on Form 10-Q for the fiscal quarters ended February 4, 2012, May 5, 2012 and August 4, 2012, before making an investment decision pursuant to this prospectus and any accompanying prospectus supplement relating to a specific offering.</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Copies of certain information filed by us with the SEC are also available on our website at </w:t>
      </w:r>
      <w:r>
        <w:rPr>
          <w:rFonts w:ascii="Arial" w:cs="Arial" w:eastAsia="Arial" w:hAnsi="Arial"/>
          <w:sz w:val="16"/>
          <w:szCs w:val="16"/>
          <w:i w:val="1"/>
          <w:iCs w:val="1"/>
          <w:color w:val="auto"/>
        </w:rPr>
        <w:t>http://www.analog.com</w:t>
      </w:r>
      <w:r>
        <w:rPr>
          <w:rFonts w:ascii="Arial" w:cs="Arial" w:eastAsia="Arial" w:hAnsi="Arial"/>
          <w:sz w:val="16"/>
          <w:szCs w:val="16"/>
          <w:color w:val="auto"/>
        </w:rPr>
        <w:t>. The information contained on, or that can be accessed through, our website is not a part of this prospectus. We have included our website</w:t>
      </w:r>
      <w:r>
        <w:rPr>
          <w:rFonts w:ascii="Arial" w:cs="Arial" w:eastAsia="Arial" w:hAnsi="Arial"/>
          <w:sz w:val="16"/>
          <w:szCs w:val="16"/>
          <w:i w:val="1"/>
          <w:iCs w:val="1"/>
          <w:color w:val="auto"/>
        </w:rPr>
        <w:t xml:space="preserve"> </w:t>
      </w:r>
      <w:r>
        <w:rPr>
          <w:rFonts w:ascii="Arial" w:cs="Arial" w:eastAsia="Arial" w:hAnsi="Arial"/>
          <w:sz w:val="16"/>
          <w:szCs w:val="16"/>
          <w:color w:val="auto"/>
        </w:rPr>
        <w:t>address in this prospectus solely as an inactive textual reference. You may also read and copy any document we file at the SEC’s public reference room, 100 F Street, N.E., Washington, D.C. 20549. Please call the SEC at 1-800-SEC-0330 for further information on the operation of the public reference room.</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BY REFERENCE</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001-07819)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37" w:lineRule="exact"/>
        <w:rPr>
          <w:sz w:val="20"/>
          <w:szCs w:val="20"/>
          <w:color w:val="auto"/>
        </w:rPr>
      </w:pPr>
    </w:p>
    <w:p>
      <w:pPr>
        <w:jc w:val="both"/>
        <w:ind w:left="900" w:right="6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October 29, 2011, filed with the SEC on November 22, 2011, including the information specifically incorporated by reference into the Annual Report on Form 10-K from our Definitive Proxy Statement for our 2012 Annual Meeting of Stockholders, filed with the SEC on February 2, 2012;</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February 4, 2012, filed with the SEC on February 22, 2012;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May 5, 2012, filed with the SEC on May 22, 2012;</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August 4, 2012, filed with the SEC on August 21, 2012;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Current Reports on Form 8-K, filed with the SEC on December 5, 2011, December 19, 2011, March 15, 2012, April 10, 2012 and June 8, 2012.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Norwood, MA 02062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Telephone: (781) 461-3282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Attention: Investor Relations</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prospectus and the documents that we incorporate by reference contain forward-looking statements that are subject to the safe harbors created under the Securities Act of 1933, as amended, or the Securities Act, and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and “may” and variations of such words and similar expressions are intended to identify such forward-looking statements. In addition, any statements that refer to projections regarding our future financial performance, particularly in light of sovereign debt issues globally; any faltering in global economic conditions or the stability of credit and financial markets; declines in customer demand for our products; our anticipated growth and trends in our businesses; our future capital needs and capital expenditures; our future market position and expected competitive changes in the marketplace for our products; our ability to innovate new products and technologies; our ability to access credit or capital markets; our ability to pay dividends or repurchase stock; our ability to service our outstanding debt; our expected tax rate; the future actions of our third-party suppliers; our reliance on assembly and test subcontractors, third party wafer fabricators and independent distributors; the expected outcomes of intellectual property and litigation matters; the ability to safeguard our patents and intellectual property; potential acquisitions or divestitures; the expected activities of our key personnel; the global nature of our operations; the effect of new accounting pronouncements; and other characterizations of future events or circumstances are forward-looking statements. You are cautioned that these forward-looking statements are only predictions and are subject to risks, uncertainties and assumptions that are difficult to predict. You should pay particular attention to the important risk factors and cautionary statements referenced in the section of any accompanying prospectus supplement entitled “Risk Factors.” You should also carefully review the risk factors and cautionary statements described in the other documents we file from time to time with the SEC, specifically our Annual Reports on Form 10-K, our Quarterly Reports on Form 10-Q and our Current Reports on Form 8-K. We undertake no obligation to revise or update any forward-looking statements, except to the extent required by law.</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We are a world leader in the design, manufacture and marketing of a broad portfolio of high-performance analog, mixed-signal and digital signal processing integrated circuits used in virtually all types of electronic equipment.</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Since our inception in 1965, we have focused on solving the engineering challenges associated with signal processing in electronic equipment. Our signal processing products play a fundamental role in converting, conditioning and processing real-world phenomena such as temperature, pressure, sound, light, speed and motion into electrical signals to be used in a wide array of electronic devices.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sell our products globally through a direct sales force, third-party distributors and independent sales representatives and via our website. We have direct sales offices, sales representatives or distributors in over 40 countries outside North America.</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incorporated in Massachusetts. As of October 29, 2011, we employed approximately 9,200 individuals worldwide.</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Our common stock is listed on The NASDAQ Global Select Market under the ticker symbol “ADI”. Our principal executive offices are located at One Technology Way, Norwood, Massachusetts 02062, and our telephone number is (781) 329-4700.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RATIOS OF EARNINGS TO FIXED CHARGES</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herein.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880" w:type="dxa"/>
            <w:vAlign w:val="bottom"/>
            <w:gridSpan w:val="4"/>
          </w:tcPr>
          <w:p>
            <w:pPr>
              <w:ind w:left="140"/>
              <w:spacing w:after="0"/>
              <w:rPr>
                <w:sz w:val="20"/>
                <w:szCs w:val="20"/>
                <w:color w:val="auto"/>
              </w:rPr>
            </w:pPr>
            <w:r>
              <w:rPr>
                <w:rFonts w:ascii="Arial" w:cs="Arial" w:eastAsia="Arial" w:hAnsi="Arial"/>
                <w:sz w:val="14"/>
                <w:szCs w:val="14"/>
                <w:b w:val="1"/>
                <w:bCs w:val="1"/>
                <w:color w:val="auto"/>
              </w:rPr>
              <w:t>Nine Months Ended</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3"/>
          </w:tcPr>
          <w:p>
            <w:pPr>
              <w:ind w:left="160"/>
              <w:spacing w:after="0"/>
              <w:rPr>
                <w:sz w:val="20"/>
                <w:szCs w:val="20"/>
                <w:color w:val="auto"/>
              </w:rPr>
            </w:pPr>
            <w:r>
              <w:rPr>
                <w:rFonts w:ascii="Arial" w:cs="Arial" w:eastAsia="Arial" w:hAnsi="Arial"/>
                <w:sz w:val="14"/>
                <w:szCs w:val="14"/>
                <w:b w:val="1"/>
                <w:bCs w:val="1"/>
                <w:color w:val="auto"/>
              </w:rPr>
              <w:t>Fiscal Year Ended</w:t>
            </w: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16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1"/>
              </w:rPr>
              <w:t>August 4,</w:t>
            </w:r>
          </w:p>
        </w:tc>
        <w:tc>
          <w:tcPr>
            <w:tcW w:w="4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July 30,</w:t>
            </w:r>
          </w:p>
        </w:tc>
        <w:tc>
          <w:tcPr>
            <w:tcW w:w="420" w:type="dxa"/>
            <w:vAlign w:val="bottom"/>
          </w:tcPr>
          <w:p>
            <w:pPr>
              <w:spacing w:after="0"/>
              <w:rPr>
                <w:sz w:val="11"/>
                <w:szCs w:val="11"/>
                <w:color w:val="auto"/>
              </w:rPr>
            </w:pPr>
          </w:p>
        </w:tc>
        <w:tc>
          <w:tcPr>
            <w:tcW w:w="112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5"/>
              </w:rPr>
              <w:t>October 29,</w:t>
            </w:r>
          </w:p>
        </w:tc>
        <w:tc>
          <w:tcPr>
            <w:tcW w:w="84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3"/>
              </w:rPr>
              <w:t>October 30,</w:t>
            </w: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5"/>
              </w:rPr>
              <w:t>October 31,</w:t>
            </w:r>
          </w:p>
        </w:tc>
        <w:tc>
          <w:tcPr>
            <w:tcW w:w="118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5"/>
              </w:rPr>
              <w:t>November 1,</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November 3,</w:t>
            </w:r>
          </w:p>
        </w:tc>
        <w:tc>
          <w:tcPr>
            <w:tcW w:w="100" w:type="dxa"/>
            <w:vAlign w:val="bottom"/>
          </w:tcPr>
          <w:p>
            <w:pPr>
              <w:spacing w:after="0"/>
              <w:rPr>
                <w:sz w:val="11"/>
                <w:szCs w:val="11"/>
                <w:color w:val="auto"/>
              </w:rPr>
            </w:pPr>
          </w:p>
        </w:tc>
      </w:tr>
      <w:tr>
        <w:trPr>
          <w:trHeight w:val="161"/>
        </w:trPr>
        <w:tc>
          <w:tcPr>
            <w:tcW w:w="416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480" w:type="dxa"/>
            <w:vAlign w:val="bottom"/>
          </w:tcPr>
          <w:p>
            <w:pPr>
              <w:jc w:val="right"/>
              <w:ind w:right="46"/>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680" w:type="dxa"/>
            <w:vAlign w:val="bottom"/>
          </w:tcPr>
          <w:p>
            <w:pPr>
              <w:jc w:val="right"/>
              <w:ind w:right="126"/>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660" w:type="dxa"/>
            <w:vAlign w:val="bottom"/>
          </w:tcPr>
          <w:p>
            <w:pPr>
              <w:jc w:val="right"/>
              <w:ind w:right="126"/>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94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740" w:type="dxa"/>
            <w:vAlign w:val="bottom"/>
          </w:tcPr>
          <w:p>
            <w:pPr>
              <w:jc w:val="right"/>
              <w:ind w:right="166"/>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740" w:type="dxa"/>
            <w:vAlign w:val="bottom"/>
          </w:tcPr>
          <w:p>
            <w:pPr>
              <w:jc w:val="right"/>
              <w:ind w:right="166"/>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8"/>
              </w:rPr>
              <w:t>Consolidated Ratios of Earnings to Fixed Charges(1)</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4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left="460" w:right="20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 earnings consist of income before income taxes plus amortization of capitalized interest and fixed charges. Fixed charges consist of interest expense (including an estimate of interest within rent expense).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center"/>
        <w:ind w:left="400"/>
        <w:spacing w:after="0"/>
        <w:rPr>
          <w:sz w:val="20"/>
          <w:szCs w:val="20"/>
          <w:color w:val="auto"/>
        </w:rPr>
      </w:pPr>
      <w:r>
        <w:rPr>
          <w:rFonts w:ascii="Arial" w:cs="Arial" w:eastAsia="Arial" w:hAnsi="Arial"/>
          <w:sz w:val="15"/>
          <w:szCs w:val="15"/>
          <w:color w:val="auto"/>
        </w:rPr>
        <w:t>We intend to use the net proceeds from the sale of the debt securities for general corporate purposes unless otherwise indicated in a prospectus supplement.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This prospectus describes certain general terms and provisions of our debt securities. When we offer to sell a particular series of debt securities, we will describe the specific terms of the series in a supplement to this prospectus. We will also indicate in the supplement whether the general terms and provisions described in this prospectus apply to a particular series of debt securities.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otherwise specified in a supplement to this prospectus, the debt securities will be our direct, unsecured obligations and will rank equally with all of our other unsecured and unsubordinated indebtedness.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debt securities will be issued under an indenture between us and The Bank of New York Mellon Trust Company, N.A., as trustee. We have summarized select portions of the indenture below. The summary is not complete. The form of the indenture has been incorporated by reference as an exhibit to the registration statement and you should read the indenture for provisions that may be important to you. Capitalized terms used in the summary and not defined herein have the meanings specified in the indenture.</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When we refer to “the Company,” “we,” “our” and “us” in this section, we mean Analog Devices, Inc. excluding, unless the context otherwise requires or as otherwise expressly stated, our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or a duly authorized committee of our board of directors and set forth or determined in the manner provided in a resolution of our board of directors or a duly authorized committee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26" w:lineRule="exact"/>
        <w:rPr>
          <w:sz w:val="20"/>
          <w:szCs w:val="20"/>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date or dates on which we will pay the principal on the debt securities;</w:t>
      </w:r>
    </w:p>
    <w:p>
      <w:pPr>
        <w:spacing w:after="0" w:line="171" w:lineRule="exact"/>
        <w:rPr>
          <w:rFonts w:ascii="Arial" w:cs="Arial" w:eastAsia="Arial" w:hAnsi="Arial"/>
          <w:sz w:val="18"/>
          <w:szCs w:val="18"/>
          <w:color w:val="auto"/>
        </w:rPr>
      </w:pPr>
    </w:p>
    <w:p>
      <w:pPr>
        <w:jc w:val="both"/>
        <w:ind w:right="200" w:firstLine="464"/>
        <w:spacing w:after="0" w:line="306" w:lineRule="auto"/>
        <w:tabs>
          <w:tab w:leader="none" w:pos="705"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place or places where principal of, premium and interest on the debt securities will be payable;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terms and conditions upon which we may redeem the debt securities;</w:t>
      </w:r>
    </w:p>
    <w:p>
      <w:pPr>
        <w:spacing w:after="0" w:line="171" w:lineRule="exact"/>
        <w:rPr>
          <w:rFonts w:ascii="Arial" w:cs="Arial" w:eastAsia="Arial" w:hAnsi="Arial"/>
          <w:sz w:val="18"/>
          <w:szCs w:val="18"/>
          <w:color w:val="auto"/>
        </w:rPr>
      </w:pPr>
    </w:p>
    <w:p>
      <w:pPr>
        <w:ind w:right="280" w:firstLine="464"/>
        <w:spacing w:after="0" w:line="268" w:lineRule="auto"/>
        <w:tabs>
          <w:tab w:leader="none" w:pos="70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64"/>
        <w:spacing w:after="0" w:line="268"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31"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portion of the principal amount of the debt securities payable upon declaration of acceleration of the maturity date, if other than the principal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amount;</w:t>
      </w:r>
    </w:p>
    <w:p>
      <w:pPr>
        <w:spacing w:after="0" w:line="164" w:lineRule="exact"/>
        <w:rPr>
          <w:rFonts w:ascii="Arial" w:cs="Arial" w:eastAsia="Arial" w:hAnsi="Arial"/>
          <w:sz w:val="16"/>
          <w:szCs w:val="16"/>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designation of the currency, currencies or currency units in which payment of principal of, premium and interest on the debt securities will be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made;</w:t>
      </w:r>
    </w:p>
    <w:p>
      <w:pPr>
        <w:spacing w:after="0" w:line="164" w:lineRule="exact"/>
        <w:rPr>
          <w:rFonts w:ascii="Arial" w:cs="Arial" w:eastAsia="Arial" w:hAnsi="Arial"/>
          <w:sz w:val="16"/>
          <w:szCs w:val="16"/>
          <w:color w:val="auto"/>
        </w:rPr>
      </w:pPr>
    </w:p>
    <w:p>
      <w:pPr>
        <w:ind w:right="40" w:firstLine="464"/>
        <w:spacing w:after="0" w:line="332" w:lineRule="auto"/>
        <w:tabs>
          <w:tab w:leader="none" w:pos="793"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5" w:lineRule="exact"/>
        <w:rPr>
          <w:rFonts w:ascii="Arial" w:cs="Arial" w:eastAsia="Arial" w:hAnsi="Arial"/>
          <w:sz w:val="16"/>
          <w:szCs w:val="16"/>
          <w:color w:val="auto"/>
        </w:rPr>
      </w:pPr>
    </w:p>
    <w:p>
      <w:pPr>
        <w:ind w:right="80" w:firstLine="464"/>
        <w:spacing w:after="0" w:line="259" w:lineRule="auto"/>
        <w:tabs>
          <w:tab w:leader="none" w:pos="79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140"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71" w:lineRule="exact"/>
        <w:rPr>
          <w:rFonts w:ascii="Arial" w:cs="Arial" w:eastAsia="Arial" w:hAnsi="Arial"/>
          <w:sz w:val="18"/>
          <w:szCs w:val="18"/>
          <w:color w:val="auto"/>
        </w:rPr>
      </w:pPr>
    </w:p>
    <w:p>
      <w:pPr>
        <w:ind w:right="60" w:firstLine="464"/>
        <w:spacing w:after="0" w:line="268" w:lineRule="auto"/>
        <w:tabs>
          <w:tab w:leader="none" w:pos="79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31"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addition to or change in the covenants described in this prospectus or in the indenture with respect to the debt securities;</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listing on a securities exchange;</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public offering price, if any is established for such debt securities;</w:t>
      </w:r>
    </w:p>
    <w:p>
      <w:pPr>
        <w:spacing w:after="0" w:line="171" w:lineRule="exact"/>
        <w:rPr>
          <w:rFonts w:ascii="Arial" w:cs="Arial" w:eastAsia="Arial" w:hAnsi="Arial"/>
          <w:sz w:val="18"/>
          <w:szCs w:val="18"/>
          <w:color w:val="auto"/>
        </w:rPr>
      </w:pPr>
    </w:p>
    <w:p>
      <w:pPr>
        <w:ind w:left="800" w:hanging="336"/>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other terms of the debt securities, which may supplement, modify or delete any provision of the indenture as it applies to that series; and</w:t>
      </w:r>
    </w:p>
    <w:p>
      <w:pPr>
        <w:spacing w:after="0" w:line="194" w:lineRule="exact"/>
        <w:rPr>
          <w:rFonts w:ascii="Arial" w:cs="Arial" w:eastAsia="Arial" w:hAnsi="Arial"/>
          <w:sz w:val="16"/>
          <w:szCs w:val="16"/>
          <w:color w:val="auto"/>
        </w:rPr>
      </w:pPr>
    </w:p>
    <w:p>
      <w:pPr>
        <w:ind w:right="80" w:firstLine="464"/>
        <w:spacing w:after="0" w:line="268" w:lineRule="auto"/>
        <w:tabs>
          <w:tab w:leader="none" w:pos="79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 if other than those appointed in the indenture.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the indenture does not limit our ability to issue convertible or subordinated debt securities. We may also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“Forms of Securities” in this prospectus for description of transfer and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51" w:lineRule="exact"/>
        <w:rPr>
          <w:sz w:val="20"/>
          <w:szCs w:val="20"/>
          <w:color w:val="auto"/>
        </w:rPr>
      </w:pPr>
    </w:p>
    <w:p>
      <w:pPr>
        <w:ind w:right="180" w:firstLine="464"/>
        <w:spacing w:after="0" w:line="332" w:lineRule="auto"/>
        <w:tabs>
          <w:tab w:leader="none" w:pos="705"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Analog Devices, Inc.) is a corporation organized and validly existing under the laws of any U.S. domestic jurisdiction and expressly assumes by a supplemental indenture our obligations on the debt securities and under the indenture;</w:t>
      </w:r>
    </w:p>
    <w:p>
      <w:pPr>
        <w:spacing w:after="0" w:line="85" w:lineRule="exact"/>
        <w:rPr>
          <w:rFonts w:ascii="Arial" w:cs="Arial" w:eastAsia="Arial" w:hAnsi="Arial"/>
          <w:sz w:val="16"/>
          <w:szCs w:val="16"/>
          <w:color w:val="auto"/>
        </w:rPr>
      </w:pPr>
    </w:p>
    <w:p>
      <w:pPr>
        <w:ind w:right="380" w:firstLine="464"/>
        <w:spacing w:after="0" w:line="268"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other conditions are met.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any subsidiary of ours may consolidate with, merge into or transfer all or part of its properties to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Event of Default</w:t>
      </w:r>
      <w:r>
        <w:rPr>
          <w:rFonts w:ascii="Arial" w:cs="Arial" w:eastAsia="Arial" w:hAnsi="Arial"/>
          <w:sz w:val="16"/>
          <w:szCs w:val="16"/>
          <w:color w:val="auto"/>
        </w:rPr>
        <w:t>” means with respect to any series of debt securities, any of the following unless otherwise provided in the resolutions establishing such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right="440" w:firstLine="464"/>
        <w:spacing w:after="0" w:line="268"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that default for a period of 30 days;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on any debt security of that series when due and payable;</w:t>
      </w:r>
    </w:p>
    <w:p>
      <w:pPr>
        <w:spacing w:after="0" w:line="171" w:lineRule="exact"/>
        <w:rPr>
          <w:rFonts w:ascii="Arial" w:cs="Arial" w:eastAsia="Arial" w:hAnsi="Arial"/>
          <w:sz w:val="18"/>
          <w:szCs w:val="18"/>
          <w:color w:val="auto"/>
        </w:rPr>
      </w:pPr>
    </w:p>
    <w:p>
      <w:pPr>
        <w:ind w:firstLine="464"/>
        <w:spacing w:after="0" w:line="256"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by us in the indenture (other than a covenant that has been included in the indenture solely for the benefit of a series of debt securities other than that series), which default continues uncured for a period of 90 days after we receive written notice from the trustee or we and the trustee receive written notice from the holders of not less than 25% in principal amount of the outstanding debt securities of that series as provided in the indenture;</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us; and</w:t>
      </w:r>
    </w:p>
    <w:p>
      <w:pPr>
        <w:spacing w:after="0" w:line="171" w:lineRule="exact"/>
        <w:rPr>
          <w:rFonts w:ascii="Arial" w:cs="Arial" w:eastAsia="Arial" w:hAnsi="Arial"/>
          <w:sz w:val="18"/>
          <w:szCs w:val="18"/>
          <w:color w:val="auto"/>
        </w:rPr>
      </w:pPr>
    </w:p>
    <w:p>
      <w:pPr>
        <w:ind w:right="1040" w:firstLine="464"/>
        <w:spacing w:after="0" w:line="268" w:lineRule="auto"/>
        <w:tabs>
          <w:tab w:leader="none" w:pos="70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accompanying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of our other indebtedness outstanding from time to time.</w:t>
      </w:r>
    </w:p>
    <w:p>
      <w:pPr>
        <w:spacing w:after="0" w:line="10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the principal and interest with respect to debt securities of that series which have become due solely by such declaration of acceleration, have been cured or waived as provided in the indenture and the trustee’s fees and expenses have been paid in full.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indenture provides that the trustee will be under no obligation to exercise any of its rights or powers under the indenture unless the trustee receives security or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51" w:lineRule="exact"/>
        <w:rPr>
          <w:sz w:val="20"/>
          <w:szCs w:val="20"/>
          <w:color w:val="auto"/>
        </w:rPr>
      </w:pPr>
    </w:p>
    <w:p>
      <w:pPr>
        <w:ind w:left="720" w:hanging="256"/>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debt securities of that series; and</w:t>
      </w:r>
    </w:p>
    <w:p>
      <w:pPr>
        <w:spacing w:after="0" w:line="194" w:lineRule="exact"/>
        <w:rPr>
          <w:rFonts w:ascii="Arial" w:cs="Arial" w:eastAsia="Arial" w:hAnsi="Arial"/>
          <w:sz w:val="16"/>
          <w:szCs w:val="16"/>
          <w:color w:val="auto"/>
        </w:rPr>
      </w:pPr>
    </w:p>
    <w:p>
      <w:pPr>
        <w:ind w:right="20" w:firstLine="464"/>
        <w:spacing w:after="0" w:line="335" w:lineRule="auto"/>
        <w:tabs>
          <w:tab w:leader="none" w:pos="705"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holders of not less than 25% in principal amount of the outstanding debt securities of that series have made written request, and offered reasonable indemnity, to the trustee to institute the proceeding as trustee, and after receipt of such request the trustee has not received from the holders of a majority in principal amount of the outstanding debt securities of that series a direction inconsistent with that request and has failed to institute the proceeding within 60 days.</w:t>
      </w:r>
    </w:p>
    <w:p>
      <w:pPr>
        <w:spacing w:after="0" w:line="88"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Notwithstanding the foregoing,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6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or the trustee may amend or supplement the indenture or the debt securities of one or more series without the consent of the holders of the outstanding debt securities under the indenture:</w:t>
      </w:r>
    </w:p>
    <w:p>
      <w:pPr>
        <w:spacing w:after="0" w:line="51" w:lineRule="exact"/>
        <w:rPr>
          <w:sz w:val="20"/>
          <w:szCs w:val="20"/>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comply with certain covenants under the indenture with respect to mergers and sales of assets;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 under the indenture;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under the indenture as permitted thereunder;</w:t>
      </w:r>
    </w:p>
    <w:p>
      <w:pPr>
        <w:spacing w:after="0" w:line="194" w:lineRule="exact"/>
        <w:rPr>
          <w:rFonts w:ascii="Arial" w:cs="Arial" w:eastAsia="Arial" w:hAnsi="Arial"/>
          <w:sz w:val="16"/>
          <w:szCs w:val="16"/>
          <w:color w:val="auto"/>
        </w:rPr>
      </w:pPr>
    </w:p>
    <w:p>
      <w:pPr>
        <w:ind w:right="80" w:firstLine="464"/>
        <w:spacing w:after="0" w:line="332"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by a successor trustee with respect to any of the debt securities and to add to or change any of the provisions of the indenture as shall be necessary to provide for or facilitate the administration of the trusts thereunder by more than one trustee; or</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addition, we may modify and amend the indenture as to all other matters with the consent of the holders of at least a majority in principal amount of the outstanding debt securities of each series affected by the modifications or amendments, provided however that we may not make any modification or amendment without the consent of the holders of each affected debt security then outstanding if that amendment will:</w:t>
      </w:r>
    </w:p>
    <w:p>
      <w:pPr>
        <w:spacing w:after="0" w:line="26" w:lineRule="exact"/>
        <w:rPr>
          <w:sz w:val="20"/>
          <w:szCs w:val="20"/>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171" w:lineRule="exact"/>
        <w:rPr>
          <w:rFonts w:ascii="Arial" w:cs="Arial" w:eastAsia="Arial" w:hAnsi="Arial"/>
          <w:sz w:val="18"/>
          <w:szCs w:val="18"/>
          <w:color w:val="auto"/>
        </w:rPr>
      </w:pPr>
    </w:p>
    <w:p>
      <w:pPr>
        <w:ind w:right="320" w:firstLine="464"/>
        <w:spacing w:after="0" w:line="268"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71"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 or</w:t>
      </w:r>
    </w:p>
    <w:p>
      <w:pPr>
        <w:spacing w:after="0" w:line="171" w:lineRule="exact"/>
        <w:rPr>
          <w:rFonts w:ascii="Arial" w:cs="Arial" w:eastAsia="Arial" w:hAnsi="Arial"/>
          <w:sz w:val="18"/>
          <w:szCs w:val="18"/>
          <w:color w:val="auto"/>
        </w:rPr>
      </w:pPr>
    </w:p>
    <w:p>
      <w:pPr>
        <w:ind w:right="80" w:firstLine="464"/>
        <w:spacing w:after="0" w:line="332"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Legal Defeasance</w:t>
      </w:r>
      <w:r>
        <w:rPr>
          <w:rFonts w:ascii="Arial" w:cs="Arial" w:eastAsia="Arial" w:hAnsi="Arial"/>
          <w:sz w:val="16"/>
          <w:szCs w:val="16"/>
          <w:color w:val="auto"/>
        </w:rPr>
        <w:t>. The indenture provides that, unless otherwise provided by the terms of the applicable series of debt securities, we may be discharged</w:t>
      </w:r>
      <w:r>
        <w:rPr>
          <w:rFonts w:ascii="Arial" w:cs="Arial" w:eastAsia="Arial" w:hAnsi="Arial"/>
          <w:sz w:val="16"/>
          <w:szCs w:val="16"/>
          <w:i w:val="1"/>
          <w:iCs w:val="1"/>
          <w:color w:val="auto"/>
        </w:rPr>
        <w:t xml:space="preserve"> </w:t>
      </w:r>
      <w:r>
        <w:rPr>
          <w:rFonts w:ascii="Arial" w:cs="Arial" w:eastAsia="Arial" w:hAnsi="Arial"/>
          <w:sz w:val="16"/>
          <w:szCs w:val="16"/>
          <w:color w:val="auto"/>
        </w:rPr>
        <w:t>from any and all obligations in respect of the debt securities of any series (except for certain obligations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and any mandatory sinking fund payments in respect of the debt securities of that series on the stated maturity of those payments in accordance with the terms of the indenture and those debt securities.</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2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51" w:lineRule="exact"/>
        <w:rPr>
          <w:sz w:val="20"/>
          <w:szCs w:val="20"/>
          <w:color w:val="auto"/>
        </w:rPr>
      </w:pPr>
    </w:p>
    <w:p>
      <w:pPr>
        <w:ind w:firstLine="464"/>
        <w:spacing w:after="0" w:line="268"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31" w:lineRule="exact"/>
        <w:rPr>
          <w:rFonts w:ascii="Arial" w:cs="Arial" w:eastAsia="Arial" w:hAnsi="Arial"/>
          <w:sz w:val="18"/>
          <w:szCs w:val="18"/>
          <w:color w:val="auto"/>
        </w:rPr>
      </w:pPr>
    </w:p>
    <w:p>
      <w:pPr>
        <w:ind w:right="640" w:firstLine="464"/>
        <w:spacing w:after="0" w:line="268"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conditions include:</w:t>
      </w:r>
    </w:p>
    <w:p>
      <w:pPr>
        <w:spacing w:after="0" w:line="90" w:lineRule="exact"/>
        <w:rPr>
          <w:sz w:val="20"/>
          <w:szCs w:val="20"/>
          <w:color w:val="auto"/>
        </w:rPr>
      </w:pPr>
    </w:p>
    <w:p>
      <w:pPr>
        <w:ind w:right="20" w:firstLine="464"/>
        <w:spacing w:after="0" w:line="294" w:lineRule="auto"/>
        <w:tabs>
          <w:tab w:leader="none" w:pos="705"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depositing with the trustee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64"/>
        <w:spacing w:after="0" w:line="335" w:lineRule="auto"/>
        <w:tabs>
          <w:tab w:leader="none" w:pos="705" w:val="left"/>
        </w:tabs>
        <w:numPr>
          <w:ilvl w:val="0"/>
          <w:numId w:val="13"/>
        </w:numPr>
        <w:rPr>
          <w:rFonts w:ascii="Arial" w:cs="Arial" w:eastAsia="Arial" w:hAnsi="Arial"/>
          <w:sz w:val="15"/>
          <w:szCs w:val="15"/>
          <w:color w:val="auto"/>
        </w:rPr>
      </w:pPr>
      <w:r>
        <w:rPr>
          <w:rFonts w:ascii="Arial" w:cs="Arial" w:eastAsia="Arial" w:hAnsi="Arial"/>
          <w:sz w:val="15"/>
          <w:szCs w:val="15"/>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8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Covenant Defeasance and Events of Default</w:t>
      </w:r>
      <w:r>
        <w:rPr>
          <w:rFonts w:ascii="Arial" w:cs="Arial" w:eastAsia="Arial" w:hAnsi="Arial"/>
          <w:sz w:val="16"/>
          <w:szCs w:val="16"/>
          <w:color w:val="auto"/>
        </w:rPr>
        <w:t>. In the event we exercise our option to effect covenant defeasance with respect to any series of debt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debt securities of that series are declared due and payable because of the occurrence of any Event of Default, the amount of money and/or U.S. Government Obligations or Foreign Government Obligations on deposit with the trustee should be sufficient to pay amounts due on the debt securities of that series at the time of their stated maturity but may not be sufficient to pay amounts due on the debt securities of that series at the time of the acceleration resulting from the Event of Default. However, we shall remain liable for those payments.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Government Obligations</w:t>
      </w:r>
      <w:r>
        <w:rPr>
          <w:rFonts w:ascii="Arial" w:cs="Arial" w:eastAsia="Arial" w:hAnsi="Arial"/>
          <w:sz w:val="16"/>
          <w:szCs w:val="16"/>
          <w:color w:val="auto"/>
        </w:rPr>
        <w:t>” means, with respect to debt securities of any series that are denominated in a currency other than U.S. Dollars:</w:t>
      </w:r>
    </w:p>
    <w:p>
      <w:pPr>
        <w:spacing w:after="0" w:line="113" w:lineRule="exact"/>
        <w:rPr>
          <w:sz w:val="20"/>
          <w:szCs w:val="20"/>
          <w:color w:val="auto"/>
        </w:rPr>
      </w:pPr>
    </w:p>
    <w:p>
      <w:pPr>
        <w:ind w:right="320" w:firstLine="464"/>
        <w:spacing w:after="0" w:line="268"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 obligations of the government that issued or caused to be issued such currency for the payment of which obligations its full faith and credit is pledged which are not callable or redeemable at the option of the issuer thereof; or</w:t>
      </w:r>
    </w:p>
    <w:p>
      <w:pPr>
        <w:spacing w:after="0" w:line="131" w:lineRule="exact"/>
        <w:rPr>
          <w:rFonts w:ascii="Arial" w:cs="Arial" w:eastAsia="Arial" w:hAnsi="Arial"/>
          <w:sz w:val="18"/>
          <w:szCs w:val="18"/>
          <w:color w:val="auto"/>
        </w:rPr>
      </w:pPr>
    </w:p>
    <w:p>
      <w:pPr>
        <w:jc w:val="both"/>
        <w:ind w:right="560" w:firstLine="464"/>
        <w:spacing w:after="0" w:line="332" w:lineRule="auto"/>
        <w:tabs>
          <w:tab w:leader="none" w:pos="7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w:t>
      </w:r>
    </w:p>
    <w:p>
      <w:pPr>
        <w:spacing w:after="0" w:line="8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means securities that are: (1) direct obligations of the United States for the payment of which its full faith and credit is pledged, or (2) obligations of a person controlled or supervised by and acting as an agency or instrumentality of the United States the payment of which is unconditionally guaranteed as a full faith and credit obligation by the United States; that, in either case under clauses (1) or (2)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Prior to Maturity</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has the right at any time to satisfy and discharge its obligations, other than certain specified obligations, under all debt securities under the indenture by depositing in trust with the trustee money and/or U.S. Government Obligations. The Company’s exercise of this right is subject to certain conditions including that either (1) all securities under the indenture (subject to certain exceptions) have been delivered to the trustee for cancellation or (2) all securities under the indenture not previously delivered to the trustee for cancellation have become due and payable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such deposit is sufficient, in the opinion of a nationally recognized firm of independent public accountants (unless the funds consist solely of money), to make all payments of (1) interest on the debt securities prior to their redemption or maturity and (2) principal of (and premium, if any) and interest on such series of debt securities when due upon redemption or at maturity, all the obligations of the Company under the indenture will be discharged and terminated except as otherwise provided in the indenture.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U.S. income tax purposes, it is likely that any such deposit and discharge with respect to any debt securities will be treated as a taxable exchange of such debt securities for interests in the trust. In that event, a holder will recognize gain or loss equal to the difference between the holder’s cost or other tax basis for the debt securities and the value of the holder’s interest in such trust; and thereafter will be required to include in income a share of the income, gain and loss of the trust. Purchasers of the debt securities should consult their own advisers with respect to the tax consequences to them of such deposit and discharge, including the applicability and effect of tax laws other than the U.S. income tax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80"/>
          </w:cols>
          <w:pgMar w:left="24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FORMS OF SECURITIES</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security will be represented either by a certificate issued in definitive form to a particular investor or by one or more global securities representing the entire issuance of securities. Certificated securities will be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securities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Registered Global Securities</w:t>
      </w:r>
      <w:r>
        <w:rPr>
          <w:rFonts w:ascii="Arial" w:cs="Arial" w:eastAsia="Arial" w:hAnsi="Arial"/>
          <w:sz w:val="18"/>
          <w:szCs w:val="18"/>
          <w:color w:val="auto"/>
        </w:rPr>
        <w:t>. We may issue the registered securities in the form of one or more fully registered global securities that will be deposited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4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Principal or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the Company, the trustee, or any other agent of the Company or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of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44"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determine not to have securities represented by registered global securities and, in that event, will issue securities in definitive form for the registered global securities of that series. Any securities issued in definitive form in exchange for a registered global security will be registered in the name or names that the depositary gives to the trustee. It is expected that the depositary’s instructions will be based on directions received by the depositary from participants with respect to ownership of beneficial interests in the registered global security that had been held by the depositary.</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debt securities:</w:t>
      </w:r>
    </w:p>
    <w:p>
      <w:pPr>
        <w:spacing w:after="0" w:line="90" w:lineRule="exact"/>
        <w:rPr>
          <w:sz w:val="20"/>
          <w:szCs w:val="20"/>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underwriters;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through agents; or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71"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may directly solicit offers to purchase debt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distribution of the debt securities may be effected from time to time in one or more transactions:</w:t>
      </w:r>
    </w:p>
    <w:p>
      <w:pPr>
        <w:spacing w:after="0" w:line="90" w:lineRule="exact"/>
        <w:rPr>
          <w:sz w:val="20"/>
          <w:szCs w:val="20"/>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prospectus supplement will describe the method of distribution of the debt securities and any applicable restrictions.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prospectus supplement with respect to the debt securities of a particular series will describe the terms of the offering of the debt securities, including the following:</w:t>
      </w:r>
    </w:p>
    <w:p>
      <w:pPr>
        <w:spacing w:after="0" w:line="51" w:lineRule="exact"/>
        <w:rPr>
          <w:sz w:val="20"/>
          <w:szCs w:val="20"/>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exchanges on which the debt securities will be listed.</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or agents are utilized in the sale of the debt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certain of the terms of the related agreement with them.</w:t>
      </w:r>
    </w:p>
    <w:p>
      <w:pPr>
        <w:spacing w:after="0" w:line="140"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If a dealer is utilized in the sale of the debt securities in respect of which the prospectus is delivered, we will sell such debt securities to the dealer, as principal. The dealer may then resell such securities to the public at varying prices to be determined by such dealer at the time of resale.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debt securities from us pursuant to delayed delivery contracts providing for payment and delivery on the date stated in the prospectus supplement. Each contract will be for an amount not less than, and the aggregate amount of debt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39" w:lineRule="exact"/>
        <w:rPr>
          <w:sz w:val="20"/>
          <w:szCs w:val="20"/>
          <w:color w:val="auto"/>
        </w:rPr>
      </w:pPr>
    </w:p>
    <w:p>
      <w:pPr>
        <w:ind w:right="420" w:firstLine="464"/>
        <w:spacing w:after="0" w:line="268"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purchase by an institution of the debt securities covered under that contract shall not at the time of delivery be prohibited under the laws of the jurisdiction to which that institution is subject; and</w:t>
      </w:r>
    </w:p>
    <w:p>
      <w:pPr>
        <w:spacing w:after="0" w:line="131" w:lineRule="exact"/>
        <w:rPr>
          <w:rFonts w:ascii="Arial" w:cs="Arial" w:eastAsia="Arial" w:hAnsi="Arial"/>
          <w:sz w:val="18"/>
          <w:szCs w:val="18"/>
          <w:color w:val="auto"/>
        </w:rPr>
      </w:pPr>
    </w:p>
    <w:p>
      <w:pPr>
        <w:ind w:right="400" w:firstLine="464"/>
        <w:spacing w:after="0" w:line="259"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debt securities are also being sold to underwriters acting as principals for their own account, the underwriters shall have purchased such debt securities not sold for delayed delivery. The underwriters and other persons acting as our agents will not have any responsibility in respect of the validity or performance of delayed delivery contracts.</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Certain of the underwriters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order to facilitate the offering of the debt securities, any underwriters may engage in transactions that stabilize, maintain or otherwise affect the price of the debt securities or any other securities the prices of which may be used to determine payments on such debt securities. Specifically, any underwriters may overallot in connection with the offering, creating a short position for their own accounts. In addition, to cover overallotments or to stabilize the price of the debt securities or of any such other securities, the underwriters may bid for, and purchase, the debt securities or any such other securities in the open market. Finally, in any offering of the debt securities through a syndicate of underwriters, the underwriting syndicate may reclaim selling concessions allowed to an underwriter or a dealer for distributing the debt securities in the offering if the syndicate repurchases previously distributed debt securities in transactions to cover syndicate short positions, in stabilization transactions or otherwise. Any of these activities may stabilize or maintain the market price of the debt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debt securities may be new issues of securities and may have no established trading market. The debt securities may or may not be listed on a national securities exchange. We can make no assurance as to the liquidity of or the existence of trading markets for any of the debt securities.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a prospectus supplement indicates otherwise, the validity of the debt securities in respect of which this prospectus is being delivered will be passed upon by Wilmer Cutler Pickering Hale and Dorr LLP.</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consolidated financial statements of Analog Devices, Inc. appearing in Analog Devices, Inc.’s Annual Report on Form 10-K for the fiscal year ended October 29, 2011 (including schedules appearing therein), and the effectiveness of Analog Devices, Inc.’s internal control over financial reporting as of October 29, 2011,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registrant’s best estimate as to anticipated expenses and costs (other than underwriting discounts and commissions)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expected to be incurred in connection with a distribution of debt securities registered hereby:</w:t>
      </w:r>
    </w:p>
    <w:p>
      <w:pPr>
        <w:spacing w:after="0" w:line="21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125,000(2)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5,000(2)</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Trustee fees and expenses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10,000(2)</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90,000(2)</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Rating agency fees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20,000(2)</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60" w:type="dxa"/>
            <w:vAlign w:val="bottom"/>
            <w:vMerge w:val="continue"/>
          </w:tcPr>
          <w:p>
            <w:pPr>
              <w:spacing w:after="0"/>
              <w:rPr>
                <w:sz w:val="19"/>
                <w:szCs w:val="19"/>
                <w:color w:val="auto"/>
              </w:rPr>
            </w:pPr>
          </w:p>
        </w:tc>
        <w:tc>
          <w:tcPr>
            <w:tcW w:w="2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250,000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Deferred pursuant to Rules 456(b) and Rule 457(r) under the Securities Act.</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Estimated.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Rating agency fees are calculated in part based on the amount of debt securities offered and, accordingly, cannot be estimated at this time.</w:t>
      </w:r>
    </w:p>
    <w:p>
      <w:pPr>
        <w:spacing w:after="0" w:line="3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r>
        <w:rPr>
          <w:rFonts w:ascii="Arial" w:cs="Arial" w:eastAsia="Arial" w:hAnsi="Arial"/>
          <w:sz w:val="15"/>
          <w:szCs w:val="15"/>
          <w:b w:val="1"/>
          <w:bCs w:val="1"/>
          <w:color w:val="auto"/>
        </w:rPr>
        <w:t>.</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Article 6A of the Company’s Restated Articles of Organization, as amended (the “Restated Articles”) provides that the Company shall indemnify each person who is, or was, a director or officer of the Company or who is or was a director or employee of the Company and is serving or has served as a director of another organization at the request of the Company or in any capacity with respect to an employee benefit plan of the Company,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the Company or as a result of his having served with respect to any such employee benefit plan. Article 6A further provides that the Company shall provide no indemnification with respect to any matter as to which any director or officer shall be finally adjudicated in such action, suit or proceeding not to have acted in good faith in the reasonable belief that his action was in the best interests of the Company or, if the matter relates to an employee benefit plan, the participants or beneficiaries of such employee benefit plan. The right to indemnification conferred by Article 6A includes the right to be paid by the Company for liabilities and expenses incurred in connection with settlement or compromise of any such action pursuant to a consent decree or otherwise, unless a determination is made by the board of directors that such settlement or compromise is not in the best interests of the Company or, if the matter relates to an employee benefit plan, the participants or beneficiaries of such employee benefit plan.</w:t>
      </w:r>
    </w:p>
    <w:p>
      <w:pPr>
        <w:spacing w:after="0" w:line="12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Article 6A of the Restated Articles includes the right to payment by the Company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Restated Articles. However, no advance may be made if the board of directors reasonably and promptly determines, by a majority vote of a quorum consisting of disinterested directors (or, if such quorum is not obtainable, by a majority of the disinterested directors of the Company or if two disinterested directors are not then in office, by independent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legal counsel in a written opinion), based on facts known to the board of directors or such independent legal counsel at such time, that such person did not act in good faith in the reasonable belief that his action was in the best interest of the Company or the participants or beneficiaries of such employee benefit plan, as the case may be.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Under Article 6A of the Restated Articles, if an individual is entitled under any provision of Article 6 of the Restated Articles to indemnification by the Company for some or a portion of the liabilities or expenses imposed upon or incurred by such individual in the investigation, defense, appeal or settlement of any action, suit or proceeding but not, however, for the total amount thereof, the Company shall nevertheless indemnify such individual for the portion of such liabilities or expenses to which such individual is entitled. The Company’s obligation to provide indemnification under the Restated Articles shall be offset to the extent of any other source of indemnification or any otherwise applicable insurance coverage under a policy maintained by the Company or any other person.</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Article 6D of the Restated Articles, to the fullest extent permitted by the Massachusetts Business Corporation Act, as may be amended from time to time, no director shall be personally liable to the Company or its stockholders for monetary damages for breach of his fiduciary duty as a director, notwithstanding any provision of law imposing such liability.</w:t>
      </w:r>
    </w:p>
    <w:p>
      <w:pPr>
        <w:spacing w:after="0" w:line="14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Company has also entered into indemnification agreements with its directors and executive officers, each of which creates a direct contractual obligation of the Company to indemnify the individual under certain circumstances. Each agreement generally provides that the Company will indemnify the director or officer to the fullest extent permitted under Massachusetts law for claims arising in such individual’s capacity as a director or officer of the Company or in connection with his or her service at the request of the Company for another entity. Each agreement, among other things, establishes certain remedies for claims and contains deadlines and procedures to be followed in connection with a request for indemnification and/or advancement of expenses, including in the event of a change in control of the Company.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 has directors and officers liability insurance for the benefit of its directors and officers.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10400" w:type="dxa"/>
            <w:vAlign w:val="bottom"/>
            <w:gridSpan w:val="3"/>
          </w:tcPr>
          <w:p>
            <w:pPr>
              <w:ind w:left="420"/>
              <w:spacing w:after="0"/>
              <w:rPr>
                <w:sz w:val="20"/>
                <w:szCs w:val="20"/>
                <w:color w:val="auto"/>
              </w:rPr>
            </w:pPr>
            <w:r>
              <w:rPr>
                <w:rFonts w:ascii="Arial" w:cs="Arial" w:eastAsia="Arial" w:hAnsi="Arial"/>
                <w:sz w:val="18"/>
                <w:szCs w:val="18"/>
                <w:b w:val="1"/>
                <w:bCs w:val="1"/>
                <w:i w:val="1"/>
                <w:iCs w:val="1"/>
                <w:color w:val="auto"/>
              </w:rPr>
              <w:t>Exhibits</w:t>
            </w:r>
            <w:r>
              <w:rPr>
                <w:rFonts w:ascii="Arial" w:cs="Arial" w:eastAsia="Arial" w:hAnsi="Arial"/>
                <w:sz w:val="18"/>
                <w:szCs w:val="18"/>
                <w:b w:val="1"/>
                <w:bCs w:val="1"/>
                <w:color w:val="auto"/>
              </w:rPr>
              <w:t>.</w:t>
            </w:r>
          </w:p>
        </w:tc>
      </w:tr>
      <w:tr>
        <w:trPr>
          <w:trHeight w:val="340"/>
        </w:trPr>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4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4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Description of Exhibit</w:t>
            </w:r>
          </w:p>
        </w:tc>
        <w:tc>
          <w:tcPr>
            <w:tcW w:w="4320" w:type="dxa"/>
            <w:vAlign w:val="bottom"/>
          </w:tcPr>
          <w:p>
            <w:pPr>
              <w:spacing w:after="0"/>
              <w:rPr>
                <w:sz w:val="14"/>
                <w:szCs w:val="14"/>
                <w:color w:val="auto"/>
              </w:rPr>
            </w:pPr>
          </w:p>
        </w:tc>
      </w:tr>
      <w:tr>
        <w:trPr>
          <w:trHeight w:val="322"/>
        </w:trPr>
        <w:tc>
          <w:tcPr>
            <w:tcW w:w="520" w:type="dxa"/>
            <w:vAlign w:val="bottom"/>
          </w:tcPr>
          <w:p>
            <w:pPr>
              <w:ind w:left="10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Form of Underwriting Agreement.</w:t>
            </w: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rPr>
              <w:t>3.1</w:t>
            </w: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w w:val="89"/>
              </w:rPr>
              <w:t>Restated Articles of Organization of the Company, as amended, filed as Exhibit 3.1 to the Company’s Quarterly Report on Form 10-Q for the</w:t>
            </w:r>
          </w:p>
        </w:tc>
      </w:tr>
      <w:tr>
        <w:trPr>
          <w:trHeight w:val="222"/>
        </w:trPr>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fiscal quarter ended May 3, 2008 (File No. 001-07819), as filed with the SEC on May 20, 2008.</w:t>
            </w: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rPr>
              <w:t>3.2</w:t>
            </w: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w w:val="89"/>
              </w:rPr>
              <w:t>Amendment to Restated Articles of Organization of the Company, filed as Exhibit 3.1 to the Company’s Current Report on Form 8-K (File No.</w:t>
            </w:r>
          </w:p>
        </w:tc>
      </w:tr>
      <w:tr>
        <w:trPr>
          <w:trHeight w:val="222"/>
        </w:trPr>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001-07819), as filed with the SEC on December 8, 2008.</w:t>
            </w:r>
          </w:p>
        </w:tc>
      </w:tr>
      <w:tr>
        <w:trPr>
          <w:trHeight w:val="318"/>
        </w:trPr>
        <w:tc>
          <w:tcPr>
            <w:tcW w:w="520" w:type="dxa"/>
            <w:vAlign w:val="bottom"/>
          </w:tcPr>
          <w:p>
            <w:pPr>
              <w:ind w:left="100"/>
              <w:spacing w:after="0"/>
              <w:rPr>
                <w:sz w:val="20"/>
                <w:szCs w:val="20"/>
                <w:color w:val="auto"/>
              </w:rPr>
            </w:pPr>
            <w:r>
              <w:rPr>
                <w:rFonts w:ascii="Arial" w:cs="Arial" w:eastAsia="Arial" w:hAnsi="Arial"/>
                <w:sz w:val="18"/>
                <w:szCs w:val="18"/>
                <w:color w:val="auto"/>
              </w:rPr>
              <w:t>3.3</w:t>
            </w:r>
            <w:r>
              <w:rPr>
                <w:rFonts w:ascii="Arial" w:cs="Arial" w:eastAsia="Arial" w:hAnsi="Arial"/>
                <w:sz w:val="11"/>
                <w:szCs w:val="11"/>
                <w:color w:val="auto"/>
              </w:rPr>
              <w:t>+</w:t>
            </w:r>
          </w:p>
        </w:tc>
        <w:tc>
          <w:tcPr>
            <w:tcW w:w="44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w w:val="89"/>
              </w:rPr>
              <w:t>Amended and Restated By-laws of the Company, filed as Exhibit 3.1 to the Company’s Current Report on Form 8-K (File No. 001-07819), as</w:t>
            </w:r>
          </w:p>
        </w:tc>
      </w:tr>
      <w:tr>
        <w:trPr>
          <w:trHeight w:val="222"/>
        </w:trPr>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filed with the SEC on January 28, 2010.</w:t>
            </w: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Form of Indenture, by and among the Company and The Bank of New York Mellon Trust Company, N.A. (as Trustee).</w:t>
            </w: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Opinion of Wilmer Cutler Pickering Hale and Dorr LLP.</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44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Computation of Consolidated Ratios of Earnings to Fixed Charges.</w:t>
            </w:r>
          </w:p>
        </w:tc>
      </w:tr>
      <w:tr>
        <w:trPr>
          <w:trHeight w:val="365"/>
        </w:trPr>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0" w:type="dxa"/>
            <w:vAlign w:val="bottom"/>
            <w:gridSpan w:val="3"/>
          </w:tcPr>
          <w:p>
            <w:pPr>
              <w:ind w:left="462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8"/>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180" w:type="dxa"/>
            <w:vAlign w:val="bottom"/>
          </w:tcPr>
          <w:p>
            <w:pPr>
              <w:spacing w:after="0"/>
              <w:rPr>
                <w:sz w:val="14"/>
                <w:szCs w:val="14"/>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Description of Exhibit</w:t>
            </w:r>
          </w:p>
        </w:tc>
        <w:tc>
          <w:tcPr>
            <w:tcW w:w="1460" w:type="dxa"/>
            <w:vAlign w:val="bottom"/>
          </w:tcPr>
          <w:p>
            <w:pPr>
              <w:spacing w:after="0"/>
              <w:rPr>
                <w:sz w:val="14"/>
                <w:szCs w:val="14"/>
                <w:color w:val="auto"/>
              </w:rPr>
            </w:pPr>
          </w:p>
        </w:tc>
      </w:tr>
      <w:tr>
        <w:trPr>
          <w:trHeight w:val="322"/>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7980" w:type="dxa"/>
            <w:vAlign w:val="bottom"/>
            <w:gridSpan w:val="3"/>
          </w:tcPr>
          <w:p>
            <w:pPr>
              <w:ind w:left="78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7980" w:type="dxa"/>
            <w:vAlign w:val="bottom"/>
            <w:gridSpan w:val="3"/>
          </w:tcPr>
          <w:p>
            <w:pPr>
              <w:ind w:left="780"/>
              <w:spacing w:after="0"/>
              <w:rPr>
                <w:sz w:val="20"/>
                <w:szCs w:val="20"/>
                <w:color w:val="auto"/>
              </w:rPr>
            </w:pPr>
            <w:r>
              <w:rPr>
                <w:rFonts w:ascii="Arial" w:cs="Arial" w:eastAsia="Arial" w:hAnsi="Arial"/>
                <w:sz w:val="18"/>
                <w:szCs w:val="18"/>
                <w:color w:val="auto"/>
              </w:rPr>
              <w:t>Consent of Wilmer Cutler Pickering Hale and Dorr LLP (included in Exhibit 5.1).</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7980" w:type="dxa"/>
            <w:vAlign w:val="bottom"/>
            <w:gridSpan w:val="3"/>
          </w:tcPr>
          <w:p>
            <w:pPr>
              <w:ind w:left="780"/>
              <w:spacing w:after="0"/>
              <w:rPr>
                <w:sz w:val="20"/>
                <w:szCs w:val="20"/>
                <w:color w:val="auto"/>
              </w:rPr>
            </w:pPr>
            <w:r>
              <w:rPr>
                <w:rFonts w:ascii="Arial" w:cs="Arial" w:eastAsia="Arial" w:hAnsi="Arial"/>
                <w:sz w:val="18"/>
                <w:szCs w:val="18"/>
                <w:color w:val="auto"/>
              </w:rPr>
              <w:t>Powers of Attorney (included on signature pages).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25.1</w:t>
            </w:r>
          </w:p>
        </w:tc>
        <w:tc>
          <w:tcPr>
            <w:tcW w:w="7980" w:type="dxa"/>
            <w:vAlign w:val="bottom"/>
            <w:gridSpan w:val="3"/>
          </w:tcPr>
          <w:p>
            <w:pPr>
              <w:ind w:left="780"/>
              <w:spacing w:after="0"/>
              <w:rPr>
                <w:sz w:val="20"/>
                <w:szCs w:val="20"/>
                <w:color w:val="auto"/>
              </w:rPr>
            </w:pPr>
            <w:r>
              <w:rPr>
                <w:rFonts w:ascii="Arial" w:cs="Arial" w:eastAsia="Arial" w:hAnsi="Arial"/>
                <w:sz w:val="18"/>
                <w:szCs w:val="18"/>
                <w:color w:val="auto"/>
                <w:w w:val="90"/>
              </w:rPr>
              <w:t>Statement of Eligibility on Form T-1 of The Bank of New York Mellon Trust Company, N.A., Trustee.</w:t>
            </w:r>
          </w:p>
        </w:tc>
      </w:tr>
    </w:tbl>
    <w:p>
      <w:pPr>
        <w:spacing w:after="0" w:line="166"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22"/>
          <w:szCs w:val="22"/>
          <w:color w:val="auto"/>
          <w:vertAlign w:val="superscript"/>
        </w:rPr>
      </w:pPr>
      <w:r>
        <w:rPr>
          <w:rFonts w:ascii="Arial" w:cs="Arial" w:eastAsia="Arial" w:hAnsi="Arial"/>
          <w:sz w:val="18"/>
          <w:szCs w:val="18"/>
          <w:color w:val="auto"/>
        </w:rPr>
        <w:t>Previously filed with the SEC and incorporated herein by reference.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an amendment or as an exhibit to a report filed under the Exchange Act and incorporated herein by reference.</w:t>
      </w:r>
    </w:p>
    <w:p>
      <w:pPr>
        <w:spacing w:after="0" w:line="27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90" w:lineRule="exact"/>
        <w:rPr>
          <w:sz w:val="20"/>
          <w:szCs w:val="20"/>
          <w:color w:val="auto"/>
        </w:rPr>
      </w:pPr>
    </w:p>
    <w:p>
      <w:pPr>
        <w:ind w:left="720" w:hanging="256"/>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140" w:hanging="219"/>
        <w:spacing w:after="0"/>
        <w:tabs>
          <w:tab w:leader="none" w:pos="11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71" w:lineRule="exact"/>
        <w:rPr>
          <w:rFonts w:ascii="Arial" w:cs="Arial" w:eastAsia="Arial" w:hAnsi="Arial"/>
          <w:sz w:val="18"/>
          <w:szCs w:val="18"/>
          <w:color w:val="auto"/>
        </w:rPr>
      </w:pPr>
    </w:p>
    <w:p>
      <w:pPr>
        <w:ind w:right="20" w:firstLine="921"/>
        <w:spacing w:after="0" w:line="291" w:lineRule="auto"/>
        <w:tabs>
          <w:tab w:leader="none" w:pos="1171" w:val="left"/>
        </w:tabs>
        <w:numPr>
          <w:ilvl w:val="1"/>
          <w:numId w:val="2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20" w:lineRule="exact"/>
        <w:rPr>
          <w:rFonts w:ascii="Arial" w:cs="Arial" w:eastAsia="Arial" w:hAnsi="Arial"/>
          <w:sz w:val="16"/>
          <w:szCs w:val="16"/>
          <w:color w:val="auto"/>
        </w:rPr>
      </w:pPr>
    </w:p>
    <w:p>
      <w:pPr>
        <w:ind w:right="60" w:firstLine="921"/>
        <w:spacing w:after="0" w:line="268" w:lineRule="auto"/>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Provided, however, that paragraphs (1)(i), (1)(ii) and (1)(iii) above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43" w:lineRule="exact"/>
        <w:rPr>
          <w:sz w:val="20"/>
          <w:szCs w:val="20"/>
          <w:color w:val="auto"/>
        </w:rPr>
      </w:pPr>
    </w:p>
    <w:p>
      <w:pPr>
        <w:ind w:firstLine="464"/>
        <w:spacing w:after="0" w:line="370" w:lineRule="auto"/>
        <w:tabs>
          <w:tab w:leader="none" w:pos="705"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62" w:lineRule="exact"/>
        <w:rPr>
          <w:rFonts w:ascii="Arial" w:cs="Arial" w:eastAsia="Arial" w:hAnsi="Arial"/>
          <w:sz w:val="15"/>
          <w:szCs w:val="15"/>
          <w:color w:val="auto"/>
        </w:rPr>
      </w:pPr>
    </w:p>
    <w:p>
      <w:pPr>
        <w:ind w:right="200" w:firstLine="464"/>
        <w:spacing w:after="0" w:line="268" w:lineRule="auto"/>
        <w:tabs>
          <w:tab w:leader="none" w:pos="70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90" w:lineRule="exact"/>
        <w:rPr>
          <w:sz w:val="20"/>
          <w:szCs w:val="20"/>
          <w:color w:val="auto"/>
        </w:rPr>
      </w:pPr>
    </w:p>
    <w:p>
      <w:pPr>
        <w:ind w:right="540" w:firstLine="464"/>
        <w:spacing w:after="0" w:line="268" w:lineRule="auto"/>
        <w:tabs>
          <w:tab w:leader="none" w:pos="7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64"/>
        <w:spacing w:after="0" w:line="287" w:lineRule="auto"/>
        <w:tabs>
          <w:tab w:leader="none" w:pos="734"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 That, for the purpose of determining liability of the registrant under the Securities Act to any purchaser in the initial distribution of the securities: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6" w:lineRule="exact"/>
        <w:rPr>
          <w:sz w:val="20"/>
          <w:szCs w:val="20"/>
          <w:color w:val="auto"/>
        </w:rPr>
      </w:pPr>
    </w:p>
    <w:p>
      <w:pPr>
        <w:ind w:left="1140" w:hanging="219"/>
        <w:spacing w:after="0"/>
        <w:tabs>
          <w:tab w:leader="none" w:pos="11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94" w:lineRule="exact"/>
        <w:rPr>
          <w:rFonts w:ascii="Arial" w:cs="Arial" w:eastAsia="Arial" w:hAnsi="Arial"/>
          <w:sz w:val="16"/>
          <w:szCs w:val="16"/>
          <w:color w:val="auto"/>
        </w:rPr>
      </w:pPr>
    </w:p>
    <w:p>
      <w:pPr>
        <w:ind w:right="800" w:firstLine="921"/>
        <w:spacing w:after="0" w:line="268" w:lineRule="auto"/>
        <w:tabs>
          <w:tab w:leader="none" w:pos="1171"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31" w:lineRule="exact"/>
        <w:rPr>
          <w:rFonts w:ascii="Arial" w:cs="Arial" w:eastAsia="Arial" w:hAnsi="Arial"/>
          <w:sz w:val="18"/>
          <w:szCs w:val="18"/>
          <w:color w:val="auto"/>
        </w:rPr>
      </w:pPr>
    </w:p>
    <w:p>
      <w:pPr>
        <w:ind w:right="180" w:firstLine="921"/>
        <w:spacing w:after="0" w:line="268" w:lineRule="auto"/>
        <w:tabs>
          <w:tab w:leader="none" w:pos="12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31" w:lineRule="exact"/>
        <w:rPr>
          <w:rFonts w:ascii="Arial" w:cs="Arial" w:eastAsia="Arial" w:hAnsi="Arial"/>
          <w:sz w:val="18"/>
          <w:szCs w:val="18"/>
          <w:color w:val="auto"/>
        </w:rPr>
      </w:pPr>
    </w:p>
    <w:p>
      <w:pPr>
        <w:ind w:left="1220" w:hanging="299"/>
        <w:spacing w:after="0"/>
        <w:tabs>
          <w:tab w:leader="none" w:pos="12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firstLine="464"/>
        <w:spacing w:after="0" w:line="256"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3"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32"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60"/>
          </w:cols>
          <w:pgMar w:left="240" w:top="459"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Norwood, Commonwealth of Massachusetts, on August 22, 2012.</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Jerald G. Fishman</w:t>
      </w:r>
    </w:p>
    <w:p>
      <w:pPr>
        <w:spacing w:after="0" w:line="15"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President and Chief Executive Officer</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the undersigned officers and directors of Analog Devices, Inc., hereby severally constitute and appoint Jerald G. Fishman, David A. Zinsner and Margaret K. Seif, and each of them singly, our true and lawful attorneys with full power to any of them, and to each of them singly, to sign for us and in our names in the capacities indicated below the registration statement on Form S-3 filed herewith and any and all amendments (including post-effective amendments) to said registration statement and any subsequent registration statement filed pursuant to Rule 462(b) under the Securities Act of 1933, as amended, and to file the same with all exhibits thereto, and the other documents in connection therewith, with the Securities and Exchange Commission, and generally to do all such things in our name and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w w:val="83"/>
              </w:rPr>
              <w:t>Signature</w:t>
            </w:r>
          </w:p>
        </w:tc>
        <w:tc>
          <w:tcPr>
            <w:tcW w:w="1540" w:type="dxa"/>
            <w:vAlign w:val="bottom"/>
          </w:tcPr>
          <w:p>
            <w:pPr>
              <w:spacing w:after="0"/>
              <w:rPr>
                <w:sz w:val="14"/>
                <w:szCs w:val="14"/>
                <w:color w:val="auto"/>
              </w:rPr>
            </w:pPr>
          </w:p>
        </w:tc>
        <w:tc>
          <w:tcPr>
            <w:tcW w:w="5420" w:type="dxa"/>
            <w:vAlign w:val="bottom"/>
            <w:gridSpan w:val="3"/>
          </w:tcPr>
          <w:p>
            <w:pPr>
              <w:jc w:val="center"/>
              <w:ind w:left="234"/>
              <w:spacing w:after="0"/>
              <w:rPr>
                <w:sz w:val="20"/>
                <w:szCs w:val="20"/>
                <w:color w:val="auto"/>
              </w:rPr>
            </w:pPr>
            <w:r>
              <w:rPr>
                <w:rFonts w:ascii="Arial" w:cs="Arial" w:eastAsia="Arial" w:hAnsi="Arial"/>
                <w:sz w:val="14"/>
                <w:szCs w:val="14"/>
                <w:b w:val="1"/>
                <w:bCs w:val="1"/>
                <w:color w:val="auto"/>
                <w:w w:val="90"/>
              </w:rPr>
              <w:t>Title</w:t>
            </w:r>
          </w:p>
        </w:tc>
        <w:tc>
          <w:tcPr>
            <w:tcW w:w="1160" w:type="dxa"/>
            <w:vAlign w:val="bottom"/>
          </w:tcPr>
          <w:p>
            <w:pPr>
              <w:spacing w:after="0"/>
              <w:rPr>
                <w:sz w:val="14"/>
                <w:szCs w:val="14"/>
                <w:color w:val="auto"/>
              </w:rPr>
            </w:pPr>
          </w:p>
        </w:tc>
        <w:tc>
          <w:tcPr>
            <w:tcW w:w="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5"/>
        </w:trPr>
        <w:tc>
          <w:tcPr>
            <w:tcW w:w="15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RAY STATA</w:t>
            </w:r>
          </w:p>
        </w:tc>
        <w:tc>
          <w:tcPr>
            <w:tcW w:w="5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5420" w:type="dxa"/>
            <w:vAlign w:val="bottom"/>
            <w:gridSpan w:val="3"/>
          </w:tcPr>
          <w:p>
            <w:pPr>
              <w:jc w:val="center"/>
              <w:ind w:left="234"/>
              <w:spacing w:after="0"/>
              <w:rPr>
                <w:sz w:val="20"/>
                <w:szCs w:val="20"/>
                <w:color w:val="auto"/>
              </w:rPr>
            </w:pPr>
            <w:r>
              <w:rPr>
                <w:rFonts w:ascii="Arial" w:cs="Arial" w:eastAsia="Arial" w:hAnsi="Arial"/>
                <w:sz w:val="18"/>
                <w:szCs w:val="18"/>
                <w:color w:val="auto"/>
                <w:w w:val="89"/>
              </w:rPr>
              <w:t>Chairman of the Board</w:t>
            </w:r>
          </w:p>
        </w:tc>
        <w:tc>
          <w:tcPr>
            <w:tcW w:w="190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August 22, 2012</w:t>
            </w:r>
          </w:p>
        </w:tc>
      </w:tr>
      <w:tr>
        <w:trPr>
          <w:trHeight w:val="217"/>
        </w:trPr>
        <w:tc>
          <w:tcPr>
            <w:tcW w:w="2120" w:type="dxa"/>
            <w:vAlign w:val="bottom"/>
            <w:gridSpan w:val="2"/>
          </w:tcPr>
          <w:p>
            <w:pPr>
              <w:ind w:left="100"/>
              <w:spacing w:after="0"/>
              <w:rPr>
                <w:sz w:val="20"/>
                <w:szCs w:val="20"/>
                <w:color w:val="auto"/>
              </w:rPr>
            </w:pPr>
            <w:r>
              <w:rPr>
                <w:rFonts w:ascii="Arial" w:cs="Arial" w:eastAsia="Arial" w:hAnsi="Arial"/>
                <w:sz w:val="18"/>
                <w:szCs w:val="18"/>
                <w:color w:val="auto"/>
              </w:rPr>
              <w:t>Ray Stata</w:t>
            </w:r>
          </w:p>
        </w:tc>
        <w:tc>
          <w:tcPr>
            <w:tcW w:w="1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37"/>
        </w:trPr>
        <w:tc>
          <w:tcPr>
            <w:tcW w:w="21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8"/>
              </w:rPr>
              <w:t>/s/ JERALD G. FISHMAN</w:t>
            </w:r>
          </w:p>
        </w:tc>
        <w:tc>
          <w:tcPr>
            <w:tcW w:w="1540" w:type="dxa"/>
            <w:vAlign w:val="bottom"/>
            <w:tcBorders>
              <w:bottom w:val="single" w:sz="8" w:color="auto"/>
            </w:tcBorders>
          </w:tcPr>
          <w:p>
            <w:pPr>
              <w:spacing w:after="0"/>
              <w:rPr>
                <w:sz w:val="24"/>
                <w:szCs w:val="24"/>
                <w:color w:val="auto"/>
              </w:rPr>
            </w:pPr>
          </w:p>
        </w:tc>
        <w:tc>
          <w:tcPr>
            <w:tcW w:w="5420" w:type="dxa"/>
            <w:vAlign w:val="bottom"/>
            <w:gridSpan w:val="3"/>
          </w:tcPr>
          <w:p>
            <w:pPr>
              <w:jc w:val="center"/>
              <w:ind w:left="214"/>
              <w:spacing w:after="0"/>
              <w:rPr>
                <w:sz w:val="20"/>
                <w:szCs w:val="20"/>
                <w:color w:val="auto"/>
              </w:rPr>
            </w:pPr>
            <w:r>
              <w:rPr>
                <w:rFonts w:ascii="Arial" w:cs="Arial" w:eastAsia="Arial" w:hAnsi="Arial"/>
                <w:sz w:val="18"/>
                <w:szCs w:val="18"/>
                <w:color w:val="auto"/>
                <w:w w:val="90"/>
              </w:rPr>
              <w:t>President, Chief Executive Officer and Director</w:t>
            </w:r>
          </w:p>
        </w:tc>
        <w:tc>
          <w:tcPr>
            <w:tcW w:w="190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August 22, 2012</w:t>
            </w:r>
          </w:p>
        </w:tc>
      </w:tr>
      <w:tr>
        <w:trPr>
          <w:trHeight w:val="218"/>
        </w:trPr>
        <w:tc>
          <w:tcPr>
            <w:tcW w:w="2120" w:type="dxa"/>
            <w:vAlign w:val="bottom"/>
            <w:gridSpan w:val="2"/>
          </w:tcPr>
          <w:p>
            <w:pPr>
              <w:ind w:left="100"/>
              <w:spacing w:after="0"/>
              <w:rPr>
                <w:sz w:val="20"/>
                <w:szCs w:val="20"/>
                <w:color w:val="auto"/>
              </w:rPr>
            </w:pPr>
            <w:r>
              <w:rPr>
                <w:rFonts w:ascii="Arial" w:cs="Arial" w:eastAsia="Arial" w:hAnsi="Arial"/>
                <w:sz w:val="18"/>
                <w:szCs w:val="18"/>
                <w:color w:val="auto"/>
              </w:rPr>
              <w:t>Jerald G. Fishman</w:t>
            </w:r>
          </w:p>
        </w:tc>
        <w:tc>
          <w:tcPr>
            <w:tcW w:w="1540" w:type="dxa"/>
            <w:vAlign w:val="bottom"/>
          </w:tcPr>
          <w:p>
            <w:pPr>
              <w:spacing w:after="0"/>
              <w:rPr>
                <w:sz w:val="18"/>
                <w:szCs w:val="18"/>
                <w:color w:val="auto"/>
              </w:rPr>
            </w:pPr>
          </w:p>
        </w:tc>
        <w:tc>
          <w:tcPr>
            <w:tcW w:w="5420" w:type="dxa"/>
            <w:vAlign w:val="bottom"/>
            <w:gridSpan w:val="3"/>
          </w:tcPr>
          <w:p>
            <w:pPr>
              <w:jc w:val="center"/>
              <w:ind w:left="214"/>
              <w:spacing w:after="0" w:line="202" w:lineRule="exact"/>
              <w:rPr>
                <w:sz w:val="20"/>
                <w:szCs w:val="20"/>
                <w:color w:val="auto"/>
              </w:rPr>
            </w:pPr>
            <w:r>
              <w:rPr>
                <w:rFonts w:ascii="Arial" w:cs="Arial" w:eastAsia="Arial" w:hAnsi="Arial"/>
                <w:sz w:val="18"/>
                <w:szCs w:val="18"/>
                <w:color w:val="auto"/>
                <w:w w:val="91"/>
              </w:rPr>
              <w:t>(Principal Executive Officer)</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37"/>
        </w:trPr>
        <w:tc>
          <w:tcPr>
            <w:tcW w:w="21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DAVID A. ZINSNER</w:t>
            </w:r>
          </w:p>
        </w:tc>
        <w:tc>
          <w:tcPr>
            <w:tcW w:w="1540" w:type="dxa"/>
            <w:vAlign w:val="bottom"/>
            <w:tcBorders>
              <w:bottom w:val="single" w:sz="8" w:color="auto"/>
            </w:tcBorders>
          </w:tcPr>
          <w:p>
            <w:pPr>
              <w:spacing w:after="0"/>
              <w:rPr>
                <w:sz w:val="24"/>
                <w:szCs w:val="24"/>
                <w:color w:val="auto"/>
              </w:rPr>
            </w:pPr>
          </w:p>
        </w:tc>
        <w:tc>
          <w:tcPr>
            <w:tcW w:w="5420" w:type="dxa"/>
            <w:vAlign w:val="bottom"/>
            <w:gridSpan w:val="3"/>
          </w:tcPr>
          <w:p>
            <w:pPr>
              <w:jc w:val="center"/>
              <w:ind w:left="214"/>
              <w:spacing w:after="0"/>
              <w:rPr>
                <w:sz w:val="20"/>
                <w:szCs w:val="20"/>
                <w:color w:val="auto"/>
              </w:rPr>
            </w:pPr>
            <w:r>
              <w:rPr>
                <w:rFonts w:ascii="Arial" w:cs="Arial" w:eastAsia="Arial" w:hAnsi="Arial"/>
                <w:sz w:val="18"/>
                <w:szCs w:val="18"/>
                <w:color w:val="auto"/>
                <w:w w:val="89"/>
              </w:rPr>
              <w:t>Vice President, Finance and Chief Financial Officer</w:t>
            </w:r>
          </w:p>
        </w:tc>
        <w:tc>
          <w:tcPr>
            <w:tcW w:w="190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August 22, 2012</w:t>
            </w:r>
          </w:p>
        </w:tc>
      </w:tr>
      <w:tr>
        <w:trPr>
          <w:trHeight w:val="218"/>
        </w:trPr>
        <w:tc>
          <w:tcPr>
            <w:tcW w:w="2120" w:type="dxa"/>
            <w:vAlign w:val="bottom"/>
            <w:gridSpan w:val="2"/>
          </w:tcPr>
          <w:p>
            <w:pPr>
              <w:ind w:left="100"/>
              <w:spacing w:after="0"/>
              <w:rPr>
                <w:sz w:val="20"/>
                <w:szCs w:val="20"/>
                <w:color w:val="auto"/>
              </w:rPr>
            </w:pPr>
            <w:r>
              <w:rPr>
                <w:rFonts w:ascii="Arial" w:cs="Arial" w:eastAsia="Arial" w:hAnsi="Arial"/>
                <w:sz w:val="18"/>
                <w:szCs w:val="18"/>
                <w:color w:val="auto"/>
              </w:rPr>
              <w:t>David A. Zinsner</w:t>
            </w:r>
          </w:p>
        </w:tc>
        <w:tc>
          <w:tcPr>
            <w:tcW w:w="1540" w:type="dxa"/>
            <w:vAlign w:val="bottom"/>
          </w:tcPr>
          <w:p>
            <w:pPr>
              <w:spacing w:after="0"/>
              <w:rPr>
                <w:sz w:val="18"/>
                <w:szCs w:val="18"/>
                <w:color w:val="auto"/>
              </w:rPr>
            </w:pPr>
          </w:p>
        </w:tc>
        <w:tc>
          <w:tcPr>
            <w:tcW w:w="5420" w:type="dxa"/>
            <w:vAlign w:val="bottom"/>
            <w:gridSpan w:val="3"/>
          </w:tcPr>
          <w:p>
            <w:pPr>
              <w:jc w:val="center"/>
              <w:ind w:left="214"/>
              <w:spacing w:after="0" w:line="202" w:lineRule="exact"/>
              <w:rPr>
                <w:sz w:val="20"/>
                <w:szCs w:val="20"/>
                <w:color w:val="auto"/>
              </w:rPr>
            </w:pPr>
            <w:r>
              <w:rPr>
                <w:rFonts w:ascii="Arial" w:cs="Arial" w:eastAsia="Arial" w:hAnsi="Arial"/>
                <w:sz w:val="18"/>
                <w:szCs w:val="18"/>
                <w:color w:val="auto"/>
                <w:w w:val="92"/>
              </w:rPr>
              <w:t>(Principal Financial Officer)</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37"/>
        </w:trPr>
        <w:tc>
          <w:tcPr>
            <w:tcW w:w="21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SEAMUS BRENNAN</w:t>
            </w:r>
          </w:p>
        </w:tc>
        <w:tc>
          <w:tcPr>
            <w:tcW w:w="1540" w:type="dxa"/>
            <w:vAlign w:val="bottom"/>
            <w:tcBorders>
              <w:bottom w:val="single" w:sz="8" w:color="auto"/>
            </w:tcBorders>
          </w:tcPr>
          <w:p>
            <w:pPr>
              <w:spacing w:after="0"/>
              <w:rPr>
                <w:sz w:val="24"/>
                <w:szCs w:val="24"/>
                <w:color w:val="auto"/>
              </w:rPr>
            </w:pPr>
          </w:p>
        </w:tc>
        <w:tc>
          <w:tcPr>
            <w:tcW w:w="5420" w:type="dxa"/>
            <w:vAlign w:val="bottom"/>
            <w:gridSpan w:val="3"/>
          </w:tcPr>
          <w:p>
            <w:pPr>
              <w:jc w:val="center"/>
              <w:ind w:left="214"/>
              <w:spacing w:after="0"/>
              <w:rPr>
                <w:sz w:val="20"/>
                <w:szCs w:val="20"/>
                <w:color w:val="auto"/>
              </w:rPr>
            </w:pPr>
            <w:r>
              <w:rPr>
                <w:rFonts w:ascii="Arial" w:cs="Arial" w:eastAsia="Arial" w:hAnsi="Arial"/>
                <w:sz w:val="18"/>
                <w:szCs w:val="18"/>
                <w:color w:val="auto"/>
                <w:w w:val="90"/>
              </w:rPr>
              <w:t>Vice President and Chief Accounting Officer</w:t>
            </w:r>
          </w:p>
        </w:tc>
        <w:tc>
          <w:tcPr>
            <w:tcW w:w="190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August 22, 2012</w:t>
            </w:r>
          </w:p>
        </w:tc>
      </w:tr>
      <w:tr>
        <w:trPr>
          <w:trHeight w:val="218"/>
        </w:trPr>
        <w:tc>
          <w:tcPr>
            <w:tcW w:w="2120" w:type="dxa"/>
            <w:vAlign w:val="bottom"/>
            <w:gridSpan w:val="2"/>
          </w:tcPr>
          <w:p>
            <w:pPr>
              <w:ind w:left="100"/>
              <w:spacing w:after="0"/>
              <w:rPr>
                <w:sz w:val="20"/>
                <w:szCs w:val="20"/>
                <w:color w:val="auto"/>
              </w:rPr>
            </w:pPr>
            <w:r>
              <w:rPr>
                <w:rFonts w:ascii="Arial" w:cs="Arial" w:eastAsia="Arial" w:hAnsi="Arial"/>
                <w:sz w:val="18"/>
                <w:szCs w:val="18"/>
                <w:color w:val="auto"/>
              </w:rPr>
              <w:t>Seamus Brennan</w:t>
            </w:r>
          </w:p>
        </w:tc>
        <w:tc>
          <w:tcPr>
            <w:tcW w:w="1540" w:type="dxa"/>
            <w:vAlign w:val="bottom"/>
          </w:tcPr>
          <w:p>
            <w:pPr>
              <w:spacing w:after="0"/>
              <w:rPr>
                <w:sz w:val="18"/>
                <w:szCs w:val="18"/>
                <w:color w:val="auto"/>
              </w:rPr>
            </w:pPr>
          </w:p>
        </w:tc>
        <w:tc>
          <w:tcPr>
            <w:tcW w:w="5420" w:type="dxa"/>
            <w:vAlign w:val="bottom"/>
            <w:gridSpan w:val="3"/>
          </w:tcPr>
          <w:p>
            <w:pPr>
              <w:jc w:val="center"/>
              <w:ind w:left="214"/>
              <w:spacing w:after="0" w:line="202" w:lineRule="exact"/>
              <w:rPr>
                <w:sz w:val="20"/>
                <w:szCs w:val="20"/>
                <w:color w:val="auto"/>
              </w:rPr>
            </w:pPr>
            <w:r>
              <w:rPr>
                <w:rFonts w:ascii="Arial" w:cs="Arial" w:eastAsia="Arial" w:hAnsi="Arial"/>
                <w:sz w:val="18"/>
                <w:szCs w:val="18"/>
                <w:color w:val="auto"/>
                <w:w w:val="92"/>
              </w:rPr>
              <w:t>(Principal Accounting Officer)</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38"/>
        </w:trPr>
        <w:tc>
          <w:tcPr>
            <w:tcW w:w="21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JAMES A. CHAMPY</w:t>
            </w:r>
          </w:p>
        </w:tc>
        <w:tc>
          <w:tcPr>
            <w:tcW w:w="1540" w:type="dxa"/>
            <w:vAlign w:val="bottom"/>
            <w:tcBorders>
              <w:bottom w:val="single" w:sz="8" w:color="auto"/>
            </w:tcBorders>
          </w:tcPr>
          <w:p>
            <w:pPr>
              <w:spacing w:after="0"/>
              <w:rPr>
                <w:sz w:val="24"/>
                <w:szCs w:val="24"/>
                <w:color w:val="auto"/>
              </w:rPr>
            </w:pPr>
          </w:p>
        </w:tc>
        <w:tc>
          <w:tcPr>
            <w:tcW w:w="542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Director</w:t>
            </w:r>
          </w:p>
        </w:tc>
        <w:tc>
          <w:tcPr>
            <w:tcW w:w="190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August 22, 2012</w:t>
            </w:r>
          </w:p>
        </w:tc>
      </w:tr>
      <w:tr>
        <w:trPr>
          <w:trHeight w:val="217"/>
        </w:trPr>
        <w:tc>
          <w:tcPr>
            <w:tcW w:w="2120" w:type="dxa"/>
            <w:vAlign w:val="bottom"/>
            <w:gridSpan w:val="2"/>
          </w:tcPr>
          <w:p>
            <w:pPr>
              <w:ind w:left="100"/>
              <w:spacing w:after="0"/>
              <w:rPr>
                <w:sz w:val="20"/>
                <w:szCs w:val="20"/>
                <w:color w:val="auto"/>
              </w:rPr>
            </w:pPr>
            <w:r>
              <w:rPr>
                <w:rFonts w:ascii="Arial" w:cs="Arial" w:eastAsia="Arial" w:hAnsi="Arial"/>
                <w:sz w:val="18"/>
                <w:szCs w:val="18"/>
                <w:color w:val="auto"/>
              </w:rPr>
              <w:t>James A. Champy</w:t>
            </w:r>
          </w:p>
        </w:tc>
        <w:tc>
          <w:tcPr>
            <w:tcW w:w="1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38"/>
        </w:trPr>
        <w:tc>
          <w:tcPr>
            <w:tcW w:w="21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JOHN C. HODGSON</w:t>
            </w:r>
          </w:p>
        </w:tc>
        <w:tc>
          <w:tcPr>
            <w:tcW w:w="1540" w:type="dxa"/>
            <w:vAlign w:val="bottom"/>
            <w:tcBorders>
              <w:bottom w:val="single" w:sz="8" w:color="auto"/>
            </w:tcBorders>
          </w:tcPr>
          <w:p>
            <w:pPr>
              <w:spacing w:after="0"/>
              <w:rPr>
                <w:sz w:val="24"/>
                <w:szCs w:val="24"/>
                <w:color w:val="auto"/>
              </w:rPr>
            </w:pPr>
          </w:p>
        </w:tc>
        <w:tc>
          <w:tcPr>
            <w:tcW w:w="542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Director</w:t>
            </w:r>
          </w:p>
        </w:tc>
        <w:tc>
          <w:tcPr>
            <w:tcW w:w="190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August 22, 2012</w:t>
            </w:r>
          </w:p>
        </w:tc>
      </w:tr>
      <w:tr>
        <w:trPr>
          <w:trHeight w:val="217"/>
        </w:trPr>
        <w:tc>
          <w:tcPr>
            <w:tcW w:w="2120" w:type="dxa"/>
            <w:vAlign w:val="bottom"/>
            <w:gridSpan w:val="2"/>
          </w:tcPr>
          <w:p>
            <w:pPr>
              <w:ind w:left="100"/>
              <w:spacing w:after="0"/>
              <w:rPr>
                <w:sz w:val="20"/>
                <w:szCs w:val="20"/>
                <w:color w:val="auto"/>
              </w:rPr>
            </w:pPr>
            <w:r>
              <w:rPr>
                <w:rFonts w:ascii="Arial" w:cs="Arial" w:eastAsia="Arial" w:hAnsi="Arial"/>
                <w:sz w:val="18"/>
                <w:szCs w:val="18"/>
                <w:color w:val="auto"/>
              </w:rPr>
              <w:t>John C. Hodgson</w:t>
            </w:r>
          </w:p>
        </w:tc>
        <w:tc>
          <w:tcPr>
            <w:tcW w:w="1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38"/>
        </w:trPr>
        <w:tc>
          <w:tcPr>
            <w:tcW w:w="21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YVES-ANDRE ISTEL</w:t>
            </w:r>
          </w:p>
        </w:tc>
        <w:tc>
          <w:tcPr>
            <w:tcW w:w="1540" w:type="dxa"/>
            <w:vAlign w:val="bottom"/>
            <w:tcBorders>
              <w:bottom w:val="single" w:sz="8" w:color="auto"/>
            </w:tcBorders>
          </w:tcPr>
          <w:p>
            <w:pPr>
              <w:spacing w:after="0"/>
              <w:rPr>
                <w:sz w:val="24"/>
                <w:szCs w:val="24"/>
                <w:color w:val="auto"/>
              </w:rPr>
            </w:pPr>
          </w:p>
        </w:tc>
        <w:tc>
          <w:tcPr>
            <w:tcW w:w="542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Director</w:t>
            </w:r>
          </w:p>
        </w:tc>
        <w:tc>
          <w:tcPr>
            <w:tcW w:w="190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August 22, 2012</w:t>
            </w:r>
          </w:p>
        </w:tc>
      </w:tr>
      <w:tr>
        <w:trPr>
          <w:trHeight w:val="217"/>
        </w:trPr>
        <w:tc>
          <w:tcPr>
            <w:tcW w:w="2120" w:type="dxa"/>
            <w:vAlign w:val="bottom"/>
            <w:gridSpan w:val="2"/>
          </w:tcPr>
          <w:p>
            <w:pPr>
              <w:ind w:left="80"/>
              <w:spacing w:after="0"/>
              <w:rPr>
                <w:sz w:val="20"/>
                <w:szCs w:val="20"/>
                <w:color w:val="auto"/>
              </w:rPr>
            </w:pPr>
            <w:r>
              <w:rPr>
                <w:rFonts w:ascii="Arial" w:cs="Arial" w:eastAsia="Arial" w:hAnsi="Arial"/>
                <w:sz w:val="18"/>
                <w:szCs w:val="18"/>
                <w:color w:val="auto"/>
              </w:rPr>
              <w:t>Yves-Andre Istel</w:t>
            </w:r>
          </w:p>
        </w:tc>
        <w:tc>
          <w:tcPr>
            <w:tcW w:w="1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38"/>
        </w:trPr>
        <w:tc>
          <w:tcPr>
            <w:tcW w:w="21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NEIL NOVICH</w:t>
            </w:r>
          </w:p>
        </w:tc>
        <w:tc>
          <w:tcPr>
            <w:tcW w:w="1540" w:type="dxa"/>
            <w:vAlign w:val="bottom"/>
            <w:tcBorders>
              <w:bottom w:val="single" w:sz="8" w:color="auto"/>
            </w:tcBorders>
          </w:tcPr>
          <w:p>
            <w:pPr>
              <w:spacing w:after="0"/>
              <w:rPr>
                <w:sz w:val="24"/>
                <w:szCs w:val="24"/>
                <w:color w:val="auto"/>
              </w:rPr>
            </w:pPr>
          </w:p>
        </w:tc>
        <w:tc>
          <w:tcPr>
            <w:tcW w:w="5420" w:type="dxa"/>
            <w:vAlign w:val="bottom"/>
            <w:gridSpan w:val="3"/>
          </w:tcPr>
          <w:p>
            <w:pPr>
              <w:jc w:val="center"/>
              <w:ind w:left="234"/>
              <w:spacing w:after="0"/>
              <w:rPr>
                <w:sz w:val="20"/>
                <w:szCs w:val="20"/>
                <w:color w:val="auto"/>
              </w:rPr>
            </w:pPr>
            <w:r>
              <w:rPr>
                <w:rFonts w:ascii="Arial" w:cs="Arial" w:eastAsia="Arial" w:hAnsi="Arial"/>
                <w:sz w:val="18"/>
                <w:szCs w:val="18"/>
                <w:color w:val="auto"/>
                <w:w w:val="91"/>
              </w:rPr>
              <w:t>Director</w:t>
            </w:r>
          </w:p>
        </w:tc>
        <w:tc>
          <w:tcPr>
            <w:tcW w:w="1900" w:type="dxa"/>
            <w:vAlign w:val="bottom"/>
            <w:gridSpan w:val="3"/>
          </w:tcPr>
          <w:p>
            <w:pPr>
              <w:jc w:val="center"/>
              <w:ind w:left="652"/>
              <w:spacing w:after="0"/>
              <w:rPr>
                <w:sz w:val="20"/>
                <w:szCs w:val="20"/>
                <w:color w:val="auto"/>
              </w:rPr>
            </w:pPr>
            <w:r>
              <w:rPr>
                <w:rFonts w:ascii="Arial" w:cs="Arial" w:eastAsia="Arial" w:hAnsi="Arial"/>
                <w:sz w:val="18"/>
                <w:szCs w:val="18"/>
                <w:color w:val="auto"/>
                <w:w w:val="88"/>
              </w:rPr>
              <w:t>August 22, 2012</w:t>
            </w:r>
          </w:p>
        </w:tc>
      </w:tr>
      <w:tr>
        <w:trPr>
          <w:trHeight w:val="217"/>
        </w:trPr>
        <w:tc>
          <w:tcPr>
            <w:tcW w:w="2120" w:type="dxa"/>
            <w:vAlign w:val="bottom"/>
            <w:gridSpan w:val="2"/>
          </w:tcPr>
          <w:p>
            <w:pPr>
              <w:ind w:left="100"/>
              <w:spacing w:after="0"/>
              <w:rPr>
                <w:sz w:val="20"/>
                <w:szCs w:val="20"/>
                <w:color w:val="auto"/>
              </w:rPr>
            </w:pPr>
            <w:r>
              <w:rPr>
                <w:rFonts w:ascii="Arial" w:cs="Arial" w:eastAsia="Arial" w:hAnsi="Arial"/>
                <w:sz w:val="18"/>
                <w:szCs w:val="18"/>
                <w:color w:val="auto"/>
              </w:rPr>
              <w:t>Neil Novich</w:t>
            </w:r>
          </w:p>
        </w:tc>
        <w:tc>
          <w:tcPr>
            <w:tcW w:w="1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w w:val="83"/>
              </w:rPr>
              <w:t>Signature</w:t>
            </w:r>
          </w:p>
        </w:tc>
        <w:tc>
          <w:tcPr>
            <w:tcW w:w="1540" w:type="dxa"/>
            <w:vAlign w:val="bottom"/>
          </w:tcPr>
          <w:p>
            <w:pPr>
              <w:spacing w:after="0"/>
              <w:rPr>
                <w:sz w:val="14"/>
                <w:szCs w:val="14"/>
                <w:color w:val="auto"/>
              </w:rPr>
            </w:pPr>
          </w:p>
        </w:tc>
        <w:tc>
          <w:tcPr>
            <w:tcW w:w="4660" w:type="dxa"/>
            <w:vAlign w:val="bottom"/>
            <w:gridSpan w:val="3"/>
          </w:tcPr>
          <w:p>
            <w:pPr>
              <w:jc w:val="center"/>
              <w:ind w:left="996"/>
              <w:spacing w:after="0"/>
              <w:rPr>
                <w:sz w:val="20"/>
                <w:szCs w:val="20"/>
                <w:color w:val="auto"/>
              </w:rPr>
            </w:pPr>
            <w:r>
              <w:rPr>
                <w:rFonts w:ascii="Arial" w:cs="Arial" w:eastAsia="Arial" w:hAnsi="Arial"/>
                <w:sz w:val="14"/>
                <w:szCs w:val="14"/>
                <w:b w:val="1"/>
                <w:bCs w:val="1"/>
                <w:color w:val="auto"/>
                <w:w w:val="90"/>
              </w:rPr>
              <w:t>Title</w:t>
            </w:r>
          </w:p>
        </w:tc>
        <w:tc>
          <w:tcPr>
            <w:tcW w:w="1920" w:type="dxa"/>
            <w:vAlign w:val="bottom"/>
          </w:tcPr>
          <w:p>
            <w:pPr>
              <w:spacing w:after="0"/>
              <w:rPr>
                <w:sz w:val="14"/>
                <w:szCs w:val="14"/>
                <w:color w:val="auto"/>
              </w:rPr>
            </w:pPr>
          </w:p>
        </w:tc>
        <w:tc>
          <w:tcPr>
            <w:tcW w:w="7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25"/>
        </w:trPr>
        <w:tc>
          <w:tcPr>
            <w:tcW w:w="36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 F. GRANT SAVIERS</w:t>
            </w:r>
          </w:p>
        </w:tc>
        <w:tc>
          <w:tcPr>
            <w:tcW w:w="4660" w:type="dxa"/>
            <w:vAlign w:val="bottom"/>
            <w:gridSpan w:val="3"/>
          </w:tcPr>
          <w:p>
            <w:pPr>
              <w:jc w:val="center"/>
              <w:ind w:left="996"/>
              <w:spacing w:after="0"/>
              <w:rPr>
                <w:sz w:val="20"/>
                <w:szCs w:val="20"/>
                <w:color w:val="auto"/>
              </w:rPr>
            </w:pPr>
            <w:r>
              <w:rPr>
                <w:rFonts w:ascii="Arial" w:cs="Arial" w:eastAsia="Arial" w:hAnsi="Arial"/>
                <w:sz w:val="18"/>
                <w:szCs w:val="18"/>
                <w:color w:val="auto"/>
                <w:w w:val="91"/>
              </w:rPr>
              <w:t>Director</w:t>
            </w:r>
          </w:p>
        </w:tc>
        <w:tc>
          <w:tcPr>
            <w:tcW w:w="2660" w:type="dxa"/>
            <w:vAlign w:val="bottom"/>
            <w:gridSpan w:val="3"/>
          </w:tcPr>
          <w:p>
            <w:pPr>
              <w:jc w:val="center"/>
              <w:ind w:left="1412"/>
              <w:spacing w:after="0"/>
              <w:rPr>
                <w:sz w:val="20"/>
                <w:szCs w:val="20"/>
                <w:color w:val="auto"/>
              </w:rPr>
            </w:pPr>
            <w:r>
              <w:rPr>
                <w:rFonts w:ascii="Arial" w:cs="Arial" w:eastAsia="Arial" w:hAnsi="Arial"/>
                <w:sz w:val="18"/>
                <w:szCs w:val="18"/>
                <w:color w:val="auto"/>
                <w:w w:val="88"/>
              </w:rPr>
              <w:t>August 22, 2012</w:t>
            </w:r>
          </w:p>
        </w:tc>
      </w:tr>
      <w:tr>
        <w:trPr>
          <w:trHeight w:val="217"/>
        </w:trPr>
        <w:tc>
          <w:tcPr>
            <w:tcW w:w="3660" w:type="dxa"/>
            <w:vAlign w:val="bottom"/>
            <w:gridSpan w:val="3"/>
          </w:tcPr>
          <w:p>
            <w:pPr>
              <w:ind w:left="100"/>
              <w:spacing w:after="0"/>
              <w:rPr>
                <w:sz w:val="20"/>
                <w:szCs w:val="20"/>
                <w:color w:val="auto"/>
              </w:rPr>
            </w:pPr>
            <w:r>
              <w:rPr>
                <w:rFonts w:ascii="Arial" w:cs="Arial" w:eastAsia="Arial" w:hAnsi="Arial"/>
                <w:sz w:val="18"/>
                <w:szCs w:val="18"/>
                <w:color w:val="auto"/>
              </w:rPr>
              <w:t>F. Grant Saviers</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38"/>
        </w:trPr>
        <w:tc>
          <w:tcPr>
            <w:tcW w:w="36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 PAUL J. SEVERINO</w:t>
            </w:r>
          </w:p>
        </w:tc>
        <w:tc>
          <w:tcPr>
            <w:tcW w:w="4660" w:type="dxa"/>
            <w:vAlign w:val="bottom"/>
            <w:gridSpan w:val="3"/>
          </w:tcPr>
          <w:p>
            <w:pPr>
              <w:jc w:val="center"/>
              <w:ind w:left="996"/>
              <w:spacing w:after="0"/>
              <w:rPr>
                <w:sz w:val="20"/>
                <w:szCs w:val="20"/>
                <w:color w:val="auto"/>
              </w:rPr>
            </w:pPr>
            <w:r>
              <w:rPr>
                <w:rFonts w:ascii="Arial" w:cs="Arial" w:eastAsia="Arial" w:hAnsi="Arial"/>
                <w:sz w:val="18"/>
                <w:szCs w:val="18"/>
                <w:color w:val="auto"/>
                <w:w w:val="91"/>
              </w:rPr>
              <w:t>Director</w:t>
            </w:r>
          </w:p>
        </w:tc>
        <w:tc>
          <w:tcPr>
            <w:tcW w:w="2660" w:type="dxa"/>
            <w:vAlign w:val="bottom"/>
            <w:gridSpan w:val="3"/>
          </w:tcPr>
          <w:p>
            <w:pPr>
              <w:jc w:val="center"/>
              <w:ind w:left="1412"/>
              <w:spacing w:after="0"/>
              <w:rPr>
                <w:sz w:val="20"/>
                <w:szCs w:val="20"/>
                <w:color w:val="auto"/>
              </w:rPr>
            </w:pPr>
            <w:r>
              <w:rPr>
                <w:rFonts w:ascii="Arial" w:cs="Arial" w:eastAsia="Arial" w:hAnsi="Arial"/>
                <w:sz w:val="18"/>
                <w:szCs w:val="18"/>
                <w:color w:val="auto"/>
                <w:w w:val="88"/>
              </w:rPr>
              <w:t>August 22, 2012</w:t>
            </w:r>
          </w:p>
        </w:tc>
      </w:tr>
      <w:tr>
        <w:trPr>
          <w:trHeight w:val="217"/>
        </w:trPr>
        <w:tc>
          <w:tcPr>
            <w:tcW w:w="3660" w:type="dxa"/>
            <w:vAlign w:val="bottom"/>
            <w:gridSpan w:val="3"/>
          </w:tcPr>
          <w:p>
            <w:pPr>
              <w:ind w:left="100"/>
              <w:spacing w:after="0"/>
              <w:rPr>
                <w:sz w:val="20"/>
                <w:szCs w:val="20"/>
                <w:color w:val="auto"/>
              </w:rPr>
            </w:pPr>
            <w:r>
              <w:rPr>
                <w:rFonts w:ascii="Arial" w:cs="Arial" w:eastAsia="Arial" w:hAnsi="Arial"/>
                <w:sz w:val="18"/>
                <w:szCs w:val="18"/>
                <w:color w:val="auto"/>
              </w:rPr>
              <w:t>Paul J. Severino</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38"/>
        </w:trPr>
        <w:tc>
          <w:tcPr>
            <w:tcW w:w="36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 KENTON J. SICCHITANO</w:t>
            </w:r>
          </w:p>
        </w:tc>
        <w:tc>
          <w:tcPr>
            <w:tcW w:w="4660" w:type="dxa"/>
            <w:vAlign w:val="bottom"/>
            <w:gridSpan w:val="3"/>
          </w:tcPr>
          <w:p>
            <w:pPr>
              <w:jc w:val="center"/>
              <w:ind w:left="996"/>
              <w:spacing w:after="0"/>
              <w:rPr>
                <w:sz w:val="20"/>
                <w:szCs w:val="20"/>
                <w:color w:val="auto"/>
              </w:rPr>
            </w:pPr>
            <w:r>
              <w:rPr>
                <w:rFonts w:ascii="Arial" w:cs="Arial" w:eastAsia="Arial" w:hAnsi="Arial"/>
                <w:sz w:val="18"/>
                <w:szCs w:val="18"/>
                <w:color w:val="auto"/>
                <w:w w:val="91"/>
              </w:rPr>
              <w:t>Director</w:t>
            </w:r>
          </w:p>
        </w:tc>
        <w:tc>
          <w:tcPr>
            <w:tcW w:w="2660" w:type="dxa"/>
            <w:vAlign w:val="bottom"/>
            <w:gridSpan w:val="3"/>
          </w:tcPr>
          <w:p>
            <w:pPr>
              <w:jc w:val="center"/>
              <w:ind w:left="1412"/>
              <w:spacing w:after="0"/>
              <w:rPr>
                <w:sz w:val="20"/>
                <w:szCs w:val="20"/>
                <w:color w:val="auto"/>
              </w:rPr>
            </w:pPr>
            <w:r>
              <w:rPr>
                <w:rFonts w:ascii="Arial" w:cs="Arial" w:eastAsia="Arial" w:hAnsi="Arial"/>
                <w:sz w:val="18"/>
                <w:szCs w:val="18"/>
                <w:color w:val="auto"/>
                <w:w w:val="88"/>
              </w:rPr>
              <w:t>August 22, 2012</w:t>
            </w:r>
          </w:p>
        </w:tc>
      </w:tr>
      <w:tr>
        <w:trPr>
          <w:trHeight w:val="217"/>
        </w:trPr>
        <w:tc>
          <w:tcPr>
            <w:tcW w:w="3660" w:type="dxa"/>
            <w:vAlign w:val="bottom"/>
            <w:gridSpan w:val="3"/>
          </w:tcPr>
          <w:p>
            <w:pPr>
              <w:ind w:left="100"/>
              <w:spacing w:after="0"/>
              <w:rPr>
                <w:sz w:val="20"/>
                <w:szCs w:val="20"/>
                <w:color w:val="auto"/>
              </w:rPr>
            </w:pPr>
            <w:r>
              <w:rPr>
                <w:rFonts w:ascii="Arial" w:cs="Arial" w:eastAsia="Arial" w:hAnsi="Arial"/>
                <w:sz w:val="18"/>
                <w:szCs w:val="18"/>
                <w:color w:val="auto"/>
              </w:rPr>
              <w:t>Kenton J. Sicchitano</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38"/>
        </w:trPr>
        <w:tc>
          <w:tcPr>
            <w:tcW w:w="1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660" w:type="dxa"/>
            <w:vAlign w:val="bottom"/>
            <w:gridSpan w:val="3"/>
          </w:tcPr>
          <w:p>
            <w:pPr>
              <w:jc w:val="center"/>
              <w:ind w:left="996"/>
              <w:spacing w:after="0"/>
              <w:rPr>
                <w:sz w:val="20"/>
                <w:szCs w:val="20"/>
                <w:color w:val="auto"/>
              </w:rPr>
            </w:pPr>
            <w:r>
              <w:rPr>
                <w:rFonts w:ascii="Arial" w:cs="Arial" w:eastAsia="Arial" w:hAnsi="Arial"/>
                <w:sz w:val="18"/>
                <w:szCs w:val="18"/>
                <w:color w:val="auto"/>
                <w:w w:val="91"/>
              </w:rPr>
              <w:t>Director</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7"/>
        </w:trPr>
        <w:tc>
          <w:tcPr>
            <w:tcW w:w="3660" w:type="dxa"/>
            <w:vAlign w:val="bottom"/>
            <w:gridSpan w:val="3"/>
          </w:tcPr>
          <w:p>
            <w:pPr>
              <w:ind w:left="100"/>
              <w:spacing w:after="0"/>
              <w:rPr>
                <w:sz w:val="20"/>
                <w:szCs w:val="20"/>
                <w:color w:val="auto"/>
              </w:rPr>
            </w:pPr>
            <w:r>
              <w:rPr>
                <w:rFonts w:ascii="Arial" w:cs="Arial" w:eastAsia="Arial" w:hAnsi="Arial"/>
                <w:sz w:val="18"/>
                <w:szCs w:val="18"/>
                <w:color w:val="auto"/>
              </w:rPr>
              <w:t>Lisa Su</w:t>
            </w:r>
          </w:p>
        </w:tc>
        <w:tc>
          <w:tcPr>
            <w:tcW w:w="2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ectPr>
          <w:pgSz w:w="11900" w:h="16838" w:orient="portrait"/>
          <w:cols w:equalWidth="0" w:num="1">
            <w:col w:w="10980"/>
          </w:cols>
          <w:pgMar w:left="240" w:top="459" w:right="6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10840" w:type="dxa"/>
            <w:vAlign w:val="bottom"/>
            <w:gridSpan w:val="3"/>
          </w:tcPr>
          <w:p>
            <w:pPr>
              <w:ind w:left="452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61"/>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180" w:type="dxa"/>
            <w:vAlign w:val="bottom"/>
          </w:tcPr>
          <w:p>
            <w:pPr>
              <w:spacing w:after="0"/>
              <w:rPr>
                <w:sz w:val="14"/>
                <w:szCs w:val="14"/>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Description of Exhibit</w:t>
            </w:r>
          </w:p>
        </w:tc>
        <w:tc>
          <w:tcPr>
            <w:tcW w:w="4320" w:type="dxa"/>
            <w:vAlign w:val="bottom"/>
          </w:tcPr>
          <w:p>
            <w:pPr>
              <w:spacing w:after="0"/>
              <w:rPr>
                <w:sz w:val="14"/>
                <w:szCs w:val="14"/>
                <w:color w:val="auto"/>
              </w:rPr>
            </w:pPr>
          </w:p>
        </w:tc>
      </w:tr>
      <w:tr>
        <w:trPr>
          <w:trHeight w:val="316"/>
        </w:trPr>
        <w:tc>
          <w:tcPr>
            <w:tcW w:w="52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Form of Underwriting Agreement.</w:t>
            </w:r>
          </w:p>
        </w:tc>
      </w:tr>
      <w:tr>
        <w:trPr>
          <w:trHeight w:val="318"/>
        </w:trPr>
        <w:tc>
          <w:tcPr>
            <w:tcW w:w="520" w:type="dxa"/>
            <w:vAlign w:val="bottom"/>
          </w:tcPr>
          <w:p>
            <w:pPr>
              <w:jc w:val="right"/>
              <w:ind w:right="55"/>
              <w:spacing w:after="0"/>
              <w:rPr>
                <w:sz w:val="20"/>
                <w:szCs w:val="20"/>
                <w:color w:val="auto"/>
              </w:rPr>
            </w:pPr>
            <w:r>
              <w:rPr>
                <w:rFonts w:ascii="Arial" w:cs="Arial" w:eastAsia="Arial" w:hAnsi="Arial"/>
                <w:sz w:val="18"/>
                <w:szCs w:val="18"/>
                <w:color w:val="auto"/>
              </w:rPr>
              <w:t>3.1</w:t>
            </w:r>
            <w:r>
              <w:rPr>
                <w:rFonts w:ascii="Arial" w:cs="Arial" w:eastAsia="Arial" w:hAnsi="Arial"/>
                <w:sz w:val="11"/>
                <w:szCs w:val="11"/>
                <w:color w:val="auto"/>
              </w:rPr>
              <w:t>+</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w w:val="89"/>
              </w:rPr>
              <w:t>Restated Articles of Organization of the Company, as amended, filed as Exhibit 3.1 to the Company’s Quarterly Report on Form 10-Q for the</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fiscal quarter ended May 3, 2008 (File No. 001-07819), as filed with the SEC on May 20, 2008.</w:t>
            </w:r>
          </w:p>
        </w:tc>
      </w:tr>
      <w:tr>
        <w:trPr>
          <w:trHeight w:val="318"/>
        </w:trPr>
        <w:tc>
          <w:tcPr>
            <w:tcW w:w="520" w:type="dxa"/>
            <w:vAlign w:val="bottom"/>
          </w:tcPr>
          <w:p>
            <w:pPr>
              <w:jc w:val="right"/>
              <w:ind w:right="55"/>
              <w:spacing w:after="0"/>
              <w:rPr>
                <w:sz w:val="20"/>
                <w:szCs w:val="20"/>
                <w:color w:val="auto"/>
              </w:rPr>
            </w:pPr>
            <w:r>
              <w:rPr>
                <w:rFonts w:ascii="Arial" w:cs="Arial" w:eastAsia="Arial" w:hAnsi="Arial"/>
                <w:sz w:val="18"/>
                <w:szCs w:val="18"/>
                <w:color w:val="auto"/>
              </w:rPr>
              <w:t>3.2</w:t>
            </w:r>
            <w:r>
              <w:rPr>
                <w:rFonts w:ascii="Arial" w:cs="Arial" w:eastAsia="Arial" w:hAnsi="Arial"/>
                <w:sz w:val="11"/>
                <w:szCs w:val="11"/>
                <w:color w:val="auto"/>
              </w:rPr>
              <w:t>+</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w w:val="89"/>
              </w:rPr>
              <w:t>Amendment to Restated Articles of Organization of the Company, filed as Exhibit 3.1 to the Company’s Current Report on Form 8-K (File No.</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001-07819), as filed with the SEC on December 8, 2008.</w:t>
            </w:r>
          </w:p>
        </w:tc>
      </w:tr>
      <w:tr>
        <w:trPr>
          <w:trHeight w:val="318"/>
        </w:trPr>
        <w:tc>
          <w:tcPr>
            <w:tcW w:w="520" w:type="dxa"/>
            <w:vAlign w:val="bottom"/>
          </w:tcPr>
          <w:p>
            <w:pPr>
              <w:jc w:val="right"/>
              <w:ind w:right="55"/>
              <w:spacing w:after="0"/>
              <w:rPr>
                <w:sz w:val="20"/>
                <w:szCs w:val="20"/>
                <w:color w:val="auto"/>
              </w:rPr>
            </w:pPr>
            <w:r>
              <w:rPr>
                <w:rFonts w:ascii="Arial" w:cs="Arial" w:eastAsia="Arial" w:hAnsi="Arial"/>
                <w:sz w:val="18"/>
                <w:szCs w:val="18"/>
                <w:color w:val="auto"/>
              </w:rPr>
              <w:t>3.3</w:t>
            </w:r>
            <w:r>
              <w:rPr>
                <w:rFonts w:ascii="Arial" w:cs="Arial" w:eastAsia="Arial" w:hAnsi="Arial"/>
                <w:sz w:val="11"/>
                <w:szCs w:val="11"/>
                <w:color w:val="auto"/>
              </w:rPr>
              <w:t>+</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w w:val="89"/>
              </w:rPr>
              <w:t>Amended and Restated By-laws of the Company, filed as Exhibit 3.1 to the Company’s Current Report on Form 8-K (File No. 001-07819), as</w:t>
            </w:r>
          </w:p>
        </w:tc>
      </w:tr>
      <w:tr>
        <w:trPr>
          <w:trHeight w:val="222"/>
        </w:trPr>
        <w:tc>
          <w:tcPr>
            <w:tcW w:w="520" w:type="dxa"/>
            <w:vAlign w:val="bottom"/>
          </w:tcPr>
          <w:p>
            <w:pPr>
              <w:spacing w:after="0"/>
              <w:rPr>
                <w:sz w:val="19"/>
                <w:szCs w:val="19"/>
                <w:color w:val="auto"/>
              </w:rPr>
            </w:pP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filed with the SEC on January 28, 2010.</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4.1</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Form of Indenture, by and among the Company and The Bank of New York Mellon Trust Company, N.A. (as Trustee).</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rPr>
              <w:t>5.1</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Opinion of Wilmer Cutler Pickering Hale and Dorr LLP.</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12.1</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Computation of Consolidated Ratios of Earnings to Fixed Charges.</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23.1</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23.2</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Consent of Wilmer Cutler Pickering Hale and Dorr LLP (included in Exhibit 5.1).</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24.1</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Powers of Attorney (included on signature pages).</w:t>
            </w:r>
          </w:p>
        </w:tc>
      </w:tr>
      <w:tr>
        <w:trPr>
          <w:trHeight w:val="324"/>
        </w:trPr>
        <w:tc>
          <w:tcPr>
            <w:tcW w:w="520" w:type="dxa"/>
            <w:vAlign w:val="bottom"/>
          </w:tcPr>
          <w:p>
            <w:pPr>
              <w:jc w:val="right"/>
              <w:ind w:right="115"/>
              <w:spacing w:after="0"/>
              <w:rPr>
                <w:sz w:val="20"/>
                <w:szCs w:val="20"/>
                <w:color w:val="auto"/>
              </w:rPr>
            </w:pPr>
            <w:r>
              <w:rPr>
                <w:rFonts w:ascii="Arial" w:cs="Arial" w:eastAsia="Arial" w:hAnsi="Arial"/>
                <w:sz w:val="18"/>
                <w:szCs w:val="18"/>
                <w:color w:val="auto"/>
                <w:w w:val="85"/>
              </w:rPr>
              <w:t>25.1</w:t>
            </w:r>
          </w:p>
        </w:tc>
        <w:tc>
          <w:tcPr>
            <w:tcW w:w="10840" w:type="dxa"/>
            <w:vAlign w:val="bottom"/>
            <w:gridSpan w:val="3"/>
          </w:tcPr>
          <w:p>
            <w:pPr>
              <w:ind w:left="780"/>
              <w:spacing w:after="0"/>
              <w:rPr>
                <w:sz w:val="20"/>
                <w:szCs w:val="20"/>
                <w:color w:val="auto"/>
              </w:rPr>
            </w:pPr>
            <w:r>
              <w:rPr>
                <w:rFonts w:ascii="Arial" w:cs="Arial" w:eastAsia="Arial" w:hAnsi="Arial"/>
                <w:sz w:val="18"/>
                <w:szCs w:val="18"/>
                <w:color w:val="auto"/>
              </w:rPr>
              <w:t>Statement of Eligibility on Form T-1 of The Bank of New York Mellon Trust Company, N.A., Trustee.</w:t>
            </w:r>
          </w:p>
        </w:tc>
      </w:tr>
    </w:tbl>
    <w:p>
      <w:pPr>
        <w:spacing w:after="0" w:line="166"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22"/>
          <w:szCs w:val="22"/>
          <w:color w:val="auto"/>
          <w:vertAlign w:val="superscript"/>
        </w:rPr>
      </w:pPr>
      <w:r>
        <w:rPr>
          <w:rFonts w:ascii="Arial" w:cs="Arial" w:eastAsia="Arial" w:hAnsi="Arial"/>
          <w:sz w:val="18"/>
          <w:szCs w:val="18"/>
          <w:color w:val="auto"/>
        </w:rPr>
        <w:t>Previously filed with the SEC and incorporated herein by reference.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an amendment or as an exhibit to a report filed under the Exchange Act and incorporated herein by reference.</w:t>
      </w:r>
    </w:p>
    <w:p>
      <w:pPr>
        <w:sectPr>
          <w:pgSz w:w="11900" w:h="16838" w:orient="portrait"/>
          <w:cols w:equalWidth="0" w:num="1">
            <w:col w:w="11360"/>
          </w:cols>
          <w:pgMar w:left="240" w:top="459" w:right="2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580"/>
        <w:spacing w:after="0"/>
        <w:rPr>
          <w:sz w:val="20"/>
          <w:szCs w:val="20"/>
          <w:color w:val="auto"/>
        </w:rPr>
      </w:pPr>
      <w:r>
        <w:rPr>
          <w:rFonts w:ascii="Arial" w:cs="Arial" w:eastAsia="Arial" w:hAnsi="Arial"/>
          <w:sz w:val="22"/>
          <w:szCs w:val="22"/>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191135</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INDENTURE</w:t>
      </w:r>
    </w:p>
    <w:p>
      <w:pPr>
        <w:spacing w:after="0" w:line="152"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Dated as of [</w:t>
      </w:r>
      <w:r>
        <w:rPr>
          <w:rFonts w:ascii="Arial" w:cs="Arial" w:eastAsia="Arial" w:hAnsi="Arial"/>
          <w:sz w:val="22"/>
          <w:szCs w:val="22"/>
          <w:color w:val="auto"/>
        </w:rPr>
        <w:t>—</w:t>
      </w:r>
      <w:r>
        <w:rPr>
          <w:rFonts w:ascii="Arial" w:cs="Arial" w:eastAsia="Arial" w:hAnsi="Arial"/>
          <w:sz w:val="22"/>
          <w:szCs w:val="22"/>
          <w:b w:val="1"/>
          <w:bCs w:val="1"/>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200025</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The Bank of New York Mellon Trust Company, N.A.</w:t>
      </w:r>
    </w:p>
    <w:p>
      <w:pPr>
        <w:spacing w:after="0" w:line="193"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Trustee</w:t>
      </w:r>
    </w:p>
    <w:p>
      <w:pPr>
        <w:sectPr>
          <w:pgSz w:w="11900" w:h="16838" w:orient="portrait"/>
          <w:cols w:equalWidth="0" w:num="1">
            <w:col w:w="10220"/>
          </w:cols>
          <w:pgMar w:left="1440" w:top="125" w:right="239" w:bottom="1440" w:gutter="0" w:footer="0" w:header="0"/>
        </w:sectPr>
      </w:pPr>
    </w:p>
    <w:bookmarkStart w:id="32" w:name="page33"/>
    <w:bookmarkEnd w:id="3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4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22"/>
        </w:trPr>
        <w:tc>
          <w:tcPr>
            <w:tcW w:w="8880" w:type="dxa"/>
            <w:vAlign w:val="bottom"/>
            <w:gridSpan w:val="2"/>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2120" w:type="dxa"/>
            <w:vAlign w:val="bottom"/>
          </w:tcPr>
          <w:p>
            <w:pPr>
              <w:ind w:left="440"/>
              <w:spacing w:after="0"/>
              <w:rPr>
                <w:sz w:val="20"/>
                <w:szCs w:val="20"/>
                <w:color w:val="auto"/>
              </w:rPr>
            </w:pPr>
            <w:r>
              <w:rPr>
                <w:rFonts w:ascii="Arial" w:cs="Arial" w:eastAsia="Arial" w:hAnsi="Arial"/>
                <w:sz w:val="18"/>
                <w:szCs w:val="18"/>
                <w:color w:val="auto"/>
              </w:rPr>
              <w:t>Section 1.1</w:t>
            </w:r>
          </w:p>
        </w:tc>
        <w:tc>
          <w:tcPr>
            <w:tcW w:w="6760" w:type="dxa"/>
            <w:vAlign w:val="bottom"/>
          </w:tcPr>
          <w:p>
            <w:pPr>
              <w:ind w:left="20"/>
              <w:spacing w:after="0"/>
              <w:rPr>
                <w:sz w:val="20"/>
                <w:szCs w:val="20"/>
                <w:color w:val="auto"/>
              </w:rPr>
            </w:pPr>
            <w:r>
              <w:rPr>
                <w:rFonts w:ascii="Arial" w:cs="Arial" w:eastAsia="Arial" w:hAnsi="Arial"/>
                <w:sz w:val="18"/>
                <w:szCs w:val="18"/>
                <w:color w:val="auto"/>
              </w:rPr>
              <w:t>Definitions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1.2</w:t>
            </w:r>
          </w:p>
        </w:tc>
        <w:tc>
          <w:tcPr>
            <w:tcW w:w="6760" w:type="dxa"/>
            <w:vAlign w:val="bottom"/>
          </w:tcPr>
          <w:p>
            <w:pPr>
              <w:ind w:left="20"/>
              <w:spacing w:after="0"/>
              <w:rPr>
                <w:sz w:val="20"/>
                <w:szCs w:val="20"/>
                <w:color w:val="auto"/>
              </w:rPr>
            </w:pPr>
            <w:r>
              <w:rPr>
                <w:rFonts w:ascii="Arial" w:cs="Arial" w:eastAsia="Arial" w:hAnsi="Arial"/>
                <w:sz w:val="18"/>
                <w:szCs w:val="18"/>
                <w:color w:val="auto"/>
              </w:rPr>
              <w:t>Other Definitions</w:t>
            </w:r>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1.3</w:t>
            </w:r>
          </w:p>
        </w:tc>
        <w:tc>
          <w:tcPr>
            <w:tcW w:w="6760" w:type="dxa"/>
            <w:vAlign w:val="bottom"/>
          </w:tcPr>
          <w:p>
            <w:pPr>
              <w:ind w:left="20"/>
              <w:spacing w:after="0"/>
              <w:rPr>
                <w:sz w:val="20"/>
                <w:szCs w:val="20"/>
                <w:color w:val="auto"/>
              </w:rPr>
            </w:pPr>
            <w:r>
              <w:rPr>
                <w:rFonts w:ascii="Arial" w:cs="Arial" w:eastAsia="Arial" w:hAnsi="Arial"/>
                <w:sz w:val="18"/>
                <w:szCs w:val="18"/>
                <w:color w:val="auto"/>
              </w:rPr>
              <w:t>Incorporation by Reference of Trust Indenture Act</w:t>
            </w:r>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2120" w:type="dxa"/>
            <w:vAlign w:val="bottom"/>
          </w:tcPr>
          <w:p>
            <w:pPr>
              <w:ind w:left="440"/>
              <w:spacing w:after="0"/>
              <w:rPr>
                <w:sz w:val="20"/>
                <w:szCs w:val="20"/>
                <w:color w:val="auto"/>
              </w:rPr>
            </w:pPr>
            <w:r>
              <w:rPr>
                <w:rFonts w:ascii="Arial" w:cs="Arial" w:eastAsia="Arial" w:hAnsi="Arial"/>
                <w:sz w:val="18"/>
                <w:szCs w:val="18"/>
                <w:color w:val="auto"/>
              </w:rPr>
              <w:t>Section 1.4</w:t>
            </w:r>
          </w:p>
        </w:tc>
        <w:tc>
          <w:tcPr>
            <w:tcW w:w="6760" w:type="dxa"/>
            <w:vAlign w:val="bottom"/>
          </w:tcPr>
          <w:p>
            <w:pPr>
              <w:ind w:left="20"/>
              <w:spacing w:after="0"/>
              <w:rPr>
                <w:sz w:val="20"/>
                <w:szCs w:val="20"/>
                <w:color w:val="auto"/>
              </w:rPr>
            </w:pPr>
            <w:r>
              <w:rPr>
                <w:rFonts w:ascii="Arial" w:cs="Arial" w:eastAsia="Arial" w:hAnsi="Arial"/>
                <w:sz w:val="18"/>
                <w:szCs w:val="18"/>
                <w:color w:val="auto"/>
              </w:rPr>
              <w:t>Rules of Construction</w:t>
            </w:r>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88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2120" w:type="dxa"/>
            <w:vAlign w:val="bottom"/>
          </w:tcPr>
          <w:p>
            <w:pPr>
              <w:ind w:left="440"/>
              <w:spacing w:after="0"/>
              <w:rPr>
                <w:sz w:val="20"/>
                <w:szCs w:val="20"/>
                <w:color w:val="auto"/>
              </w:rPr>
            </w:pPr>
            <w:r>
              <w:rPr>
                <w:rFonts w:ascii="Arial" w:cs="Arial" w:eastAsia="Arial" w:hAnsi="Arial"/>
                <w:sz w:val="18"/>
                <w:szCs w:val="18"/>
                <w:color w:val="auto"/>
              </w:rPr>
              <w:t>Section 2.1</w:t>
            </w:r>
          </w:p>
        </w:tc>
        <w:tc>
          <w:tcPr>
            <w:tcW w:w="6760" w:type="dxa"/>
            <w:vAlign w:val="bottom"/>
          </w:tcPr>
          <w:p>
            <w:pPr>
              <w:ind w:left="20"/>
              <w:spacing w:after="0"/>
              <w:rPr>
                <w:sz w:val="20"/>
                <w:szCs w:val="20"/>
                <w:color w:val="auto"/>
              </w:rPr>
            </w:pPr>
            <w:r>
              <w:rPr>
                <w:rFonts w:ascii="Arial" w:cs="Arial" w:eastAsia="Arial" w:hAnsi="Arial"/>
                <w:sz w:val="18"/>
                <w:szCs w:val="18"/>
                <w:color w:val="auto"/>
              </w:rPr>
              <w:t>Issuable in Series</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2.2</w:t>
            </w:r>
          </w:p>
        </w:tc>
        <w:tc>
          <w:tcPr>
            <w:tcW w:w="6760" w:type="dxa"/>
            <w:vAlign w:val="bottom"/>
          </w:tcPr>
          <w:p>
            <w:pPr>
              <w:ind w:left="20"/>
              <w:spacing w:after="0"/>
              <w:rPr>
                <w:sz w:val="20"/>
                <w:szCs w:val="20"/>
                <w:color w:val="auto"/>
              </w:rPr>
            </w:pPr>
            <w:r>
              <w:rPr>
                <w:rFonts w:ascii="Arial" w:cs="Arial" w:eastAsia="Arial" w:hAnsi="Arial"/>
                <w:sz w:val="18"/>
                <w:szCs w:val="18"/>
                <w:color w:val="auto"/>
              </w:rPr>
              <w:t>Establishment of Terms of Series of Securities</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2.3</w:t>
            </w:r>
          </w:p>
        </w:tc>
        <w:tc>
          <w:tcPr>
            <w:tcW w:w="6760" w:type="dxa"/>
            <w:vAlign w:val="bottom"/>
          </w:tcPr>
          <w:p>
            <w:pPr>
              <w:ind w:left="20"/>
              <w:spacing w:after="0"/>
              <w:rPr>
                <w:sz w:val="20"/>
                <w:szCs w:val="20"/>
                <w:color w:val="auto"/>
              </w:rPr>
            </w:pPr>
            <w:r>
              <w:rPr>
                <w:rFonts w:ascii="Arial" w:cs="Arial" w:eastAsia="Arial" w:hAnsi="Arial"/>
                <w:sz w:val="18"/>
                <w:szCs w:val="18"/>
                <w:color w:val="auto"/>
              </w:rPr>
              <w:t>Execution and Authentication</w:t>
            </w:r>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2.4</w:t>
            </w:r>
          </w:p>
        </w:tc>
        <w:tc>
          <w:tcPr>
            <w:tcW w:w="6760" w:type="dxa"/>
            <w:vAlign w:val="bottom"/>
          </w:tcPr>
          <w:p>
            <w:pPr>
              <w:ind w:left="20"/>
              <w:spacing w:after="0"/>
              <w:rPr>
                <w:sz w:val="20"/>
                <w:szCs w:val="20"/>
                <w:color w:val="auto"/>
              </w:rPr>
            </w:pPr>
            <w:r>
              <w:rPr>
                <w:rFonts w:ascii="Arial" w:cs="Arial" w:eastAsia="Arial" w:hAnsi="Arial"/>
                <w:sz w:val="18"/>
                <w:szCs w:val="18"/>
                <w:color w:val="auto"/>
              </w:rPr>
              <w:t>Registrar and Paying Agent</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2.5</w:t>
            </w:r>
          </w:p>
        </w:tc>
        <w:tc>
          <w:tcPr>
            <w:tcW w:w="6760" w:type="dxa"/>
            <w:vAlign w:val="bottom"/>
          </w:tcPr>
          <w:p>
            <w:pPr>
              <w:ind w:left="20"/>
              <w:spacing w:after="0"/>
              <w:rPr>
                <w:sz w:val="20"/>
                <w:szCs w:val="20"/>
                <w:color w:val="auto"/>
              </w:rPr>
            </w:pPr>
            <w:r>
              <w:rPr>
                <w:rFonts w:ascii="Arial" w:cs="Arial" w:eastAsia="Arial" w:hAnsi="Arial"/>
                <w:sz w:val="18"/>
                <w:szCs w:val="18"/>
                <w:color w:val="auto"/>
              </w:rPr>
              <w:t>Paying Agent to Hold Money in Trust</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2.6</w:t>
            </w:r>
          </w:p>
        </w:tc>
        <w:tc>
          <w:tcPr>
            <w:tcW w:w="6760" w:type="dxa"/>
            <w:vAlign w:val="bottom"/>
          </w:tcPr>
          <w:p>
            <w:pPr>
              <w:ind w:left="20"/>
              <w:spacing w:after="0"/>
              <w:rPr>
                <w:sz w:val="20"/>
                <w:szCs w:val="20"/>
                <w:color w:val="auto"/>
              </w:rPr>
            </w:pPr>
            <w:r>
              <w:rPr>
                <w:rFonts w:ascii="Arial" w:cs="Arial" w:eastAsia="Arial" w:hAnsi="Arial"/>
                <w:sz w:val="18"/>
                <w:szCs w:val="18"/>
                <w:color w:val="auto"/>
              </w:rPr>
              <w:t>Securityholder Lists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2.7</w:t>
            </w:r>
          </w:p>
        </w:tc>
        <w:tc>
          <w:tcPr>
            <w:tcW w:w="6760" w:type="dxa"/>
            <w:vAlign w:val="bottom"/>
          </w:tcPr>
          <w:p>
            <w:pPr>
              <w:ind w:left="20"/>
              <w:spacing w:after="0"/>
              <w:rPr>
                <w:sz w:val="20"/>
                <w:szCs w:val="20"/>
                <w:color w:val="auto"/>
              </w:rPr>
            </w:pPr>
            <w:r>
              <w:rPr>
                <w:rFonts w:ascii="Arial" w:cs="Arial" w:eastAsia="Arial" w:hAnsi="Arial"/>
                <w:sz w:val="18"/>
                <w:szCs w:val="18"/>
                <w:color w:val="auto"/>
              </w:rPr>
              <w:t>Transfer and Exchange</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2.8</w:t>
            </w:r>
          </w:p>
        </w:tc>
        <w:tc>
          <w:tcPr>
            <w:tcW w:w="6760" w:type="dxa"/>
            <w:vAlign w:val="bottom"/>
          </w:tcPr>
          <w:p>
            <w:pPr>
              <w:ind w:left="20"/>
              <w:spacing w:after="0"/>
              <w:rPr>
                <w:sz w:val="20"/>
                <w:szCs w:val="20"/>
                <w:color w:val="auto"/>
              </w:rPr>
            </w:pPr>
            <w:r>
              <w:rPr>
                <w:rFonts w:ascii="Arial" w:cs="Arial" w:eastAsia="Arial" w:hAnsi="Arial"/>
                <w:sz w:val="18"/>
                <w:szCs w:val="18"/>
                <w:color w:val="auto"/>
              </w:rPr>
              <w:t>Mutilated, Destroyed, Lost and Stolen Securities</w:t>
            </w: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2.9</w:t>
            </w:r>
          </w:p>
        </w:tc>
        <w:tc>
          <w:tcPr>
            <w:tcW w:w="6760" w:type="dxa"/>
            <w:vAlign w:val="bottom"/>
          </w:tcPr>
          <w:p>
            <w:pPr>
              <w:ind w:left="20"/>
              <w:spacing w:after="0"/>
              <w:rPr>
                <w:sz w:val="20"/>
                <w:szCs w:val="20"/>
                <w:color w:val="auto"/>
              </w:rPr>
            </w:pPr>
            <w:r>
              <w:rPr>
                <w:rFonts w:ascii="Arial" w:cs="Arial" w:eastAsia="Arial" w:hAnsi="Arial"/>
                <w:sz w:val="18"/>
                <w:szCs w:val="18"/>
                <w:color w:val="auto"/>
              </w:rPr>
              <w:t>Outstanding Securities</w:t>
            </w:r>
          </w:p>
        </w:tc>
        <w:tc>
          <w:tcPr>
            <w:tcW w:w="2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2.10</w:t>
            </w:r>
          </w:p>
        </w:tc>
        <w:tc>
          <w:tcPr>
            <w:tcW w:w="676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2.11</w:t>
            </w:r>
          </w:p>
        </w:tc>
        <w:tc>
          <w:tcPr>
            <w:tcW w:w="6760" w:type="dxa"/>
            <w:vAlign w:val="bottom"/>
          </w:tcPr>
          <w:p>
            <w:pPr>
              <w:ind w:left="20"/>
              <w:spacing w:after="0"/>
              <w:rPr>
                <w:sz w:val="20"/>
                <w:szCs w:val="20"/>
                <w:color w:val="auto"/>
              </w:rPr>
            </w:pPr>
            <w:r>
              <w:rPr>
                <w:rFonts w:ascii="Arial" w:cs="Arial" w:eastAsia="Arial" w:hAnsi="Arial"/>
                <w:sz w:val="18"/>
                <w:szCs w:val="18"/>
                <w:color w:val="auto"/>
              </w:rPr>
              <w:t>Temporary Securities</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2.12</w:t>
            </w:r>
          </w:p>
        </w:tc>
        <w:tc>
          <w:tcPr>
            <w:tcW w:w="6760" w:type="dxa"/>
            <w:vAlign w:val="bottom"/>
          </w:tcPr>
          <w:p>
            <w:pPr>
              <w:ind w:left="20"/>
              <w:spacing w:after="0"/>
              <w:rPr>
                <w:sz w:val="20"/>
                <w:szCs w:val="20"/>
                <w:color w:val="auto"/>
              </w:rPr>
            </w:pPr>
            <w:r>
              <w:rPr>
                <w:rFonts w:ascii="Arial" w:cs="Arial" w:eastAsia="Arial" w:hAnsi="Arial"/>
                <w:sz w:val="18"/>
                <w:szCs w:val="18"/>
                <w:color w:val="auto"/>
              </w:rPr>
              <w:t>Cancellation</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2.13</w:t>
            </w:r>
          </w:p>
        </w:tc>
        <w:tc>
          <w:tcPr>
            <w:tcW w:w="6760" w:type="dxa"/>
            <w:vAlign w:val="bottom"/>
          </w:tcPr>
          <w:p>
            <w:pPr>
              <w:ind w:left="20"/>
              <w:spacing w:after="0"/>
              <w:rPr>
                <w:sz w:val="20"/>
                <w:szCs w:val="20"/>
                <w:color w:val="auto"/>
              </w:rPr>
            </w:pPr>
            <w:r>
              <w:rPr>
                <w:rFonts w:ascii="Arial" w:cs="Arial" w:eastAsia="Arial" w:hAnsi="Arial"/>
                <w:sz w:val="18"/>
                <w:szCs w:val="18"/>
                <w:color w:val="auto"/>
              </w:rPr>
              <w:t>Defaulted Interest</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2.14</w:t>
            </w:r>
          </w:p>
        </w:tc>
        <w:tc>
          <w:tcPr>
            <w:tcW w:w="6760" w:type="dxa"/>
            <w:vAlign w:val="bottom"/>
          </w:tcPr>
          <w:p>
            <w:pPr>
              <w:ind w:left="20"/>
              <w:spacing w:after="0"/>
              <w:rPr>
                <w:sz w:val="20"/>
                <w:szCs w:val="20"/>
                <w:color w:val="auto"/>
              </w:rPr>
            </w:pPr>
            <w:r>
              <w:rPr>
                <w:rFonts w:ascii="Arial" w:cs="Arial" w:eastAsia="Arial" w:hAnsi="Arial"/>
                <w:sz w:val="18"/>
                <w:szCs w:val="18"/>
                <w:color w:val="auto"/>
              </w:rPr>
              <w:t>Global Securities</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2120" w:type="dxa"/>
            <w:vAlign w:val="bottom"/>
          </w:tcPr>
          <w:p>
            <w:pPr>
              <w:ind w:left="440"/>
              <w:spacing w:after="0"/>
              <w:rPr>
                <w:sz w:val="20"/>
                <w:szCs w:val="20"/>
                <w:color w:val="auto"/>
              </w:rPr>
            </w:pPr>
            <w:r>
              <w:rPr>
                <w:rFonts w:ascii="Arial" w:cs="Arial" w:eastAsia="Arial" w:hAnsi="Arial"/>
                <w:sz w:val="18"/>
                <w:szCs w:val="18"/>
                <w:color w:val="auto"/>
              </w:rPr>
              <w:t>Section 2.15</w:t>
            </w:r>
          </w:p>
        </w:tc>
        <w:tc>
          <w:tcPr>
            <w:tcW w:w="6760" w:type="dxa"/>
            <w:vAlign w:val="bottom"/>
          </w:tcPr>
          <w:p>
            <w:pPr>
              <w:ind w:left="20"/>
              <w:spacing w:after="0"/>
              <w:rPr>
                <w:sz w:val="20"/>
                <w:szCs w:val="20"/>
                <w:color w:val="auto"/>
              </w:rPr>
            </w:pPr>
            <w:r>
              <w:rPr>
                <w:rFonts w:ascii="Arial" w:cs="Arial" w:eastAsia="Arial" w:hAnsi="Arial"/>
                <w:sz w:val="18"/>
                <w:szCs w:val="18"/>
                <w:color w:val="auto"/>
              </w:rPr>
              <w:t>CUSIP Numbers</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88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8"/>
        </w:trPr>
        <w:tc>
          <w:tcPr>
            <w:tcW w:w="2120" w:type="dxa"/>
            <w:vAlign w:val="bottom"/>
          </w:tcPr>
          <w:p>
            <w:pPr>
              <w:ind w:left="440"/>
              <w:spacing w:after="0"/>
              <w:rPr>
                <w:sz w:val="20"/>
                <w:szCs w:val="20"/>
                <w:color w:val="auto"/>
              </w:rPr>
            </w:pPr>
            <w:r>
              <w:rPr>
                <w:rFonts w:ascii="Arial" w:cs="Arial" w:eastAsia="Arial" w:hAnsi="Arial"/>
                <w:sz w:val="18"/>
                <w:szCs w:val="18"/>
                <w:color w:val="auto"/>
              </w:rPr>
              <w:t>Section 3.1</w:t>
            </w:r>
          </w:p>
        </w:tc>
        <w:tc>
          <w:tcPr>
            <w:tcW w:w="6760" w:type="dxa"/>
            <w:vAlign w:val="bottom"/>
          </w:tcPr>
          <w:p>
            <w:pPr>
              <w:ind w:left="20"/>
              <w:spacing w:after="0"/>
              <w:rPr>
                <w:sz w:val="20"/>
                <w:szCs w:val="20"/>
                <w:color w:val="auto"/>
              </w:rPr>
            </w:pPr>
            <w:r>
              <w:rPr>
                <w:rFonts w:ascii="Arial" w:cs="Arial" w:eastAsia="Arial" w:hAnsi="Arial"/>
                <w:sz w:val="18"/>
                <w:szCs w:val="18"/>
                <w:color w:val="auto"/>
              </w:rPr>
              <w:t>Notice to Trustee</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3.2</w:t>
            </w:r>
          </w:p>
        </w:tc>
        <w:tc>
          <w:tcPr>
            <w:tcW w:w="6760" w:type="dxa"/>
            <w:vAlign w:val="bottom"/>
          </w:tcPr>
          <w:p>
            <w:pPr>
              <w:ind w:left="20"/>
              <w:spacing w:after="0"/>
              <w:rPr>
                <w:sz w:val="20"/>
                <w:szCs w:val="20"/>
                <w:color w:val="auto"/>
              </w:rPr>
            </w:pPr>
            <w:r>
              <w:rPr>
                <w:rFonts w:ascii="Arial" w:cs="Arial" w:eastAsia="Arial" w:hAnsi="Arial"/>
                <w:sz w:val="18"/>
                <w:szCs w:val="18"/>
                <w:color w:val="auto"/>
              </w:rPr>
              <w:t>Selection of Securities to be Redeemed</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3.3</w:t>
            </w:r>
          </w:p>
        </w:tc>
        <w:tc>
          <w:tcPr>
            <w:tcW w:w="6760" w:type="dxa"/>
            <w:vAlign w:val="bottom"/>
          </w:tcPr>
          <w:p>
            <w:pPr>
              <w:ind w:left="20"/>
              <w:spacing w:after="0"/>
              <w:rPr>
                <w:sz w:val="20"/>
                <w:szCs w:val="20"/>
                <w:color w:val="auto"/>
              </w:rPr>
            </w:pPr>
            <w:r>
              <w:rPr>
                <w:rFonts w:ascii="Arial" w:cs="Arial" w:eastAsia="Arial" w:hAnsi="Arial"/>
                <w:sz w:val="18"/>
                <w:szCs w:val="18"/>
                <w:color w:val="auto"/>
              </w:rPr>
              <w:t>Notice of Redemption</w:t>
            </w:r>
          </w:p>
        </w:tc>
        <w:tc>
          <w:tcPr>
            <w:tcW w:w="2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3.4</w:t>
            </w:r>
          </w:p>
        </w:tc>
        <w:tc>
          <w:tcPr>
            <w:tcW w:w="6760" w:type="dxa"/>
            <w:vAlign w:val="bottom"/>
          </w:tcPr>
          <w:p>
            <w:pPr>
              <w:ind w:left="20"/>
              <w:spacing w:after="0"/>
              <w:rPr>
                <w:sz w:val="20"/>
                <w:szCs w:val="20"/>
                <w:color w:val="auto"/>
              </w:rPr>
            </w:pPr>
            <w:r>
              <w:rPr>
                <w:rFonts w:ascii="Arial" w:cs="Arial" w:eastAsia="Arial" w:hAnsi="Arial"/>
                <w:sz w:val="18"/>
                <w:szCs w:val="18"/>
                <w:color w:val="auto"/>
              </w:rPr>
              <w:t>Effect of Notice of Redemption</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3.5</w:t>
            </w:r>
          </w:p>
        </w:tc>
        <w:tc>
          <w:tcPr>
            <w:tcW w:w="6760" w:type="dxa"/>
            <w:vAlign w:val="bottom"/>
          </w:tcPr>
          <w:p>
            <w:pPr>
              <w:ind w:left="20"/>
              <w:spacing w:after="0"/>
              <w:rPr>
                <w:sz w:val="20"/>
                <w:szCs w:val="20"/>
                <w:color w:val="auto"/>
              </w:rPr>
            </w:pPr>
            <w:r>
              <w:rPr>
                <w:rFonts w:ascii="Arial" w:cs="Arial" w:eastAsia="Arial" w:hAnsi="Arial"/>
                <w:sz w:val="18"/>
                <w:szCs w:val="18"/>
                <w:color w:val="auto"/>
              </w:rPr>
              <w:t>Deposit of Redemption Price</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2120" w:type="dxa"/>
            <w:vAlign w:val="bottom"/>
          </w:tcPr>
          <w:p>
            <w:pPr>
              <w:ind w:left="440"/>
              <w:spacing w:after="0"/>
              <w:rPr>
                <w:sz w:val="20"/>
                <w:szCs w:val="20"/>
                <w:color w:val="auto"/>
              </w:rPr>
            </w:pPr>
            <w:r>
              <w:rPr>
                <w:rFonts w:ascii="Arial" w:cs="Arial" w:eastAsia="Arial" w:hAnsi="Arial"/>
                <w:sz w:val="18"/>
                <w:szCs w:val="18"/>
                <w:color w:val="auto"/>
              </w:rPr>
              <w:t>Section 3.6</w:t>
            </w:r>
          </w:p>
        </w:tc>
        <w:tc>
          <w:tcPr>
            <w:tcW w:w="6760" w:type="dxa"/>
            <w:vAlign w:val="bottom"/>
          </w:tcPr>
          <w:p>
            <w:pPr>
              <w:ind w:left="20"/>
              <w:spacing w:after="0"/>
              <w:rPr>
                <w:sz w:val="20"/>
                <w:szCs w:val="20"/>
                <w:color w:val="auto"/>
              </w:rPr>
            </w:pPr>
            <w:r>
              <w:rPr>
                <w:rFonts w:ascii="Arial" w:cs="Arial" w:eastAsia="Arial" w:hAnsi="Arial"/>
                <w:sz w:val="18"/>
                <w:szCs w:val="18"/>
                <w:color w:val="auto"/>
              </w:rPr>
              <w:t>Securities Redeemed in Part</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120" w:type="dxa"/>
            <w:vAlign w:val="bottom"/>
          </w:tcPr>
          <w:p>
            <w:pPr>
              <w:spacing w:after="0"/>
              <w:rPr>
                <w:sz w:val="20"/>
                <w:szCs w:val="20"/>
                <w:color w:val="auto"/>
              </w:rPr>
            </w:pPr>
            <w:r>
              <w:rPr>
                <w:rFonts w:ascii="Arial" w:cs="Arial" w:eastAsia="Arial" w:hAnsi="Arial"/>
                <w:sz w:val="18"/>
                <w:szCs w:val="18"/>
                <w:color w:val="auto"/>
                <w:w w:val="95"/>
              </w:rPr>
              <w:t>ARTICLE IV. COVENANTS</w:t>
            </w:r>
          </w:p>
        </w:tc>
        <w:tc>
          <w:tcPr>
            <w:tcW w:w="676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8"/>
        </w:trPr>
        <w:tc>
          <w:tcPr>
            <w:tcW w:w="2120" w:type="dxa"/>
            <w:vAlign w:val="bottom"/>
          </w:tcPr>
          <w:p>
            <w:pPr>
              <w:ind w:left="440"/>
              <w:spacing w:after="0"/>
              <w:rPr>
                <w:sz w:val="20"/>
                <w:szCs w:val="20"/>
                <w:color w:val="auto"/>
              </w:rPr>
            </w:pPr>
            <w:r>
              <w:rPr>
                <w:rFonts w:ascii="Arial" w:cs="Arial" w:eastAsia="Arial" w:hAnsi="Arial"/>
                <w:sz w:val="18"/>
                <w:szCs w:val="18"/>
                <w:color w:val="auto"/>
              </w:rPr>
              <w:t>Section 4.1</w:t>
            </w:r>
          </w:p>
        </w:tc>
        <w:tc>
          <w:tcPr>
            <w:tcW w:w="6760" w:type="dxa"/>
            <w:vAlign w:val="bottom"/>
          </w:tcPr>
          <w:p>
            <w:pPr>
              <w:ind w:left="20"/>
              <w:spacing w:after="0"/>
              <w:rPr>
                <w:sz w:val="20"/>
                <w:szCs w:val="20"/>
                <w:color w:val="auto"/>
              </w:rPr>
            </w:pPr>
            <w:r>
              <w:rPr>
                <w:rFonts w:ascii="Arial" w:cs="Arial" w:eastAsia="Arial" w:hAnsi="Arial"/>
                <w:sz w:val="18"/>
                <w:szCs w:val="18"/>
                <w:color w:val="auto"/>
              </w:rPr>
              <w:t>Payment of Principal and Interest</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4.2</w:t>
            </w:r>
          </w:p>
        </w:tc>
        <w:tc>
          <w:tcPr>
            <w:tcW w:w="6760" w:type="dxa"/>
            <w:vAlign w:val="bottom"/>
          </w:tcPr>
          <w:p>
            <w:pPr>
              <w:ind w:left="20"/>
              <w:spacing w:after="0"/>
              <w:rPr>
                <w:sz w:val="20"/>
                <w:szCs w:val="20"/>
                <w:color w:val="auto"/>
              </w:rPr>
            </w:pPr>
            <w:r>
              <w:rPr>
                <w:rFonts w:ascii="Arial" w:cs="Arial" w:eastAsia="Arial" w:hAnsi="Arial"/>
                <w:sz w:val="18"/>
                <w:szCs w:val="18"/>
                <w:color w:val="auto"/>
              </w:rPr>
              <w:t>SEC Reports</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4.3</w:t>
            </w:r>
          </w:p>
        </w:tc>
        <w:tc>
          <w:tcPr>
            <w:tcW w:w="6760" w:type="dxa"/>
            <w:vAlign w:val="bottom"/>
          </w:tcPr>
          <w:p>
            <w:pPr>
              <w:ind w:left="20"/>
              <w:spacing w:after="0"/>
              <w:rPr>
                <w:sz w:val="20"/>
                <w:szCs w:val="20"/>
                <w:color w:val="auto"/>
              </w:rPr>
            </w:pPr>
            <w:r>
              <w:rPr>
                <w:rFonts w:ascii="Arial" w:cs="Arial" w:eastAsia="Arial" w:hAnsi="Arial"/>
                <w:sz w:val="18"/>
                <w:szCs w:val="18"/>
                <w:color w:val="auto"/>
              </w:rPr>
              <w:t>Compliance Certificate</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4.4</w:t>
            </w:r>
          </w:p>
        </w:tc>
        <w:tc>
          <w:tcPr>
            <w:tcW w:w="6760" w:type="dxa"/>
            <w:vAlign w:val="bottom"/>
          </w:tcPr>
          <w:p>
            <w:pPr>
              <w:ind w:left="20"/>
              <w:spacing w:after="0"/>
              <w:rPr>
                <w:sz w:val="20"/>
                <w:szCs w:val="20"/>
                <w:color w:val="auto"/>
              </w:rPr>
            </w:pPr>
            <w:r>
              <w:rPr>
                <w:rFonts w:ascii="Arial" w:cs="Arial" w:eastAsia="Arial" w:hAnsi="Arial"/>
                <w:sz w:val="18"/>
                <w:szCs w:val="18"/>
                <w:color w:val="auto"/>
              </w:rPr>
              <w:t>Stay, Extension and Usury Laws</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2120" w:type="dxa"/>
            <w:vAlign w:val="bottom"/>
          </w:tcPr>
          <w:p>
            <w:pPr>
              <w:ind w:left="440"/>
              <w:spacing w:after="0"/>
              <w:rPr>
                <w:sz w:val="20"/>
                <w:szCs w:val="20"/>
                <w:color w:val="auto"/>
              </w:rPr>
            </w:pPr>
            <w:r>
              <w:rPr>
                <w:rFonts w:ascii="Arial" w:cs="Arial" w:eastAsia="Arial" w:hAnsi="Arial"/>
                <w:sz w:val="18"/>
                <w:szCs w:val="18"/>
                <w:color w:val="auto"/>
              </w:rPr>
              <w:t>Section 4.5</w:t>
            </w:r>
          </w:p>
        </w:tc>
        <w:tc>
          <w:tcPr>
            <w:tcW w:w="6760" w:type="dxa"/>
            <w:vAlign w:val="bottom"/>
          </w:tcPr>
          <w:p>
            <w:pPr>
              <w:ind w:left="20"/>
              <w:spacing w:after="0"/>
              <w:rPr>
                <w:sz w:val="20"/>
                <w:szCs w:val="20"/>
                <w:color w:val="auto"/>
              </w:rPr>
            </w:pPr>
            <w:r>
              <w:rPr>
                <w:rFonts w:ascii="Arial" w:cs="Arial" w:eastAsia="Arial" w:hAnsi="Arial"/>
                <w:sz w:val="18"/>
                <w:szCs w:val="18"/>
                <w:color w:val="auto"/>
              </w:rPr>
              <w:t>Corporate Existence</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120" w:type="dxa"/>
            <w:vAlign w:val="bottom"/>
          </w:tcPr>
          <w:p>
            <w:pPr>
              <w:spacing w:after="0"/>
              <w:rPr>
                <w:sz w:val="20"/>
                <w:szCs w:val="20"/>
                <w:color w:val="auto"/>
              </w:rPr>
            </w:pPr>
            <w:r>
              <w:rPr>
                <w:rFonts w:ascii="Arial" w:cs="Arial" w:eastAsia="Arial" w:hAnsi="Arial"/>
                <w:sz w:val="18"/>
                <w:szCs w:val="18"/>
                <w:color w:val="auto"/>
                <w:w w:val="91"/>
              </w:rPr>
              <w:t>ARTICLE V. SUCCESSORS</w:t>
            </w:r>
          </w:p>
        </w:tc>
        <w:tc>
          <w:tcPr>
            <w:tcW w:w="676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2120" w:type="dxa"/>
            <w:vAlign w:val="bottom"/>
          </w:tcPr>
          <w:p>
            <w:pPr>
              <w:ind w:left="440"/>
              <w:spacing w:after="0"/>
              <w:rPr>
                <w:sz w:val="20"/>
                <w:szCs w:val="20"/>
                <w:color w:val="auto"/>
              </w:rPr>
            </w:pPr>
            <w:r>
              <w:rPr>
                <w:rFonts w:ascii="Arial" w:cs="Arial" w:eastAsia="Arial" w:hAnsi="Arial"/>
                <w:sz w:val="18"/>
                <w:szCs w:val="18"/>
                <w:color w:val="auto"/>
              </w:rPr>
              <w:t>Section 5.1</w:t>
            </w:r>
          </w:p>
        </w:tc>
        <w:tc>
          <w:tcPr>
            <w:tcW w:w="6760" w:type="dxa"/>
            <w:vAlign w:val="bottom"/>
          </w:tcPr>
          <w:p>
            <w:pPr>
              <w:ind w:left="20"/>
              <w:spacing w:after="0"/>
              <w:rPr>
                <w:sz w:val="20"/>
                <w:szCs w:val="20"/>
                <w:color w:val="auto"/>
              </w:rPr>
            </w:pPr>
            <w:r>
              <w:rPr>
                <w:rFonts w:ascii="Arial" w:cs="Arial" w:eastAsia="Arial" w:hAnsi="Arial"/>
                <w:sz w:val="18"/>
                <w:szCs w:val="18"/>
                <w:color w:val="auto"/>
              </w:rPr>
              <w:t>Consolidation, Merger and Sale of Assets</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2120" w:type="dxa"/>
            <w:vAlign w:val="bottom"/>
          </w:tcPr>
          <w:p>
            <w:pPr>
              <w:ind w:left="440"/>
              <w:spacing w:after="0"/>
              <w:rPr>
                <w:sz w:val="20"/>
                <w:szCs w:val="20"/>
                <w:color w:val="auto"/>
              </w:rPr>
            </w:pPr>
            <w:r>
              <w:rPr>
                <w:rFonts w:ascii="Arial" w:cs="Arial" w:eastAsia="Arial" w:hAnsi="Arial"/>
                <w:sz w:val="18"/>
                <w:szCs w:val="18"/>
                <w:color w:val="auto"/>
              </w:rPr>
              <w:t>Section 5.2</w:t>
            </w:r>
          </w:p>
        </w:tc>
        <w:tc>
          <w:tcPr>
            <w:tcW w:w="6760" w:type="dxa"/>
            <w:vAlign w:val="bottom"/>
          </w:tcPr>
          <w:p>
            <w:pPr>
              <w:ind w:left="20"/>
              <w:spacing w:after="0"/>
              <w:rPr>
                <w:sz w:val="20"/>
                <w:szCs w:val="20"/>
                <w:color w:val="auto"/>
              </w:rPr>
            </w:pPr>
            <w:r>
              <w:rPr>
                <w:rFonts w:ascii="Arial" w:cs="Arial" w:eastAsia="Arial" w:hAnsi="Arial"/>
                <w:sz w:val="18"/>
                <w:szCs w:val="18"/>
                <w:color w:val="auto"/>
              </w:rPr>
              <w:t>Successor Corporation Substituted</w:t>
            </w:r>
          </w:p>
        </w:tc>
        <w:tc>
          <w:tcPr>
            <w:tcW w:w="2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88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2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2120" w:type="dxa"/>
            <w:vAlign w:val="bottom"/>
          </w:tcPr>
          <w:p>
            <w:pPr>
              <w:ind w:left="440"/>
              <w:spacing w:after="0"/>
              <w:rPr>
                <w:sz w:val="20"/>
                <w:szCs w:val="20"/>
                <w:color w:val="auto"/>
              </w:rPr>
            </w:pPr>
            <w:r>
              <w:rPr>
                <w:rFonts w:ascii="Arial" w:cs="Arial" w:eastAsia="Arial" w:hAnsi="Arial"/>
                <w:sz w:val="18"/>
                <w:szCs w:val="18"/>
                <w:color w:val="auto"/>
              </w:rPr>
              <w:t>Section 6.1</w:t>
            </w:r>
          </w:p>
        </w:tc>
        <w:tc>
          <w:tcPr>
            <w:tcW w:w="6760" w:type="dxa"/>
            <w:vAlign w:val="bottom"/>
          </w:tcPr>
          <w:p>
            <w:pPr>
              <w:ind w:left="20"/>
              <w:spacing w:after="0"/>
              <w:rPr>
                <w:sz w:val="20"/>
                <w:szCs w:val="20"/>
                <w:color w:val="auto"/>
              </w:rPr>
            </w:pPr>
            <w:r>
              <w:rPr>
                <w:rFonts w:ascii="Arial" w:cs="Arial" w:eastAsia="Arial" w:hAnsi="Arial"/>
                <w:sz w:val="18"/>
                <w:szCs w:val="18"/>
                <w:color w:val="auto"/>
              </w:rPr>
              <w:t>Events of Default</w:t>
            </w:r>
          </w:p>
        </w:tc>
        <w:tc>
          <w:tcPr>
            <w:tcW w:w="2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6.2</w:t>
            </w:r>
          </w:p>
        </w:tc>
        <w:tc>
          <w:tcPr>
            <w:tcW w:w="6760" w:type="dxa"/>
            <w:vAlign w:val="bottom"/>
          </w:tcPr>
          <w:p>
            <w:pPr>
              <w:ind w:left="20"/>
              <w:spacing w:after="0"/>
              <w:rPr>
                <w:sz w:val="20"/>
                <w:szCs w:val="20"/>
                <w:color w:val="auto"/>
              </w:rPr>
            </w:pPr>
            <w:r>
              <w:rPr>
                <w:rFonts w:ascii="Arial" w:cs="Arial" w:eastAsia="Arial" w:hAnsi="Arial"/>
                <w:sz w:val="18"/>
                <w:szCs w:val="18"/>
                <w:color w:val="auto"/>
              </w:rPr>
              <w:t>Acceleration of Maturity; Rescission and Annulment</w:t>
            </w:r>
          </w:p>
        </w:tc>
        <w:tc>
          <w:tcPr>
            <w:tcW w:w="2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6.3</w:t>
            </w:r>
          </w:p>
        </w:tc>
        <w:tc>
          <w:tcPr>
            <w:tcW w:w="6760" w:type="dxa"/>
            <w:vAlign w:val="bottom"/>
          </w:tcPr>
          <w:p>
            <w:pPr>
              <w:ind w:left="20"/>
              <w:spacing w:after="0"/>
              <w:rPr>
                <w:sz w:val="20"/>
                <w:szCs w:val="20"/>
                <w:color w:val="auto"/>
              </w:rPr>
            </w:pPr>
            <w:r>
              <w:rPr>
                <w:rFonts w:ascii="Arial" w:cs="Arial" w:eastAsia="Arial" w:hAnsi="Arial"/>
                <w:sz w:val="18"/>
                <w:szCs w:val="18"/>
                <w:color w:val="auto"/>
              </w:rPr>
              <w:t>Collection of Indebtedness and Suits for Enforcement by Trustee</w:t>
            </w:r>
          </w:p>
        </w:tc>
        <w:tc>
          <w:tcPr>
            <w:tcW w:w="2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120" w:type="dxa"/>
            <w:vAlign w:val="bottom"/>
          </w:tcPr>
          <w:p>
            <w:pPr>
              <w:ind w:left="440"/>
              <w:spacing w:after="0"/>
              <w:rPr>
                <w:sz w:val="20"/>
                <w:szCs w:val="20"/>
                <w:color w:val="auto"/>
              </w:rPr>
            </w:pPr>
            <w:r>
              <w:rPr>
                <w:rFonts w:ascii="Arial" w:cs="Arial" w:eastAsia="Arial" w:hAnsi="Arial"/>
                <w:sz w:val="18"/>
                <w:szCs w:val="18"/>
                <w:color w:val="auto"/>
              </w:rPr>
              <w:t>Section 6.4</w:t>
            </w:r>
          </w:p>
        </w:tc>
        <w:tc>
          <w:tcPr>
            <w:tcW w:w="6760" w:type="dxa"/>
            <w:vAlign w:val="bottom"/>
          </w:tcPr>
          <w:p>
            <w:pPr>
              <w:ind w:left="20"/>
              <w:spacing w:after="0"/>
              <w:rPr>
                <w:sz w:val="20"/>
                <w:szCs w:val="20"/>
                <w:color w:val="auto"/>
              </w:rPr>
            </w:pPr>
            <w:r>
              <w:rPr>
                <w:rFonts w:ascii="Arial" w:cs="Arial" w:eastAsia="Arial" w:hAnsi="Arial"/>
                <w:sz w:val="18"/>
                <w:szCs w:val="18"/>
                <w:color w:val="auto"/>
              </w:rPr>
              <w:t>Trustee May File Proofs of Claim</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2120" w:type="dxa"/>
            <w:vAlign w:val="bottom"/>
          </w:tcPr>
          <w:p>
            <w:pPr>
              <w:ind w:left="440"/>
              <w:spacing w:after="0"/>
              <w:rPr>
                <w:sz w:val="20"/>
                <w:szCs w:val="20"/>
                <w:color w:val="auto"/>
              </w:rPr>
            </w:pPr>
            <w:r>
              <w:rPr>
                <w:rFonts w:ascii="Arial" w:cs="Arial" w:eastAsia="Arial" w:hAnsi="Arial"/>
                <w:sz w:val="18"/>
                <w:szCs w:val="18"/>
                <w:color w:val="auto"/>
              </w:rPr>
              <w:t>Section 6.5</w:t>
            </w:r>
          </w:p>
        </w:tc>
        <w:tc>
          <w:tcPr>
            <w:tcW w:w="6760" w:type="dxa"/>
            <w:vAlign w:val="bottom"/>
          </w:tcPr>
          <w:p>
            <w:pPr>
              <w:ind w:left="20"/>
              <w:spacing w:after="0"/>
              <w:rPr>
                <w:sz w:val="20"/>
                <w:szCs w:val="20"/>
                <w:color w:val="auto"/>
              </w:rPr>
            </w:pPr>
            <w:r>
              <w:rPr>
                <w:rFonts w:ascii="Arial" w:cs="Arial" w:eastAsia="Arial" w:hAnsi="Arial"/>
                <w:sz w:val="18"/>
                <w:szCs w:val="18"/>
                <w:color w:val="auto"/>
              </w:rPr>
              <w:t>Trustee May Enforce Claims Without Possession of Securities</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320"/>
          </w:cols>
          <w:pgMar w:left="240" w:top="274"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6.6</w:t>
            </w:r>
          </w:p>
        </w:tc>
        <w:tc>
          <w:tcPr>
            <w:tcW w:w="6900" w:type="dxa"/>
            <w:vAlign w:val="bottom"/>
          </w:tcPr>
          <w:p>
            <w:pPr>
              <w:ind w:left="120"/>
              <w:spacing w:after="0"/>
              <w:rPr>
                <w:sz w:val="20"/>
                <w:szCs w:val="20"/>
                <w:color w:val="auto"/>
              </w:rPr>
            </w:pPr>
            <w:r>
              <w:rPr>
                <w:rFonts w:ascii="Arial" w:cs="Arial" w:eastAsia="Arial" w:hAnsi="Arial"/>
                <w:sz w:val="18"/>
                <w:szCs w:val="18"/>
                <w:color w:val="auto"/>
              </w:rPr>
              <w:t>Application of Money Collected</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6.7</w:t>
            </w:r>
          </w:p>
        </w:tc>
        <w:tc>
          <w:tcPr>
            <w:tcW w:w="6900" w:type="dxa"/>
            <w:vAlign w:val="bottom"/>
          </w:tcPr>
          <w:p>
            <w:pPr>
              <w:ind w:left="120"/>
              <w:spacing w:after="0"/>
              <w:rPr>
                <w:sz w:val="20"/>
                <w:szCs w:val="20"/>
                <w:color w:val="auto"/>
              </w:rPr>
            </w:pPr>
            <w:r>
              <w:rPr>
                <w:rFonts w:ascii="Arial" w:cs="Arial" w:eastAsia="Arial" w:hAnsi="Arial"/>
                <w:sz w:val="18"/>
                <w:szCs w:val="18"/>
                <w:color w:val="auto"/>
              </w:rPr>
              <w:t>Limitation on Suits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6.8</w:t>
            </w:r>
          </w:p>
        </w:tc>
        <w:tc>
          <w:tcPr>
            <w:tcW w:w="6900" w:type="dxa"/>
            <w:vAlign w:val="bottom"/>
          </w:tcPr>
          <w:p>
            <w:pPr>
              <w:ind w:left="120"/>
              <w:spacing w:after="0"/>
              <w:rPr>
                <w:sz w:val="20"/>
                <w:szCs w:val="20"/>
                <w:color w:val="auto"/>
              </w:rPr>
            </w:pPr>
            <w:r>
              <w:rPr>
                <w:rFonts w:ascii="Arial" w:cs="Arial" w:eastAsia="Arial" w:hAnsi="Arial"/>
                <w:sz w:val="18"/>
                <w:szCs w:val="18"/>
                <w:color w:val="auto"/>
              </w:rPr>
              <w:t>Unconditional Right of Holders to Receive Principal and Interest</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6.9</w:t>
            </w:r>
          </w:p>
        </w:tc>
        <w:tc>
          <w:tcPr>
            <w:tcW w:w="6900" w:type="dxa"/>
            <w:vAlign w:val="bottom"/>
          </w:tcPr>
          <w:p>
            <w:pPr>
              <w:ind w:left="120"/>
              <w:spacing w:after="0"/>
              <w:rPr>
                <w:sz w:val="20"/>
                <w:szCs w:val="20"/>
                <w:color w:val="auto"/>
              </w:rPr>
            </w:pPr>
            <w:r>
              <w:rPr>
                <w:rFonts w:ascii="Arial" w:cs="Arial" w:eastAsia="Arial" w:hAnsi="Arial"/>
                <w:sz w:val="18"/>
                <w:szCs w:val="18"/>
                <w:color w:val="auto"/>
              </w:rPr>
              <w:t>Restoration of Rights and Remedies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6.10</w:t>
            </w:r>
          </w:p>
        </w:tc>
        <w:tc>
          <w:tcPr>
            <w:tcW w:w="6900" w:type="dxa"/>
            <w:vAlign w:val="bottom"/>
          </w:tcPr>
          <w:p>
            <w:pPr>
              <w:ind w:left="120"/>
              <w:spacing w:after="0"/>
              <w:rPr>
                <w:sz w:val="20"/>
                <w:szCs w:val="20"/>
                <w:color w:val="auto"/>
              </w:rPr>
            </w:pPr>
            <w:r>
              <w:rPr>
                <w:rFonts w:ascii="Arial" w:cs="Arial" w:eastAsia="Arial" w:hAnsi="Arial"/>
                <w:sz w:val="18"/>
                <w:szCs w:val="18"/>
                <w:color w:val="auto"/>
              </w:rPr>
              <w:t>Rights and Remedies Cumulative</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6.11</w:t>
            </w:r>
          </w:p>
        </w:tc>
        <w:tc>
          <w:tcPr>
            <w:tcW w:w="6900" w:type="dxa"/>
            <w:vAlign w:val="bottom"/>
          </w:tcPr>
          <w:p>
            <w:pPr>
              <w:ind w:left="120"/>
              <w:spacing w:after="0"/>
              <w:rPr>
                <w:sz w:val="20"/>
                <w:szCs w:val="20"/>
                <w:color w:val="auto"/>
              </w:rPr>
            </w:pPr>
            <w:r>
              <w:rPr>
                <w:rFonts w:ascii="Arial" w:cs="Arial" w:eastAsia="Arial" w:hAnsi="Arial"/>
                <w:sz w:val="18"/>
                <w:szCs w:val="18"/>
                <w:color w:val="auto"/>
              </w:rPr>
              <w:t>Delay or Omission Not 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6.12</w:t>
            </w:r>
          </w:p>
        </w:tc>
        <w:tc>
          <w:tcPr>
            <w:tcW w:w="6900" w:type="dxa"/>
            <w:vAlign w:val="bottom"/>
          </w:tcPr>
          <w:p>
            <w:pPr>
              <w:ind w:left="120"/>
              <w:spacing w:after="0"/>
              <w:rPr>
                <w:sz w:val="20"/>
                <w:szCs w:val="20"/>
                <w:color w:val="auto"/>
              </w:rPr>
            </w:pPr>
            <w:r>
              <w:rPr>
                <w:rFonts w:ascii="Arial" w:cs="Arial" w:eastAsia="Arial" w:hAnsi="Arial"/>
                <w:sz w:val="18"/>
                <w:szCs w:val="18"/>
                <w:color w:val="auto"/>
              </w:rPr>
              <w:t>Control by 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6.13</w:t>
            </w:r>
          </w:p>
        </w:tc>
        <w:tc>
          <w:tcPr>
            <w:tcW w:w="6900" w:type="dxa"/>
            <w:vAlign w:val="bottom"/>
          </w:tcPr>
          <w:p>
            <w:pPr>
              <w:ind w:left="120"/>
              <w:spacing w:after="0"/>
              <w:rPr>
                <w:sz w:val="20"/>
                <w:szCs w:val="20"/>
                <w:color w:val="auto"/>
              </w:rPr>
            </w:pPr>
            <w:r>
              <w:rPr>
                <w:rFonts w:ascii="Arial" w:cs="Arial" w:eastAsia="Arial" w:hAnsi="Arial"/>
                <w:sz w:val="18"/>
                <w:szCs w:val="18"/>
                <w:color w:val="auto"/>
              </w:rPr>
              <w:t>Waiver of Past Defaults</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2020" w:type="dxa"/>
            <w:vAlign w:val="bottom"/>
          </w:tcPr>
          <w:p>
            <w:pPr>
              <w:ind w:left="440"/>
              <w:spacing w:after="0"/>
              <w:rPr>
                <w:sz w:val="20"/>
                <w:szCs w:val="20"/>
                <w:color w:val="auto"/>
              </w:rPr>
            </w:pPr>
            <w:r>
              <w:rPr>
                <w:rFonts w:ascii="Arial" w:cs="Arial" w:eastAsia="Arial" w:hAnsi="Arial"/>
                <w:sz w:val="18"/>
                <w:szCs w:val="18"/>
                <w:color w:val="auto"/>
              </w:rPr>
              <w:t>Section 6.14</w:t>
            </w:r>
          </w:p>
        </w:tc>
        <w:tc>
          <w:tcPr>
            <w:tcW w:w="6900" w:type="dxa"/>
            <w:vAlign w:val="bottom"/>
          </w:tcPr>
          <w:p>
            <w:pPr>
              <w:ind w:left="120"/>
              <w:spacing w:after="0"/>
              <w:rPr>
                <w:sz w:val="20"/>
                <w:szCs w:val="20"/>
                <w:color w:val="auto"/>
              </w:rPr>
            </w:pPr>
            <w:r>
              <w:rPr>
                <w:rFonts w:ascii="Arial" w:cs="Arial" w:eastAsia="Arial" w:hAnsi="Arial"/>
                <w:sz w:val="18"/>
                <w:szCs w:val="18"/>
                <w:color w:val="auto"/>
              </w:rPr>
              <w:t>Undertaking for Costs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020" w:type="dxa"/>
            <w:vAlign w:val="bottom"/>
          </w:tcPr>
          <w:p>
            <w:pPr>
              <w:spacing w:after="0"/>
              <w:rPr>
                <w:sz w:val="20"/>
                <w:szCs w:val="20"/>
                <w:color w:val="auto"/>
              </w:rPr>
            </w:pPr>
            <w:r>
              <w:rPr>
                <w:rFonts w:ascii="Arial" w:cs="Arial" w:eastAsia="Arial" w:hAnsi="Arial"/>
                <w:sz w:val="18"/>
                <w:szCs w:val="18"/>
                <w:color w:val="auto"/>
              </w:rPr>
              <w:t>ARTICLE VII. TRUSTEE</w:t>
            </w:r>
          </w:p>
        </w:tc>
        <w:tc>
          <w:tcPr>
            <w:tcW w:w="69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2020" w:type="dxa"/>
            <w:vAlign w:val="bottom"/>
          </w:tcPr>
          <w:p>
            <w:pPr>
              <w:ind w:left="440"/>
              <w:spacing w:after="0"/>
              <w:rPr>
                <w:sz w:val="20"/>
                <w:szCs w:val="20"/>
                <w:color w:val="auto"/>
              </w:rPr>
            </w:pPr>
            <w:r>
              <w:rPr>
                <w:rFonts w:ascii="Arial" w:cs="Arial" w:eastAsia="Arial" w:hAnsi="Arial"/>
                <w:sz w:val="18"/>
                <w:szCs w:val="18"/>
                <w:color w:val="auto"/>
              </w:rPr>
              <w:t>Section 7.1</w:t>
            </w:r>
          </w:p>
        </w:tc>
        <w:tc>
          <w:tcPr>
            <w:tcW w:w="6900" w:type="dxa"/>
            <w:vAlign w:val="bottom"/>
          </w:tcPr>
          <w:p>
            <w:pPr>
              <w:ind w:left="120"/>
              <w:spacing w:after="0"/>
              <w:rPr>
                <w:sz w:val="20"/>
                <w:szCs w:val="20"/>
                <w:color w:val="auto"/>
              </w:rPr>
            </w:pPr>
            <w:r>
              <w:rPr>
                <w:rFonts w:ascii="Arial" w:cs="Arial" w:eastAsia="Arial" w:hAnsi="Arial"/>
                <w:sz w:val="18"/>
                <w:szCs w:val="18"/>
                <w:color w:val="auto"/>
              </w:rPr>
              <w:t>Duties of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7.2</w:t>
            </w:r>
          </w:p>
        </w:tc>
        <w:tc>
          <w:tcPr>
            <w:tcW w:w="6900" w:type="dxa"/>
            <w:vAlign w:val="bottom"/>
          </w:tcPr>
          <w:p>
            <w:pPr>
              <w:ind w:left="120"/>
              <w:spacing w:after="0"/>
              <w:rPr>
                <w:sz w:val="20"/>
                <w:szCs w:val="20"/>
                <w:color w:val="auto"/>
              </w:rPr>
            </w:pPr>
            <w:r>
              <w:rPr>
                <w:rFonts w:ascii="Arial" w:cs="Arial" w:eastAsia="Arial" w:hAnsi="Arial"/>
                <w:sz w:val="18"/>
                <w:szCs w:val="18"/>
                <w:color w:val="auto"/>
              </w:rPr>
              <w:t>Rights of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7.3</w:t>
            </w:r>
          </w:p>
        </w:tc>
        <w:tc>
          <w:tcPr>
            <w:tcW w:w="6900" w:type="dxa"/>
            <w:vAlign w:val="bottom"/>
          </w:tcPr>
          <w:p>
            <w:pPr>
              <w:ind w:left="120"/>
              <w:spacing w:after="0"/>
              <w:rPr>
                <w:sz w:val="20"/>
                <w:szCs w:val="20"/>
                <w:color w:val="auto"/>
              </w:rPr>
            </w:pPr>
            <w:r>
              <w:rPr>
                <w:rFonts w:ascii="Arial" w:cs="Arial" w:eastAsia="Arial" w:hAnsi="Arial"/>
                <w:sz w:val="18"/>
                <w:szCs w:val="18"/>
                <w:color w:val="auto"/>
              </w:rPr>
              <w:t>Individual Rights of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7.4</w:t>
            </w:r>
          </w:p>
        </w:tc>
        <w:tc>
          <w:tcPr>
            <w:tcW w:w="6900" w:type="dxa"/>
            <w:vAlign w:val="bottom"/>
          </w:tcPr>
          <w:p>
            <w:pPr>
              <w:ind w:left="120"/>
              <w:spacing w:after="0"/>
              <w:rPr>
                <w:sz w:val="20"/>
                <w:szCs w:val="20"/>
                <w:color w:val="auto"/>
              </w:rPr>
            </w:pPr>
            <w:r>
              <w:rPr>
                <w:rFonts w:ascii="Arial" w:cs="Arial" w:eastAsia="Arial" w:hAnsi="Arial"/>
                <w:sz w:val="18"/>
                <w:szCs w:val="18"/>
                <w:color w:val="auto"/>
              </w:rPr>
              <w:t>Trustee’s Disclaimer</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7.5</w:t>
            </w:r>
          </w:p>
        </w:tc>
        <w:tc>
          <w:tcPr>
            <w:tcW w:w="6900" w:type="dxa"/>
            <w:vAlign w:val="bottom"/>
          </w:tcPr>
          <w:p>
            <w:pPr>
              <w:ind w:left="120"/>
              <w:spacing w:after="0"/>
              <w:rPr>
                <w:sz w:val="20"/>
                <w:szCs w:val="20"/>
                <w:color w:val="auto"/>
              </w:rPr>
            </w:pPr>
            <w:r>
              <w:rPr>
                <w:rFonts w:ascii="Arial" w:cs="Arial" w:eastAsia="Arial" w:hAnsi="Arial"/>
                <w:sz w:val="18"/>
                <w:szCs w:val="18"/>
                <w:color w:val="auto"/>
              </w:rPr>
              <w:t>Notice of Defaults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7.6</w:t>
            </w:r>
          </w:p>
        </w:tc>
        <w:tc>
          <w:tcPr>
            <w:tcW w:w="6900" w:type="dxa"/>
            <w:vAlign w:val="bottom"/>
          </w:tcPr>
          <w:p>
            <w:pPr>
              <w:ind w:left="120"/>
              <w:spacing w:after="0"/>
              <w:rPr>
                <w:sz w:val="20"/>
                <w:szCs w:val="20"/>
                <w:color w:val="auto"/>
              </w:rPr>
            </w:pPr>
            <w:r>
              <w:rPr>
                <w:rFonts w:ascii="Arial" w:cs="Arial" w:eastAsia="Arial" w:hAnsi="Arial"/>
                <w:sz w:val="18"/>
                <w:szCs w:val="18"/>
                <w:color w:val="auto"/>
              </w:rPr>
              <w:t>Reports by Trustee to 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7.7</w:t>
            </w:r>
          </w:p>
        </w:tc>
        <w:tc>
          <w:tcPr>
            <w:tcW w:w="6900" w:type="dxa"/>
            <w:vAlign w:val="bottom"/>
          </w:tcPr>
          <w:p>
            <w:pPr>
              <w:ind w:left="120"/>
              <w:spacing w:after="0"/>
              <w:rPr>
                <w:sz w:val="20"/>
                <w:szCs w:val="20"/>
                <w:color w:val="auto"/>
              </w:rPr>
            </w:pPr>
            <w:r>
              <w:rPr>
                <w:rFonts w:ascii="Arial" w:cs="Arial" w:eastAsia="Arial" w:hAnsi="Arial"/>
                <w:sz w:val="18"/>
                <w:szCs w:val="18"/>
                <w:color w:val="auto"/>
              </w:rPr>
              <w:t>Compensation and Indemnity</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7.8</w:t>
            </w:r>
          </w:p>
        </w:tc>
        <w:tc>
          <w:tcPr>
            <w:tcW w:w="6900" w:type="dxa"/>
            <w:vAlign w:val="bottom"/>
          </w:tcPr>
          <w:p>
            <w:pPr>
              <w:ind w:left="120"/>
              <w:spacing w:after="0"/>
              <w:rPr>
                <w:sz w:val="20"/>
                <w:szCs w:val="20"/>
                <w:color w:val="auto"/>
              </w:rPr>
            </w:pPr>
            <w:r>
              <w:rPr>
                <w:rFonts w:ascii="Arial" w:cs="Arial" w:eastAsia="Arial" w:hAnsi="Arial"/>
                <w:sz w:val="18"/>
                <w:szCs w:val="18"/>
                <w:color w:val="auto"/>
              </w:rPr>
              <w:t>Replacement of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7.9</w:t>
            </w:r>
          </w:p>
        </w:tc>
        <w:tc>
          <w:tcPr>
            <w:tcW w:w="6900" w:type="dxa"/>
            <w:vAlign w:val="bottom"/>
          </w:tcPr>
          <w:p>
            <w:pPr>
              <w:ind w:left="120"/>
              <w:spacing w:after="0"/>
              <w:rPr>
                <w:sz w:val="20"/>
                <w:szCs w:val="20"/>
                <w:color w:val="auto"/>
              </w:rPr>
            </w:pPr>
            <w:r>
              <w:rPr>
                <w:rFonts w:ascii="Arial" w:cs="Arial" w:eastAsia="Arial" w:hAnsi="Arial"/>
                <w:sz w:val="18"/>
                <w:szCs w:val="18"/>
                <w:color w:val="auto"/>
              </w:rPr>
              <w:t>Successor Trustee by Merger, etc.</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7.10</w:t>
            </w:r>
          </w:p>
        </w:tc>
        <w:tc>
          <w:tcPr>
            <w:tcW w:w="6900" w:type="dxa"/>
            <w:vAlign w:val="bottom"/>
          </w:tcPr>
          <w:p>
            <w:pPr>
              <w:ind w:left="120"/>
              <w:spacing w:after="0"/>
              <w:rPr>
                <w:sz w:val="20"/>
                <w:szCs w:val="20"/>
                <w:color w:val="auto"/>
              </w:rPr>
            </w:pPr>
            <w:r>
              <w:rPr>
                <w:rFonts w:ascii="Arial" w:cs="Arial" w:eastAsia="Arial" w:hAnsi="Arial"/>
                <w:sz w:val="18"/>
                <w:szCs w:val="18"/>
                <w:color w:val="auto"/>
              </w:rPr>
              <w:t>Eligibility; Disqualification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2"/>
        </w:trPr>
        <w:tc>
          <w:tcPr>
            <w:tcW w:w="2020" w:type="dxa"/>
            <w:vAlign w:val="bottom"/>
          </w:tcPr>
          <w:p>
            <w:pPr>
              <w:ind w:left="440"/>
              <w:spacing w:after="0"/>
              <w:rPr>
                <w:sz w:val="20"/>
                <w:szCs w:val="20"/>
                <w:color w:val="auto"/>
              </w:rPr>
            </w:pPr>
            <w:r>
              <w:rPr>
                <w:rFonts w:ascii="Arial" w:cs="Arial" w:eastAsia="Arial" w:hAnsi="Arial"/>
                <w:sz w:val="18"/>
                <w:szCs w:val="18"/>
                <w:color w:val="auto"/>
              </w:rPr>
              <w:t>Section 7.11</w:t>
            </w:r>
          </w:p>
        </w:tc>
        <w:tc>
          <w:tcPr>
            <w:tcW w:w="6900" w:type="dxa"/>
            <w:vAlign w:val="bottom"/>
          </w:tcPr>
          <w:p>
            <w:pPr>
              <w:ind w:left="120"/>
              <w:spacing w:after="0"/>
              <w:rPr>
                <w:sz w:val="20"/>
                <w:szCs w:val="20"/>
                <w:color w:val="auto"/>
              </w:rPr>
            </w:pPr>
            <w:r>
              <w:rPr>
                <w:rFonts w:ascii="Arial" w:cs="Arial" w:eastAsia="Arial" w:hAnsi="Arial"/>
                <w:sz w:val="18"/>
                <w:szCs w:val="18"/>
                <w:color w:val="auto"/>
              </w:rPr>
              <w:t>Preferential Collection of Claims Against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VIII. SATISFACTION AND DISCHARGE; DEFEASANCE</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8"/>
        </w:trPr>
        <w:tc>
          <w:tcPr>
            <w:tcW w:w="2020" w:type="dxa"/>
            <w:vAlign w:val="bottom"/>
          </w:tcPr>
          <w:p>
            <w:pPr>
              <w:ind w:left="440"/>
              <w:spacing w:after="0"/>
              <w:rPr>
                <w:sz w:val="20"/>
                <w:szCs w:val="20"/>
                <w:color w:val="auto"/>
              </w:rPr>
            </w:pPr>
            <w:r>
              <w:rPr>
                <w:rFonts w:ascii="Arial" w:cs="Arial" w:eastAsia="Arial" w:hAnsi="Arial"/>
                <w:sz w:val="18"/>
                <w:szCs w:val="18"/>
                <w:color w:val="auto"/>
              </w:rPr>
              <w:t>Section 8.1</w:t>
            </w:r>
          </w:p>
        </w:tc>
        <w:tc>
          <w:tcPr>
            <w:tcW w:w="6900" w:type="dxa"/>
            <w:vAlign w:val="bottom"/>
          </w:tcPr>
          <w:p>
            <w:pPr>
              <w:ind w:left="120"/>
              <w:spacing w:after="0"/>
              <w:rPr>
                <w:sz w:val="20"/>
                <w:szCs w:val="20"/>
                <w:color w:val="auto"/>
              </w:rPr>
            </w:pPr>
            <w:r>
              <w:rPr>
                <w:rFonts w:ascii="Arial" w:cs="Arial" w:eastAsia="Arial" w:hAnsi="Arial"/>
                <w:sz w:val="18"/>
                <w:szCs w:val="18"/>
                <w:color w:val="auto"/>
              </w:rPr>
              <w:t>Satisfaction and Discharge of Indenture</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8.2</w:t>
            </w:r>
          </w:p>
        </w:tc>
        <w:tc>
          <w:tcPr>
            <w:tcW w:w="6900" w:type="dxa"/>
            <w:vAlign w:val="bottom"/>
          </w:tcPr>
          <w:p>
            <w:pPr>
              <w:ind w:left="120"/>
              <w:spacing w:after="0"/>
              <w:rPr>
                <w:sz w:val="20"/>
                <w:szCs w:val="20"/>
                <w:color w:val="auto"/>
              </w:rPr>
            </w:pPr>
            <w:r>
              <w:rPr>
                <w:rFonts w:ascii="Arial" w:cs="Arial" w:eastAsia="Arial" w:hAnsi="Arial"/>
                <w:sz w:val="18"/>
                <w:szCs w:val="18"/>
                <w:color w:val="auto"/>
              </w:rPr>
              <w:t>Application of Trust Funds; 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8.3</w:t>
            </w:r>
          </w:p>
        </w:tc>
        <w:tc>
          <w:tcPr>
            <w:tcW w:w="6900" w:type="dxa"/>
            <w:vAlign w:val="bottom"/>
          </w:tcPr>
          <w:p>
            <w:pPr>
              <w:ind w:left="120"/>
              <w:spacing w:after="0"/>
              <w:rPr>
                <w:sz w:val="20"/>
                <w:szCs w:val="20"/>
                <w:color w:val="auto"/>
              </w:rPr>
            </w:pPr>
            <w:r>
              <w:rPr>
                <w:rFonts w:ascii="Arial" w:cs="Arial" w:eastAsia="Arial" w:hAnsi="Arial"/>
                <w:sz w:val="18"/>
                <w:szCs w:val="18"/>
                <w:color w:val="auto"/>
              </w:rPr>
              <w:t>Legal Defeasance of Securities of any Series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8.4</w:t>
            </w:r>
          </w:p>
        </w:tc>
        <w:tc>
          <w:tcPr>
            <w:tcW w:w="6900" w:type="dxa"/>
            <w:vAlign w:val="bottom"/>
          </w:tcPr>
          <w:p>
            <w:pPr>
              <w:ind w:left="120"/>
              <w:spacing w:after="0"/>
              <w:rPr>
                <w:sz w:val="20"/>
                <w:szCs w:val="20"/>
                <w:color w:val="auto"/>
              </w:rPr>
            </w:pPr>
            <w:r>
              <w:rPr>
                <w:rFonts w:ascii="Arial" w:cs="Arial" w:eastAsia="Arial" w:hAnsi="Arial"/>
                <w:sz w:val="18"/>
                <w:szCs w:val="18"/>
                <w:color w:val="auto"/>
              </w:rPr>
              <w:t>Covenant Defeasance</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8.5</w:t>
            </w:r>
          </w:p>
        </w:tc>
        <w:tc>
          <w:tcPr>
            <w:tcW w:w="6900" w:type="dxa"/>
            <w:vAlign w:val="bottom"/>
          </w:tcPr>
          <w:p>
            <w:pPr>
              <w:ind w:left="120"/>
              <w:spacing w:after="0"/>
              <w:rPr>
                <w:sz w:val="20"/>
                <w:szCs w:val="20"/>
                <w:color w:val="auto"/>
              </w:rPr>
            </w:pPr>
            <w:r>
              <w:rPr>
                <w:rFonts w:ascii="Arial" w:cs="Arial" w:eastAsia="Arial" w:hAnsi="Arial"/>
                <w:sz w:val="18"/>
                <w:szCs w:val="18"/>
                <w:color w:val="auto"/>
              </w:rPr>
              <w:t>Repayment to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2"/>
        </w:trPr>
        <w:tc>
          <w:tcPr>
            <w:tcW w:w="2020" w:type="dxa"/>
            <w:vAlign w:val="bottom"/>
          </w:tcPr>
          <w:p>
            <w:pPr>
              <w:ind w:left="440"/>
              <w:spacing w:after="0"/>
              <w:rPr>
                <w:sz w:val="20"/>
                <w:szCs w:val="20"/>
                <w:color w:val="auto"/>
              </w:rPr>
            </w:pPr>
            <w:r>
              <w:rPr>
                <w:rFonts w:ascii="Arial" w:cs="Arial" w:eastAsia="Arial" w:hAnsi="Arial"/>
                <w:sz w:val="18"/>
                <w:szCs w:val="18"/>
                <w:color w:val="auto"/>
              </w:rPr>
              <w:t>Section 8.6</w:t>
            </w:r>
          </w:p>
        </w:tc>
        <w:tc>
          <w:tcPr>
            <w:tcW w:w="6900" w:type="dxa"/>
            <w:vAlign w:val="bottom"/>
          </w:tcPr>
          <w:p>
            <w:pPr>
              <w:ind w:left="120"/>
              <w:spacing w:after="0"/>
              <w:rPr>
                <w:sz w:val="20"/>
                <w:szCs w:val="20"/>
                <w:color w:val="auto"/>
              </w:rPr>
            </w:pPr>
            <w:r>
              <w:rPr>
                <w:rFonts w:ascii="Arial" w:cs="Arial" w:eastAsia="Arial" w:hAnsi="Arial"/>
                <w:sz w:val="18"/>
                <w:szCs w:val="18"/>
                <w:color w:val="auto"/>
              </w:rPr>
              <w:t>Reinstatement</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8"/>
        </w:trPr>
        <w:tc>
          <w:tcPr>
            <w:tcW w:w="2020" w:type="dxa"/>
            <w:vAlign w:val="bottom"/>
          </w:tcPr>
          <w:p>
            <w:pPr>
              <w:ind w:left="440"/>
              <w:spacing w:after="0"/>
              <w:rPr>
                <w:sz w:val="20"/>
                <w:szCs w:val="20"/>
                <w:color w:val="auto"/>
              </w:rPr>
            </w:pPr>
            <w:r>
              <w:rPr>
                <w:rFonts w:ascii="Arial" w:cs="Arial" w:eastAsia="Arial" w:hAnsi="Arial"/>
                <w:sz w:val="18"/>
                <w:szCs w:val="18"/>
                <w:color w:val="auto"/>
              </w:rPr>
              <w:t>Section 9.1</w:t>
            </w:r>
          </w:p>
        </w:tc>
        <w:tc>
          <w:tcPr>
            <w:tcW w:w="6900" w:type="dxa"/>
            <w:vAlign w:val="bottom"/>
          </w:tcPr>
          <w:p>
            <w:pPr>
              <w:ind w:left="120"/>
              <w:spacing w:after="0"/>
              <w:rPr>
                <w:sz w:val="20"/>
                <w:szCs w:val="20"/>
                <w:color w:val="auto"/>
              </w:rPr>
            </w:pPr>
            <w:r>
              <w:rPr>
                <w:rFonts w:ascii="Arial" w:cs="Arial" w:eastAsia="Arial" w:hAnsi="Arial"/>
                <w:sz w:val="18"/>
                <w:szCs w:val="18"/>
                <w:color w:val="auto"/>
              </w:rPr>
              <w:t>Without Consent of 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9.2</w:t>
            </w:r>
          </w:p>
        </w:tc>
        <w:tc>
          <w:tcPr>
            <w:tcW w:w="6900" w:type="dxa"/>
            <w:vAlign w:val="bottom"/>
          </w:tcPr>
          <w:p>
            <w:pPr>
              <w:ind w:left="120"/>
              <w:spacing w:after="0"/>
              <w:rPr>
                <w:sz w:val="20"/>
                <w:szCs w:val="20"/>
                <w:color w:val="auto"/>
              </w:rPr>
            </w:pPr>
            <w:r>
              <w:rPr>
                <w:rFonts w:ascii="Arial" w:cs="Arial" w:eastAsia="Arial" w:hAnsi="Arial"/>
                <w:sz w:val="18"/>
                <w:szCs w:val="18"/>
                <w:color w:val="auto"/>
              </w:rPr>
              <w:t>With Consent of 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9.3</w:t>
            </w:r>
          </w:p>
        </w:tc>
        <w:tc>
          <w:tcPr>
            <w:tcW w:w="6900" w:type="dxa"/>
            <w:vAlign w:val="bottom"/>
          </w:tcPr>
          <w:p>
            <w:pPr>
              <w:ind w:left="120"/>
              <w:spacing w:after="0"/>
              <w:rPr>
                <w:sz w:val="20"/>
                <w:szCs w:val="20"/>
                <w:color w:val="auto"/>
              </w:rPr>
            </w:pPr>
            <w:r>
              <w:rPr>
                <w:rFonts w:ascii="Arial" w:cs="Arial" w:eastAsia="Arial" w:hAnsi="Arial"/>
                <w:sz w:val="18"/>
                <w:szCs w:val="18"/>
                <w:color w:val="auto"/>
              </w:rPr>
              <w:t>Limitations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9.4</w:t>
            </w:r>
          </w:p>
        </w:tc>
        <w:tc>
          <w:tcPr>
            <w:tcW w:w="6900" w:type="dxa"/>
            <w:vAlign w:val="bottom"/>
          </w:tcPr>
          <w:p>
            <w:pPr>
              <w:ind w:left="120"/>
              <w:spacing w:after="0"/>
              <w:rPr>
                <w:sz w:val="20"/>
                <w:szCs w:val="20"/>
                <w:color w:val="auto"/>
              </w:rPr>
            </w:pPr>
            <w:r>
              <w:rPr>
                <w:rFonts w:ascii="Arial" w:cs="Arial" w:eastAsia="Arial" w:hAnsi="Arial"/>
                <w:sz w:val="18"/>
                <w:szCs w:val="18"/>
                <w:color w:val="auto"/>
              </w:rPr>
              <w:t>Compliance with Trust Indenture Act</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9.5</w:t>
            </w:r>
          </w:p>
        </w:tc>
        <w:tc>
          <w:tcPr>
            <w:tcW w:w="6900" w:type="dxa"/>
            <w:vAlign w:val="bottom"/>
          </w:tcPr>
          <w:p>
            <w:pPr>
              <w:ind w:left="120"/>
              <w:spacing w:after="0"/>
              <w:rPr>
                <w:sz w:val="20"/>
                <w:szCs w:val="20"/>
                <w:color w:val="auto"/>
              </w:rPr>
            </w:pPr>
            <w:r>
              <w:rPr>
                <w:rFonts w:ascii="Arial" w:cs="Arial" w:eastAsia="Arial" w:hAnsi="Arial"/>
                <w:sz w:val="18"/>
                <w:szCs w:val="18"/>
                <w:color w:val="auto"/>
              </w:rPr>
              <w:t>Revocation and Effect of Consents</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9.6</w:t>
            </w:r>
          </w:p>
        </w:tc>
        <w:tc>
          <w:tcPr>
            <w:tcW w:w="6900" w:type="dxa"/>
            <w:vAlign w:val="bottom"/>
          </w:tcPr>
          <w:p>
            <w:pPr>
              <w:ind w:left="120"/>
              <w:spacing w:after="0"/>
              <w:rPr>
                <w:sz w:val="20"/>
                <w:szCs w:val="20"/>
                <w:color w:val="auto"/>
              </w:rPr>
            </w:pPr>
            <w:r>
              <w:rPr>
                <w:rFonts w:ascii="Arial" w:cs="Arial" w:eastAsia="Arial" w:hAnsi="Arial"/>
                <w:sz w:val="18"/>
                <w:szCs w:val="18"/>
                <w:color w:val="auto"/>
              </w:rPr>
              <w:t>Notation on or Exchange of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2"/>
        </w:trPr>
        <w:tc>
          <w:tcPr>
            <w:tcW w:w="2020" w:type="dxa"/>
            <w:vAlign w:val="bottom"/>
          </w:tcPr>
          <w:p>
            <w:pPr>
              <w:ind w:left="440"/>
              <w:spacing w:after="0"/>
              <w:rPr>
                <w:sz w:val="20"/>
                <w:szCs w:val="20"/>
                <w:color w:val="auto"/>
              </w:rPr>
            </w:pPr>
            <w:r>
              <w:rPr>
                <w:rFonts w:ascii="Arial" w:cs="Arial" w:eastAsia="Arial" w:hAnsi="Arial"/>
                <w:sz w:val="18"/>
                <w:szCs w:val="18"/>
                <w:color w:val="auto"/>
              </w:rPr>
              <w:t>Section 9.7</w:t>
            </w:r>
          </w:p>
        </w:tc>
        <w:tc>
          <w:tcPr>
            <w:tcW w:w="6900" w:type="dxa"/>
            <w:vAlign w:val="bottom"/>
          </w:tcPr>
          <w:p>
            <w:pPr>
              <w:ind w:left="120"/>
              <w:spacing w:after="0"/>
              <w:rPr>
                <w:sz w:val="20"/>
                <w:szCs w:val="20"/>
                <w:color w:val="auto"/>
              </w:rPr>
            </w:pPr>
            <w:r>
              <w:rPr>
                <w:rFonts w:ascii="Arial" w:cs="Arial" w:eastAsia="Arial" w:hAnsi="Arial"/>
                <w:sz w:val="18"/>
                <w:szCs w:val="18"/>
                <w:color w:val="auto"/>
              </w:rPr>
              <w:t>Trustee Protected</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92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8"/>
        </w:trPr>
        <w:tc>
          <w:tcPr>
            <w:tcW w:w="2020" w:type="dxa"/>
            <w:vAlign w:val="bottom"/>
          </w:tcPr>
          <w:p>
            <w:pPr>
              <w:ind w:left="440"/>
              <w:spacing w:after="0"/>
              <w:rPr>
                <w:sz w:val="20"/>
                <w:szCs w:val="20"/>
                <w:color w:val="auto"/>
              </w:rPr>
            </w:pPr>
            <w:r>
              <w:rPr>
                <w:rFonts w:ascii="Arial" w:cs="Arial" w:eastAsia="Arial" w:hAnsi="Arial"/>
                <w:sz w:val="18"/>
                <w:szCs w:val="18"/>
                <w:color w:val="auto"/>
              </w:rPr>
              <w:t>Section 10.1</w:t>
            </w:r>
          </w:p>
        </w:tc>
        <w:tc>
          <w:tcPr>
            <w:tcW w:w="6900" w:type="dxa"/>
            <w:vAlign w:val="bottom"/>
          </w:tcPr>
          <w:p>
            <w:pPr>
              <w:ind w:left="120"/>
              <w:spacing w:after="0"/>
              <w:rPr>
                <w:sz w:val="20"/>
                <w:szCs w:val="20"/>
                <w:color w:val="auto"/>
              </w:rPr>
            </w:pPr>
            <w:r>
              <w:rPr>
                <w:rFonts w:ascii="Arial" w:cs="Arial" w:eastAsia="Arial" w:hAnsi="Arial"/>
                <w:sz w:val="18"/>
                <w:szCs w:val="18"/>
                <w:color w:val="auto"/>
              </w:rPr>
              <w:t>Trust Indenture Act Controls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10.2</w:t>
            </w:r>
          </w:p>
        </w:tc>
        <w:tc>
          <w:tcPr>
            <w:tcW w:w="6900" w:type="dxa"/>
            <w:vAlign w:val="bottom"/>
          </w:tcPr>
          <w:p>
            <w:pPr>
              <w:ind w:left="120"/>
              <w:spacing w:after="0"/>
              <w:rPr>
                <w:sz w:val="20"/>
                <w:szCs w:val="20"/>
                <w:color w:val="auto"/>
              </w:rPr>
            </w:pPr>
            <w:r>
              <w:rPr>
                <w:rFonts w:ascii="Arial" w:cs="Arial" w:eastAsia="Arial" w:hAnsi="Arial"/>
                <w:sz w:val="18"/>
                <w:szCs w:val="18"/>
                <w:color w:val="auto"/>
              </w:rPr>
              <w:t>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10.3</w:t>
            </w:r>
          </w:p>
        </w:tc>
        <w:tc>
          <w:tcPr>
            <w:tcW w:w="6900" w:type="dxa"/>
            <w:vAlign w:val="bottom"/>
          </w:tcPr>
          <w:p>
            <w:pPr>
              <w:ind w:left="120"/>
              <w:spacing w:after="0"/>
              <w:rPr>
                <w:sz w:val="20"/>
                <w:szCs w:val="20"/>
                <w:color w:val="auto"/>
              </w:rPr>
            </w:pPr>
            <w:r>
              <w:rPr>
                <w:rFonts w:ascii="Arial" w:cs="Arial" w:eastAsia="Arial" w:hAnsi="Arial"/>
                <w:sz w:val="18"/>
                <w:szCs w:val="18"/>
                <w:color w:val="auto"/>
              </w:rPr>
              <w:t>Communication by Holders with Other 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10.4</w:t>
            </w:r>
          </w:p>
        </w:tc>
        <w:tc>
          <w:tcPr>
            <w:tcW w:w="6900" w:type="dxa"/>
            <w:vAlign w:val="bottom"/>
          </w:tcPr>
          <w:p>
            <w:pPr>
              <w:ind w:left="120"/>
              <w:spacing w:after="0"/>
              <w:rPr>
                <w:sz w:val="20"/>
                <w:szCs w:val="20"/>
                <w:color w:val="auto"/>
              </w:rPr>
            </w:pPr>
            <w:r>
              <w:rPr>
                <w:rFonts w:ascii="Arial" w:cs="Arial" w:eastAsia="Arial" w:hAnsi="Arial"/>
                <w:sz w:val="18"/>
                <w:szCs w:val="18"/>
                <w:color w:val="auto"/>
              </w:rPr>
              <w:t>Certificate and Opinion as to Conditions Precedent</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10.5</w:t>
            </w:r>
          </w:p>
        </w:tc>
        <w:tc>
          <w:tcPr>
            <w:tcW w:w="6900" w:type="dxa"/>
            <w:vAlign w:val="bottom"/>
          </w:tcPr>
          <w:p>
            <w:pPr>
              <w:ind w:left="120"/>
              <w:spacing w:after="0"/>
              <w:rPr>
                <w:sz w:val="20"/>
                <w:szCs w:val="20"/>
                <w:color w:val="auto"/>
              </w:rPr>
            </w:pPr>
            <w:r>
              <w:rPr>
                <w:rFonts w:ascii="Arial" w:cs="Arial" w:eastAsia="Arial" w:hAnsi="Arial"/>
                <w:sz w:val="18"/>
                <w:szCs w:val="18"/>
                <w:color w:val="auto"/>
              </w:rPr>
              <w:t>Statements Required in Certificate or Opinion</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10.6</w:t>
            </w:r>
          </w:p>
        </w:tc>
        <w:tc>
          <w:tcPr>
            <w:tcW w:w="6900" w:type="dxa"/>
            <w:vAlign w:val="bottom"/>
          </w:tcPr>
          <w:p>
            <w:pPr>
              <w:ind w:left="120"/>
              <w:spacing w:after="0"/>
              <w:rPr>
                <w:sz w:val="20"/>
                <w:szCs w:val="20"/>
                <w:color w:val="auto"/>
              </w:rPr>
            </w:pPr>
            <w:r>
              <w:rPr>
                <w:rFonts w:ascii="Arial" w:cs="Arial" w:eastAsia="Arial" w:hAnsi="Arial"/>
                <w:sz w:val="18"/>
                <w:szCs w:val="18"/>
                <w:color w:val="auto"/>
              </w:rPr>
              <w:t>Rules by Trustee and Agents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10.7</w:t>
            </w:r>
          </w:p>
        </w:tc>
        <w:tc>
          <w:tcPr>
            <w:tcW w:w="6900" w:type="dxa"/>
            <w:vAlign w:val="bottom"/>
          </w:tcPr>
          <w:p>
            <w:pPr>
              <w:ind w:left="120"/>
              <w:spacing w:after="0"/>
              <w:rPr>
                <w:sz w:val="20"/>
                <w:szCs w:val="20"/>
                <w:color w:val="auto"/>
              </w:rPr>
            </w:pPr>
            <w:r>
              <w:rPr>
                <w:rFonts w:ascii="Arial" w:cs="Arial" w:eastAsia="Arial" w:hAnsi="Arial"/>
                <w:sz w:val="18"/>
                <w:szCs w:val="18"/>
                <w:color w:val="auto"/>
              </w:rPr>
              <w:t>Legal Holidays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10.8</w:t>
            </w:r>
          </w:p>
        </w:tc>
        <w:tc>
          <w:tcPr>
            <w:tcW w:w="6900" w:type="dxa"/>
            <w:vAlign w:val="bottom"/>
          </w:tcPr>
          <w:p>
            <w:pPr>
              <w:ind w:left="120"/>
              <w:spacing w:after="0"/>
              <w:rPr>
                <w:sz w:val="20"/>
                <w:szCs w:val="20"/>
                <w:color w:val="auto"/>
              </w:rPr>
            </w:pPr>
            <w:r>
              <w:rPr>
                <w:rFonts w:ascii="Arial" w:cs="Arial" w:eastAsia="Arial" w:hAnsi="Arial"/>
                <w:sz w:val="18"/>
                <w:szCs w:val="18"/>
                <w:color w:val="auto"/>
              </w:rPr>
              <w:t>No Recourse Against Others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10.9</w:t>
            </w:r>
          </w:p>
        </w:tc>
        <w:tc>
          <w:tcPr>
            <w:tcW w:w="690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20" w:type="dxa"/>
            <w:vAlign w:val="bottom"/>
          </w:tcPr>
          <w:p>
            <w:pPr>
              <w:ind w:left="440"/>
              <w:spacing w:after="0"/>
              <w:rPr>
                <w:sz w:val="20"/>
                <w:szCs w:val="20"/>
                <w:color w:val="auto"/>
              </w:rPr>
            </w:pPr>
            <w:r>
              <w:rPr>
                <w:rFonts w:ascii="Arial" w:cs="Arial" w:eastAsia="Arial" w:hAnsi="Arial"/>
                <w:sz w:val="18"/>
                <w:szCs w:val="18"/>
                <w:color w:val="auto"/>
              </w:rPr>
              <w:t>Section 10.10</w:t>
            </w:r>
          </w:p>
        </w:tc>
        <w:tc>
          <w:tcPr>
            <w:tcW w:w="6900" w:type="dxa"/>
            <w:vAlign w:val="bottom"/>
          </w:tcPr>
          <w:p>
            <w:pPr>
              <w:ind w:left="120"/>
              <w:spacing w:after="0"/>
              <w:rPr>
                <w:sz w:val="20"/>
                <w:szCs w:val="20"/>
                <w:color w:val="auto"/>
              </w:rPr>
            </w:pPr>
            <w:r>
              <w:rPr>
                <w:rFonts w:ascii="Arial" w:cs="Arial" w:eastAsia="Arial" w:hAnsi="Arial"/>
                <w:sz w:val="18"/>
                <w:szCs w:val="18"/>
                <w:color w:val="auto"/>
              </w:rPr>
              <w:t>Governing Laws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2"/>
        </w:trPr>
        <w:tc>
          <w:tcPr>
            <w:tcW w:w="2020" w:type="dxa"/>
            <w:vAlign w:val="bottom"/>
          </w:tcPr>
          <w:p>
            <w:pPr>
              <w:ind w:left="440"/>
              <w:spacing w:after="0"/>
              <w:rPr>
                <w:sz w:val="20"/>
                <w:szCs w:val="20"/>
                <w:color w:val="auto"/>
              </w:rPr>
            </w:pPr>
            <w:r>
              <w:rPr>
                <w:rFonts w:ascii="Arial" w:cs="Arial" w:eastAsia="Arial" w:hAnsi="Arial"/>
                <w:sz w:val="18"/>
                <w:szCs w:val="18"/>
                <w:color w:val="auto"/>
              </w:rPr>
              <w:t>Section 10.11</w:t>
            </w:r>
          </w:p>
        </w:tc>
        <w:tc>
          <w:tcPr>
            <w:tcW w:w="6900" w:type="dxa"/>
            <w:vAlign w:val="bottom"/>
          </w:tcPr>
          <w:p>
            <w:pPr>
              <w:ind w:left="120"/>
              <w:spacing w:after="0"/>
              <w:rPr>
                <w:sz w:val="20"/>
                <w:szCs w:val="20"/>
                <w:color w:val="auto"/>
              </w:rPr>
            </w:pPr>
            <w:r>
              <w:rPr>
                <w:rFonts w:ascii="Arial" w:cs="Arial" w:eastAsia="Arial" w:hAnsi="Arial"/>
                <w:sz w:val="18"/>
                <w:szCs w:val="18"/>
                <w:color w:val="auto"/>
              </w:rPr>
              <w:t>No Adverse Interpretation of Other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20"/>
          </w:cols>
          <w:pgMar w:left="240" w:top="28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1780" w:type="dxa"/>
            <w:vAlign w:val="bottom"/>
          </w:tcPr>
          <w:p>
            <w:pPr>
              <w:ind w:left="440"/>
              <w:spacing w:after="0"/>
              <w:rPr>
                <w:sz w:val="20"/>
                <w:szCs w:val="20"/>
                <w:color w:val="auto"/>
              </w:rPr>
            </w:pPr>
            <w:r>
              <w:rPr>
                <w:rFonts w:ascii="Arial" w:cs="Arial" w:eastAsia="Arial" w:hAnsi="Arial"/>
                <w:sz w:val="18"/>
                <w:szCs w:val="18"/>
                <w:color w:val="auto"/>
              </w:rPr>
              <w:t>Section 10.12</w:t>
            </w:r>
          </w:p>
        </w:tc>
        <w:tc>
          <w:tcPr>
            <w:tcW w:w="6780" w:type="dxa"/>
            <w:vAlign w:val="bottom"/>
          </w:tcPr>
          <w:p>
            <w:pPr>
              <w:ind w:left="360"/>
              <w:spacing w:after="0"/>
              <w:rPr>
                <w:sz w:val="20"/>
                <w:szCs w:val="20"/>
                <w:color w:val="auto"/>
              </w:rPr>
            </w:pPr>
            <w:r>
              <w:rPr>
                <w:rFonts w:ascii="Arial" w:cs="Arial" w:eastAsia="Arial" w:hAnsi="Arial"/>
                <w:sz w:val="18"/>
                <w:szCs w:val="18"/>
                <w:color w:val="auto"/>
              </w:rPr>
              <w:t>Successors</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80" w:type="dxa"/>
            <w:vAlign w:val="bottom"/>
          </w:tcPr>
          <w:p>
            <w:pPr>
              <w:ind w:left="440"/>
              <w:spacing w:after="0"/>
              <w:rPr>
                <w:sz w:val="20"/>
                <w:szCs w:val="20"/>
                <w:color w:val="auto"/>
              </w:rPr>
            </w:pPr>
            <w:r>
              <w:rPr>
                <w:rFonts w:ascii="Arial" w:cs="Arial" w:eastAsia="Arial" w:hAnsi="Arial"/>
                <w:sz w:val="18"/>
                <w:szCs w:val="18"/>
                <w:color w:val="auto"/>
              </w:rPr>
              <w:t>Section 10.13</w:t>
            </w:r>
          </w:p>
        </w:tc>
        <w:tc>
          <w:tcPr>
            <w:tcW w:w="6780" w:type="dxa"/>
            <w:vAlign w:val="bottom"/>
          </w:tcPr>
          <w:p>
            <w:pPr>
              <w:ind w:left="360"/>
              <w:spacing w:after="0"/>
              <w:rPr>
                <w:sz w:val="20"/>
                <w:szCs w:val="20"/>
                <w:color w:val="auto"/>
              </w:rPr>
            </w:pPr>
            <w:r>
              <w:rPr>
                <w:rFonts w:ascii="Arial" w:cs="Arial" w:eastAsia="Arial" w:hAnsi="Arial"/>
                <w:sz w:val="18"/>
                <w:szCs w:val="18"/>
                <w:color w:val="auto"/>
              </w:rPr>
              <w:t>Severability</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80" w:type="dxa"/>
            <w:vAlign w:val="bottom"/>
          </w:tcPr>
          <w:p>
            <w:pPr>
              <w:ind w:left="440"/>
              <w:spacing w:after="0"/>
              <w:rPr>
                <w:sz w:val="20"/>
                <w:szCs w:val="20"/>
                <w:color w:val="auto"/>
              </w:rPr>
            </w:pPr>
            <w:r>
              <w:rPr>
                <w:rFonts w:ascii="Arial" w:cs="Arial" w:eastAsia="Arial" w:hAnsi="Arial"/>
                <w:sz w:val="18"/>
                <w:szCs w:val="18"/>
                <w:color w:val="auto"/>
              </w:rPr>
              <w:t>Section 10.14</w:t>
            </w:r>
          </w:p>
        </w:tc>
        <w:tc>
          <w:tcPr>
            <w:tcW w:w="6780" w:type="dxa"/>
            <w:vAlign w:val="bottom"/>
          </w:tcPr>
          <w:p>
            <w:pPr>
              <w:ind w:left="360"/>
              <w:spacing w:after="0"/>
              <w:rPr>
                <w:sz w:val="20"/>
                <w:szCs w:val="20"/>
                <w:color w:val="auto"/>
              </w:rPr>
            </w:pPr>
            <w:r>
              <w:rPr>
                <w:rFonts w:ascii="Arial" w:cs="Arial" w:eastAsia="Arial" w:hAnsi="Arial"/>
                <w:sz w:val="18"/>
                <w:szCs w:val="18"/>
                <w:color w:val="auto"/>
              </w:rPr>
              <w:t>Table of Contents, Headings, Etc.</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80" w:type="dxa"/>
            <w:vAlign w:val="bottom"/>
          </w:tcPr>
          <w:p>
            <w:pPr>
              <w:ind w:left="440"/>
              <w:spacing w:after="0"/>
              <w:rPr>
                <w:sz w:val="20"/>
                <w:szCs w:val="20"/>
                <w:color w:val="auto"/>
              </w:rPr>
            </w:pPr>
            <w:r>
              <w:rPr>
                <w:rFonts w:ascii="Arial" w:cs="Arial" w:eastAsia="Arial" w:hAnsi="Arial"/>
                <w:sz w:val="18"/>
                <w:szCs w:val="18"/>
                <w:color w:val="auto"/>
              </w:rPr>
              <w:t>Section 10.15</w:t>
            </w:r>
          </w:p>
        </w:tc>
        <w:tc>
          <w:tcPr>
            <w:tcW w:w="6780" w:type="dxa"/>
            <w:vAlign w:val="bottom"/>
          </w:tcPr>
          <w:p>
            <w:pPr>
              <w:ind w:left="360"/>
              <w:spacing w:after="0"/>
              <w:rPr>
                <w:sz w:val="20"/>
                <w:szCs w:val="20"/>
                <w:color w:val="auto"/>
              </w:rPr>
            </w:pPr>
            <w:r>
              <w:rPr>
                <w:rFonts w:ascii="Arial" w:cs="Arial" w:eastAsia="Arial" w:hAnsi="Arial"/>
                <w:sz w:val="18"/>
                <w:szCs w:val="18"/>
                <w:color w:val="auto"/>
              </w:rPr>
              <w:t>Securities in a Foreign Currency</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780" w:type="dxa"/>
            <w:vAlign w:val="bottom"/>
          </w:tcPr>
          <w:p>
            <w:pPr>
              <w:ind w:left="440"/>
              <w:spacing w:after="0"/>
              <w:rPr>
                <w:sz w:val="20"/>
                <w:szCs w:val="20"/>
                <w:color w:val="auto"/>
              </w:rPr>
            </w:pPr>
            <w:r>
              <w:rPr>
                <w:rFonts w:ascii="Arial" w:cs="Arial" w:eastAsia="Arial" w:hAnsi="Arial"/>
                <w:sz w:val="18"/>
                <w:szCs w:val="18"/>
                <w:color w:val="auto"/>
              </w:rPr>
              <w:t>Section 10.16</w:t>
            </w:r>
          </w:p>
        </w:tc>
        <w:tc>
          <w:tcPr>
            <w:tcW w:w="6780" w:type="dxa"/>
            <w:vAlign w:val="bottom"/>
          </w:tcPr>
          <w:p>
            <w:pPr>
              <w:ind w:left="360"/>
              <w:spacing w:after="0"/>
              <w:rPr>
                <w:sz w:val="20"/>
                <w:szCs w:val="20"/>
                <w:color w:val="auto"/>
              </w:rPr>
            </w:pPr>
            <w:r>
              <w:rPr>
                <w:rFonts w:ascii="Arial" w:cs="Arial" w:eastAsia="Arial" w:hAnsi="Arial"/>
                <w:sz w:val="18"/>
                <w:szCs w:val="18"/>
                <w:color w:val="auto"/>
              </w:rPr>
              <w:t>Judgment Currency</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ind w:left="440"/>
              <w:spacing w:after="0"/>
              <w:rPr>
                <w:sz w:val="20"/>
                <w:szCs w:val="20"/>
                <w:color w:val="auto"/>
              </w:rPr>
            </w:pPr>
            <w:r>
              <w:rPr>
                <w:rFonts w:ascii="Arial" w:cs="Arial" w:eastAsia="Arial" w:hAnsi="Arial"/>
                <w:sz w:val="18"/>
                <w:szCs w:val="18"/>
                <w:color w:val="auto"/>
              </w:rPr>
              <w:t>Section 10.17</w:t>
            </w:r>
          </w:p>
        </w:tc>
        <w:tc>
          <w:tcPr>
            <w:tcW w:w="6780" w:type="dxa"/>
            <w:vAlign w:val="bottom"/>
          </w:tcPr>
          <w:p>
            <w:pPr>
              <w:ind w:left="360"/>
              <w:spacing w:after="0"/>
              <w:rPr>
                <w:sz w:val="20"/>
                <w:szCs w:val="20"/>
                <w:color w:val="auto"/>
              </w:rPr>
            </w:pPr>
            <w:r>
              <w:rPr>
                <w:rFonts w:ascii="Arial" w:cs="Arial" w:eastAsia="Arial" w:hAnsi="Arial"/>
                <w:sz w:val="18"/>
                <w:szCs w:val="18"/>
                <w:color w:val="auto"/>
              </w:rPr>
              <w:t>Submission of Jurisdiction</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1780" w:type="dxa"/>
            <w:vAlign w:val="bottom"/>
          </w:tcPr>
          <w:p>
            <w:pPr>
              <w:ind w:left="440"/>
              <w:spacing w:after="0"/>
              <w:rPr>
                <w:sz w:val="20"/>
                <w:szCs w:val="20"/>
                <w:color w:val="auto"/>
              </w:rPr>
            </w:pPr>
            <w:r>
              <w:rPr>
                <w:rFonts w:ascii="Arial" w:cs="Arial" w:eastAsia="Arial" w:hAnsi="Arial"/>
                <w:sz w:val="18"/>
                <w:szCs w:val="18"/>
                <w:color w:val="auto"/>
              </w:rPr>
              <w:t>Section 10.18</w:t>
            </w:r>
          </w:p>
        </w:tc>
        <w:tc>
          <w:tcPr>
            <w:tcW w:w="6780" w:type="dxa"/>
            <w:vAlign w:val="bottom"/>
          </w:tcPr>
          <w:p>
            <w:pPr>
              <w:ind w:left="360"/>
              <w:spacing w:after="0"/>
              <w:rPr>
                <w:sz w:val="20"/>
                <w:szCs w:val="20"/>
                <w:color w:val="auto"/>
              </w:rPr>
            </w:pPr>
            <w:r>
              <w:rPr>
                <w:rFonts w:ascii="Arial" w:cs="Arial" w:eastAsia="Arial" w:hAnsi="Arial"/>
                <w:sz w:val="18"/>
                <w:szCs w:val="18"/>
                <w:color w:val="auto"/>
              </w:rPr>
              <w:t>Waiver of Jury Trial</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XI. SINKING FUNDS</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780" w:type="dxa"/>
            <w:vAlign w:val="bottom"/>
          </w:tcPr>
          <w:p>
            <w:pPr>
              <w:ind w:left="440"/>
              <w:spacing w:after="0"/>
              <w:rPr>
                <w:sz w:val="20"/>
                <w:szCs w:val="20"/>
                <w:color w:val="auto"/>
              </w:rPr>
            </w:pPr>
            <w:r>
              <w:rPr>
                <w:rFonts w:ascii="Arial" w:cs="Arial" w:eastAsia="Arial" w:hAnsi="Arial"/>
                <w:sz w:val="18"/>
                <w:szCs w:val="18"/>
                <w:color w:val="auto"/>
              </w:rPr>
              <w:t>Section 11.1</w:t>
            </w:r>
          </w:p>
        </w:tc>
        <w:tc>
          <w:tcPr>
            <w:tcW w:w="6780" w:type="dxa"/>
            <w:vAlign w:val="bottom"/>
          </w:tcPr>
          <w:p>
            <w:pPr>
              <w:ind w:left="360"/>
              <w:spacing w:after="0"/>
              <w:rPr>
                <w:sz w:val="20"/>
                <w:szCs w:val="20"/>
                <w:color w:val="auto"/>
              </w:rPr>
            </w:pPr>
            <w:r>
              <w:rPr>
                <w:rFonts w:ascii="Arial" w:cs="Arial" w:eastAsia="Arial" w:hAnsi="Arial"/>
                <w:sz w:val="18"/>
                <w:szCs w:val="18"/>
                <w:color w:val="auto"/>
              </w:rPr>
              <w:t>Applicability of Article</w:t>
            </w:r>
          </w:p>
        </w:tc>
        <w:tc>
          <w:tcPr>
            <w:tcW w:w="2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780" w:type="dxa"/>
            <w:vAlign w:val="bottom"/>
          </w:tcPr>
          <w:p>
            <w:pPr>
              <w:ind w:left="440"/>
              <w:spacing w:after="0"/>
              <w:rPr>
                <w:sz w:val="20"/>
                <w:szCs w:val="20"/>
                <w:color w:val="auto"/>
              </w:rPr>
            </w:pPr>
            <w:r>
              <w:rPr>
                <w:rFonts w:ascii="Arial" w:cs="Arial" w:eastAsia="Arial" w:hAnsi="Arial"/>
                <w:sz w:val="18"/>
                <w:szCs w:val="18"/>
                <w:color w:val="auto"/>
              </w:rPr>
              <w:t>Section 11.2</w:t>
            </w:r>
          </w:p>
        </w:tc>
        <w:tc>
          <w:tcPr>
            <w:tcW w:w="6780" w:type="dxa"/>
            <w:vAlign w:val="bottom"/>
          </w:tcPr>
          <w:p>
            <w:pPr>
              <w:ind w:left="360"/>
              <w:spacing w:after="0"/>
              <w:rPr>
                <w:sz w:val="20"/>
                <w:szCs w:val="20"/>
                <w:color w:val="auto"/>
              </w:rPr>
            </w:pPr>
            <w:r>
              <w:rPr>
                <w:rFonts w:ascii="Arial" w:cs="Arial" w:eastAsia="Arial" w:hAnsi="Arial"/>
                <w:sz w:val="18"/>
                <w:szCs w:val="18"/>
                <w:color w:val="auto"/>
              </w:rPr>
              <w:t>Satisfaction of Sinking Fund Payments with Securities</w:t>
            </w:r>
          </w:p>
        </w:tc>
        <w:tc>
          <w:tcPr>
            <w:tcW w:w="27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2"/>
        </w:trPr>
        <w:tc>
          <w:tcPr>
            <w:tcW w:w="1780" w:type="dxa"/>
            <w:vAlign w:val="bottom"/>
          </w:tcPr>
          <w:p>
            <w:pPr>
              <w:ind w:left="440"/>
              <w:spacing w:after="0"/>
              <w:rPr>
                <w:sz w:val="20"/>
                <w:szCs w:val="20"/>
                <w:color w:val="auto"/>
              </w:rPr>
            </w:pPr>
            <w:r>
              <w:rPr>
                <w:rFonts w:ascii="Arial" w:cs="Arial" w:eastAsia="Arial" w:hAnsi="Arial"/>
                <w:sz w:val="18"/>
                <w:szCs w:val="18"/>
                <w:color w:val="auto"/>
              </w:rPr>
              <w:t>Section 11.3</w:t>
            </w:r>
          </w:p>
        </w:tc>
        <w:tc>
          <w:tcPr>
            <w:tcW w:w="6780" w:type="dxa"/>
            <w:vAlign w:val="bottom"/>
          </w:tcPr>
          <w:p>
            <w:pPr>
              <w:ind w:left="360"/>
              <w:spacing w:after="0"/>
              <w:rPr>
                <w:sz w:val="20"/>
                <w:szCs w:val="20"/>
                <w:color w:val="auto"/>
              </w:rPr>
            </w:pPr>
            <w:r>
              <w:rPr>
                <w:rFonts w:ascii="Arial" w:cs="Arial" w:eastAsia="Arial" w:hAnsi="Arial"/>
                <w:sz w:val="18"/>
                <w:szCs w:val="18"/>
                <w:color w:val="auto"/>
              </w:rPr>
              <w:t>Redemption of Securities for Sinking Fund</w:t>
            </w:r>
          </w:p>
        </w:tc>
        <w:tc>
          <w:tcPr>
            <w:tcW w:w="276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320"/>
          </w:cols>
          <w:pgMar w:left="240" w:top="280" w:right="339" w:bottom="1440" w:gutter="0" w:footer="0" w:header="0"/>
        </w:sectPr>
      </w:pPr>
    </w:p>
    <w:bookmarkStart w:id="35" w:name="page36"/>
    <w:bookmarkEnd w:id="35"/>
    <w:p>
      <w:pPr>
        <w:jc w:val="center"/>
        <w:ind w:right="-2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7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Reconciliation and tie between Trust Indenture Act of 1939 and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tcPr>
          <w:p>
            <w:pPr>
              <w:ind w:left="3300"/>
              <w:spacing w:after="0"/>
              <w:rPr>
                <w:sz w:val="20"/>
                <w:szCs w:val="20"/>
                <w:color w:val="auto"/>
              </w:rPr>
            </w:pPr>
            <w:r>
              <w:rPr>
                <w:rFonts w:ascii="Arial" w:cs="Arial" w:eastAsia="Arial" w:hAnsi="Arial"/>
                <w:sz w:val="18"/>
                <w:szCs w:val="18"/>
                <w:color w:val="auto"/>
              </w:rPr>
              <w:t>Indenture, dated as of [</w:t>
            </w:r>
          </w:p>
        </w:tc>
        <w:tc>
          <w:tcPr>
            <w:tcW w:w="3740" w:type="dxa"/>
            <w:vAlign w:val="bottom"/>
          </w:tcPr>
          <w:p>
            <w:pPr>
              <w:ind w:left="420"/>
              <w:spacing w:after="0"/>
              <w:rPr>
                <w:sz w:val="20"/>
                <w:szCs w:val="20"/>
                <w:color w:val="auto"/>
              </w:rPr>
            </w:pPr>
            <w:r>
              <w:rPr>
                <w:rFonts w:ascii="Arial" w:cs="Arial" w:eastAsia="Arial" w:hAnsi="Arial"/>
                <w:sz w:val="18"/>
                <w:szCs w:val="18"/>
                <w:color w:val="auto"/>
              </w:rPr>
              <w:t>], 2012</w:t>
            </w:r>
          </w:p>
        </w:tc>
      </w:tr>
      <w:tr>
        <w:trPr>
          <w:trHeight w:val="412"/>
        </w:trPr>
        <w:tc>
          <w:tcPr>
            <w:tcW w:w="5380" w:type="dxa"/>
            <w:vAlign w:val="bottom"/>
          </w:tcPr>
          <w:p>
            <w:pPr>
              <w:spacing w:after="0"/>
              <w:rPr>
                <w:sz w:val="20"/>
                <w:szCs w:val="20"/>
                <w:color w:val="auto"/>
              </w:rPr>
            </w:pPr>
            <w:r>
              <w:rPr>
                <w:rFonts w:ascii="Arial" w:cs="Arial" w:eastAsia="Arial" w:hAnsi="Arial"/>
                <w:sz w:val="18"/>
                <w:szCs w:val="18"/>
                <w:color w:val="auto"/>
              </w:rPr>
              <w:t>§310(a)(1)</w:t>
            </w:r>
          </w:p>
        </w:tc>
        <w:tc>
          <w:tcPr>
            <w:tcW w:w="3740" w:type="dxa"/>
            <w:vAlign w:val="bottom"/>
          </w:tcPr>
          <w:p>
            <w:pPr>
              <w:ind w:left="2660"/>
              <w:spacing w:after="0"/>
              <w:rPr>
                <w:sz w:val="20"/>
                <w:szCs w:val="20"/>
                <w:color w:val="auto"/>
              </w:rPr>
            </w:pPr>
            <w:r>
              <w:rPr>
                <w:rFonts w:ascii="Arial" w:cs="Arial" w:eastAsia="Arial" w:hAnsi="Arial"/>
                <w:sz w:val="18"/>
                <w:szCs w:val="18"/>
                <w:color w:val="auto"/>
              </w:rPr>
              <w:t>7.10</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(a)(2)</w:t>
            </w:r>
          </w:p>
        </w:tc>
        <w:tc>
          <w:tcPr>
            <w:tcW w:w="3740" w:type="dxa"/>
            <w:vAlign w:val="bottom"/>
          </w:tcPr>
          <w:p>
            <w:pPr>
              <w:ind w:left="2660"/>
              <w:spacing w:after="0"/>
              <w:rPr>
                <w:sz w:val="20"/>
                <w:szCs w:val="20"/>
                <w:color w:val="auto"/>
              </w:rPr>
            </w:pPr>
            <w:r>
              <w:rPr>
                <w:rFonts w:ascii="Arial" w:cs="Arial" w:eastAsia="Arial" w:hAnsi="Arial"/>
                <w:sz w:val="18"/>
                <w:szCs w:val="18"/>
                <w:color w:val="auto"/>
              </w:rPr>
              <w:t>7.10</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(a)(3)</w:t>
            </w:r>
          </w:p>
        </w:tc>
        <w:tc>
          <w:tcPr>
            <w:tcW w:w="3740" w:type="dxa"/>
            <w:vAlign w:val="bottom"/>
          </w:tcPr>
          <w:p>
            <w:pPr>
              <w:ind w:left="2660"/>
              <w:spacing w:after="0"/>
              <w:rPr>
                <w:sz w:val="20"/>
                <w:szCs w:val="20"/>
                <w:color w:val="auto"/>
              </w:rPr>
            </w:pPr>
            <w:r>
              <w:rPr>
                <w:rFonts w:ascii="Arial" w:cs="Arial" w:eastAsia="Arial" w:hAnsi="Arial"/>
                <w:sz w:val="18"/>
                <w:szCs w:val="18"/>
                <w:color w:val="auto"/>
                <w:w w:val="91"/>
              </w:rPr>
              <w:t>Not Applicable</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(a)(4)</w:t>
            </w:r>
          </w:p>
        </w:tc>
        <w:tc>
          <w:tcPr>
            <w:tcW w:w="3740" w:type="dxa"/>
            <w:vAlign w:val="bottom"/>
          </w:tcPr>
          <w:p>
            <w:pPr>
              <w:ind w:left="2660"/>
              <w:spacing w:after="0"/>
              <w:rPr>
                <w:sz w:val="20"/>
                <w:szCs w:val="20"/>
                <w:color w:val="auto"/>
              </w:rPr>
            </w:pPr>
            <w:r>
              <w:rPr>
                <w:rFonts w:ascii="Arial" w:cs="Arial" w:eastAsia="Arial" w:hAnsi="Arial"/>
                <w:sz w:val="18"/>
                <w:szCs w:val="18"/>
                <w:color w:val="auto"/>
                <w:w w:val="91"/>
              </w:rPr>
              <w:t>Not Applicable</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(a)(5)</w:t>
            </w:r>
          </w:p>
        </w:tc>
        <w:tc>
          <w:tcPr>
            <w:tcW w:w="3740" w:type="dxa"/>
            <w:vAlign w:val="bottom"/>
          </w:tcPr>
          <w:p>
            <w:pPr>
              <w:ind w:left="2660"/>
              <w:spacing w:after="0"/>
              <w:rPr>
                <w:sz w:val="20"/>
                <w:szCs w:val="20"/>
                <w:color w:val="auto"/>
              </w:rPr>
            </w:pPr>
            <w:r>
              <w:rPr>
                <w:rFonts w:ascii="Arial" w:cs="Arial" w:eastAsia="Arial" w:hAnsi="Arial"/>
                <w:sz w:val="18"/>
                <w:szCs w:val="18"/>
                <w:color w:val="auto"/>
              </w:rPr>
              <w:t>7.10</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(b)</w:t>
            </w:r>
          </w:p>
        </w:tc>
        <w:tc>
          <w:tcPr>
            <w:tcW w:w="3740" w:type="dxa"/>
            <w:vAlign w:val="bottom"/>
          </w:tcPr>
          <w:p>
            <w:pPr>
              <w:ind w:left="2660"/>
              <w:spacing w:after="0"/>
              <w:rPr>
                <w:sz w:val="20"/>
                <w:szCs w:val="20"/>
                <w:color w:val="auto"/>
              </w:rPr>
            </w:pPr>
            <w:r>
              <w:rPr>
                <w:rFonts w:ascii="Arial" w:cs="Arial" w:eastAsia="Arial" w:hAnsi="Arial"/>
                <w:sz w:val="18"/>
                <w:szCs w:val="18"/>
                <w:color w:val="auto"/>
              </w:rPr>
              <w:t>7.10</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§311(a)</w:t>
            </w:r>
          </w:p>
        </w:tc>
        <w:tc>
          <w:tcPr>
            <w:tcW w:w="3740" w:type="dxa"/>
            <w:vAlign w:val="bottom"/>
          </w:tcPr>
          <w:p>
            <w:pPr>
              <w:ind w:left="2660"/>
              <w:spacing w:after="0"/>
              <w:rPr>
                <w:sz w:val="20"/>
                <w:szCs w:val="20"/>
                <w:color w:val="auto"/>
              </w:rPr>
            </w:pPr>
            <w:r>
              <w:rPr>
                <w:rFonts w:ascii="Arial" w:cs="Arial" w:eastAsia="Arial" w:hAnsi="Arial"/>
                <w:sz w:val="18"/>
                <w:szCs w:val="18"/>
                <w:color w:val="auto"/>
              </w:rPr>
              <w:t>7.11</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(b)</w:t>
            </w:r>
          </w:p>
        </w:tc>
        <w:tc>
          <w:tcPr>
            <w:tcW w:w="3740" w:type="dxa"/>
            <w:vAlign w:val="bottom"/>
          </w:tcPr>
          <w:p>
            <w:pPr>
              <w:ind w:left="2660"/>
              <w:spacing w:after="0"/>
              <w:rPr>
                <w:sz w:val="20"/>
                <w:szCs w:val="20"/>
                <w:color w:val="auto"/>
              </w:rPr>
            </w:pPr>
            <w:r>
              <w:rPr>
                <w:rFonts w:ascii="Arial" w:cs="Arial" w:eastAsia="Arial" w:hAnsi="Arial"/>
                <w:sz w:val="18"/>
                <w:szCs w:val="18"/>
                <w:color w:val="auto"/>
              </w:rPr>
              <w:t>7.11</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(c)</w:t>
            </w:r>
          </w:p>
        </w:tc>
        <w:tc>
          <w:tcPr>
            <w:tcW w:w="3740" w:type="dxa"/>
            <w:vAlign w:val="bottom"/>
          </w:tcPr>
          <w:p>
            <w:pPr>
              <w:ind w:left="2660"/>
              <w:spacing w:after="0"/>
              <w:rPr>
                <w:sz w:val="20"/>
                <w:szCs w:val="20"/>
                <w:color w:val="auto"/>
              </w:rPr>
            </w:pPr>
            <w:r>
              <w:rPr>
                <w:rFonts w:ascii="Arial" w:cs="Arial" w:eastAsia="Arial" w:hAnsi="Arial"/>
                <w:sz w:val="18"/>
                <w:szCs w:val="18"/>
                <w:color w:val="auto"/>
                <w:w w:val="91"/>
              </w:rPr>
              <w:t>Not Applicable</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§312(a)</w:t>
            </w:r>
          </w:p>
        </w:tc>
        <w:tc>
          <w:tcPr>
            <w:tcW w:w="3740" w:type="dxa"/>
            <w:vAlign w:val="bottom"/>
          </w:tcPr>
          <w:p>
            <w:pPr>
              <w:ind w:left="2660"/>
              <w:spacing w:after="0"/>
              <w:rPr>
                <w:sz w:val="20"/>
                <w:szCs w:val="20"/>
                <w:color w:val="auto"/>
              </w:rPr>
            </w:pPr>
            <w:r>
              <w:rPr>
                <w:rFonts w:ascii="Arial" w:cs="Arial" w:eastAsia="Arial" w:hAnsi="Arial"/>
                <w:sz w:val="18"/>
                <w:szCs w:val="18"/>
                <w:color w:val="auto"/>
              </w:rPr>
              <w:t>2.6</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(b)</w:t>
            </w:r>
          </w:p>
        </w:tc>
        <w:tc>
          <w:tcPr>
            <w:tcW w:w="3740" w:type="dxa"/>
            <w:vAlign w:val="bottom"/>
          </w:tcPr>
          <w:p>
            <w:pPr>
              <w:ind w:left="2660"/>
              <w:spacing w:after="0"/>
              <w:rPr>
                <w:sz w:val="20"/>
                <w:szCs w:val="20"/>
                <w:color w:val="auto"/>
              </w:rPr>
            </w:pPr>
            <w:r>
              <w:rPr>
                <w:rFonts w:ascii="Arial" w:cs="Arial" w:eastAsia="Arial" w:hAnsi="Arial"/>
                <w:sz w:val="18"/>
                <w:szCs w:val="18"/>
                <w:color w:val="auto"/>
              </w:rPr>
              <w:t>10.3</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(c)</w:t>
            </w:r>
          </w:p>
        </w:tc>
        <w:tc>
          <w:tcPr>
            <w:tcW w:w="3740" w:type="dxa"/>
            <w:vAlign w:val="bottom"/>
          </w:tcPr>
          <w:p>
            <w:pPr>
              <w:ind w:left="2660"/>
              <w:spacing w:after="0"/>
              <w:rPr>
                <w:sz w:val="20"/>
                <w:szCs w:val="20"/>
                <w:color w:val="auto"/>
              </w:rPr>
            </w:pPr>
            <w:r>
              <w:rPr>
                <w:rFonts w:ascii="Arial" w:cs="Arial" w:eastAsia="Arial" w:hAnsi="Arial"/>
                <w:sz w:val="18"/>
                <w:szCs w:val="18"/>
                <w:color w:val="auto"/>
              </w:rPr>
              <w:t>10.3</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§313(a)</w:t>
            </w:r>
          </w:p>
        </w:tc>
        <w:tc>
          <w:tcPr>
            <w:tcW w:w="3740" w:type="dxa"/>
            <w:vAlign w:val="bottom"/>
          </w:tcPr>
          <w:p>
            <w:pPr>
              <w:ind w:left="2660"/>
              <w:spacing w:after="0"/>
              <w:rPr>
                <w:sz w:val="20"/>
                <w:szCs w:val="20"/>
                <w:color w:val="auto"/>
              </w:rPr>
            </w:pPr>
            <w:r>
              <w:rPr>
                <w:rFonts w:ascii="Arial" w:cs="Arial" w:eastAsia="Arial" w:hAnsi="Arial"/>
                <w:sz w:val="18"/>
                <w:szCs w:val="18"/>
                <w:color w:val="auto"/>
              </w:rPr>
              <w:t>7.6</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(b)(1)</w:t>
            </w:r>
          </w:p>
        </w:tc>
        <w:tc>
          <w:tcPr>
            <w:tcW w:w="3740" w:type="dxa"/>
            <w:vAlign w:val="bottom"/>
          </w:tcPr>
          <w:p>
            <w:pPr>
              <w:ind w:left="2660"/>
              <w:spacing w:after="0"/>
              <w:rPr>
                <w:sz w:val="20"/>
                <w:szCs w:val="20"/>
                <w:color w:val="auto"/>
              </w:rPr>
            </w:pPr>
            <w:r>
              <w:rPr>
                <w:rFonts w:ascii="Arial" w:cs="Arial" w:eastAsia="Arial" w:hAnsi="Arial"/>
                <w:sz w:val="18"/>
                <w:szCs w:val="18"/>
                <w:color w:val="auto"/>
              </w:rPr>
              <w:t>7.6</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(b)(2)</w:t>
            </w:r>
          </w:p>
        </w:tc>
        <w:tc>
          <w:tcPr>
            <w:tcW w:w="3740" w:type="dxa"/>
            <w:vAlign w:val="bottom"/>
          </w:tcPr>
          <w:p>
            <w:pPr>
              <w:ind w:left="2660"/>
              <w:spacing w:after="0"/>
              <w:rPr>
                <w:sz w:val="20"/>
                <w:szCs w:val="20"/>
                <w:color w:val="auto"/>
              </w:rPr>
            </w:pPr>
            <w:r>
              <w:rPr>
                <w:rFonts w:ascii="Arial" w:cs="Arial" w:eastAsia="Arial" w:hAnsi="Arial"/>
                <w:sz w:val="18"/>
                <w:szCs w:val="18"/>
                <w:color w:val="auto"/>
              </w:rPr>
              <w:t>7.6</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(c)(1)</w:t>
            </w:r>
          </w:p>
        </w:tc>
        <w:tc>
          <w:tcPr>
            <w:tcW w:w="3740" w:type="dxa"/>
            <w:vAlign w:val="bottom"/>
          </w:tcPr>
          <w:p>
            <w:pPr>
              <w:ind w:left="2660"/>
              <w:spacing w:after="0"/>
              <w:rPr>
                <w:sz w:val="20"/>
                <w:szCs w:val="20"/>
                <w:color w:val="auto"/>
              </w:rPr>
            </w:pPr>
            <w:r>
              <w:rPr>
                <w:rFonts w:ascii="Arial" w:cs="Arial" w:eastAsia="Arial" w:hAnsi="Arial"/>
                <w:sz w:val="18"/>
                <w:szCs w:val="18"/>
                <w:color w:val="auto"/>
              </w:rPr>
              <w:t>7.6</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(d)</w:t>
            </w:r>
          </w:p>
        </w:tc>
        <w:tc>
          <w:tcPr>
            <w:tcW w:w="3740" w:type="dxa"/>
            <w:vAlign w:val="bottom"/>
          </w:tcPr>
          <w:p>
            <w:pPr>
              <w:ind w:left="2660"/>
              <w:spacing w:after="0"/>
              <w:rPr>
                <w:sz w:val="20"/>
                <w:szCs w:val="20"/>
                <w:color w:val="auto"/>
              </w:rPr>
            </w:pPr>
            <w:r>
              <w:rPr>
                <w:rFonts w:ascii="Arial" w:cs="Arial" w:eastAsia="Arial" w:hAnsi="Arial"/>
                <w:sz w:val="18"/>
                <w:szCs w:val="18"/>
                <w:color w:val="auto"/>
              </w:rPr>
              <w:t>7.6</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§314(a)</w:t>
            </w:r>
          </w:p>
        </w:tc>
        <w:tc>
          <w:tcPr>
            <w:tcW w:w="3740" w:type="dxa"/>
            <w:vAlign w:val="bottom"/>
          </w:tcPr>
          <w:p>
            <w:pPr>
              <w:ind w:left="2660"/>
              <w:spacing w:after="0"/>
              <w:rPr>
                <w:sz w:val="20"/>
                <w:szCs w:val="20"/>
                <w:color w:val="auto"/>
              </w:rPr>
            </w:pPr>
            <w:r>
              <w:rPr>
                <w:rFonts w:ascii="Arial" w:cs="Arial" w:eastAsia="Arial" w:hAnsi="Arial"/>
                <w:sz w:val="18"/>
                <w:szCs w:val="18"/>
                <w:color w:val="auto"/>
              </w:rPr>
              <w:t>4.2, 4.3</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(b)</w:t>
            </w:r>
          </w:p>
        </w:tc>
        <w:tc>
          <w:tcPr>
            <w:tcW w:w="3740" w:type="dxa"/>
            <w:vAlign w:val="bottom"/>
          </w:tcPr>
          <w:p>
            <w:pPr>
              <w:ind w:left="2660"/>
              <w:spacing w:after="0"/>
              <w:rPr>
                <w:sz w:val="20"/>
                <w:szCs w:val="20"/>
                <w:color w:val="auto"/>
              </w:rPr>
            </w:pPr>
            <w:r>
              <w:rPr>
                <w:rFonts w:ascii="Arial" w:cs="Arial" w:eastAsia="Arial" w:hAnsi="Arial"/>
                <w:sz w:val="18"/>
                <w:szCs w:val="18"/>
                <w:color w:val="auto"/>
                <w:w w:val="91"/>
              </w:rPr>
              <w:t>Not Applicable</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(c)(1)</w:t>
            </w:r>
          </w:p>
        </w:tc>
        <w:tc>
          <w:tcPr>
            <w:tcW w:w="3740" w:type="dxa"/>
            <w:vAlign w:val="bottom"/>
          </w:tcPr>
          <w:p>
            <w:pPr>
              <w:ind w:left="2660"/>
              <w:spacing w:after="0"/>
              <w:rPr>
                <w:sz w:val="20"/>
                <w:szCs w:val="20"/>
                <w:color w:val="auto"/>
              </w:rPr>
            </w:pPr>
            <w:r>
              <w:rPr>
                <w:rFonts w:ascii="Arial" w:cs="Arial" w:eastAsia="Arial" w:hAnsi="Arial"/>
                <w:sz w:val="18"/>
                <w:szCs w:val="18"/>
                <w:color w:val="auto"/>
              </w:rPr>
              <w:t>10.4</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(c)(2)</w:t>
            </w:r>
          </w:p>
        </w:tc>
        <w:tc>
          <w:tcPr>
            <w:tcW w:w="3740" w:type="dxa"/>
            <w:vAlign w:val="bottom"/>
          </w:tcPr>
          <w:p>
            <w:pPr>
              <w:ind w:left="2660"/>
              <w:spacing w:after="0"/>
              <w:rPr>
                <w:sz w:val="20"/>
                <w:szCs w:val="20"/>
                <w:color w:val="auto"/>
              </w:rPr>
            </w:pPr>
            <w:r>
              <w:rPr>
                <w:rFonts w:ascii="Arial" w:cs="Arial" w:eastAsia="Arial" w:hAnsi="Arial"/>
                <w:sz w:val="18"/>
                <w:szCs w:val="18"/>
                <w:color w:val="auto"/>
              </w:rPr>
              <w:t>10.4</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(c)(3)</w:t>
            </w:r>
          </w:p>
        </w:tc>
        <w:tc>
          <w:tcPr>
            <w:tcW w:w="3740" w:type="dxa"/>
            <w:vAlign w:val="bottom"/>
          </w:tcPr>
          <w:p>
            <w:pPr>
              <w:ind w:left="2660"/>
              <w:spacing w:after="0"/>
              <w:rPr>
                <w:sz w:val="20"/>
                <w:szCs w:val="20"/>
                <w:color w:val="auto"/>
              </w:rPr>
            </w:pPr>
            <w:r>
              <w:rPr>
                <w:rFonts w:ascii="Arial" w:cs="Arial" w:eastAsia="Arial" w:hAnsi="Arial"/>
                <w:sz w:val="18"/>
                <w:szCs w:val="18"/>
                <w:color w:val="auto"/>
                <w:w w:val="91"/>
              </w:rPr>
              <w:t>Not Applicable</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(d)</w:t>
            </w:r>
          </w:p>
        </w:tc>
        <w:tc>
          <w:tcPr>
            <w:tcW w:w="3740" w:type="dxa"/>
            <w:vAlign w:val="bottom"/>
          </w:tcPr>
          <w:p>
            <w:pPr>
              <w:ind w:left="2660"/>
              <w:spacing w:after="0"/>
              <w:rPr>
                <w:sz w:val="20"/>
                <w:szCs w:val="20"/>
                <w:color w:val="auto"/>
              </w:rPr>
            </w:pPr>
            <w:r>
              <w:rPr>
                <w:rFonts w:ascii="Arial" w:cs="Arial" w:eastAsia="Arial" w:hAnsi="Arial"/>
                <w:sz w:val="18"/>
                <w:szCs w:val="18"/>
                <w:color w:val="auto"/>
                <w:w w:val="91"/>
              </w:rPr>
              <w:t>Not Applicable</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(e)</w:t>
            </w:r>
          </w:p>
        </w:tc>
        <w:tc>
          <w:tcPr>
            <w:tcW w:w="3740" w:type="dxa"/>
            <w:vAlign w:val="bottom"/>
          </w:tcPr>
          <w:p>
            <w:pPr>
              <w:ind w:left="2660"/>
              <w:spacing w:after="0"/>
              <w:rPr>
                <w:sz w:val="20"/>
                <w:szCs w:val="20"/>
                <w:color w:val="auto"/>
              </w:rPr>
            </w:pPr>
            <w:r>
              <w:rPr>
                <w:rFonts w:ascii="Arial" w:cs="Arial" w:eastAsia="Arial" w:hAnsi="Arial"/>
                <w:sz w:val="18"/>
                <w:szCs w:val="18"/>
                <w:color w:val="auto"/>
              </w:rPr>
              <w:t>10.5</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(f)</w:t>
            </w:r>
          </w:p>
        </w:tc>
        <w:tc>
          <w:tcPr>
            <w:tcW w:w="3740" w:type="dxa"/>
            <w:vAlign w:val="bottom"/>
          </w:tcPr>
          <w:p>
            <w:pPr>
              <w:ind w:left="2660"/>
              <w:spacing w:after="0"/>
              <w:rPr>
                <w:sz w:val="20"/>
                <w:szCs w:val="20"/>
                <w:color w:val="auto"/>
              </w:rPr>
            </w:pPr>
            <w:r>
              <w:rPr>
                <w:rFonts w:ascii="Arial" w:cs="Arial" w:eastAsia="Arial" w:hAnsi="Arial"/>
                <w:sz w:val="18"/>
                <w:szCs w:val="18"/>
                <w:color w:val="auto"/>
                <w:w w:val="91"/>
              </w:rPr>
              <w:t>Not Applicable</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§315(a)</w:t>
            </w:r>
          </w:p>
        </w:tc>
        <w:tc>
          <w:tcPr>
            <w:tcW w:w="3740" w:type="dxa"/>
            <w:vAlign w:val="bottom"/>
          </w:tcPr>
          <w:p>
            <w:pPr>
              <w:ind w:left="2660"/>
              <w:spacing w:after="0"/>
              <w:rPr>
                <w:sz w:val="20"/>
                <w:szCs w:val="20"/>
                <w:color w:val="auto"/>
              </w:rPr>
            </w:pPr>
            <w:r>
              <w:rPr>
                <w:rFonts w:ascii="Arial" w:cs="Arial" w:eastAsia="Arial" w:hAnsi="Arial"/>
                <w:sz w:val="18"/>
                <w:szCs w:val="18"/>
                <w:color w:val="auto"/>
              </w:rPr>
              <w:t>7.1</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(b)</w:t>
            </w:r>
          </w:p>
        </w:tc>
        <w:tc>
          <w:tcPr>
            <w:tcW w:w="3740" w:type="dxa"/>
            <w:vAlign w:val="bottom"/>
          </w:tcPr>
          <w:p>
            <w:pPr>
              <w:ind w:left="2660"/>
              <w:spacing w:after="0"/>
              <w:rPr>
                <w:sz w:val="20"/>
                <w:szCs w:val="20"/>
                <w:color w:val="auto"/>
              </w:rPr>
            </w:pPr>
            <w:r>
              <w:rPr>
                <w:rFonts w:ascii="Arial" w:cs="Arial" w:eastAsia="Arial" w:hAnsi="Arial"/>
                <w:sz w:val="18"/>
                <w:szCs w:val="18"/>
                <w:color w:val="auto"/>
              </w:rPr>
              <w:t>7.5</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(c)</w:t>
            </w:r>
          </w:p>
        </w:tc>
        <w:tc>
          <w:tcPr>
            <w:tcW w:w="3740" w:type="dxa"/>
            <w:vAlign w:val="bottom"/>
          </w:tcPr>
          <w:p>
            <w:pPr>
              <w:ind w:left="2660"/>
              <w:spacing w:after="0"/>
              <w:rPr>
                <w:sz w:val="20"/>
                <w:szCs w:val="20"/>
                <w:color w:val="auto"/>
              </w:rPr>
            </w:pPr>
            <w:r>
              <w:rPr>
                <w:rFonts w:ascii="Arial" w:cs="Arial" w:eastAsia="Arial" w:hAnsi="Arial"/>
                <w:sz w:val="18"/>
                <w:szCs w:val="18"/>
                <w:color w:val="auto"/>
              </w:rPr>
              <w:t>7.1</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(d)</w:t>
            </w:r>
          </w:p>
        </w:tc>
        <w:tc>
          <w:tcPr>
            <w:tcW w:w="3740" w:type="dxa"/>
            <w:vAlign w:val="bottom"/>
          </w:tcPr>
          <w:p>
            <w:pPr>
              <w:ind w:left="2660"/>
              <w:spacing w:after="0"/>
              <w:rPr>
                <w:sz w:val="20"/>
                <w:szCs w:val="20"/>
                <w:color w:val="auto"/>
              </w:rPr>
            </w:pPr>
            <w:r>
              <w:rPr>
                <w:rFonts w:ascii="Arial" w:cs="Arial" w:eastAsia="Arial" w:hAnsi="Arial"/>
                <w:sz w:val="18"/>
                <w:szCs w:val="18"/>
                <w:color w:val="auto"/>
              </w:rPr>
              <w:t>7.1</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(e)</w:t>
            </w:r>
          </w:p>
        </w:tc>
        <w:tc>
          <w:tcPr>
            <w:tcW w:w="3740" w:type="dxa"/>
            <w:vAlign w:val="bottom"/>
          </w:tcPr>
          <w:p>
            <w:pPr>
              <w:ind w:left="2660"/>
              <w:spacing w:after="0"/>
              <w:rPr>
                <w:sz w:val="20"/>
                <w:szCs w:val="20"/>
                <w:color w:val="auto"/>
              </w:rPr>
            </w:pPr>
            <w:r>
              <w:rPr>
                <w:rFonts w:ascii="Arial" w:cs="Arial" w:eastAsia="Arial" w:hAnsi="Arial"/>
                <w:sz w:val="18"/>
                <w:szCs w:val="18"/>
                <w:color w:val="auto"/>
              </w:rPr>
              <w:t>6.14</w:t>
            </w: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§316(a)</w:t>
            </w:r>
          </w:p>
        </w:tc>
        <w:tc>
          <w:tcPr>
            <w:tcW w:w="3740" w:type="dxa"/>
            <w:vAlign w:val="bottom"/>
          </w:tcPr>
          <w:p>
            <w:pPr>
              <w:ind w:left="2660"/>
              <w:spacing w:after="0"/>
              <w:rPr>
                <w:sz w:val="20"/>
                <w:szCs w:val="20"/>
                <w:color w:val="auto"/>
              </w:rPr>
            </w:pPr>
            <w:r>
              <w:rPr>
                <w:rFonts w:ascii="Arial" w:cs="Arial" w:eastAsia="Arial" w:hAnsi="Arial"/>
                <w:sz w:val="18"/>
                <w:szCs w:val="18"/>
                <w:color w:val="auto"/>
              </w:rPr>
              <w:t>2.10</w:t>
            </w:r>
          </w:p>
        </w:tc>
      </w:tr>
      <w:tr>
        <w:trPr>
          <w:trHeight w:val="365"/>
        </w:trPr>
        <w:tc>
          <w:tcPr>
            <w:tcW w:w="5380" w:type="dxa"/>
            <w:vAlign w:val="bottom"/>
          </w:tcPr>
          <w:p>
            <w:pPr>
              <w:ind w:left="4620"/>
              <w:spacing w:after="0"/>
              <w:rPr>
                <w:sz w:val="20"/>
                <w:szCs w:val="20"/>
                <w:color w:val="auto"/>
              </w:rPr>
            </w:pPr>
            <w:r>
              <w:rPr>
                <w:rFonts w:ascii="Arial" w:cs="Arial" w:eastAsia="Arial" w:hAnsi="Arial"/>
                <w:sz w:val="18"/>
                <w:szCs w:val="18"/>
                <w:color w:val="auto"/>
              </w:rPr>
              <w:t>- iv -</w:t>
            </w:r>
          </w:p>
        </w:tc>
        <w:tc>
          <w:tcPr>
            <w:tcW w:w="3740" w:type="dxa"/>
            <w:vAlign w:val="bottom"/>
          </w:tcPr>
          <w:p>
            <w:pPr>
              <w:spacing w:after="0"/>
              <w:rPr>
                <w:sz w:val="24"/>
                <w:szCs w:val="24"/>
                <w:color w:val="auto"/>
              </w:rPr>
            </w:pPr>
          </w:p>
        </w:tc>
      </w:tr>
    </w:tbl>
    <w:p>
      <w:pPr>
        <w:sectPr>
          <w:pgSz w:w="11900" w:h="16838" w:orient="portrait"/>
          <w:cols w:equalWidth="0" w:num="1">
            <w:col w:w="9299"/>
          </w:cols>
          <w:pgMar w:left="1160" w:top="274" w:right="1440" w:bottom="1440" w:gutter="0" w:footer="0" w:header="0"/>
        </w:sectPr>
      </w:pPr>
    </w:p>
    <w:bookmarkStart w:id="36" w:name="page37"/>
    <w:bookmarkEnd w:id="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920" w:type="dxa"/>
        <w:tblCellMar>
          <w:top w:w="0" w:type="dxa"/>
          <w:left w:w="0" w:type="dxa"/>
          <w:bottom w:w="0" w:type="dxa"/>
          <w:right w:w="0" w:type="dxa"/>
        </w:tblCellMar>
      </w:tblP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(a)(1)(A)</w:t>
            </w:r>
          </w:p>
        </w:tc>
        <w:tc>
          <w:tcPr>
            <w:tcW w:w="4520" w:type="dxa"/>
            <w:vAlign w:val="bottom"/>
          </w:tcPr>
          <w:p>
            <w:pPr>
              <w:ind w:left="4220"/>
              <w:spacing w:after="0"/>
              <w:rPr>
                <w:sz w:val="20"/>
                <w:szCs w:val="20"/>
                <w:color w:val="auto"/>
              </w:rPr>
            </w:pPr>
            <w:r>
              <w:rPr>
                <w:rFonts w:ascii="Arial" w:cs="Arial" w:eastAsia="Arial" w:hAnsi="Arial"/>
                <w:sz w:val="18"/>
                <w:szCs w:val="18"/>
                <w:color w:val="auto"/>
                <w:w w:val="79"/>
              </w:rPr>
              <w:t>6.12</w:t>
            </w:r>
          </w:p>
        </w:tc>
      </w:tr>
      <w:tr>
        <w:trPr>
          <w:trHeight w:val="324"/>
        </w:trPr>
        <w:tc>
          <w:tcPr>
            <w:tcW w:w="4980" w:type="dxa"/>
            <w:vAlign w:val="bottom"/>
          </w:tcPr>
          <w:p>
            <w:pPr>
              <w:spacing w:after="0"/>
              <w:rPr>
                <w:sz w:val="20"/>
                <w:szCs w:val="20"/>
                <w:color w:val="auto"/>
              </w:rPr>
            </w:pPr>
            <w:r>
              <w:rPr>
                <w:rFonts w:ascii="Arial" w:cs="Arial" w:eastAsia="Arial" w:hAnsi="Arial"/>
                <w:sz w:val="18"/>
                <w:szCs w:val="18"/>
                <w:color w:val="auto"/>
              </w:rPr>
              <w:t>(a)(1)(B)</w:t>
            </w:r>
          </w:p>
        </w:tc>
        <w:tc>
          <w:tcPr>
            <w:tcW w:w="4520" w:type="dxa"/>
            <w:vAlign w:val="bottom"/>
          </w:tcPr>
          <w:p>
            <w:pPr>
              <w:ind w:left="4220"/>
              <w:spacing w:after="0"/>
              <w:rPr>
                <w:sz w:val="20"/>
                <w:szCs w:val="20"/>
                <w:color w:val="auto"/>
              </w:rPr>
            </w:pPr>
            <w:r>
              <w:rPr>
                <w:rFonts w:ascii="Arial" w:cs="Arial" w:eastAsia="Arial" w:hAnsi="Arial"/>
                <w:sz w:val="18"/>
                <w:szCs w:val="18"/>
                <w:color w:val="auto"/>
                <w:w w:val="79"/>
              </w:rPr>
              <w:t>6.13</w:t>
            </w:r>
          </w:p>
        </w:tc>
      </w:tr>
      <w:tr>
        <w:trPr>
          <w:trHeight w:val="324"/>
        </w:trPr>
        <w:tc>
          <w:tcPr>
            <w:tcW w:w="4980" w:type="dxa"/>
            <w:vAlign w:val="bottom"/>
          </w:tcPr>
          <w:p>
            <w:pPr>
              <w:spacing w:after="0"/>
              <w:rPr>
                <w:sz w:val="20"/>
                <w:szCs w:val="20"/>
                <w:color w:val="auto"/>
              </w:rPr>
            </w:pPr>
            <w:r>
              <w:rPr>
                <w:rFonts w:ascii="Arial" w:cs="Arial" w:eastAsia="Arial" w:hAnsi="Arial"/>
                <w:sz w:val="18"/>
                <w:szCs w:val="18"/>
                <w:color w:val="auto"/>
              </w:rPr>
              <w:t>(b)</w:t>
            </w:r>
          </w:p>
        </w:tc>
        <w:tc>
          <w:tcPr>
            <w:tcW w:w="4520" w:type="dxa"/>
            <w:vAlign w:val="bottom"/>
          </w:tcPr>
          <w:p>
            <w:pPr>
              <w:ind w:left="4220"/>
              <w:spacing w:after="0"/>
              <w:rPr>
                <w:sz w:val="20"/>
                <w:szCs w:val="20"/>
                <w:color w:val="auto"/>
              </w:rPr>
            </w:pPr>
            <w:r>
              <w:rPr>
                <w:rFonts w:ascii="Arial" w:cs="Arial" w:eastAsia="Arial" w:hAnsi="Arial"/>
                <w:sz w:val="18"/>
                <w:szCs w:val="18"/>
                <w:color w:val="auto"/>
              </w:rPr>
              <w:t>6.8</w:t>
            </w:r>
          </w:p>
        </w:tc>
      </w:tr>
      <w:tr>
        <w:trPr>
          <w:trHeight w:val="324"/>
        </w:trPr>
        <w:tc>
          <w:tcPr>
            <w:tcW w:w="4980" w:type="dxa"/>
            <w:vAlign w:val="bottom"/>
          </w:tcPr>
          <w:p>
            <w:pPr>
              <w:spacing w:after="0"/>
              <w:rPr>
                <w:sz w:val="20"/>
                <w:szCs w:val="20"/>
                <w:color w:val="auto"/>
              </w:rPr>
            </w:pPr>
            <w:r>
              <w:rPr>
                <w:rFonts w:ascii="Arial" w:cs="Arial" w:eastAsia="Arial" w:hAnsi="Arial"/>
                <w:sz w:val="18"/>
                <w:szCs w:val="18"/>
                <w:color w:val="auto"/>
              </w:rPr>
              <w:t>§317(a)(1)</w:t>
            </w:r>
          </w:p>
        </w:tc>
        <w:tc>
          <w:tcPr>
            <w:tcW w:w="4520" w:type="dxa"/>
            <w:vAlign w:val="bottom"/>
          </w:tcPr>
          <w:p>
            <w:pPr>
              <w:ind w:left="4220"/>
              <w:spacing w:after="0"/>
              <w:rPr>
                <w:sz w:val="20"/>
                <w:szCs w:val="20"/>
                <w:color w:val="auto"/>
              </w:rPr>
            </w:pPr>
            <w:r>
              <w:rPr>
                <w:rFonts w:ascii="Arial" w:cs="Arial" w:eastAsia="Arial" w:hAnsi="Arial"/>
                <w:sz w:val="18"/>
                <w:szCs w:val="18"/>
                <w:color w:val="auto"/>
              </w:rPr>
              <w:t>6.3</w:t>
            </w:r>
          </w:p>
        </w:tc>
      </w:tr>
      <w:tr>
        <w:trPr>
          <w:trHeight w:val="324"/>
        </w:trPr>
        <w:tc>
          <w:tcPr>
            <w:tcW w:w="4980" w:type="dxa"/>
            <w:vAlign w:val="bottom"/>
          </w:tcPr>
          <w:p>
            <w:pPr>
              <w:spacing w:after="0"/>
              <w:rPr>
                <w:sz w:val="20"/>
                <w:szCs w:val="20"/>
                <w:color w:val="auto"/>
              </w:rPr>
            </w:pPr>
            <w:r>
              <w:rPr>
                <w:rFonts w:ascii="Arial" w:cs="Arial" w:eastAsia="Arial" w:hAnsi="Arial"/>
                <w:sz w:val="18"/>
                <w:szCs w:val="18"/>
                <w:color w:val="auto"/>
              </w:rPr>
              <w:t>(a)(2)</w:t>
            </w:r>
          </w:p>
        </w:tc>
        <w:tc>
          <w:tcPr>
            <w:tcW w:w="4520" w:type="dxa"/>
            <w:vAlign w:val="bottom"/>
          </w:tcPr>
          <w:p>
            <w:pPr>
              <w:ind w:left="4220"/>
              <w:spacing w:after="0"/>
              <w:rPr>
                <w:sz w:val="20"/>
                <w:szCs w:val="20"/>
                <w:color w:val="auto"/>
              </w:rPr>
            </w:pPr>
            <w:r>
              <w:rPr>
                <w:rFonts w:ascii="Arial" w:cs="Arial" w:eastAsia="Arial" w:hAnsi="Arial"/>
                <w:sz w:val="18"/>
                <w:szCs w:val="18"/>
                <w:color w:val="auto"/>
              </w:rPr>
              <w:t>6.4</w:t>
            </w:r>
          </w:p>
        </w:tc>
      </w:tr>
      <w:tr>
        <w:trPr>
          <w:trHeight w:val="324"/>
        </w:trPr>
        <w:tc>
          <w:tcPr>
            <w:tcW w:w="4980" w:type="dxa"/>
            <w:vAlign w:val="bottom"/>
          </w:tcPr>
          <w:p>
            <w:pPr>
              <w:spacing w:after="0"/>
              <w:rPr>
                <w:sz w:val="20"/>
                <w:szCs w:val="20"/>
                <w:color w:val="auto"/>
              </w:rPr>
            </w:pPr>
            <w:r>
              <w:rPr>
                <w:rFonts w:ascii="Arial" w:cs="Arial" w:eastAsia="Arial" w:hAnsi="Arial"/>
                <w:sz w:val="18"/>
                <w:szCs w:val="18"/>
                <w:color w:val="auto"/>
              </w:rPr>
              <w:t>(b)</w:t>
            </w:r>
          </w:p>
        </w:tc>
        <w:tc>
          <w:tcPr>
            <w:tcW w:w="4520" w:type="dxa"/>
            <w:vAlign w:val="bottom"/>
          </w:tcPr>
          <w:p>
            <w:pPr>
              <w:ind w:left="4220"/>
              <w:spacing w:after="0"/>
              <w:rPr>
                <w:sz w:val="20"/>
                <w:szCs w:val="20"/>
                <w:color w:val="auto"/>
              </w:rPr>
            </w:pPr>
            <w:r>
              <w:rPr>
                <w:rFonts w:ascii="Arial" w:cs="Arial" w:eastAsia="Arial" w:hAnsi="Arial"/>
                <w:sz w:val="18"/>
                <w:szCs w:val="18"/>
                <w:color w:val="auto"/>
              </w:rPr>
              <w:t>2.5</w:t>
            </w:r>
          </w:p>
        </w:tc>
      </w:tr>
      <w:tr>
        <w:trPr>
          <w:trHeight w:val="324"/>
        </w:trPr>
        <w:tc>
          <w:tcPr>
            <w:tcW w:w="4980" w:type="dxa"/>
            <w:vAlign w:val="bottom"/>
          </w:tcPr>
          <w:p>
            <w:pPr>
              <w:spacing w:after="0"/>
              <w:rPr>
                <w:sz w:val="20"/>
                <w:szCs w:val="20"/>
                <w:color w:val="auto"/>
              </w:rPr>
            </w:pPr>
            <w:r>
              <w:rPr>
                <w:rFonts w:ascii="Arial" w:cs="Arial" w:eastAsia="Arial" w:hAnsi="Arial"/>
                <w:sz w:val="18"/>
                <w:szCs w:val="18"/>
                <w:color w:val="auto"/>
              </w:rPr>
              <w:t>§318(a)</w:t>
            </w:r>
          </w:p>
        </w:tc>
        <w:tc>
          <w:tcPr>
            <w:tcW w:w="4520" w:type="dxa"/>
            <w:vAlign w:val="bottom"/>
          </w:tcPr>
          <w:p>
            <w:pPr>
              <w:ind w:left="4220"/>
              <w:spacing w:after="0"/>
              <w:rPr>
                <w:sz w:val="20"/>
                <w:szCs w:val="20"/>
                <w:color w:val="auto"/>
              </w:rPr>
            </w:pPr>
            <w:r>
              <w:rPr>
                <w:rFonts w:ascii="Arial" w:cs="Arial" w:eastAsia="Arial" w:hAnsi="Arial"/>
                <w:sz w:val="18"/>
                <w:szCs w:val="18"/>
                <w:color w:val="auto"/>
                <w:w w:val="79"/>
              </w:rPr>
              <w:t>10.1</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v -</w:t>
      </w:r>
    </w:p>
    <w:p>
      <w:pPr>
        <w:sectPr>
          <w:pgSz w:w="11900" w:h="16838" w:orient="portrait"/>
          <w:cols w:equalWidth="0" w:num="1">
            <w:col w:w="10420"/>
          </w:cols>
          <w:pgMar w:left="240" w:top="280" w:right="1239" w:bottom="1440" w:gutter="0" w:footer="0" w:header="0"/>
        </w:sectPr>
      </w:pPr>
    </w:p>
    <w:bookmarkStart w:id="37" w:name="page38"/>
    <w:bookmarkEnd w:id="37"/>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 2012 between Analog Devices, Inc., a Massachusetts corporation (“Company”), and The Bank of New York Mellon Trust Company, N.A., a national banking association (“Trustee”).</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 BY REFERENCE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“Affiliate” </w:t>
      </w:r>
      <w:r>
        <w:rPr>
          <w:rFonts w:ascii="Arial" w:cs="Arial" w:eastAsia="Arial" w:hAnsi="Arial"/>
          <w:sz w:val="18"/>
          <w:szCs w:val="18"/>
          <w:color w:val="auto"/>
        </w:rPr>
        <w:t>of any specified person means any other person directly or indirectly controlling or controlled by or under common control with such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“Agent” </w:t>
      </w:r>
      <w:r>
        <w:rPr>
          <w:rFonts w:ascii="Arial" w:cs="Arial" w:eastAsia="Arial" w:hAnsi="Arial"/>
          <w:sz w:val="18"/>
          <w:szCs w:val="18"/>
          <w:color w:val="auto"/>
        </w:rPr>
        <w:t>means any Registrar, Paying Agent or Service Agent.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“Board of Directors” </w:t>
      </w:r>
      <w:r>
        <w:rPr>
          <w:rFonts w:ascii="Arial" w:cs="Arial" w:eastAsia="Arial" w:hAnsi="Arial"/>
          <w:sz w:val="18"/>
          <w:szCs w:val="18"/>
          <w:color w:val="auto"/>
        </w:rPr>
        <w:t>means the Board of Directors of the Company.</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“Board Resolution” </w:t>
      </w:r>
      <w:r>
        <w:rPr>
          <w:rFonts w:ascii="Arial" w:cs="Arial" w:eastAsia="Arial" w:hAnsi="Arial"/>
          <w:sz w:val="18"/>
          <w:szCs w:val="18"/>
          <w:color w:val="auto"/>
        </w:rPr>
        <w:t>means a copy of a resolution certified by the Secretary or an Assistant Secretary of the Company to have been adopted by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or any duly authorized committee thereof or pursuant to authorization by the Board of Directors or any duly authorized committee thereof and to be in full force and effect on the date of the certificate and delivered to the Trustee.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unless otherwise provided by Board Resolution, Officers’ Certificate or supplemental indenture hereto for a particular Series, any</w:t>
      </w:r>
      <w:r>
        <w:rPr>
          <w:rFonts w:ascii="Arial" w:cs="Arial" w:eastAsia="Arial" w:hAnsi="Arial"/>
          <w:sz w:val="18"/>
          <w:szCs w:val="18"/>
          <w:i w:val="1"/>
          <w:iCs w:val="1"/>
          <w:color w:val="auto"/>
        </w:rPr>
        <w:t xml:space="preserve"> </w:t>
      </w:r>
      <w:r>
        <w:rPr>
          <w:rFonts w:ascii="Arial" w:cs="Arial" w:eastAsia="Arial" w:hAnsi="Arial"/>
          <w:sz w:val="18"/>
          <w:szCs w:val="18"/>
          <w:color w:val="auto"/>
        </w:rPr>
        <w:t>day except a Saturday, Sunday or a legal holiday in The City of New York on which banking institutions are authorized or required by law, regulation or executive order to close.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“Capital Stock” </w:t>
      </w:r>
      <w:r>
        <w:rPr>
          <w:rFonts w:ascii="Arial" w:cs="Arial" w:eastAsia="Arial" w:hAnsi="Arial"/>
          <w:sz w:val="18"/>
          <w:szCs w:val="18"/>
          <w:color w:val="auto"/>
        </w:rPr>
        <w:t>means any and all shares, interests, participations, rights or other equivalents (however designated) of corporate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the party named as such above until a successor replaces it and thereafter means the successor.</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“Company Order” </w:t>
      </w:r>
      <w:r>
        <w:rPr>
          <w:rFonts w:ascii="Arial" w:cs="Arial" w:eastAsia="Arial" w:hAnsi="Arial"/>
          <w:sz w:val="18"/>
          <w:szCs w:val="18"/>
          <w:color w:val="auto"/>
        </w:rPr>
        <w:t>means a written order signed in the name of the Company by two Officers, one of whom must be the Company’s principal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principal financial officer or principal accounting officer.</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“Company Request” </w:t>
      </w:r>
      <w:r>
        <w:rPr>
          <w:rFonts w:ascii="Arial" w:cs="Arial" w:eastAsia="Arial" w:hAnsi="Arial"/>
          <w:sz w:val="18"/>
          <w:szCs w:val="18"/>
          <w:color w:val="auto"/>
        </w:rPr>
        <w:t>means a written request signed in the name of the Company by its Chief Executive Officer, the President or a Vice President, and by</w:t>
      </w:r>
      <w:r>
        <w:rPr>
          <w:rFonts w:ascii="Arial" w:cs="Arial" w:eastAsia="Arial" w:hAnsi="Arial"/>
          <w:sz w:val="18"/>
          <w:szCs w:val="18"/>
          <w:i w:val="1"/>
          <w:iCs w:val="1"/>
          <w:color w:val="auto"/>
        </w:rPr>
        <w:t xml:space="preserve"> </w:t>
      </w:r>
      <w:r>
        <w:rPr>
          <w:rFonts w:ascii="Arial" w:cs="Arial" w:eastAsia="Arial" w:hAnsi="Arial"/>
          <w:sz w:val="18"/>
          <w:szCs w:val="18"/>
          <w:color w:val="auto"/>
        </w:rPr>
        <w:t>its Treasurer, an Assistant Treasurer, its Secretary or an Assistant Secretary, and delivered to the Trustee.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“Corporate Trust Office” </w:t>
      </w:r>
      <w:r>
        <w:rPr>
          <w:rFonts w:ascii="Arial" w:cs="Arial" w:eastAsia="Arial" w:hAnsi="Arial"/>
          <w:sz w:val="16"/>
          <w:szCs w:val="16"/>
          <w:color w:val="auto"/>
        </w:rPr>
        <w:t>means the office of the Trustee at which at any particular time its corporate trust business shall be principally administered.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“Default” </w:t>
      </w:r>
      <w:r>
        <w:rPr>
          <w:rFonts w:ascii="Arial" w:cs="Arial" w:eastAsia="Arial" w:hAnsi="Arial"/>
          <w:sz w:val="18"/>
          <w:szCs w:val="18"/>
          <w:color w:val="auto"/>
        </w:rPr>
        <w:t>means any event which is, or after notice or passage of time or both would be, an Event of Default.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280" w:right="239" w:bottom="1440" w:gutter="0" w:footer="0" w:header="0"/>
        </w:sectPr>
      </w:pPr>
    </w:p>
    <w:bookmarkStart w:id="38" w:name="page39"/>
    <w:bookmarkEnd w:id="38"/>
    <w:p>
      <w:pPr>
        <w:ind w:right="80" w:firstLine="456"/>
        <w:spacing w:after="0" w:line="25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“Depositary” </w:t>
      </w:r>
      <w:r>
        <w:rPr>
          <w:rFonts w:ascii="Arial" w:cs="Arial" w:eastAsia="Arial" w:hAnsi="Arial"/>
          <w:sz w:val="18"/>
          <w:szCs w:val="18"/>
          <w:color w:val="auto"/>
        </w:rPr>
        <w:t>means, with respect to the Securities of any Series issuable or issued in whole or in part in the form of one or more Global Securities,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“Discount Security” </w:t>
      </w:r>
      <w:r>
        <w:rPr>
          <w:rFonts w:ascii="Arial" w:cs="Arial" w:eastAsia="Arial" w:hAnsi="Arial"/>
          <w:sz w:val="18"/>
          <w:szCs w:val="18"/>
          <w:color w:val="auto"/>
        </w:rPr>
        <w:t>means any Security that provides for an amount less than the stated principal amount thereof to be due and payable upon declaration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acceleration of the maturity thereof pursuant to Section 6.2.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“Dollars” </w:t>
      </w:r>
      <w:r>
        <w:rPr>
          <w:rFonts w:ascii="Arial" w:cs="Arial" w:eastAsia="Arial" w:hAnsi="Arial"/>
          <w:sz w:val="18"/>
          <w:szCs w:val="18"/>
          <w:color w:val="auto"/>
        </w:rPr>
        <w:t>and</w:t>
      </w:r>
      <w:r>
        <w:rPr>
          <w:rFonts w:ascii="Arial" w:cs="Arial" w:eastAsia="Arial" w:hAnsi="Arial"/>
          <w:sz w:val="18"/>
          <w:szCs w:val="18"/>
          <w:i w:val="1"/>
          <w:iCs w:val="1"/>
          <w:color w:val="auto"/>
        </w:rPr>
        <w:t xml:space="preserve"> “$” </w:t>
      </w:r>
      <w:r>
        <w:rPr>
          <w:rFonts w:ascii="Arial" w:cs="Arial" w:eastAsia="Arial" w:hAnsi="Arial"/>
          <w:sz w:val="18"/>
          <w:szCs w:val="18"/>
          <w:color w:val="auto"/>
        </w:rPr>
        <w:t>means the currency of The United States of America.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“Foreign Currency” </w:t>
      </w:r>
      <w:r>
        <w:rPr>
          <w:rFonts w:ascii="Arial" w:cs="Arial" w:eastAsia="Arial" w:hAnsi="Arial"/>
          <w:sz w:val="16"/>
          <w:szCs w:val="16"/>
          <w:color w:val="auto"/>
        </w:rPr>
        <w:t>means any currency or currency unit issued by a government other than the government of The United States of America.</w:t>
      </w:r>
    </w:p>
    <w:p>
      <w:pPr>
        <w:spacing w:after="0" w:line="194"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“Foreign Government Obligations” </w:t>
      </w:r>
      <w:r>
        <w:rPr>
          <w:rFonts w:ascii="Arial" w:cs="Arial" w:eastAsia="Arial" w:hAnsi="Arial"/>
          <w:sz w:val="16"/>
          <w:szCs w:val="16"/>
          <w:color w:val="auto"/>
        </w:rPr>
        <w:t>means, with respect to Securities of any Series that are denominated in a Foreign Currency, (i) direct obligations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that issued or caused to be issued such 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113"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i w:val="1"/>
          <w:iCs w:val="1"/>
          <w:color w:val="auto"/>
        </w:rPr>
        <w:t xml:space="preserve">“GAAP” </w:t>
      </w:r>
      <w:r>
        <w:rPr>
          <w:rFonts w:ascii="Arial" w:cs="Arial" w:eastAsia="Arial" w:hAnsi="Arial"/>
          <w:sz w:val="15"/>
          <w:szCs w:val="15"/>
          <w:color w:val="auto"/>
        </w:rPr>
        <w:t>means generally accepted accounting principles set forth in the opinions and pronouncements of the Accounting Principles Board of the</w:t>
      </w:r>
      <w:r>
        <w:rPr>
          <w:rFonts w:ascii="Arial" w:cs="Arial" w:eastAsia="Arial" w:hAnsi="Arial"/>
          <w:sz w:val="15"/>
          <w:szCs w:val="15"/>
          <w:i w:val="1"/>
          <w:iCs w:val="1"/>
          <w:color w:val="auto"/>
        </w:rPr>
        <w:t xml:space="preserve"> </w:t>
      </w:r>
      <w:r>
        <w:rPr>
          <w:rFonts w:ascii="Arial" w:cs="Arial" w:eastAsia="Arial" w:hAnsi="Arial"/>
          <w:sz w:val="15"/>
          <w:szCs w:val="15"/>
          <w:color w:val="auto"/>
        </w:rPr>
        <w:t>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8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i w:val="1"/>
          <w:iCs w:val="1"/>
          <w:color w:val="auto"/>
        </w:rPr>
        <w:t xml:space="preserve">“Global Security” </w:t>
      </w:r>
      <w:r>
        <w:rPr>
          <w:rFonts w:ascii="Arial" w:cs="Arial" w:eastAsia="Arial" w:hAnsi="Arial"/>
          <w:sz w:val="16"/>
          <w:szCs w:val="16"/>
          <w:color w:val="auto"/>
        </w:rPr>
        <w:t>or</w:t>
      </w:r>
      <w:r>
        <w:rPr>
          <w:rFonts w:ascii="Arial" w:cs="Arial" w:eastAsia="Arial" w:hAnsi="Arial"/>
          <w:sz w:val="16"/>
          <w:szCs w:val="16"/>
          <w:i w:val="1"/>
          <w:iCs w:val="1"/>
          <w:color w:val="auto"/>
        </w:rPr>
        <w:t xml:space="preserve"> “Global Securities” </w:t>
      </w:r>
      <w:r>
        <w:rPr>
          <w:rFonts w:ascii="Arial" w:cs="Arial" w:eastAsia="Arial" w:hAnsi="Arial"/>
          <w:sz w:val="16"/>
          <w:szCs w:val="16"/>
          <w:color w:val="auto"/>
        </w:rPr>
        <w:t>means a Security or Securities, as the case may be, in the form established pursuant to Section 2.2 evidencing all</w:t>
      </w:r>
      <w:r>
        <w:rPr>
          <w:rFonts w:ascii="Arial" w:cs="Arial" w:eastAsia="Arial" w:hAnsi="Arial"/>
          <w:sz w:val="16"/>
          <w:szCs w:val="16"/>
          <w:i w:val="1"/>
          <w:iCs w:val="1"/>
          <w:color w:val="auto"/>
        </w:rPr>
        <w:t xml:space="preserve"> </w:t>
      </w:r>
      <w:r>
        <w:rPr>
          <w:rFonts w:ascii="Arial" w:cs="Arial" w:eastAsia="Arial" w:hAnsi="Arial"/>
          <w:sz w:val="16"/>
          <w:szCs w:val="16"/>
          <w:color w:val="auto"/>
        </w:rPr>
        <w:t>or part of a Series of Securities, issued to the Depositary for such Series or its nominee, and registered in the name of such Depositary or nominee.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“Holder” </w:t>
      </w:r>
      <w:r>
        <w:rPr>
          <w:rFonts w:ascii="Arial" w:cs="Arial" w:eastAsia="Arial" w:hAnsi="Arial"/>
          <w:sz w:val="18"/>
          <w:szCs w:val="18"/>
          <w:color w:val="auto"/>
        </w:rPr>
        <w:t>or</w:t>
      </w:r>
      <w:r>
        <w:rPr>
          <w:rFonts w:ascii="Arial" w:cs="Arial" w:eastAsia="Arial" w:hAnsi="Arial"/>
          <w:sz w:val="18"/>
          <w:szCs w:val="18"/>
          <w:i w:val="1"/>
          <w:iCs w:val="1"/>
          <w:color w:val="auto"/>
        </w:rPr>
        <w:t xml:space="preserve"> “Securityholder” </w:t>
      </w:r>
      <w:r>
        <w:rPr>
          <w:rFonts w:ascii="Arial" w:cs="Arial" w:eastAsia="Arial" w:hAnsi="Arial"/>
          <w:sz w:val="18"/>
          <w:szCs w:val="18"/>
          <w:color w:val="auto"/>
        </w:rPr>
        <w:t>means a person in whose name a Security is registered.</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i w:val="1"/>
          <w:iCs w:val="1"/>
          <w:color w:val="auto"/>
        </w:rPr>
        <w:t xml:space="preserve">“Indenture” </w:t>
      </w:r>
      <w:r>
        <w:rPr>
          <w:rFonts w:ascii="Arial" w:cs="Arial" w:eastAsia="Arial" w:hAnsi="Arial"/>
          <w:sz w:val="18"/>
          <w:szCs w:val="18"/>
          <w:color w:val="auto"/>
        </w:rPr>
        <w:t>means this Indenture as amended or supplemented from time to time and shall include the form and terms of particular Series of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as contemplated hereunder.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with respect to any Discount Security which by its terms bears interest only after Maturity, means interest payable after Maturity.</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“Maturity” </w:t>
      </w:r>
      <w:r>
        <w:rPr>
          <w:rFonts w:ascii="Arial" w:cs="Arial" w:eastAsia="Arial" w:hAnsi="Arial"/>
          <w:sz w:val="18"/>
          <w:szCs w:val="18"/>
          <w:color w:val="auto"/>
        </w:rPr>
        <w:t>when used with respect to any Security, means the date on which the principal of such Security becomes due and payable as therein or herein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whether at the Stated Maturity or by declaration of acceleration, call for redemption or otherwise.</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“Officer” </w:t>
      </w:r>
      <w:r>
        <w:rPr>
          <w:rFonts w:ascii="Arial" w:cs="Arial" w:eastAsia="Arial" w:hAnsi="Arial"/>
          <w:sz w:val="18"/>
          <w:szCs w:val="18"/>
          <w:color w:val="auto"/>
        </w:rPr>
        <w:t>means the Chief Executive Officer, President, any Vice President, the Treasurer, the Secretary, any Assistant Treasurer or any Assistant Secretary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 xml:space="preserve">“Officers’ Certificate” </w:t>
      </w:r>
      <w:r>
        <w:rPr>
          <w:rFonts w:ascii="Arial" w:cs="Arial" w:eastAsia="Arial" w:hAnsi="Arial"/>
          <w:sz w:val="18"/>
          <w:szCs w:val="18"/>
          <w:color w:val="auto"/>
        </w:rPr>
        <w:t>means a certificate signed by two Officers, one of whom must be the Company’s principal executive officer, principal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or principal accounting officer.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80" w:right="239" w:bottom="1440" w:gutter="0" w:footer="0" w:header="0"/>
        </w:sectPr>
      </w:pPr>
    </w:p>
    <w:bookmarkStart w:id="39" w:name="page40"/>
    <w:bookmarkEnd w:id="39"/>
    <w:p>
      <w:pPr>
        <w:ind w:right="300" w:firstLine="456"/>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“Opinion of Counsel” </w:t>
      </w:r>
      <w:r>
        <w:rPr>
          <w:rFonts w:ascii="Arial" w:cs="Arial" w:eastAsia="Arial" w:hAnsi="Arial"/>
          <w:sz w:val="18"/>
          <w:szCs w:val="18"/>
          <w:color w:val="auto"/>
        </w:rPr>
        <w:t>means a written opinion of legal counsel who is acceptable to the Trustee. The counsel may be an employee of or counsel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means any individual, corporation, partnership, joint venture, association, limited liability company, joint-stock company, trust, unincorporated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or government or any agency or political subdivision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“principal” </w:t>
      </w:r>
      <w:r>
        <w:rPr>
          <w:rFonts w:ascii="Arial" w:cs="Arial" w:eastAsia="Arial" w:hAnsi="Arial"/>
          <w:sz w:val="18"/>
          <w:szCs w:val="18"/>
          <w:color w:val="auto"/>
        </w:rPr>
        <w:t>of a Security means the principal of the Security plus, when appropriate, the premium, if any, on the Security.</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 xml:space="preserve">“Responsible Officer” </w:t>
      </w:r>
      <w:r>
        <w:rPr>
          <w:rFonts w:ascii="Arial" w:cs="Arial" w:eastAsia="Arial" w:hAnsi="Arial"/>
          <w:sz w:val="18"/>
          <w:szCs w:val="18"/>
          <w:color w:val="auto"/>
        </w:rPr>
        <w:t>means any officer of the Trustee in its Corporate Trust Office having direct responsibility for the administration of this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also means, with respect to a particular corporate trust matter, any other officer to whom any corporate trust matter is referred because of his or her knowledge of and familiarity with a particular subject.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 </w:t>
      </w:r>
      <w:r>
        <w:rPr>
          <w:rFonts w:ascii="Arial" w:cs="Arial" w:eastAsia="Arial" w:hAnsi="Arial"/>
          <w:sz w:val="18"/>
          <w:szCs w:val="18"/>
          <w:color w:val="auto"/>
        </w:rPr>
        <w:t>means the United States Securities and Exchange Commission.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“Securities” </w:t>
      </w:r>
      <w:r>
        <w:rPr>
          <w:rFonts w:ascii="Arial" w:cs="Arial" w:eastAsia="Arial" w:hAnsi="Arial"/>
          <w:sz w:val="16"/>
          <w:szCs w:val="16"/>
          <w:color w:val="auto"/>
        </w:rPr>
        <w:t>means the debentures, notes or other debt instruments of the Company of any Series authenticated and delivered under this Indenture.</w:t>
      </w:r>
    </w:p>
    <w:p>
      <w:pPr>
        <w:spacing w:after="0" w:line="19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“Series” </w:t>
      </w:r>
      <w:r>
        <w:rPr>
          <w:rFonts w:ascii="Arial" w:cs="Arial" w:eastAsia="Arial" w:hAnsi="Arial"/>
          <w:sz w:val="18"/>
          <w:szCs w:val="18"/>
          <w:color w:val="auto"/>
        </w:rPr>
        <w:t>or</w:t>
      </w:r>
      <w:r>
        <w:rPr>
          <w:rFonts w:ascii="Arial" w:cs="Arial" w:eastAsia="Arial" w:hAnsi="Arial"/>
          <w:sz w:val="18"/>
          <w:szCs w:val="18"/>
          <w:i w:val="1"/>
          <w:iCs w:val="1"/>
          <w:color w:val="auto"/>
        </w:rPr>
        <w:t xml:space="preserve"> “Series of Securities” </w:t>
      </w:r>
      <w:r>
        <w:rPr>
          <w:rFonts w:ascii="Arial" w:cs="Arial" w:eastAsia="Arial" w:hAnsi="Arial"/>
          <w:sz w:val="18"/>
          <w:szCs w:val="18"/>
          <w:color w:val="auto"/>
        </w:rPr>
        <w:t>means each series of debentures, notes or other debt instruments of the Company created pursuant to Sections 2.1 and</w:t>
      </w:r>
      <w:r>
        <w:rPr>
          <w:rFonts w:ascii="Arial" w:cs="Arial" w:eastAsia="Arial" w:hAnsi="Arial"/>
          <w:sz w:val="18"/>
          <w:szCs w:val="18"/>
          <w:i w:val="1"/>
          <w:iCs w:val="1"/>
          <w:color w:val="auto"/>
        </w:rPr>
        <w:t xml:space="preserve"> </w:t>
      </w:r>
      <w:r>
        <w:rPr>
          <w:rFonts w:ascii="Arial" w:cs="Arial" w:eastAsia="Arial" w:hAnsi="Arial"/>
          <w:sz w:val="18"/>
          <w:szCs w:val="18"/>
          <w:color w:val="auto"/>
        </w:rPr>
        <w:t>2.2 hereof.</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 xml:space="preserve">“Stated Maturity” </w:t>
      </w:r>
      <w:r>
        <w:rPr>
          <w:rFonts w:ascii="Arial" w:cs="Arial" w:eastAsia="Arial" w:hAnsi="Arial"/>
          <w:sz w:val="18"/>
          <w:szCs w:val="18"/>
          <w:color w:val="auto"/>
        </w:rPr>
        <w:t>when used with respect to any Security, means the date specified in such Security as the fixed date on which the principal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or interest is due and payable.</w:t>
      </w:r>
    </w:p>
    <w:p>
      <w:pPr>
        <w:spacing w:after="0" w:line="132"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of any specified person means any corporation, association or other business entity of which more than 50% of the total voting power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0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i w:val="1"/>
          <w:iCs w:val="1"/>
          <w:color w:val="auto"/>
        </w:rPr>
        <w:t xml:space="preserve">“TIA” </w:t>
      </w:r>
      <w:r>
        <w:rPr>
          <w:rFonts w:ascii="Arial" w:cs="Arial" w:eastAsia="Arial" w:hAnsi="Arial"/>
          <w:sz w:val="18"/>
          <w:szCs w:val="18"/>
          <w:color w:val="auto"/>
        </w:rPr>
        <w:t>means the Trust Indenture Act of 1939 (15 U.S. Code §§ 77aaa-77bbbb) as in effect on the date of this Indenture; provided, however, that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event the Trust Indenture Act of 1939 is amended after such date, “TIA” means, to the extent required by any such amendment, the Trust Indenture Act as so amended.</w:t>
      </w:r>
    </w:p>
    <w:p>
      <w:pPr>
        <w:spacing w:after="0" w:line="14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i w:val="1"/>
          <w:iCs w:val="1"/>
          <w:color w:val="auto"/>
        </w:rPr>
        <w:t xml:space="preserve">“Trustee” </w:t>
      </w:r>
      <w:r>
        <w:rPr>
          <w:rFonts w:ascii="Arial" w:cs="Arial" w:eastAsia="Arial" w:hAnsi="Arial"/>
          <w:sz w:val="15"/>
          <w:szCs w:val="15"/>
          <w:color w:val="auto"/>
        </w:rPr>
        <w:t>means the person named as the “Trustee” in the first paragraph of this instrument until a successor Trustee shall have become such pursuant to</w:t>
      </w:r>
      <w:r>
        <w:rPr>
          <w:rFonts w:ascii="Arial" w:cs="Arial" w:eastAsia="Arial" w:hAnsi="Arial"/>
          <w:sz w:val="15"/>
          <w:szCs w:val="15"/>
          <w:i w:val="1"/>
          <w:iCs w:val="1"/>
          <w:color w:val="auto"/>
        </w:rPr>
        <w:t xml:space="preserve"> </w:t>
      </w:r>
      <w:r>
        <w:rPr>
          <w:rFonts w:ascii="Arial" w:cs="Arial" w:eastAsia="Arial" w:hAnsi="Arial"/>
          <w:sz w:val="15"/>
          <w:szCs w:val="15"/>
          <w:color w:val="auto"/>
        </w:rPr>
        <w:t>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8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xml:space="preserve"> 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60"/>
          </w:cols>
          <w:pgMar w:left="240" w:top="280" w:right="29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 </w:t>
      </w:r>
      <w:r>
        <w:rPr>
          <w:rFonts w:ascii="Arial" w:cs="Arial" w:eastAsia="Arial" w:hAnsi="Arial"/>
          <w:sz w:val="18"/>
          <w:szCs w:val="18"/>
          <w:u w:val="single" w:color="auto"/>
          <w:color w:val="auto"/>
        </w:rPr>
        <w:t>Other Definitions</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920" w:type="dxa"/>
            <w:vAlign w:val="bottom"/>
            <w:gridSpan w:val="2"/>
          </w:tcPr>
          <w:p>
            <w:pPr>
              <w:jc w:val="center"/>
              <w:ind w:left="2235"/>
              <w:spacing w:after="0"/>
              <w:rPr>
                <w:sz w:val="20"/>
                <w:szCs w:val="20"/>
                <w:color w:val="auto"/>
              </w:rPr>
            </w:pPr>
            <w:r>
              <w:rPr>
                <w:rFonts w:ascii="Arial" w:cs="Arial" w:eastAsia="Arial" w:hAnsi="Arial"/>
                <w:sz w:val="14"/>
                <w:szCs w:val="14"/>
                <w:color w:val="auto"/>
                <w:w w:val="91"/>
              </w:rPr>
              <w:t>DEFINED</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color w:val="auto"/>
                <w:w w:val="95"/>
              </w:rPr>
              <w:t>TERM</w:t>
            </w:r>
          </w:p>
        </w:tc>
        <w:tc>
          <w:tcPr>
            <w:tcW w:w="4440" w:type="dxa"/>
            <w:vAlign w:val="bottom"/>
            <w:vMerge w:val="restart"/>
          </w:tcPr>
          <w:p>
            <w:pPr>
              <w:spacing w:after="0"/>
              <w:rPr>
                <w:sz w:val="12"/>
                <w:szCs w:val="12"/>
                <w:color w:val="auto"/>
              </w:rPr>
            </w:pPr>
          </w:p>
        </w:tc>
        <w:tc>
          <w:tcPr>
            <w:tcW w:w="23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rPr>
              <w:t>IN</w:t>
            </w:r>
          </w:p>
        </w:tc>
        <w:tc>
          <w:tcPr>
            <w:tcW w:w="0" w:type="dxa"/>
            <w:vAlign w:val="bottom"/>
          </w:tcPr>
          <w:p>
            <w:pPr>
              <w:spacing w:after="0"/>
              <w:rPr>
                <w:sz w:val="1"/>
                <w:szCs w:val="1"/>
                <w:color w:val="auto"/>
              </w:rPr>
            </w:pPr>
          </w:p>
        </w:tc>
      </w:tr>
      <w:tr>
        <w:trPr>
          <w:trHeight w:val="166"/>
        </w:trPr>
        <w:tc>
          <w:tcPr>
            <w:tcW w:w="400" w:type="dxa"/>
            <w:vAlign w:val="bottom"/>
            <w:tcBorders>
              <w:bottom w:val="single" w:sz="8" w:color="auto"/>
            </w:tcBorders>
            <w:vMerge w:val="continue"/>
          </w:tcPr>
          <w:p>
            <w:pPr>
              <w:spacing w:after="0"/>
              <w:rPr>
                <w:sz w:val="14"/>
                <w:szCs w:val="14"/>
                <w:color w:val="auto"/>
              </w:rPr>
            </w:pPr>
          </w:p>
        </w:tc>
        <w:tc>
          <w:tcPr>
            <w:tcW w:w="4440" w:type="dxa"/>
            <w:vAlign w:val="bottom"/>
            <w:vMerge w:val="continue"/>
          </w:tcPr>
          <w:p>
            <w:pPr>
              <w:spacing w:after="0"/>
              <w:rPr>
                <w:sz w:val="14"/>
                <w:szCs w:val="14"/>
                <w:color w:val="auto"/>
              </w:rPr>
            </w:pPr>
          </w:p>
        </w:tc>
        <w:tc>
          <w:tcPr>
            <w:tcW w:w="2920" w:type="dxa"/>
            <w:vAlign w:val="bottom"/>
            <w:gridSpan w:val="2"/>
          </w:tcPr>
          <w:p>
            <w:pPr>
              <w:jc w:val="center"/>
              <w:ind w:left="2235"/>
              <w:spacing w:after="0" w:line="146" w:lineRule="exact"/>
              <w:rPr>
                <w:sz w:val="20"/>
                <w:szCs w:val="20"/>
                <w:color w:val="auto"/>
              </w:rPr>
            </w:pPr>
            <w:r>
              <w:rPr>
                <w:rFonts w:ascii="Arial" w:cs="Arial" w:eastAsia="Arial" w:hAnsi="Arial"/>
                <w:sz w:val="14"/>
                <w:szCs w:val="14"/>
                <w:color w:val="auto"/>
                <w:w w:val="89"/>
              </w:rPr>
              <w:t>SECTION</w:t>
            </w:r>
          </w:p>
        </w:tc>
        <w:tc>
          <w:tcPr>
            <w:tcW w:w="0" w:type="dxa"/>
            <w:vAlign w:val="bottom"/>
          </w:tcPr>
          <w:p>
            <w:pPr>
              <w:spacing w:after="0"/>
              <w:rPr>
                <w:sz w:val="1"/>
                <w:szCs w:val="1"/>
                <w:color w:val="auto"/>
              </w:rPr>
            </w:pPr>
          </w:p>
        </w:tc>
      </w:tr>
      <w:tr>
        <w:trPr>
          <w:trHeight w:val="195"/>
        </w:trPr>
        <w:tc>
          <w:tcPr>
            <w:tcW w:w="484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rPr>
              <w:t>“Bankruptcy Law”</w:t>
            </w:r>
          </w:p>
        </w:tc>
        <w:tc>
          <w:tcPr>
            <w:tcW w:w="2340" w:type="dxa"/>
            <w:vAlign w:val="bottom"/>
          </w:tcPr>
          <w:p>
            <w:pPr>
              <w:spacing w:after="0"/>
              <w:rPr>
                <w:sz w:val="16"/>
                <w:szCs w:val="16"/>
                <w:color w:val="auto"/>
              </w:rPr>
            </w:pPr>
          </w:p>
        </w:tc>
        <w:tc>
          <w:tcPr>
            <w:tcW w:w="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6.1</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“Custodian”</w:t>
            </w:r>
          </w:p>
        </w:tc>
        <w:tc>
          <w:tcPr>
            <w:tcW w:w="2920" w:type="dxa"/>
            <w:vAlign w:val="bottom"/>
            <w:gridSpan w:val="2"/>
          </w:tcPr>
          <w:p>
            <w:pPr>
              <w:jc w:val="center"/>
              <w:ind w:left="2235"/>
              <w:spacing w:after="0"/>
              <w:rPr>
                <w:sz w:val="20"/>
                <w:szCs w:val="20"/>
                <w:color w:val="auto"/>
              </w:rPr>
            </w:pPr>
            <w:r>
              <w:rPr>
                <w:rFonts w:ascii="Arial" w:cs="Arial" w:eastAsia="Arial" w:hAnsi="Arial"/>
                <w:sz w:val="18"/>
                <w:szCs w:val="18"/>
                <w:color w:val="auto"/>
                <w:w w:val="79"/>
              </w:rPr>
              <w:t>6.1</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“Event of Default”</w:t>
            </w:r>
          </w:p>
        </w:tc>
        <w:tc>
          <w:tcPr>
            <w:tcW w:w="2920" w:type="dxa"/>
            <w:vAlign w:val="bottom"/>
            <w:gridSpan w:val="2"/>
          </w:tcPr>
          <w:p>
            <w:pPr>
              <w:jc w:val="center"/>
              <w:ind w:left="2235"/>
              <w:spacing w:after="0"/>
              <w:rPr>
                <w:sz w:val="20"/>
                <w:szCs w:val="20"/>
                <w:color w:val="auto"/>
              </w:rPr>
            </w:pPr>
            <w:r>
              <w:rPr>
                <w:rFonts w:ascii="Arial" w:cs="Arial" w:eastAsia="Arial" w:hAnsi="Arial"/>
                <w:sz w:val="18"/>
                <w:szCs w:val="18"/>
                <w:color w:val="auto"/>
                <w:w w:val="79"/>
              </w:rPr>
              <w:t>6.1</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“Judgment Currency”</w:t>
            </w:r>
          </w:p>
        </w:tc>
        <w:tc>
          <w:tcPr>
            <w:tcW w:w="2920" w:type="dxa"/>
            <w:vAlign w:val="bottom"/>
            <w:gridSpan w:val="2"/>
          </w:tcPr>
          <w:p>
            <w:pPr>
              <w:jc w:val="center"/>
              <w:ind w:left="2235"/>
              <w:spacing w:after="0"/>
              <w:rPr>
                <w:sz w:val="20"/>
                <w:szCs w:val="20"/>
                <w:color w:val="auto"/>
              </w:rPr>
            </w:pPr>
            <w:r>
              <w:rPr>
                <w:rFonts w:ascii="Arial" w:cs="Arial" w:eastAsia="Arial" w:hAnsi="Arial"/>
                <w:sz w:val="18"/>
                <w:szCs w:val="18"/>
                <w:color w:val="auto"/>
                <w:w w:val="88"/>
              </w:rPr>
              <w:t>10.16</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“Legal Holiday”</w:t>
            </w:r>
          </w:p>
        </w:tc>
        <w:tc>
          <w:tcPr>
            <w:tcW w:w="2920" w:type="dxa"/>
            <w:vAlign w:val="bottom"/>
            <w:gridSpan w:val="2"/>
          </w:tcPr>
          <w:p>
            <w:pPr>
              <w:jc w:val="center"/>
              <w:ind w:left="2235"/>
              <w:spacing w:after="0"/>
              <w:rPr>
                <w:sz w:val="20"/>
                <w:szCs w:val="20"/>
                <w:color w:val="auto"/>
              </w:rPr>
            </w:pPr>
            <w:r>
              <w:rPr>
                <w:rFonts w:ascii="Arial" w:cs="Arial" w:eastAsia="Arial" w:hAnsi="Arial"/>
                <w:sz w:val="18"/>
                <w:szCs w:val="18"/>
                <w:color w:val="auto"/>
                <w:w w:val="91"/>
              </w:rPr>
              <w:t>10.7</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“mandatory sinking fund payment”</w:t>
            </w:r>
          </w:p>
        </w:tc>
        <w:tc>
          <w:tcPr>
            <w:tcW w:w="2920" w:type="dxa"/>
            <w:vAlign w:val="bottom"/>
            <w:gridSpan w:val="2"/>
          </w:tcPr>
          <w:p>
            <w:pPr>
              <w:jc w:val="center"/>
              <w:ind w:left="2235"/>
              <w:spacing w:after="0"/>
              <w:rPr>
                <w:sz w:val="20"/>
                <w:szCs w:val="20"/>
                <w:color w:val="auto"/>
              </w:rPr>
            </w:pPr>
            <w:r>
              <w:rPr>
                <w:rFonts w:ascii="Arial" w:cs="Arial" w:eastAsia="Arial" w:hAnsi="Arial"/>
                <w:sz w:val="18"/>
                <w:szCs w:val="18"/>
                <w:color w:val="auto"/>
                <w:w w:val="91"/>
              </w:rPr>
              <w:t>11.1</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“Market Exchange Rate”</w:t>
            </w:r>
          </w:p>
        </w:tc>
        <w:tc>
          <w:tcPr>
            <w:tcW w:w="2920" w:type="dxa"/>
            <w:vAlign w:val="bottom"/>
            <w:gridSpan w:val="2"/>
          </w:tcPr>
          <w:p>
            <w:pPr>
              <w:jc w:val="center"/>
              <w:ind w:left="2235"/>
              <w:spacing w:after="0"/>
              <w:rPr>
                <w:sz w:val="20"/>
                <w:szCs w:val="20"/>
                <w:color w:val="auto"/>
              </w:rPr>
            </w:pPr>
            <w:r>
              <w:rPr>
                <w:rFonts w:ascii="Arial" w:cs="Arial" w:eastAsia="Arial" w:hAnsi="Arial"/>
                <w:sz w:val="18"/>
                <w:szCs w:val="18"/>
                <w:color w:val="auto"/>
                <w:w w:val="88"/>
              </w:rPr>
              <w:t>10.15</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“New York Banking Day”</w:t>
            </w:r>
          </w:p>
        </w:tc>
        <w:tc>
          <w:tcPr>
            <w:tcW w:w="2920" w:type="dxa"/>
            <w:vAlign w:val="bottom"/>
            <w:gridSpan w:val="2"/>
          </w:tcPr>
          <w:p>
            <w:pPr>
              <w:jc w:val="center"/>
              <w:ind w:left="2235"/>
              <w:spacing w:after="0"/>
              <w:rPr>
                <w:sz w:val="20"/>
                <w:szCs w:val="20"/>
                <w:color w:val="auto"/>
              </w:rPr>
            </w:pPr>
            <w:r>
              <w:rPr>
                <w:rFonts w:ascii="Arial" w:cs="Arial" w:eastAsia="Arial" w:hAnsi="Arial"/>
                <w:sz w:val="18"/>
                <w:szCs w:val="18"/>
                <w:color w:val="auto"/>
                <w:w w:val="88"/>
              </w:rPr>
              <w:t>10.16</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“optional sinking fund payment”</w:t>
            </w:r>
          </w:p>
        </w:tc>
        <w:tc>
          <w:tcPr>
            <w:tcW w:w="2920" w:type="dxa"/>
            <w:vAlign w:val="bottom"/>
            <w:gridSpan w:val="2"/>
          </w:tcPr>
          <w:p>
            <w:pPr>
              <w:jc w:val="center"/>
              <w:ind w:left="2235"/>
              <w:spacing w:after="0"/>
              <w:rPr>
                <w:sz w:val="20"/>
                <w:szCs w:val="20"/>
                <w:color w:val="auto"/>
              </w:rPr>
            </w:pPr>
            <w:r>
              <w:rPr>
                <w:rFonts w:ascii="Arial" w:cs="Arial" w:eastAsia="Arial" w:hAnsi="Arial"/>
                <w:sz w:val="18"/>
                <w:szCs w:val="18"/>
                <w:color w:val="auto"/>
                <w:w w:val="91"/>
              </w:rPr>
              <w:t>11.1</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“Paying Agent”</w:t>
            </w:r>
          </w:p>
        </w:tc>
        <w:tc>
          <w:tcPr>
            <w:tcW w:w="2920" w:type="dxa"/>
            <w:vAlign w:val="bottom"/>
            <w:gridSpan w:val="2"/>
          </w:tcPr>
          <w:p>
            <w:pPr>
              <w:jc w:val="center"/>
              <w:ind w:left="2235"/>
              <w:spacing w:after="0"/>
              <w:rPr>
                <w:sz w:val="20"/>
                <w:szCs w:val="20"/>
                <w:color w:val="auto"/>
              </w:rPr>
            </w:pPr>
            <w:r>
              <w:rPr>
                <w:rFonts w:ascii="Arial" w:cs="Arial" w:eastAsia="Arial" w:hAnsi="Arial"/>
                <w:sz w:val="18"/>
                <w:szCs w:val="18"/>
                <w:color w:val="auto"/>
                <w:w w:val="79"/>
              </w:rPr>
              <w:t>2.4</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“Registrar”</w:t>
            </w:r>
          </w:p>
        </w:tc>
        <w:tc>
          <w:tcPr>
            <w:tcW w:w="2920" w:type="dxa"/>
            <w:vAlign w:val="bottom"/>
            <w:gridSpan w:val="2"/>
          </w:tcPr>
          <w:p>
            <w:pPr>
              <w:jc w:val="center"/>
              <w:ind w:left="2235"/>
              <w:spacing w:after="0"/>
              <w:rPr>
                <w:sz w:val="20"/>
                <w:szCs w:val="20"/>
                <w:color w:val="auto"/>
              </w:rPr>
            </w:pPr>
            <w:r>
              <w:rPr>
                <w:rFonts w:ascii="Arial" w:cs="Arial" w:eastAsia="Arial" w:hAnsi="Arial"/>
                <w:sz w:val="18"/>
                <w:szCs w:val="18"/>
                <w:color w:val="auto"/>
                <w:w w:val="79"/>
              </w:rPr>
              <w:t>2.4</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“Required Currency”</w:t>
            </w:r>
          </w:p>
        </w:tc>
        <w:tc>
          <w:tcPr>
            <w:tcW w:w="2920" w:type="dxa"/>
            <w:vAlign w:val="bottom"/>
            <w:gridSpan w:val="2"/>
          </w:tcPr>
          <w:p>
            <w:pPr>
              <w:jc w:val="center"/>
              <w:ind w:left="2235"/>
              <w:spacing w:after="0"/>
              <w:rPr>
                <w:sz w:val="20"/>
                <w:szCs w:val="20"/>
                <w:color w:val="auto"/>
              </w:rPr>
            </w:pPr>
            <w:r>
              <w:rPr>
                <w:rFonts w:ascii="Arial" w:cs="Arial" w:eastAsia="Arial" w:hAnsi="Arial"/>
                <w:sz w:val="18"/>
                <w:szCs w:val="18"/>
                <w:color w:val="auto"/>
                <w:w w:val="88"/>
              </w:rPr>
              <w:t>10.16</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“Service Agent”</w:t>
            </w:r>
          </w:p>
        </w:tc>
        <w:tc>
          <w:tcPr>
            <w:tcW w:w="2920" w:type="dxa"/>
            <w:vAlign w:val="bottom"/>
            <w:gridSpan w:val="2"/>
          </w:tcPr>
          <w:p>
            <w:pPr>
              <w:jc w:val="center"/>
              <w:ind w:left="2235"/>
              <w:spacing w:after="0"/>
              <w:rPr>
                <w:sz w:val="20"/>
                <w:szCs w:val="20"/>
                <w:color w:val="auto"/>
              </w:rPr>
            </w:pPr>
            <w:r>
              <w:rPr>
                <w:rFonts w:ascii="Arial" w:cs="Arial" w:eastAsia="Arial" w:hAnsi="Arial"/>
                <w:sz w:val="18"/>
                <w:szCs w:val="18"/>
                <w:color w:val="auto"/>
                <w:w w:val="79"/>
              </w:rPr>
              <w:t>2.4</w:t>
            </w:r>
          </w:p>
        </w:tc>
        <w:tc>
          <w:tcPr>
            <w:tcW w:w="0" w:type="dxa"/>
            <w:vAlign w:val="bottom"/>
          </w:tcPr>
          <w:p>
            <w:pPr>
              <w:spacing w:after="0"/>
              <w:rPr>
                <w:sz w:val="1"/>
                <w:szCs w:val="1"/>
                <w:color w:val="auto"/>
              </w:rPr>
            </w:pPr>
          </w:p>
        </w:tc>
      </w:tr>
      <w:tr>
        <w:trPr>
          <w:trHeight w:val="222"/>
        </w:trPr>
        <w:tc>
          <w:tcPr>
            <w:tcW w:w="4840" w:type="dxa"/>
            <w:vAlign w:val="bottom"/>
            <w:gridSpan w:val="2"/>
          </w:tcPr>
          <w:p>
            <w:pPr>
              <w:spacing w:after="0"/>
              <w:rPr>
                <w:sz w:val="20"/>
                <w:szCs w:val="20"/>
                <w:color w:val="auto"/>
              </w:rPr>
            </w:pPr>
            <w:r>
              <w:rPr>
                <w:rFonts w:ascii="Arial" w:cs="Arial" w:eastAsia="Arial" w:hAnsi="Arial"/>
                <w:sz w:val="18"/>
                <w:szCs w:val="18"/>
                <w:i w:val="1"/>
                <w:iCs w:val="1"/>
                <w:color w:val="auto"/>
              </w:rPr>
              <w:t>“successor person”</w:t>
            </w:r>
          </w:p>
        </w:tc>
        <w:tc>
          <w:tcPr>
            <w:tcW w:w="2920" w:type="dxa"/>
            <w:vAlign w:val="bottom"/>
            <w:gridSpan w:val="2"/>
          </w:tcPr>
          <w:p>
            <w:pPr>
              <w:jc w:val="center"/>
              <w:ind w:left="2235"/>
              <w:spacing w:after="0"/>
              <w:rPr>
                <w:sz w:val="20"/>
                <w:szCs w:val="20"/>
                <w:color w:val="auto"/>
              </w:rPr>
            </w:pPr>
            <w:r>
              <w:rPr>
                <w:rFonts w:ascii="Arial" w:cs="Arial" w:eastAsia="Arial" w:hAnsi="Arial"/>
                <w:sz w:val="18"/>
                <w:szCs w:val="18"/>
                <w:color w:val="auto"/>
                <w:w w:val="79"/>
              </w:rPr>
              <w:t>5.1</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Incorporation by Reference of Trust Indenture Act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Whenever this Indenture refers to a provision of the TIA, the provision is incorporated by reference in and made a part of this Indenture.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TIA terms used in this Indenture have the following meanings: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“Commission” </w:t>
      </w:r>
      <w:r>
        <w:rPr>
          <w:rFonts w:ascii="Arial" w:cs="Arial" w:eastAsia="Arial" w:hAnsi="Arial"/>
          <w:sz w:val="18"/>
          <w:szCs w:val="18"/>
          <w:color w:val="auto"/>
        </w:rPr>
        <w:t>means the SEC.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“indenture securities” </w:t>
      </w:r>
      <w:r>
        <w:rPr>
          <w:rFonts w:ascii="Arial" w:cs="Arial" w:eastAsia="Arial" w:hAnsi="Arial"/>
          <w:sz w:val="18"/>
          <w:szCs w:val="18"/>
          <w:color w:val="auto"/>
        </w:rPr>
        <w:t>means the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“indenture security holder” </w:t>
      </w:r>
      <w:r>
        <w:rPr>
          <w:rFonts w:ascii="Arial" w:cs="Arial" w:eastAsia="Arial" w:hAnsi="Arial"/>
          <w:sz w:val="18"/>
          <w:szCs w:val="18"/>
          <w:color w:val="auto"/>
        </w:rPr>
        <w:t>means a Securityholder.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“indenture to be qualified” </w:t>
      </w:r>
      <w:r>
        <w:rPr>
          <w:rFonts w:ascii="Arial" w:cs="Arial" w:eastAsia="Arial" w:hAnsi="Arial"/>
          <w:sz w:val="18"/>
          <w:szCs w:val="18"/>
          <w:color w:val="auto"/>
        </w:rPr>
        <w:t>means this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“indenture trustee” </w:t>
      </w:r>
      <w:r>
        <w:rPr>
          <w:rFonts w:ascii="Arial" w:cs="Arial" w:eastAsia="Arial" w:hAnsi="Arial"/>
          <w:sz w:val="18"/>
          <w:szCs w:val="18"/>
          <w:color w:val="auto"/>
        </w:rPr>
        <w:t>or</w:t>
      </w:r>
      <w:r>
        <w:rPr>
          <w:rFonts w:ascii="Arial" w:cs="Arial" w:eastAsia="Arial" w:hAnsi="Arial"/>
          <w:sz w:val="18"/>
          <w:szCs w:val="18"/>
          <w:i w:val="1"/>
          <w:iCs w:val="1"/>
          <w:color w:val="auto"/>
        </w:rPr>
        <w:t xml:space="preserve"> “institutional trustee” </w:t>
      </w:r>
      <w:r>
        <w:rPr>
          <w:rFonts w:ascii="Arial" w:cs="Arial" w:eastAsia="Arial" w:hAnsi="Arial"/>
          <w:sz w:val="18"/>
          <w:szCs w:val="18"/>
          <w:color w:val="auto"/>
        </w:rPr>
        <w:t>means the Trustee.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“obligor” </w:t>
      </w:r>
      <w:r>
        <w:rPr>
          <w:rFonts w:ascii="Arial" w:cs="Arial" w:eastAsia="Arial" w:hAnsi="Arial"/>
          <w:sz w:val="18"/>
          <w:szCs w:val="18"/>
          <w:color w:val="auto"/>
        </w:rPr>
        <w:t>on the indenture securities means the Company and any successor obligor upon the Securities.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Rules of Construction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the context otherwise requires:</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“or” </w:t>
      </w:r>
      <w:r>
        <w:rPr>
          <w:rFonts w:ascii="Arial" w:cs="Arial" w:eastAsia="Arial" w:hAnsi="Arial"/>
          <w:sz w:val="18"/>
          <w:szCs w:val="18"/>
          <w:color w:val="auto"/>
        </w:rPr>
        <w:t>is not exclusive;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157" w:lineRule="exact"/>
        <w:rPr>
          <w:rFonts w:ascii="Arial" w:cs="Arial" w:eastAsia="Arial" w:hAnsi="Arial"/>
          <w:sz w:val="18"/>
          <w:szCs w:val="18"/>
          <w:color w:val="auto"/>
        </w:rPr>
      </w:pPr>
    </w:p>
    <w:p>
      <w:pPr>
        <w:ind w:left="5680" w:hanging="112"/>
        <w:spacing w:after="0"/>
        <w:tabs>
          <w:tab w:leader="none" w:pos="56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160"/>
          </w:cols>
          <w:pgMar w:left="240" w:top="280" w:right="49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Issuable in Series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supplemental indenture or Officers’ Certificate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Establishment of Terms of Series of Securities</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2.2.25) by or pursuant to a Board Resolution, and set forth or determined in the manner provided in a Board Resolution, supplemental indenture or Officers’ Certificate:</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 the title of the Series (which shall distinguish the Securities of that particular Series from the Securities of any other Series);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2.2.2 the price or prices (expressed as a percentage of the principal amount thereof) at which the Securities of the Series will be issued;</w:t>
      </w:r>
    </w:p>
    <w:p>
      <w:pPr>
        <w:spacing w:after="0" w:line="194"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2.2.4 the date or dates on which the principal of the Securities of the Series is payable;</w:t>
      </w:r>
    </w:p>
    <w:p>
      <w:pPr>
        <w:spacing w:after="0" w:line="171"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43" w:lineRule="exact"/>
        <w:rPr>
          <w:sz w:val="20"/>
          <w:szCs w:val="20"/>
          <w:color w:val="auto"/>
        </w:rPr>
      </w:pPr>
    </w:p>
    <w:p>
      <w:pPr>
        <w:ind w:right="300" w:firstLine="913"/>
        <w:spacing w:after="0" w:line="306" w:lineRule="auto"/>
        <w:rPr>
          <w:sz w:val="20"/>
          <w:szCs w:val="20"/>
          <w:color w:val="auto"/>
        </w:rPr>
      </w:pPr>
      <w:r>
        <w:rPr>
          <w:rFonts w:ascii="Arial" w:cs="Arial" w:eastAsia="Arial" w:hAnsi="Arial"/>
          <w:sz w:val="16"/>
          <w:szCs w:val="16"/>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107"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80" w:right="239" w:bottom="1440" w:gutter="0" w:footer="0" w:header="0"/>
        </w:sectPr>
      </w:pPr>
    </w:p>
    <w:bookmarkStart w:id="42" w:name="page43"/>
    <w:bookmarkEnd w:id="42"/>
    <w:p>
      <w:pPr>
        <w:jc w:val="both"/>
        <w:ind w:right="4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4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2.2.10 if other than denominations of $1,000 and any integral multiple thereof, the denominations in which the Securities of the Series shall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issuable;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2.2.11 the forms of the Securities of the Series and whether the Securities will be issuable as Global Securities;</w:t>
      </w:r>
    </w:p>
    <w:p>
      <w:pPr>
        <w:spacing w:after="0" w:line="171" w:lineRule="exact"/>
        <w:rPr>
          <w:sz w:val="20"/>
          <w:szCs w:val="20"/>
          <w:color w:val="auto"/>
        </w:rPr>
      </w:pPr>
    </w:p>
    <w:p>
      <w:pPr>
        <w:ind w:right="560" w:firstLine="913"/>
        <w:spacing w:after="0" w:line="268" w:lineRule="auto"/>
        <w:rPr>
          <w:sz w:val="20"/>
          <w:szCs w:val="20"/>
          <w:color w:val="auto"/>
        </w:rPr>
      </w:pPr>
      <w:r>
        <w:rPr>
          <w:rFonts w:ascii="Arial" w:cs="Arial" w:eastAsia="Arial" w:hAnsi="Arial"/>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2.2.13 the currency of denomination of the Securities of the Series, which may be Dollars or any Foreign Currency;</w:t>
      </w:r>
    </w:p>
    <w:p>
      <w:pPr>
        <w:spacing w:after="0" w:line="171"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132" w:lineRule="exact"/>
        <w:rPr>
          <w:sz w:val="20"/>
          <w:szCs w:val="20"/>
          <w:color w:val="auto"/>
        </w:rPr>
      </w:pPr>
    </w:p>
    <w:p>
      <w:pPr>
        <w:ind w:right="140" w:firstLine="913"/>
        <w:spacing w:after="0" w:line="332" w:lineRule="auto"/>
        <w:rPr>
          <w:sz w:val="20"/>
          <w:szCs w:val="20"/>
          <w:color w:val="auto"/>
        </w:rPr>
      </w:pPr>
      <w:r>
        <w:rPr>
          <w:rFonts w:ascii="Arial" w:cs="Arial" w:eastAsia="Arial" w:hAnsi="Arial"/>
          <w:sz w:val="16"/>
          <w:szCs w:val="16"/>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85"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2.2.16 the manner in which the amounts of payment of principal of or interest, if any, on the Securities of the Series will be determined, if such amounts may be determined by reference to an index based on a currency or currencies other than that which the Securities are denominated or designated to be payable or by reference to a commodity, commodity index, stock exchange index or financial index;</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2.2.17 the provisions, if any, relating to any security provided for the Securities of the Series;</w:t>
      </w:r>
    </w:p>
    <w:p>
      <w:pPr>
        <w:spacing w:after="0" w:line="17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2.2.18 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2.2.19 any addition to or change in the covenants set forth in Articles IV or V which applies to Securities of the Series;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2.2.20 whether the Securities of the Series will be listed on a securities exchange;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2.2.21 the initial public offering price, if any has been established for the Securities of the Series;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2.2.22 any other terms of the Securities of the Series (which may supplement, modify or delete any provision of this Indenture insofar as it applies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such Series);</w:t>
      </w:r>
    </w:p>
    <w:p>
      <w:pPr>
        <w:spacing w:after="0" w:line="165"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2.2.23 any depositaries, interest rate calculation agents, exchange rate calculation agents or other agents with respect to Securities of such Series if other than those appointed herein;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80"/>
          </w:cols>
          <w:pgMar w:left="240" w:top="280" w:right="279" w:bottom="1440" w:gutter="0" w:footer="0" w:header="0"/>
        </w:sectPr>
      </w:pPr>
    </w:p>
    <w:bookmarkStart w:id="43" w:name="page44"/>
    <w:bookmarkEnd w:id="43"/>
    <w:p>
      <w:pPr>
        <w:ind w:right="36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2.2.24 the provisions, if any, relating to conversion of any Securities of such Series, including if applicable, the conversion price, the conversion period, provisions as to whether conversion will be mandatory, at the option of the Holders thereof or at the option of the Company, the events requiring an adjustment of the conversion price and provisions affecting conversion if such Series of Securities are redeemed; and</w:t>
      </w:r>
    </w:p>
    <w:p>
      <w:pPr>
        <w:spacing w:after="0" w:line="107" w:lineRule="exact"/>
        <w:rPr>
          <w:sz w:val="20"/>
          <w:szCs w:val="20"/>
          <w:color w:val="auto"/>
        </w:rPr>
      </w:pPr>
    </w:p>
    <w:p>
      <w:pPr>
        <w:ind w:right="460" w:firstLine="913"/>
        <w:spacing w:after="0" w:line="268" w:lineRule="auto"/>
        <w:rPr>
          <w:sz w:val="20"/>
          <w:szCs w:val="20"/>
          <w:color w:val="auto"/>
        </w:rPr>
      </w:pPr>
      <w:r>
        <w:rPr>
          <w:rFonts w:ascii="Arial" w:cs="Arial" w:eastAsia="Arial" w:hAnsi="Arial"/>
          <w:sz w:val="18"/>
          <w:szCs w:val="18"/>
          <w:color w:val="auto"/>
        </w:rPr>
        <w:t>2.2.25 whether the Securities of such Series will be senior debt securities or subordinated debt securities and, if applicable, a description of the subordination terms thereof.</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Execution and Authentication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Officer shall sign the Securities for the Company by manual or facsimile signature.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an Officer whose signature is on a Security no longer holds that office at the time the Security is authenticated, the Security shall nevertheless be valid.</w:t>
      </w:r>
    </w:p>
    <w:p>
      <w:pPr>
        <w:spacing w:after="0" w:line="194"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 unless otherwise provided by a Board Resolution, a supplemental indenture hereto or an Officers’ Certificate.</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 and to the effect that such Securities, when authenticated and delivered by the Trustee in accordance with the provisions of the Indenture and delivered to and paid for by the purchasers thereof and subject to such other conditions, qualifications and exceptions specified in such Opinion of Counsel, will be legal, valid and binding obligations of the Company, enforceable against the Company in accordance with their terms.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 presidents shall determine that such action would expose the Trustee to personal liability to Holders of any then outstanding Series of Securities.</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80" w:right="259" w:bottom="1440" w:gutter="0" w:footer="0" w:header="0"/>
        </w:sectPr>
      </w:pPr>
    </w:p>
    <w:bookmarkStart w:id="44" w:name="page45"/>
    <w:bookmarkEnd w:id="4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2.4 </w:t>
      </w:r>
      <w:r>
        <w:rPr>
          <w:rFonts w:ascii="Arial" w:cs="Arial" w:eastAsia="Arial" w:hAnsi="Arial"/>
          <w:sz w:val="18"/>
          <w:szCs w:val="18"/>
          <w:u w:val="single" w:color="auto"/>
          <w:color w:val="auto"/>
        </w:rPr>
        <w:t>Registrar and Paying Agent</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shall maintain, with respect to each Series of Securities, at the place or places specified with respect to such Series pursuant to Section 2.2, an office or agency where Securities of such Series may be presented or surrendered for payment (“Paying Agent”), where Securities of such Series may be surrendered for registration of transfer or exchange (“Registrar”) and where notices and demands to or upon the Company in respect of the Securities of such Series and this Indenture may be served (“Service Agent”). The Registrar shall keep a register with respect to each Series of Securities and to their transfer and exchange. The Company will give prompt written notice to the Trustee of the name and address, and any change in the name or address, of each Registrar, Paying Agent or Service Agent. If at any time the Company shall fail to maintain any such required Registrar, Paying Agent or Service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may also from time to time designate one or more co-registrars, additional paying agents or additional service agents and may from time to time rescind such designations; provided, however, that no such designation or rescission shall in any manner relieve the Company of its obligations to maintain a Registrar, Paying Agent and Service Agent in each place so specified pursuant to Section 2.2 for Securities of any Series for such purposes.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will give prompt written notice to the Trustee of any such designation or rescission and of any change in the name or address of any such co-registrar, additional paying agent or additional service agent. The term “Registrar” includes any co-registrar; the term “Paying Agent” includes any additional paying agent; and the term “Service Agent” includes any additional service agent.</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hereby appoints the Trustee the initial Registrar, Paying Agent and Service Agent for each Series unless another Registrar, Paying Agent or Service Agent, as the case may be, is appointed prior to the time Securities of that Series are first issued.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Paying Agent to Hold Money in Trust</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Securityholder Lists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Transfer and Exchange</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Where Securities of a Series are presented to the Registrar or a co-registrar with a request to register a transfer or to exchange them for an equal principal amount of Securities of the same Series, the Registrar shall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280" w:right="259" w:bottom="1440" w:gutter="0" w:footer="0" w:header="0"/>
        </w:sectPr>
      </w:pPr>
    </w:p>
    <w:bookmarkStart w:id="45" w:name="page46"/>
    <w:bookmarkEnd w:id="45"/>
    <w:p>
      <w:pPr>
        <w:ind w:right="2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or the Trustee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9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and ending at the close of business on the day of such mailing, or (b) thereafter to issue, register the transfer of or exchange (i) any Securities of a Series for which notice has been given calling for redemption of such Series as a whole, or (ii) that portion of the Securities of a Series to be redeemed for which notice has been given calling for redemption of the Series in part.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Mutilated, Destroyed, Lost and Stolen Securities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32"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6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Outstanding Securities</w:t>
      </w:r>
    </w:p>
    <w:p>
      <w:pPr>
        <w:spacing w:after="0" w:line="17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protected purchaser.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00"/>
          </w:cols>
          <w:pgMar w:left="240" w:top="280" w:right="259" w:bottom="1440" w:gutter="0" w:footer="0" w:header="0"/>
        </w:sectPr>
      </w:pPr>
    </w:p>
    <w:bookmarkStart w:id="46" w:name="page47"/>
    <w:bookmarkEnd w:id="46"/>
    <w:p>
      <w:pPr>
        <w:jc w:val="both"/>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Security does not cease to be outstanding because the Company or an Affiliate of the Company holds the Security.</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Treasury Securities</w:t>
      </w:r>
    </w:p>
    <w:p>
      <w:pPr>
        <w:spacing w:after="0" w:line="17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Temporary Securities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Cancellation</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upon the Company’s written request, deliver a certificate of such cancellation to the Company. The Company may not issue new Securities to replace Securities that it has paid or delivered to the Trustee for cancellation. All cancelled Securities shall be disposed of by the Trustee in accordance with its customary procedures (subject to the record retention requirement of the Exchange Act).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Defaulted Interest</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the Company defaults in a payment of interest on a Series of Securities, it shall pay the defaulted interest, plus, to the extent required by the notes in such Series and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mail to the Trustee and to each Securityholder of the Series a notice that states the record date, the payment date and the amount of interest to be paid. The Company may pay defaulted interest in any other lawful manner.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80" w:right="239" w:bottom="1440" w:gutter="0" w:footer="0" w:header="0"/>
        </w:sectPr>
      </w:pPr>
    </w:p>
    <w:bookmarkStart w:id="47" w:name="page48"/>
    <w:bookmarkEnd w:id="4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2.14 </w:t>
      </w:r>
      <w:r>
        <w:rPr>
          <w:rFonts w:ascii="Arial" w:cs="Arial" w:eastAsia="Arial" w:hAnsi="Arial"/>
          <w:sz w:val="18"/>
          <w:szCs w:val="18"/>
          <w:u w:val="single" w:color="auto"/>
          <w:color w:val="auto"/>
        </w:rPr>
        <w:t>Global Securities</w:t>
      </w:r>
    </w:p>
    <w:p>
      <w:pPr>
        <w:spacing w:after="0" w:line="171"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 xml:space="preserve">2.14.1 </w:t>
      </w:r>
      <w:r>
        <w:rPr>
          <w:rFonts w:ascii="Arial" w:cs="Arial" w:eastAsia="Arial" w:hAnsi="Arial"/>
          <w:sz w:val="16"/>
          <w:szCs w:val="16"/>
          <w:u w:val="single" w:color="auto"/>
          <w:color w:val="auto"/>
        </w:rPr>
        <w:t>Terms of Securities</w:t>
      </w:r>
      <w:r>
        <w:rPr>
          <w:rFonts w:ascii="Arial" w:cs="Arial" w:eastAsia="Arial" w:hAnsi="Arial"/>
          <w:sz w:val="16"/>
          <w:szCs w:val="16"/>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85"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 xml:space="preserve">2.14.2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2.14.3 </w:t>
      </w:r>
      <w:r>
        <w:rPr>
          <w:rFonts w:ascii="Arial" w:cs="Arial" w:eastAsia="Arial" w:hAnsi="Arial"/>
          <w:sz w:val="18"/>
          <w:szCs w:val="18"/>
          <w:u w:val="single" w:color="auto"/>
          <w:color w:val="auto"/>
        </w:rPr>
        <w:t>Legend</w:t>
      </w:r>
      <w:r>
        <w:rPr>
          <w:rFonts w:ascii="Arial" w:cs="Arial" w:eastAsia="Arial" w:hAnsi="Arial"/>
          <w:sz w:val="18"/>
          <w:szCs w:val="18"/>
          <w:color w:val="auto"/>
        </w:rPr>
        <w:t>. Any Global Security issued hereunder shall bear a legend in substantially the following form:</w:t>
      </w:r>
    </w:p>
    <w:p>
      <w:pPr>
        <w:spacing w:after="0" w:line="9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43"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 xml:space="preserve">2.14.4 </w:t>
      </w:r>
      <w:r>
        <w:rPr>
          <w:rFonts w:ascii="Arial" w:cs="Arial" w:eastAsia="Arial" w:hAnsi="Arial"/>
          <w:sz w:val="16"/>
          <w:szCs w:val="16"/>
          <w:u w:val="single" w:color="auto"/>
          <w:color w:val="auto"/>
        </w:rPr>
        <w:t>Acts of Holders</w:t>
      </w:r>
      <w:r>
        <w:rPr>
          <w:rFonts w:ascii="Arial" w:cs="Arial" w:eastAsia="Arial" w:hAnsi="Arial"/>
          <w:sz w:val="16"/>
          <w:szCs w:val="16"/>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8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32"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Except as provided in Section 2.14.5, the Company, the Trustee and any Agent shall treat a person as the Holder of such principal amount of outstanding Securities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80" w:right="239" w:bottom="1440" w:gutter="0" w:footer="0" w:header="0"/>
        </w:sectPr>
      </w:pPr>
    </w:p>
    <w:bookmarkStart w:id="48" w:name="page49"/>
    <w:bookmarkEnd w:id="48"/>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CUSIP Numbers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Series, in writing, of any change in the “CUSIP” numbers of that Series.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Notice to Trustee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notice at least 30 days before the redemption date (or such shorter notice as may be acceptable to the Trustee).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Selection of Securities to be Redeemed</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Unless otherwise indicated for a particular Series by a Board Resolution, a supplemental indenture hereto or an Officers’ Certificate, if less than all the Securities of a Series are to be redeemed, the Trustee shall select the Securities of the Series to be redeemed by lot or pursuant to the Depositary’s applicable procedures.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2.2.10,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Notice of Redemption</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Unless otherwise indicated for a particular Series by Board Resolution, a supplemental indenture hereto or an Officers’ Certificate, at least 15 days but not more than 60 days before a redemption date, the Company shall mail a notice of redemption by first-class mail to each Holder whose Securities are to be redeemed.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280" w:right="259" w:bottom="1440" w:gutter="0" w:footer="0" w:header="0"/>
        </w:sectPr>
      </w:pPr>
    </w:p>
    <w:bookmarkStart w:id="49" w:name="page50"/>
    <w:bookmarkEnd w:id="49"/>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Securities of the Series called for redemption must be surrendered to the Paying Agent to collect the redemption price;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information as may be required by the terms of the particular Series or the Securities of a Series being redeemed.</w:t>
      </w:r>
    </w:p>
    <w:p>
      <w:pPr>
        <w:spacing w:after="0" w:line="171" w:lineRule="exact"/>
        <w:rPr>
          <w:sz w:val="20"/>
          <w:szCs w:val="20"/>
          <w:color w:val="auto"/>
        </w:rPr>
      </w:pPr>
    </w:p>
    <w:p>
      <w:pPr>
        <w:ind w:right="360" w:firstLine="456"/>
        <w:spacing w:after="0" w:line="335" w:lineRule="auto"/>
        <w:rPr>
          <w:sz w:val="20"/>
          <w:szCs w:val="20"/>
          <w:color w:val="auto"/>
        </w:rPr>
      </w:pPr>
      <w:r>
        <w:rPr>
          <w:rFonts w:ascii="Arial" w:cs="Arial" w:eastAsia="Arial" w:hAnsi="Arial"/>
          <w:sz w:val="15"/>
          <w:szCs w:val="15"/>
          <w:color w:val="auto"/>
        </w:rPr>
        <w:t>At the Company’s request, the Trustee shall give the notice of redemption in the Company’s name and at its expense; provided that the Company shall deliver to the Trustee, at least 15 days prior to delivering notice of redemption (or such shorter period as may be acceptable to the Trustee), an Officers’ Certificate requesting that the Trustee give such notice and setting forth information to be stated in such notice as provided in the preceding paragraph.</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 of Notice of Redemption</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Once notice of redemption is mailed or published as provided in Section 3.3,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Deposit of Redemption Price</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On or before 10:00 a.m., New York City time, on the redemption date, the Company shall deposit with the Paying Agent money sufficient to pay the redemption price of and accrued interest, if any, on all Securities to be redeemed on that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Securities Redeemed in Part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29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COVENANTS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Payment of Principal and Interest</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SEC Reports</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Delivery of such reports, information and documents to the Trustee is for informational purposes only and the Trustee’s receipt of such shall not constitute constructive notice of any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380"/>
          </w:cols>
          <w:pgMar w:left="240" w:top="280" w:right="279" w:bottom="1440" w:gutter="0" w:footer="0" w:header="0"/>
        </w:sectPr>
      </w:pPr>
    </w:p>
    <w:bookmarkStart w:id="50" w:name="page51"/>
    <w:bookmarkEnd w:id="50"/>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therein or determinable from information contained therein, including the Company’s compliance with any of its covenants hereunder (as to which the Trustee is entitled to rely exclusively on Officers’ Certificates).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Compliance Certificate</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w:t>
      </w:r>
    </w:p>
    <w:p>
      <w:pPr>
        <w:spacing w:after="0" w:line="120" w:lineRule="exact"/>
        <w:rPr>
          <w:sz w:val="20"/>
          <w:szCs w:val="20"/>
          <w:color w:val="auto"/>
        </w:rPr>
      </w:pPr>
    </w:p>
    <w:p>
      <w:pPr>
        <w:jc w:val="both"/>
        <w:ind w:right="380" w:firstLine="456"/>
        <w:spacing w:after="0" w:line="332" w:lineRule="auto"/>
        <w:rPr>
          <w:sz w:val="20"/>
          <w:szCs w:val="20"/>
          <w:color w:val="auto"/>
        </w:rPr>
      </w:pPr>
      <w:r>
        <w:rPr>
          <w:rFonts w:ascii="Arial" w:cs="Arial" w:eastAsia="Arial" w:hAnsi="Arial"/>
          <w:sz w:val="16"/>
          <w:szCs w:val="16"/>
          <w:color w:val="auto"/>
        </w:rPr>
        <w:t>The Company will, so long as any of the Securities are outstanding, deliver to the Trustee, promptly upon becoming aware of any Default or Event of Default, an Officers’ Certificate specifying such Default or Event of Default and what action the Company is taking or proposes to take with respect thereto.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Stay, Extension and Usury Laws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Corporate Existence</w:t>
      </w:r>
    </w:p>
    <w:p>
      <w:pPr>
        <w:spacing w:after="0" w:line="171"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Subject to Article V, the Company will do or cause to be done all things necessary to preserve and keep in full force and effect its corporate existence and rights (charter and statutory); provided, however, that the Company shall not be required to preserve any such right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SUCCESSORS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Consolidation, Merger and Sale of Assets</w:t>
      </w:r>
    </w:p>
    <w:p>
      <w:pPr>
        <w:spacing w:after="0" w:line="171"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“successor person”) unless:</w:t>
      </w:r>
    </w:p>
    <w:p>
      <w:pPr>
        <w:spacing w:after="0" w:line="51" w:lineRule="exact"/>
        <w:rPr>
          <w:sz w:val="20"/>
          <w:szCs w:val="20"/>
          <w:color w:val="auto"/>
        </w:rPr>
      </w:pPr>
    </w:p>
    <w:p>
      <w:pPr>
        <w:ind w:left="9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is the surviving corporation or the successor person (if other than the Company) is a corporation organized and validly existing under the laws of any U.S. domestic jurisdiction and expressly assumes by a supplemental indenture the Company’s obligations on the Securities and under this Indenture; and</w:t>
      </w:r>
    </w:p>
    <w:p>
      <w:pPr>
        <w:spacing w:after="0" w:line="126" w:lineRule="exact"/>
        <w:rPr>
          <w:rFonts w:ascii="Arial" w:cs="Arial" w:eastAsia="Arial" w:hAnsi="Arial"/>
          <w:sz w:val="18"/>
          <w:szCs w:val="18"/>
          <w:color w:val="auto"/>
        </w:rPr>
      </w:pPr>
    </w:p>
    <w:p>
      <w:pPr>
        <w:ind w:left="5620" w:hanging="96"/>
        <w:spacing w:after="0"/>
        <w:tabs>
          <w:tab w:leader="none" w:pos="5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380"/>
          </w:cols>
          <w:pgMar w:left="240" w:top="280" w:right="279" w:bottom="1440" w:gutter="0" w:footer="0" w:header="0"/>
        </w:sectPr>
      </w:pPr>
    </w:p>
    <w:bookmarkStart w:id="51" w:name="page52"/>
    <w:bookmarkEnd w:id="51"/>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after giving effect to the transaction, no Default or Event of Default, shall have occurred and be continuing.</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above, any Subsidiary of the Company may consolidate with, merge into or transfer all or part of its properties to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Neither an Officers’ Certificate nor an Opinion of Counsel shall be required to be delivered in connection therewith.</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Successor Corporation Substituted</w:t>
      </w:r>
    </w:p>
    <w:p>
      <w:pPr>
        <w:spacing w:after="0" w:line="171"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DEFAULTS AND REMEDIES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Events of Default</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“Event of Defaul</w:t>
      </w:r>
      <w:r>
        <w:rPr>
          <w:rFonts w:ascii="Arial" w:cs="Arial" w:eastAsia="Arial" w:hAnsi="Arial"/>
          <w:sz w:val="16"/>
          <w:szCs w:val="16"/>
          <w:color w:val="auto"/>
        </w:rPr>
        <w:t>t</w:t>
      </w:r>
      <w:r>
        <w:rPr>
          <w:rFonts w:ascii="Arial" w:cs="Arial" w:eastAsia="Arial" w:hAnsi="Arial"/>
          <w:sz w:val="16"/>
          <w:szCs w:val="16"/>
          <w:i w:val="1"/>
          <w:iCs w:val="1"/>
          <w:color w:val="auto"/>
        </w:rPr>
        <w:t xml:space="preserve">” </w:t>
      </w:r>
      <w:r>
        <w:rPr>
          <w:rFonts w:ascii="Arial" w:cs="Arial" w:eastAsia="Arial" w:hAnsi="Arial"/>
          <w:sz w:val="16"/>
          <w:szCs w:val="16"/>
          <w:color w:val="auto"/>
        </w:rPr>
        <w:t>wherever used herein with respect to Securities of any Series, means any one of the following events, unless in the establishing Board</w:t>
      </w:r>
      <w:r>
        <w:rPr>
          <w:rFonts w:ascii="Arial" w:cs="Arial" w:eastAsia="Arial" w:hAnsi="Arial"/>
          <w:sz w:val="16"/>
          <w:szCs w:val="16"/>
          <w:i w:val="1"/>
          <w:iCs w:val="1"/>
          <w:color w:val="auto"/>
        </w:rPr>
        <w:t xml:space="preserve"> </w:t>
      </w:r>
      <w:r>
        <w:rPr>
          <w:rFonts w:ascii="Arial" w:cs="Arial" w:eastAsia="Arial" w:hAnsi="Arial"/>
          <w:sz w:val="16"/>
          <w:szCs w:val="16"/>
          <w:color w:val="auto"/>
        </w:rPr>
        <w:t>Resolution, supplemental indenture or Officers’ Certificate, it is provided that such Series shall not have the benefit of said Event of Default:</w:t>
      </w:r>
    </w:p>
    <w:p>
      <w:pPr>
        <w:spacing w:after="0" w:line="4" w:lineRule="exact"/>
        <w:rPr>
          <w:sz w:val="20"/>
          <w:szCs w:val="20"/>
          <w:color w:val="auto"/>
        </w:rPr>
      </w:pPr>
    </w:p>
    <w:p>
      <w:pPr>
        <w:ind w:left="90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90" w:lineRule="exact"/>
        <w:rPr>
          <w:rFonts w:ascii="Arial" w:cs="Arial" w:eastAsia="Arial" w:hAnsi="Arial"/>
          <w:sz w:val="18"/>
          <w:szCs w:val="18"/>
          <w:color w:val="auto"/>
        </w:rPr>
      </w:pPr>
    </w:p>
    <w:p>
      <w:pPr>
        <w:ind w:left="900" w:right="20" w:hanging="446"/>
        <w:spacing w:after="0" w:line="255"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of the Company in this Indenture (other than a covenant that has been included in this Indenture solely for the benefit of Series of Securities other than that Series), which default continues uncured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admits in writing of its inability to pay its debts generally as the same become due; or</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33"/>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20"/>
          </w:cols>
          <w:pgMar w:left="240" w:top="280" w:right="239" w:bottom="1440" w:gutter="0" w:footer="0" w:header="0"/>
        </w:sectPr>
      </w:pPr>
    </w:p>
    <w:bookmarkStart w:id="52" w:name="page53"/>
    <w:bookmarkEnd w:id="52"/>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court of competent jurisdiction enters an order or decree under any Bankruptcy Law that: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60 days; or</w:t>
      </w:r>
    </w:p>
    <w:p>
      <w:pPr>
        <w:spacing w:after="0" w:line="90" w:lineRule="exact"/>
        <w:rPr>
          <w:sz w:val="20"/>
          <w:szCs w:val="20"/>
          <w:color w:val="auto"/>
        </w:rPr>
      </w:pPr>
    </w:p>
    <w:p>
      <w:pPr>
        <w:ind w:left="900" w:right="40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132"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term “Bankruptcy Law” means Title 11 of the United States Code or any similar U.S. federal or state law for the relief of debtors. The term “Custodian” means any receiver, trustee, assignee, liquidator or similar official under any Bankruptcy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Acceleration of Maturity; Rescission and Annulment</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ipso facto become and be immediately due and payable without any declaration or other act on the part of the Trustee or any Holder.</w:t>
      </w:r>
    </w:p>
    <w:p>
      <w:pPr>
        <w:spacing w:after="0" w:line="118"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of the Securities of that Series which have become due solely by such declaration of acceleration, have been cured or waived as provided in Section 6.13 and the Company has paid to the Trustee all fees and expenses then owed to the Trustee hereunder.</w:t>
      </w:r>
    </w:p>
    <w:p>
      <w:pPr>
        <w:spacing w:after="0" w:line="144" w:lineRule="exact"/>
        <w:rPr>
          <w:sz w:val="20"/>
          <w:szCs w:val="20"/>
          <w:color w:val="auto"/>
        </w:rPr>
      </w:pPr>
    </w:p>
    <w:p>
      <w:pPr>
        <w:ind w:left="460" w:right="4320"/>
        <w:spacing w:after="0" w:line="407" w:lineRule="auto"/>
        <w:rPr>
          <w:sz w:val="20"/>
          <w:szCs w:val="20"/>
          <w:color w:val="auto"/>
        </w:rPr>
      </w:pPr>
      <w:r>
        <w:rPr>
          <w:rFonts w:ascii="Arial" w:cs="Arial" w:eastAsia="Arial" w:hAnsi="Arial"/>
          <w:sz w:val="18"/>
          <w:szCs w:val="18"/>
          <w:color w:val="auto"/>
        </w:rPr>
        <w:t xml:space="preserve">No such rescission shall affect any subsequent Default or impair any right consequent thereon. Section 6.3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xml:space="preserve"> The Company covenants that if</w:t>
      </w:r>
    </w:p>
    <w:p>
      <w:pPr>
        <w:ind w:left="90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when and as due by the terms of a Security,</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the Company will, upon demand of the Trustee, pay to it, for the benefit of the Holders of such Securities, the whole amount then due and payable on such</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for principal and interest and, to the extent that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280" w:right="239" w:bottom="1440" w:gutter="0" w:footer="0" w:header="0"/>
        </w:sectPr>
      </w:pPr>
    </w:p>
    <w:bookmarkStart w:id="53" w:name="page54"/>
    <w:bookmarkEnd w:id="53"/>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Trustee May File Proofs of Claim</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62" w:lineRule="exact"/>
        <w:rPr>
          <w:sz w:val="20"/>
          <w:szCs w:val="20"/>
          <w:color w:val="auto"/>
        </w:rPr>
      </w:pPr>
    </w:p>
    <w:p>
      <w:pPr>
        <w:ind w:left="900" w:right="100" w:hanging="446"/>
        <w:spacing w:after="0" w:line="306"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collect and receive any moneys or other property payable or deliverable on any such claims and to distribute the same,</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Trustee May Enforce Claims Without Possession of Securities</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00"/>
          </w:cols>
          <w:pgMar w:left="240" w:top="280" w:right="259" w:bottom="1440" w:gutter="0" w:footer="0" w:header="0"/>
        </w:sectPr>
      </w:pPr>
    </w:p>
    <w:bookmarkStart w:id="54" w:name="page55"/>
    <w:bookmarkEnd w:id="54"/>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Application of Money Collected</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To the payment of all amounts due the Trustee under Section 7.7; and</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Third: To the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Limitation on Suits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5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 Series;</w:t>
      </w:r>
    </w:p>
    <w:p>
      <w:pPr>
        <w:spacing w:after="0" w:line="113" w:lineRule="exact"/>
        <w:rPr>
          <w:rFonts w:ascii="Arial" w:cs="Arial" w:eastAsia="Arial" w:hAnsi="Arial"/>
          <w:sz w:val="16"/>
          <w:szCs w:val="16"/>
          <w:color w:val="auto"/>
        </w:rPr>
      </w:pPr>
    </w:p>
    <w:p>
      <w:pPr>
        <w:ind w:left="900" w:right="32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113"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Unconditional Right of Holders to Receive Principal and Interest</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00"/>
          </w:cols>
          <w:pgMar w:left="240" w:top="280" w:right="259" w:bottom="1440" w:gutter="0" w:footer="0" w:header="0"/>
        </w:sectPr>
      </w:pPr>
    </w:p>
    <w:bookmarkStart w:id="55" w:name="page56"/>
    <w:bookmarkEnd w:id="5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6.9 </w:t>
      </w:r>
      <w:r>
        <w:rPr>
          <w:rFonts w:ascii="Arial" w:cs="Arial" w:eastAsia="Arial" w:hAnsi="Arial"/>
          <w:sz w:val="18"/>
          <w:szCs w:val="18"/>
          <w:u w:val="single" w:color="auto"/>
          <w:color w:val="auto"/>
        </w:rPr>
        <w:t>Restoration of Rights and Remedies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Rights and Remedies Cumulative</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Delay or Omission Not Waiver</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Control by Holders</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59"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90" w:lineRule="exact"/>
        <w:rPr>
          <w:rFonts w:ascii="Arial" w:cs="Arial" w:eastAsia="Arial" w:hAnsi="Arial"/>
          <w:sz w:val="18"/>
          <w:szCs w:val="18"/>
          <w:color w:val="auto"/>
        </w:rPr>
      </w:pPr>
    </w:p>
    <w:p>
      <w:pPr>
        <w:ind w:left="900" w:right="80" w:hanging="446"/>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Waiver of Past Defaults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380"/>
          </w:cols>
          <w:pgMar w:left="240" w:top="280" w:right="279" w:bottom="1440" w:gutter="0" w:footer="0" w:header="0"/>
        </w:sectPr>
      </w:pPr>
    </w:p>
    <w:bookmarkStart w:id="56" w:name="page57"/>
    <w:bookmarkEnd w:id="5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6.14 </w:t>
      </w:r>
      <w:r>
        <w:rPr>
          <w:rFonts w:ascii="Arial" w:cs="Arial" w:eastAsia="Arial" w:hAnsi="Arial"/>
          <w:sz w:val="18"/>
          <w:szCs w:val="18"/>
          <w:u w:val="single" w:color="auto"/>
          <w:color w:val="auto"/>
        </w:rPr>
        <w:t>Undertaking for Costs</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TRUSTEE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Duties of Trustee</w:t>
      </w:r>
    </w:p>
    <w:p>
      <w:pPr>
        <w:spacing w:after="0" w:line="90" w:lineRule="exact"/>
        <w:rPr>
          <w:sz w:val="20"/>
          <w:szCs w:val="20"/>
          <w:color w:val="auto"/>
        </w:rPr>
      </w:pPr>
    </w:p>
    <w:p>
      <w:pPr>
        <w:ind w:left="900" w:right="80" w:hanging="446"/>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an Event of Default has occurred and is continuing, the Trustee shall exercise the rights and powers vested in it by this Indenture and use the same degree of care and skill in its exercise as a prudent man would exercise or use under the circumstances in the conduct of his own affairs.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90" w:lineRule="exact"/>
        <w:rPr>
          <w:rFonts w:ascii="Arial" w:cs="Arial" w:eastAsia="Arial" w:hAnsi="Arial"/>
          <w:sz w:val="18"/>
          <w:szCs w:val="18"/>
          <w:color w:val="auto"/>
        </w:rPr>
      </w:pPr>
    </w:p>
    <w:p>
      <w:pPr>
        <w:ind w:left="1480" w:right="60" w:hanging="567"/>
        <w:spacing w:after="0" w:line="268"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 and no implied duties, covenants or obligations shall be read into this Indenture against the Trustee.</w:t>
      </w:r>
    </w:p>
    <w:p>
      <w:pPr>
        <w:spacing w:after="0" w:line="50" w:lineRule="exact"/>
        <w:rPr>
          <w:rFonts w:ascii="Arial" w:cs="Arial" w:eastAsia="Arial" w:hAnsi="Arial"/>
          <w:sz w:val="18"/>
          <w:szCs w:val="18"/>
          <w:color w:val="auto"/>
        </w:rPr>
      </w:pPr>
    </w:p>
    <w:p>
      <w:pPr>
        <w:ind w:left="1480" w:right="100" w:hanging="567"/>
        <w:spacing w:after="0" w:line="254"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w:t>
      </w:r>
    </w:p>
    <w:p>
      <w:pPr>
        <w:spacing w:after="0" w:line="63"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Trustee may not be relieved from liability for its own negligent action, its own negligent failure to act or its own willful misconduct, except that:</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90" w:lineRule="exact"/>
        <w:rPr>
          <w:rFonts w:ascii="Arial" w:cs="Arial" w:eastAsia="Arial" w:hAnsi="Arial"/>
          <w:sz w:val="18"/>
          <w:szCs w:val="18"/>
          <w:color w:val="auto"/>
        </w:rPr>
      </w:pPr>
    </w:p>
    <w:p>
      <w:pPr>
        <w:ind w:left="1480" w:right="20" w:hanging="567"/>
        <w:spacing w:after="0" w:line="268"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50" w:lineRule="exact"/>
        <w:rPr>
          <w:rFonts w:ascii="Arial" w:cs="Arial" w:eastAsia="Arial" w:hAnsi="Arial"/>
          <w:sz w:val="18"/>
          <w:szCs w:val="18"/>
          <w:color w:val="auto"/>
        </w:rPr>
      </w:pPr>
    </w:p>
    <w:p>
      <w:pPr>
        <w:ind w:left="1480" w:hanging="567"/>
        <w:spacing w:after="0" w:line="298" w:lineRule="auto"/>
        <w:tabs>
          <w:tab w:leader="none" w:pos="14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Every provision of this Indenture that in any way relates to the Trustee is subject to paragraph (a), (b) and (c) of this Section.</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400"/>
          </w:cols>
          <w:pgMar w:left="240" w:top="280" w:right="259" w:bottom="1440" w:gutter="0" w:footer="0" w:header="0"/>
        </w:sectPr>
      </w:pPr>
    </w:p>
    <w:bookmarkStart w:id="57" w:name="page58"/>
    <w:bookmarkEnd w:id="57"/>
    <w:p>
      <w:pPr>
        <w:ind w:left="446" w:right="100" w:hanging="446"/>
        <w:spacing w:after="0" w:line="268" w:lineRule="auto"/>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refuse to perform any duty or exercise any right or power unless it receives indemnity satisfactory to it against any loss, liability or expense.</w:t>
      </w:r>
    </w:p>
    <w:p>
      <w:pPr>
        <w:spacing w:after="0" w:line="50" w:lineRule="exact"/>
        <w:rPr>
          <w:rFonts w:ascii="Arial" w:cs="Arial" w:eastAsia="Arial" w:hAnsi="Arial"/>
          <w:sz w:val="18"/>
          <w:szCs w:val="18"/>
          <w:color w:val="auto"/>
        </w:rPr>
      </w:pPr>
    </w:p>
    <w:p>
      <w:pPr>
        <w:ind w:left="446" w:right="80" w:hanging="446"/>
        <w:spacing w:after="0" w:line="268" w:lineRule="auto"/>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50" w:lineRule="exact"/>
        <w:rPr>
          <w:rFonts w:ascii="Arial" w:cs="Arial" w:eastAsia="Arial" w:hAnsi="Arial"/>
          <w:sz w:val="18"/>
          <w:szCs w:val="18"/>
          <w:color w:val="auto"/>
        </w:rPr>
      </w:pPr>
    </w:p>
    <w:p>
      <w:pPr>
        <w:ind w:left="446" w:right="40" w:hanging="446"/>
        <w:spacing w:after="0" w:line="259" w:lineRule="auto"/>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59" w:lineRule="exact"/>
        <w:rPr>
          <w:rFonts w:ascii="Arial" w:cs="Arial" w:eastAsia="Arial" w:hAnsi="Arial"/>
          <w:sz w:val="18"/>
          <w:szCs w:val="18"/>
          <w:color w:val="auto"/>
        </w:rPr>
      </w:pPr>
    </w:p>
    <w:p>
      <w:pPr>
        <w:ind w:left="446" w:right="160" w:hanging="446"/>
        <w:spacing w:after="0" w:line="268" w:lineRule="auto"/>
        <w:tabs>
          <w:tab w:leader="none" w:pos="4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Paying Agent, the Registrar and any authenticating agent shall be entitled to the protections, immunities and standard of care as are set forth in paragraphs (a), (b) and (c) of this Section with respect to the Trustee.</w:t>
      </w:r>
    </w:p>
    <w:p>
      <w:pPr>
        <w:spacing w:after="0" w:line="132" w:lineRule="exact"/>
        <w:rPr>
          <w:sz w:val="20"/>
          <w:szCs w:val="20"/>
          <w:color w:val="auto"/>
        </w:rPr>
      </w:pPr>
    </w:p>
    <w:p>
      <w:pPr>
        <w:ind w:left="6"/>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Rights of Trustee</w:t>
      </w:r>
    </w:p>
    <w:p>
      <w:pPr>
        <w:spacing w:after="0" w:line="90" w:lineRule="exact"/>
        <w:rPr>
          <w:sz w:val="20"/>
          <w:szCs w:val="20"/>
          <w:color w:val="auto"/>
        </w:rPr>
      </w:pPr>
    </w:p>
    <w:p>
      <w:pPr>
        <w:ind w:left="446" w:right="120" w:hanging="446"/>
        <w:spacing w:after="0" w:line="332" w:lineRule="auto"/>
        <w:tabs>
          <w:tab w:leader="none" w:pos="4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Trustee may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4" w:lineRule="exact"/>
        <w:rPr>
          <w:rFonts w:ascii="Arial" w:cs="Arial" w:eastAsia="Arial" w:hAnsi="Arial"/>
          <w:sz w:val="16"/>
          <w:szCs w:val="16"/>
          <w:color w:val="auto"/>
        </w:rPr>
      </w:pPr>
    </w:p>
    <w:p>
      <w:pPr>
        <w:ind w:left="446" w:right="220" w:hanging="446"/>
        <w:spacing w:after="0" w:line="268" w:lineRule="auto"/>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Before the Trustee acts or refrains from acting, it may require an Officers’ Certificate or an Opinion of Counsel. The Trustee shall not be liable for any action it takes or omits to take in good faith in reliance on such Officers’ Certificate or Opinion of Counsel.</w:t>
      </w:r>
    </w:p>
    <w:p>
      <w:pPr>
        <w:spacing w:after="0" w:line="50" w:lineRule="exact"/>
        <w:rPr>
          <w:rFonts w:ascii="Arial" w:cs="Arial" w:eastAsia="Arial" w:hAnsi="Arial"/>
          <w:sz w:val="18"/>
          <w:szCs w:val="18"/>
          <w:color w:val="auto"/>
        </w:rPr>
      </w:pPr>
    </w:p>
    <w:p>
      <w:pPr>
        <w:ind w:left="446" w:right="700" w:hanging="446"/>
        <w:spacing w:after="0" w:line="357" w:lineRule="auto"/>
        <w:tabs>
          <w:tab w:leader="none" w:pos="446"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ind w:left="446" w:right="200" w:hanging="446"/>
        <w:spacing w:after="0" w:line="268" w:lineRule="auto"/>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negligence or bad faith.</w:t>
      </w:r>
    </w:p>
    <w:p>
      <w:pPr>
        <w:spacing w:after="0" w:line="50" w:lineRule="exact"/>
        <w:rPr>
          <w:rFonts w:ascii="Arial" w:cs="Arial" w:eastAsia="Arial" w:hAnsi="Arial"/>
          <w:sz w:val="18"/>
          <w:szCs w:val="18"/>
          <w:color w:val="auto"/>
        </w:rPr>
      </w:pPr>
    </w:p>
    <w:p>
      <w:pPr>
        <w:ind w:left="446" w:right="600" w:hanging="446"/>
        <w:spacing w:after="0" w:line="357" w:lineRule="auto"/>
        <w:tabs>
          <w:tab w:leader="none" w:pos="446"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Trustee may consult with counsel and the advice of such counsel or any Opinion of Counsel shall be full and complete authorization and protection in respect of any action taken, suffered or omitted by it hereunder without negligence and in good faith and in reliance thereon.</w:t>
      </w:r>
    </w:p>
    <w:p>
      <w:pPr>
        <w:ind w:left="446" w:right="20" w:hanging="446"/>
        <w:spacing w:after="0" w:line="259" w:lineRule="auto"/>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reasonable security or indemnity against the costs, expenses and liabilities which might be incurred by it in compliance with such request or direction.</w:t>
      </w:r>
    </w:p>
    <w:p>
      <w:pPr>
        <w:spacing w:after="0" w:line="59" w:lineRule="exact"/>
        <w:rPr>
          <w:rFonts w:ascii="Arial" w:cs="Arial" w:eastAsia="Arial" w:hAnsi="Arial"/>
          <w:sz w:val="18"/>
          <w:szCs w:val="18"/>
          <w:color w:val="auto"/>
        </w:rPr>
      </w:pPr>
    </w:p>
    <w:p>
      <w:pPr>
        <w:jc w:val="both"/>
        <w:ind w:left="446" w:hanging="446"/>
        <w:spacing w:after="0" w:line="306" w:lineRule="auto"/>
        <w:tabs>
          <w:tab w:leader="none" w:pos="4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25" w:lineRule="exact"/>
        <w:rPr>
          <w:rFonts w:ascii="Arial" w:cs="Arial" w:eastAsia="Arial" w:hAnsi="Arial"/>
          <w:sz w:val="16"/>
          <w:szCs w:val="16"/>
          <w:color w:val="auto"/>
        </w:rPr>
      </w:pPr>
    </w:p>
    <w:p>
      <w:pPr>
        <w:ind w:left="446" w:hanging="446"/>
        <w:spacing w:after="0" w:line="306" w:lineRule="auto"/>
        <w:tabs>
          <w:tab w:leader="none" w:pos="44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25" w:lineRule="exact"/>
        <w:rPr>
          <w:rFonts w:ascii="Arial" w:cs="Arial" w:eastAsia="Arial" w:hAnsi="Arial"/>
          <w:sz w:val="16"/>
          <w:szCs w:val="16"/>
          <w:color w:val="auto"/>
        </w:rPr>
      </w:pPr>
    </w:p>
    <w:p>
      <w:pPr>
        <w:ind w:left="446" w:right="280" w:hanging="446"/>
        <w:spacing w:after="0" w:line="256" w:lineRule="auto"/>
        <w:tabs>
          <w:tab w:leader="none" w:pos="4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an Officers’ Certificate setting forth the names of the individuals and/or titles of Officers authorized at such time to take specific actions pursuant to this Indenture, which Officers’ Certificate may be signed by any persons authorized to sign an Officers’ Certificate, including any persons specified as so authorized in any such Officers’ Certificate previously delivered and not superseded.</w:t>
      </w:r>
    </w:p>
    <w:p>
      <w:pPr>
        <w:spacing w:after="0" w:line="129" w:lineRule="exact"/>
        <w:rPr>
          <w:rFonts w:ascii="Arial" w:cs="Arial" w:eastAsia="Arial" w:hAnsi="Arial"/>
          <w:sz w:val="18"/>
          <w:szCs w:val="18"/>
          <w:color w:val="auto"/>
        </w:rPr>
      </w:pPr>
    </w:p>
    <w:p>
      <w:pPr>
        <w:ind w:left="5166" w:hanging="96"/>
        <w:spacing w:after="0"/>
        <w:tabs>
          <w:tab w:leader="none" w:pos="5166" w:val="left"/>
        </w:tabs>
        <w:numPr>
          <w:ilvl w:val="1"/>
          <w:numId w:val="42"/>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946"/>
          </w:cols>
          <w:pgMar w:left="694" w:top="280" w:right="259" w:bottom="1440" w:gutter="0" w:footer="0" w:header="0"/>
        </w:sectPr>
      </w:pPr>
    </w:p>
    <w:bookmarkStart w:id="58" w:name="page59"/>
    <w:bookmarkEnd w:id="58"/>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permissive rights of the Trustee enumerated herein shall not be construed as duties.</w:t>
      </w:r>
    </w:p>
    <w:p>
      <w:pPr>
        <w:spacing w:after="0" w:line="9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enforced by, the Trustee in each of its capacities hereunder, and to each agent, custodian and other person employed to act hereunder.</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59" w:lineRule="exact"/>
        <w:rPr>
          <w:rFonts w:ascii="Arial" w:cs="Arial" w:eastAsia="Arial" w:hAnsi="Arial"/>
          <w:sz w:val="18"/>
          <w:szCs w:val="18"/>
          <w:color w:val="auto"/>
        </w:rPr>
      </w:pPr>
    </w:p>
    <w:p>
      <w:pPr>
        <w:jc w:val="both"/>
        <w:ind w:left="900" w:right="40" w:hanging="446"/>
        <w:spacing w:after="0" w:line="294"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Individual Rights of Trustee</w:t>
      </w:r>
    </w:p>
    <w:p>
      <w:pPr>
        <w:spacing w:after="0" w:line="17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Trustee’s Disclaimer</w:t>
      </w:r>
    </w:p>
    <w:p>
      <w:pPr>
        <w:spacing w:after="0" w:line="17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Notice of Defaults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Reports by Trustee to Holders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Within 60 days after May 15 in each year, the Trustee shall transmit by mail to all Securityholders, as their names and addresses appear on the register kept by the Registrar, a brief report dated as of such May 15, in accordance with, and to the extent required under, TIA § 313.</w:t>
      </w:r>
    </w:p>
    <w:p>
      <w:pPr>
        <w:spacing w:after="0" w:line="132"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A copy of each report at the time of its mailing to Securityholders of any Series shall be filed with the SEC and each stock exchange on which the Securities of that Series are listed. The Company shall promptly notify the Trustee when Securities of any Series are listed on any stock exchange.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Compensation and Indemnity</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00"/>
          </w:cols>
          <w:pgMar w:left="240" w:top="280" w:right="259" w:bottom="1440" w:gutter="0" w:footer="0" w:header="0"/>
        </w:sectPr>
      </w:pPr>
    </w:p>
    <w:bookmarkStart w:id="59" w:name="page60"/>
    <w:bookmarkEnd w:id="59"/>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shall indemnify each of the Trustee and any predecessor Trustee (including the cost of defending itself) against any loss, liability or expense,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spacing w:after="0" w:line="12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or agent of the Trustee through negligence or bad faith.</w:t>
      </w:r>
    </w:p>
    <w:p>
      <w:pPr>
        <w:spacing w:after="0" w:line="13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this Section shall survive the resignation or removal of the Trustee and the termination of this Indenture.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Replacement of Trustee</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32"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26"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Bankruptcy Law;</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4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380"/>
          </w:cols>
          <w:pgMar w:left="240" w:top="280" w:right="279" w:bottom="1440" w:gutter="0" w:footer="0" w:header="0"/>
        </w:sectPr>
      </w:pPr>
    </w:p>
    <w:bookmarkStart w:id="60" w:name="page61"/>
    <w:bookmarkEnd w:id="60"/>
    <w:p>
      <w:pPr>
        <w:ind w:right="4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prior to such replacement.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Successor Trustee by Merger, etc</w:t>
      </w:r>
      <w:r>
        <w:rPr>
          <w:rFonts w:ascii="Arial" w:cs="Arial" w:eastAsia="Arial" w:hAnsi="Arial"/>
          <w:sz w:val="18"/>
          <w:szCs w:val="18"/>
          <w:color w:val="auto"/>
        </w:rPr>
        <w:t>.</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If the Trustee consolidates with, merges or converts into, or transfers all or substantially all of its corporate trust business to, another corporation, the successor corporation without any further act shall be the successor Trustee.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Eligibility; Disqualification</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Preferential Collection of Claims Against Company</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29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SATISFACTION AND DISCHARGE; DEFEASANCE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Satisfaction and Discharge of Indenture</w:t>
      </w:r>
    </w:p>
    <w:p>
      <w:pPr>
        <w:spacing w:after="0" w:line="171"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This Indenture shall, upon Company Request, cease to be of further effect (except as to any surviving rights of registration of transfer or exchange of Securities herein expressly provided for), and the Trustee, if so requested by the Company, shall at the expense of the Company execute proper instruments acknowledging satisfaction and discharge of this Indenture, when</w:t>
      </w:r>
    </w:p>
    <w:p>
      <w:pPr>
        <w:spacing w:after="0" w:line="59"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0" w:hanging="567"/>
        <w:spacing w:after="0" w:line="256"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(1) Securities that have been destroyed, lost or stolen and that have been replaced or paid as provided in Section 2.8 and (2) Securities for whose payment money has theretofore been deposited in trust or segregated and held in trust by the Company and thereafter repaid to the Company or discharged from such trust, as provided in Section 8.5, as applicable) have been delivered to the Trustee for cancellation; or</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90" w:lineRule="exact"/>
        <w:rPr>
          <w:rFonts w:ascii="Arial" w:cs="Arial" w:eastAsia="Arial" w:hAnsi="Arial"/>
          <w:sz w:val="18"/>
          <w:szCs w:val="18"/>
          <w:color w:val="auto"/>
        </w:rPr>
      </w:pPr>
    </w:p>
    <w:p>
      <w:pPr>
        <w:ind w:left="1920" w:right="160" w:hanging="440"/>
        <w:spacing w:after="0" w:line="332" w:lineRule="auto"/>
        <w:tabs>
          <w:tab w:leader="none" w:pos="1920" w:val="left"/>
        </w:tabs>
        <w:numPr>
          <w:ilvl w:val="2"/>
          <w:numId w:val="45"/>
        </w:numPr>
        <w:rPr>
          <w:rFonts w:ascii="Arial" w:cs="Arial" w:eastAsia="Arial" w:hAnsi="Arial"/>
          <w:sz w:val="16"/>
          <w:szCs w:val="16"/>
          <w:color w:val="auto"/>
        </w:rPr>
      </w:pPr>
      <w:r>
        <w:rPr>
          <w:rFonts w:ascii="Arial" w:cs="Arial" w:eastAsia="Arial" w:hAnsi="Arial"/>
          <w:sz w:val="16"/>
          <w:szCs w:val="16"/>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4" w:lineRule="exact"/>
        <w:rPr>
          <w:rFonts w:ascii="Arial" w:cs="Arial" w:eastAsia="Arial" w:hAnsi="Arial"/>
          <w:sz w:val="16"/>
          <w:szCs w:val="16"/>
          <w:color w:val="auto"/>
        </w:rPr>
      </w:pPr>
    </w:p>
    <w:p>
      <w:pPr>
        <w:ind w:left="1920" w:hanging="440"/>
        <w:spacing w:after="0"/>
        <w:tabs>
          <w:tab w:leader="none" w:pos="19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3"/>
          <w:numId w:val="45"/>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420"/>
          </w:cols>
          <w:pgMar w:left="240" w:top="280" w:right="239" w:bottom="1440" w:gutter="0" w:footer="0" w:header="0"/>
        </w:sectPr>
      </w:pPr>
    </w:p>
    <w:bookmarkStart w:id="61" w:name="page62"/>
    <w:bookmarkEnd w:id="61"/>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Company, in the case of (1), (2) or (3) above, has deposited or caused to be deposited with the Trustee as trust funds in trust for such purpose, money or U.S. Government Obligations or a combination thereof sufficient (unless funds consist solely of money) in the opinion of a nationally recognized firm of independent public accountants expressed in a written certification thereof delivered to the Trustee, without consideration of any reinvestment, to pay and discharge the entire indebtedness on such Securities not theretofore delivered to the Trustee for cancellation, for principal and interest to the date of such deposit (in the case of Securities which have become due and payable) or to the Stated Maturity or Redemption Date, as the case may be;</w:t>
      </w:r>
    </w:p>
    <w:p>
      <w:pPr>
        <w:spacing w:after="0" w:line="35"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9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8.5 and 8.6 shall survive.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Application of Trust Funds; Indemnification</w:t>
      </w:r>
    </w:p>
    <w:p>
      <w:pPr>
        <w:spacing w:after="0" w:line="90" w:lineRule="exact"/>
        <w:rPr>
          <w:sz w:val="20"/>
          <w:szCs w:val="20"/>
          <w:color w:val="auto"/>
        </w:rPr>
      </w:pPr>
    </w:p>
    <w:p>
      <w:pPr>
        <w:ind w:left="900" w:right="20" w:hanging="446"/>
        <w:spacing w:after="0" w:line="290"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Subject to the provisions of Section 8.5, all money and U.S. Government Obligations deposited with the Trustee pursuant to Section 8.1, all money and U.S. Government Obligations or Foreign Government Obligations deposited with the Trustee pursuant to Sections 8.3 or 8.4 and all money received by the Trustee in respect of U.S. Government Obligations or Foreign Government Obligations deposited with the Trustee pursuant to Sections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w:t>
      </w:r>
    </w:p>
    <w:p>
      <w:pPr>
        <w:spacing w:after="0" w:line="37" w:lineRule="exact"/>
        <w:rPr>
          <w:rFonts w:ascii="Arial" w:cs="Arial" w:eastAsia="Arial" w:hAnsi="Arial"/>
          <w:sz w:val="16"/>
          <w:szCs w:val="16"/>
          <w:color w:val="auto"/>
        </w:rPr>
      </w:pPr>
    </w:p>
    <w:p>
      <w:pPr>
        <w:ind w:left="90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59" w:lineRule="exact"/>
        <w:rPr>
          <w:rFonts w:ascii="Arial" w:cs="Arial" w:eastAsia="Arial" w:hAnsi="Arial"/>
          <w:sz w:val="18"/>
          <w:szCs w:val="18"/>
          <w:color w:val="auto"/>
        </w:rPr>
      </w:pPr>
    </w:p>
    <w:p>
      <w:pPr>
        <w:ind w:left="900" w:right="40" w:hanging="446"/>
        <w:spacing w:after="0" w:line="291"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Trustee shall deliver or pay to the Company from time to time upon Company Request any U.S. Government Obligations or Foreign Government Obligations or money held by it as provided in Sections 8.1, 8.3 or 8.4 which, in the opinion of a nationally recognized firm of independent certified public accountants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Legal Defeasance of Securities of any Series</w:t>
      </w:r>
    </w:p>
    <w:p>
      <w:pPr>
        <w:spacing w:after="0" w:line="17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Unless this Section 8.3 is otherwise specified, pursuant to Section 2.2.22,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spacing w:after="0" w:line="32" w:lineRule="exact"/>
        <w:rPr>
          <w:sz w:val="20"/>
          <w:szCs w:val="20"/>
          <w:color w:val="auto"/>
        </w:rPr>
      </w:pPr>
    </w:p>
    <w:p>
      <w:pPr>
        <w:ind w:left="900" w:right="4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rights of Holders of Securities of such Series to receive, from the trust funds described in subparagraph (d) hereof, (i) payment of the principal of and each installment of principal of and</w:t>
      </w:r>
    </w:p>
    <w:p>
      <w:pPr>
        <w:spacing w:after="0" w:line="118" w:lineRule="exact"/>
        <w:rPr>
          <w:rFonts w:ascii="Arial" w:cs="Arial" w:eastAsia="Arial" w:hAnsi="Arial"/>
          <w:sz w:val="18"/>
          <w:szCs w:val="18"/>
          <w:color w:val="auto"/>
        </w:rPr>
      </w:pPr>
    </w:p>
    <w:p>
      <w:pPr>
        <w:ind w:left="5620" w:hanging="96"/>
        <w:spacing w:after="0"/>
        <w:tabs>
          <w:tab w:leader="none" w:pos="56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380"/>
          </w:cols>
          <w:pgMar w:left="240" w:top="280" w:right="279" w:bottom="1440" w:gutter="0" w:footer="0" w:header="0"/>
        </w:sectPr>
      </w:pPr>
    </w:p>
    <w:bookmarkStart w:id="62" w:name="page63"/>
    <w:bookmarkEnd w:id="62"/>
    <w:p>
      <w:pPr>
        <w:ind w:left="92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59"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provisions of Sections 2.4, 2.7, 2.8, 8.2, 8.3 and 8.5;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rights, powers, trust and immunities of the Trustee 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following conditions shall have been satisfied:</w:t>
      </w:r>
    </w:p>
    <w:p>
      <w:pPr>
        <w:spacing w:after="0" w:line="90" w:lineRule="exact"/>
        <w:rPr>
          <w:sz w:val="20"/>
          <w:szCs w:val="20"/>
          <w:color w:val="auto"/>
        </w:rPr>
      </w:pPr>
    </w:p>
    <w:p>
      <w:pPr>
        <w:ind w:left="900" w:right="180" w:hanging="446"/>
        <w:spacing w:after="0" w:line="28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shall have deposited or caused to be deposited (except as provided in Section 8.2(c)) with the Trustee as trust funds in trust for the purpose of making the following payments, specifically pledged as security for and dedicated solely to the benefit of the Holders of such Securities</w:t>
      </w:r>
    </w:p>
    <w:p>
      <w:pPr>
        <w:ind w:left="900" w:right="180"/>
        <w:spacing w:after="0" w:line="288" w:lineRule="auto"/>
        <w:rPr>
          <w:rFonts w:ascii="Arial" w:cs="Arial" w:eastAsia="Arial" w:hAnsi="Arial"/>
          <w:sz w:val="16"/>
          <w:szCs w:val="16"/>
          <w:color w:val="auto"/>
        </w:rPr>
      </w:pPr>
      <w:r>
        <w:rPr>
          <w:rFonts w:ascii="Arial" w:cs="Arial" w:eastAsia="Arial" w:hAnsi="Arial"/>
          <w:sz w:val="16"/>
          <w:szCs w:val="16"/>
          <w:color w:val="auto"/>
        </w:rPr>
        <w:t>(i)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41"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50" w:lineRule="exact"/>
        <w:rPr>
          <w:rFonts w:ascii="Arial" w:cs="Arial" w:eastAsia="Arial" w:hAnsi="Arial"/>
          <w:sz w:val="18"/>
          <w:szCs w:val="18"/>
          <w:color w:val="auto"/>
        </w:rPr>
      </w:pPr>
    </w:p>
    <w:p>
      <w:pPr>
        <w:ind w:left="900" w:right="44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50" w:lineRule="exact"/>
        <w:rPr>
          <w:rFonts w:ascii="Arial" w:cs="Arial" w:eastAsia="Arial" w:hAnsi="Arial"/>
          <w:sz w:val="18"/>
          <w:szCs w:val="18"/>
          <w:color w:val="auto"/>
        </w:rPr>
      </w:pPr>
    </w:p>
    <w:p>
      <w:pPr>
        <w:ind w:left="900" w:right="40" w:hanging="446"/>
        <w:spacing w:after="0" w:line="291"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39" w:lineRule="exact"/>
        <w:rPr>
          <w:rFonts w:ascii="Arial" w:cs="Arial" w:eastAsia="Arial" w:hAnsi="Arial"/>
          <w:sz w:val="16"/>
          <w:szCs w:val="16"/>
          <w:color w:val="auto"/>
        </w:rPr>
      </w:pPr>
    </w:p>
    <w:p>
      <w:pPr>
        <w:ind w:left="900" w:right="8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59"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8.4 </w:t>
      </w:r>
      <w:r>
        <w:rPr>
          <w:rFonts w:ascii="Arial" w:cs="Arial" w:eastAsia="Arial" w:hAnsi="Arial"/>
          <w:sz w:val="18"/>
          <w:szCs w:val="18"/>
          <w:u w:val="single" w:color="auto"/>
          <w:color w:val="auto"/>
        </w:rPr>
        <w:t>Covenant Defeasance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Unless this Section 8.4 is otherwise specified pursuant to Section 2.2.22 to be inapplicable to Securities of any Series, the Company may omit to comply with respect to the Securities of any Series with any term, provision or condition set forth under Sections 4.2, 4.3, 4.4, 4.5 and 5.1 as well as any additional covenants specified in a supplemental indenture for such Series of Securities or a Board Resolution or an Officers’ Certificate delivered pursuant to Section 2.2.22 (and the failure to comply with any such covenants shall not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20"/>
          </w:cols>
          <w:pgMar w:left="240" w:top="280" w:right="239" w:bottom="1440" w:gutter="0" w:footer="0" w:header="0"/>
        </w:sectPr>
      </w:pPr>
    </w:p>
    <w:bookmarkStart w:id="63" w:name="page64"/>
    <w:bookmarkEnd w:id="63"/>
    <w:p>
      <w:pPr>
        <w:ind w:right="14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provided that the following conditions shall have been satisfied:</w:t>
      </w:r>
    </w:p>
    <w:p>
      <w:pPr>
        <w:spacing w:after="0" w:line="7" w:lineRule="exact"/>
        <w:rPr>
          <w:sz w:val="20"/>
          <w:szCs w:val="20"/>
          <w:color w:val="auto"/>
        </w:rPr>
      </w:pPr>
    </w:p>
    <w:p>
      <w:pPr>
        <w:ind w:left="900" w:hanging="446"/>
        <w:spacing w:after="0" w:line="309" w:lineRule="auto"/>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With reference to this Section 8.4, the Company has deposited or caused to be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the Securities of such Series on the dates such installments of interest or principal and such sinking fund payments are due;</w:t>
      </w:r>
    </w:p>
    <w:p>
      <w:pPr>
        <w:spacing w:after="0" w:line="27" w:lineRule="exact"/>
        <w:rPr>
          <w:rFonts w:ascii="Arial" w:cs="Arial" w:eastAsia="Arial" w:hAnsi="Arial"/>
          <w:sz w:val="15"/>
          <w:szCs w:val="15"/>
          <w:color w:val="auto"/>
        </w:rPr>
      </w:pPr>
    </w:p>
    <w:p>
      <w:pPr>
        <w:ind w:left="900" w:right="4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 such deposit;</w:t>
      </w:r>
    </w:p>
    <w:p>
      <w:pPr>
        <w:spacing w:after="0" w:line="113" w:lineRule="exact"/>
        <w:rPr>
          <w:rFonts w:ascii="Arial" w:cs="Arial" w:eastAsia="Arial" w:hAnsi="Arial"/>
          <w:sz w:val="16"/>
          <w:szCs w:val="16"/>
          <w:color w:val="auto"/>
        </w:rPr>
      </w:pPr>
    </w:p>
    <w:p>
      <w:pPr>
        <w:jc w:val="both"/>
        <w:ind w:left="900" w:right="60" w:hanging="446"/>
        <w:spacing w:after="0" w:line="335" w:lineRule="auto"/>
        <w:tabs>
          <w:tab w:leader="none" w:pos="9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7" w:lineRule="exact"/>
        <w:rPr>
          <w:rFonts w:ascii="Arial" w:cs="Arial" w:eastAsia="Arial" w:hAnsi="Arial"/>
          <w:sz w:val="15"/>
          <w:szCs w:val="15"/>
          <w:color w:val="auto"/>
        </w:rPr>
      </w:pPr>
    </w:p>
    <w:p>
      <w:pPr>
        <w:ind w:left="900" w:right="6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59"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Repayment to Company</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8.6 </w:t>
      </w:r>
      <w:r>
        <w:rPr>
          <w:rFonts w:ascii="Arial" w:cs="Arial" w:eastAsia="Arial" w:hAnsi="Arial"/>
          <w:sz w:val="18"/>
          <w:szCs w:val="18"/>
          <w:u w:val="single" w:color="auto"/>
          <w:color w:val="auto"/>
        </w:rPr>
        <w:t>Reinstatement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00"/>
          </w:cols>
          <w:pgMar w:left="240" w:top="280" w:right="259" w:bottom="1440" w:gutter="0" w:footer="0" w:header="0"/>
        </w:sectPr>
      </w:pPr>
    </w:p>
    <w:bookmarkStart w:id="64" w:name="page65"/>
    <w:bookmarkEnd w:id="64"/>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provided, however, that if the Company has made any payment of principal of or interest on any Securities because of the reinstatement of its obligations, the Company shall be subrogated to the rights of the Holders of such Securities to receive such payment from the money held by the Trustee or Paying Agent.</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AMENDMENTS AND WAIVERS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Without Consent of 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and the Trustee may amend or supplement this Indenture or the Securities of one or more Series without the consent of any Securityholder:</w:t>
      </w:r>
    </w:p>
    <w:p>
      <w:pPr>
        <w:spacing w:after="0" w:line="113"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provide for a supplemental indenture as set forth in Article V;</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Securities of any Series as permitted by this Indenture;</w:t>
      </w:r>
    </w:p>
    <w:p>
      <w:pPr>
        <w:spacing w:after="0" w:line="113" w:lineRule="exact"/>
        <w:rPr>
          <w:rFonts w:ascii="Arial" w:cs="Arial" w:eastAsia="Arial" w:hAnsi="Arial"/>
          <w:sz w:val="16"/>
          <w:szCs w:val="16"/>
          <w:color w:val="auto"/>
        </w:rPr>
      </w:pPr>
    </w:p>
    <w:p>
      <w:pPr>
        <w:jc w:val="both"/>
        <w:ind w:left="900" w:right="1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this Indenture under the TIA.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With Consent of Holders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00"/>
          </w:cols>
          <w:pgMar w:left="240" w:top="280" w:right="259"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9.3 </w:t>
      </w:r>
      <w:r>
        <w:rPr>
          <w:rFonts w:ascii="Arial" w:cs="Arial" w:eastAsia="Arial" w:hAnsi="Arial"/>
          <w:sz w:val="18"/>
          <w:szCs w:val="18"/>
          <w:u w:val="single" w:color="auto"/>
          <w:color w:val="auto"/>
        </w:rPr>
        <w:t>Limitations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Without the consent of each Securityholder affected, an amendment or waiver may not:</w:t>
      </w:r>
    </w:p>
    <w:p>
      <w:pPr>
        <w:spacing w:after="0" w:line="90"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90" w:lineRule="exact"/>
        <w:rPr>
          <w:rFonts w:ascii="Arial" w:cs="Arial" w:eastAsia="Arial" w:hAnsi="Arial"/>
          <w:sz w:val="18"/>
          <w:szCs w:val="18"/>
          <w:color w:val="auto"/>
        </w:rPr>
      </w:pPr>
    </w:p>
    <w:p>
      <w:pPr>
        <w:ind w:left="900" w:right="24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the principal of or interest, if any, on any Security payable in any currency other than that stated in the Security;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Compliance with Trust Indenture Act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 hereto that complies with the TIA as then in effect.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Revocation and Effect of Consents</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1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Notation on or Exchange of Securities</w:t>
      </w:r>
    </w:p>
    <w:p>
      <w:pPr>
        <w:spacing w:after="0" w:line="171"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Trustee may place an appropriate notation about an amendment or waiver on any Security of any Series thereafter authenticated. The Company in exchange for Securities of that Series may issue and the Trustee shall authenticate upon request new Securities of that Series that reflect the amendment or waiver.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Trustee Protected</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in addition to the documents required by Section 10.04 and (subject to Section 7.1) shall be fully protected in relying upon, an Opinion of Counsel and Officers’ Certificate stating that the execution of such supplemental indenture is authorized or permitted by this Indenture. The Trustee shall sign all supplemental indentures, except that the Trustee need not sign any supplemental indenture that adversely affects its rights.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20"/>
          </w:cols>
          <w:pgMar w:left="240" w:top="280" w:right="239" w:bottom="1440" w:gutter="0" w:footer="0" w:header="0"/>
        </w:sectPr>
      </w:pPr>
    </w:p>
    <w:bookmarkStart w:id="66" w:name="page67"/>
    <w:bookmarkEnd w:id="66"/>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Trust Indenture Act Controls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Notices</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Norwood, Massachusetts 02062-9106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(781) 329-4700</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Bank of New York Mellon Trust Company, N.A.</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525 William Penn Place, 35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Pittsburgh, PA 15259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Corporate Trust Administration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(412) 236-1201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or the Trustee by notice to the other may designate additional or different addresses for subsequent notices or communications.</w:t>
      </w:r>
    </w:p>
    <w:p>
      <w:pPr>
        <w:spacing w:after="0" w:line="19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w:t>
      </w:r>
    </w:p>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If a notice or communication is mailed or published in the manner provided above, within the time prescribed, it is duly given, whether or not the Securityholder receives it.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Company mails a notice or communication to Securityholders, it shall mail a copy to the Trustee and each Agent at the same time.</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addition to the foregoing, the Trustee agrees to accept and act upon notice, instructions or directions pursuant to this Indenture sent by unsecured e-mail, facsimile transmission or other similar unsecured electronic methods. The Trustee shall not be liable for any losses, costs or expenses arising directly or indirectly from the Trustee’s reliance upon and compliance with such instructions, including in the event that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Communication by Holders with Other Holders</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380"/>
          </w:cols>
          <w:pgMar w:left="240" w:top="280" w:right="279" w:bottom="1440" w:gutter="0" w:footer="0" w:header="0"/>
        </w:sectPr>
      </w:pPr>
    </w:p>
    <w:bookmarkStart w:id="67" w:name="page68"/>
    <w:bookmarkEnd w:id="6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10.4 </w:t>
      </w:r>
      <w:r>
        <w:rPr>
          <w:rFonts w:ascii="Arial" w:cs="Arial" w:eastAsia="Arial" w:hAnsi="Arial"/>
          <w:sz w:val="18"/>
          <w:szCs w:val="18"/>
          <w:u w:val="single" w:color="auto"/>
          <w:color w:val="auto"/>
        </w:rPr>
        <w:t>Certificate and Opinion as to Conditions Precedent</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Upon any request or application by the Company to the Trustee to take any action under this Indenture that requires as a condition precedent the furnishing of an Officers’ Certificate or an Opinion of Counsel, the Company shall furnish to the Trustee as appropriate:</w:t>
      </w:r>
    </w:p>
    <w:p>
      <w:pPr>
        <w:spacing w:after="0" w:line="51" w:lineRule="exact"/>
        <w:rPr>
          <w:sz w:val="20"/>
          <w:szCs w:val="20"/>
          <w:color w:val="auto"/>
        </w:rPr>
      </w:pPr>
    </w:p>
    <w:p>
      <w:pPr>
        <w:ind w:left="900" w:right="60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Opinion of Counsel stating that, in the opinion of such counsel, all such conditions precedent have been complied with.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Statements Required in Certificate or Opinion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51"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Rules by Trustee and Agents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Legal Holidays</w:t>
      </w:r>
    </w:p>
    <w:p>
      <w:pPr>
        <w:spacing w:after="0" w:line="17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Unless otherwise provided by Board Resolution, Officers’ Certificate or supplemental indenture hereto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No Recourse Against Others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Counterparts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20"/>
          </w:cols>
          <w:pgMar w:left="240" w:top="280" w:right="239" w:bottom="1440" w:gutter="0" w:footer="0" w:header="0"/>
        </w:sectPr>
      </w:pPr>
    </w:p>
    <w:bookmarkStart w:id="68" w:name="page69"/>
    <w:bookmarkEnd w:id="6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10.10 </w:t>
      </w:r>
      <w:r>
        <w:rPr>
          <w:rFonts w:ascii="Arial" w:cs="Arial" w:eastAsia="Arial" w:hAnsi="Arial"/>
          <w:sz w:val="18"/>
          <w:szCs w:val="18"/>
          <w:u w:val="single" w:color="auto"/>
          <w:color w:val="auto"/>
        </w:rPr>
        <w:t>Governing Laws</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THIS INDENTURE AND THE SECURITIES SHALL BE GOVERNED BY THE LAWS OF THE STATE OF NEW YORK APPLICABLE TO AGREEMENTS MADE AND TO BE PERFORMED IN SUCH STATE, WITHOUT REGARD TO THE CONFLICT OF LAWS PROVISIONS THEREOF.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No Adverse Interpretation of Other Agreements</w:t>
      </w:r>
    </w:p>
    <w:p>
      <w:pPr>
        <w:spacing w:after="0" w:line="17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Successors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Severability</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Table of Contents, Headings, Etc.</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10.15 </w:t>
      </w:r>
      <w:r>
        <w:rPr>
          <w:rFonts w:ascii="Arial" w:cs="Arial" w:eastAsia="Arial" w:hAnsi="Arial"/>
          <w:sz w:val="18"/>
          <w:szCs w:val="18"/>
          <w:u w:val="single" w:color="auto"/>
          <w:color w:val="auto"/>
        </w:rPr>
        <w:t>Securities in a Foreign Currency</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then the principal amount of Securities of such Series which shall be deemed to be outstanding for the purpose of taking such action shall be that amount of Dollars that could be obtained for such amount at the Market Exchange Rate at such time. For purposes of this Section 10.15, “Market Exchange Rate” shall mean the noon Dollar buying rate in New York City for cable transfers of that currency as published by the Federal Reserve Bank of New York. If such Market Exchange Rate is not available for any reason with respect to such currency, the Trustee shall use, in its sole discretion and without liability on its part, such quotation of the Federal Reserve Bank of New York as of the most recent available date, or quotations from one or more major banks in The City of New York or in the country of issue of the currency in question or such other quotations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2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decisions and determinations of the Trustee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00"/>
          </w:cols>
          <w:pgMar w:left="240" w:top="280" w:right="259" w:bottom="1440" w:gutter="0" w:footer="0" w:header="0"/>
        </w:sectPr>
      </w:pPr>
    </w:p>
    <w:bookmarkStart w:id="69" w:name="page70"/>
    <w:bookmarkEnd w:id="6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10.16 </w:t>
      </w:r>
      <w:r>
        <w:rPr>
          <w:rFonts w:ascii="Arial" w:cs="Arial" w:eastAsia="Arial" w:hAnsi="Arial"/>
          <w:sz w:val="18"/>
          <w:szCs w:val="18"/>
          <w:u w:val="single" w:color="auto"/>
          <w:color w:val="auto"/>
        </w:rPr>
        <w:t>Judgment Currency</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accepted procedures in the banking industry the Required Currency could be purchased with the Judgment Currency in The City of New York on the day on which final unappealable judgment is entered, unless such day is not a New York Banking Day, then the rate of exchange used shall be the rate at which in accordance with accepted procedures in the banking industry the Required Currency could be purchased with the Judgment Currency in The City of New York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Submission of Jurisdiction</w:t>
      </w:r>
    </w:p>
    <w:p>
      <w:pPr>
        <w:spacing w:after="0" w:line="165"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The Company hereby irrevocably submits to the jurisdiction of any New York State court sitting in the Borough of Manhattan in the City of New York or any federal court sitting in the Borough of Manhattan in the City of New York in respect of any suit, action or proceeding arising out of or relating to this Indenture and the Notes, and irrevocably accepts for itself and in respect of its property, generally and unconditionally, jurisdiction of the aforesaid courts.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u w:val="single" w:color="auto"/>
          <w:color w:val="auto"/>
        </w:rPr>
        <w:t>Waiver of Jury Trial</w:t>
      </w:r>
    </w:p>
    <w:p>
      <w:pPr>
        <w:spacing w:after="0" w:line="171" w:lineRule="exact"/>
        <w:rPr>
          <w:sz w:val="20"/>
          <w:szCs w:val="20"/>
          <w:color w:val="auto"/>
        </w:rPr>
      </w:pPr>
    </w:p>
    <w:p>
      <w:pPr>
        <w:ind w:right="720" w:firstLine="456"/>
        <w:spacing w:after="0" w:line="259" w:lineRule="auto"/>
        <w:rPr>
          <w:sz w:val="20"/>
          <w:szCs w:val="20"/>
          <w:color w:val="auto"/>
        </w:rPr>
      </w:pPr>
      <w:r>
        <w:rPr>
          <w:rFonts w:ascii="Arial" w:cs="Arial" w:eastAsia="Arial" w:hAnsi="Arial"/>
          <w:sz w:val="18"/>
          <w:szCs w:val="18"/>
          <w:color w:val="auto"/>
        </w:rPr>
        <w:t>EACH OF THE COMPANY AND THE TRUSTEE HEREBY IRREVOCABLY WAIVES, TO THE FULLEST EXTENT PERMITTED BY APPLICABLE LAW, ANY AND ALL RIGHT TO TRIAL BY JURY IN ANY LEGAL PROCEEDING ARISING OUT OF OR RELATING TO THIS INDENTURE.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SINKING FUNDS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Applicability of Article</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except as otherwise permitted or required by any form of Security of such Series issued pursuant to this Indenture.</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20"/>
          </w:cols>
          <w:pgMar w:left="240" w:top="280" w:right="239" w:bottom="1440" w:gutter="0" w:footer="0" w:header="0"/>
        </w:sectPr>
      </w:pPr>
    </w:p>
    <w:bookmarkStart w:id="70" w:name="page71"/>
    <w:bookmarkEnd w:id="7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11.2 </w:t>
      </w:r>
      <w:r>
        <w:rPr>
          <w:rFonts w:ascii="Arial" w:cs="Arial" w:eastAsia="Arial" w:hAnsi="Arial"/>
          <w:sz w:val="18"/>
          <w:szCs w:val="18"/>
          <w:u w:val="single" w:color="auto"/>
          <w:color w:val="auto"/>
        </w:rPr>
        <w:t>Satisfaction of Sinking Fund Payments with Securities</w:t>
      </w:r>
    </w:p>
    <w:p>
      <w:pPr>
        <w:spacing w:after="0" w:line="171"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w:t>
      </w:r>
    </w:p>
    <w:p>
      <w:pPr>
        <w:spacing w:after="0" w:line="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 however ,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Redemption of Securities for Sinking Fund</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00"/>
          </w:cols>
          <w:pgMar w:left="240" w:top="280"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as of the day and year first above written.</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The Bank of New York Mellon Trust Company, N.A., as Trustee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0940"/>
          </w:cols>
          <w:pgMar w:left="700" w:top="280" w:right="2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6145530</wp:posOffset>
            </wp:positionH>
            <wp:positionV relativeFrom="paragraph">
              <wp:posOffset>246380</wp:posOffset>
            </wp:positionV>
            <wp:extent cx="1106170" cy="9175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06170"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August 22,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02062-9106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S-3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jc w:val="both"/>
        <w:ind w:right="720"/>
        <w:spacing w:after="0" w:line="306" w:lineRule="auto"/>
        <w:rPr>
          <w:sz w:val="20"/>
          <w:szCs w:val="20"/>
          <w:color w:val="auto"/>
        </w:rPr>
      </w:pPr>
      <w:r>
        <w:rPr>
          <w:rFonts w:ascii="Arial" w:cs="Arial" w:eastAsia="Arial" w:hAnsi="Arial"/>
          <w:sz w:val="16"/>
          <w:szCs w:val="16"/>
          <w:color w:val="auto"/>
        </w:rPr>
        <w:t>This opinion is furnished to you in connection with a Registration Statement on Form S-3 to be filed with the Securities and Exchange Commission (the “Commission”) under the Securities Act of 1933, as amended (the “Securities Act”), on or about August 22, 2012 (the “Registration Statement”) for the registration of an unlimited amount of debt securities (“Debt Securities”) of Analog Devices, Inc., a Massachusetts corporation (the “Company”).</w:t>
      </w:r>
    </w:p>
    <w:p>
      <w:pPr>
        <w:spacing w:after="0" w:line="107"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are acting as counsel for the Company in connection with the Registration Statement relating to the offering from time to time, pursuant to Rule 415 under the Securities Act, of the Debt Securities. The Debt Securities will be offered pursuant to an indenture (the “Indenture”) to be entered into between the Company and The Bank of New York Mellon Trust Company, N.A., as trustee (the “Trustee”), a form of which is filed as an exhibit to the Registration Statement.</w:t>
      </w:r>
    </w:p>
    <w:p>
      <w:pPr>
        <w:spacing w:after="0" w:line="10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have examined and relied upon signed copies of the Registration Statement as filed with the Commission and the form of Indenture included as an exhibit to the Registration Statement. We have also examined and relied upon originals or copies, certified or otherwise identified to our satisfaction, of such corporate records of the Company, such other agreements and instruments, certificates of public officials, officers of the Company and other persons, and such other documents, instruments and certificates as we have deemed necessary for purposes of rendering the opinions hereinafter set forth.</w:t>
      </w:r>
    </w:p>
    <w:p>
      <w:pPr>
        <w:spacing w:after="0" w:line="11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the legal competence of all signatories to such documents and the completeness and accuracy of the corporate records of the Company provided to us by the Company.</w:t>
      </w:r>
    </w:p>
    <w:p>
      <w:pPr>
        <w:spacing w:after="0" w:line="10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rendering the opinions set forth below, we have assumed that (i) the issuance, sale, amount and terms of the Debt Securities, to be offered from time to time, will be duly authorized and established by all requisite action, corporate or other, by the Company; (ii) the Trustee has the power, corporate or other, to enter into and perform its obligations under the Indenture, (iii) the Indenture will be duly authorized, executed and delivered by the parties thereto in substantially the form reviewed by us and will be a valid and binding obligation of the Trustee; and (iv) the Trustee shall have been qualified under the Trust Indenture Act of 1939, as amended. We have also assumed the due authentication of the Debt Securities by the Trustee, that there will not have occurred, prior to the date of issuance of any Debt Securities, any change in law affecting the validity or enforceability of such Debt Securities and that at the time of the issuance and sale of any Debt Securities, the Board of Directors of the Company (or any committee thereof acting pursuant to authority properly delegated to such committee by the Board of Directors) has not taken any action to rescind or otherwise reduce their prior authorization of the issuance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414655</wp:posOffset>
            </wp:positionV>
            <wp:extent cx="5351145" cy="291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351145" cy="29146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22,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express no opinion herein as to the laws of any state or jurisdiction other than the state laws of the State of New York, the state laws of the Commonwealth of Massachusetts and the federal laws of the United States of America.</w:t>
      </w:r>
    </w:p>
    <w:p>
      <w:pPr>
        <w:spacing w:after="0" w:line="132" w:lineRule="exact"/>
        <w:rPr>
          <w:sz w:val="20"/>
          <w:szCs w:val="20"/>
          <w:color w:val="auto"/>
        </w:rPr>
      </w:pPr>
    </w:p>
    <w:p>
      <w:pPr>
        <w:ind w:right="400"/>
        <w:spacing w:after="0" w:line="298" w:lineRule="auto"/>
        <w:rPr>
          <w:sz w:val="20"/>
          <w:szCs w:val="20"/>
          <w:color w:val="auto"/>
        </w:rPr>
      </w:pPr>
      <w:r>
        <w:rPr>
          <w:rFonts w:ascii="Arial" w:cs="Arial" w:eastAsia="Arial" w:hAnsi="Arial"/>
          <w:sz w:val="16"/>
          <w:szCs w:val="16"/>
          <w:color w:val="auto"/>
        </w:rPr>
        <w:t>We have assumed for purposes of our opinions below that no authorization, approval or other action by, and no notice to or filing with, any governmental authority or regulatory body or (to the extent the same is required under any agreement or document binding on it of which an addressee has knowledge, has received notice or has reason to know) any other third party is required for the due execution, delivery or performance by the Company or, if any such authorization, approval, consent, action, notice or filing is required, it will have been duly obtained, taken, given or made and will be in full force and effect.</w:t>
      </w:r>
    </w:p>
    <w:p>
      <w:pPr>
        <w:spacing w:after="0" w:line="11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opinions below are qualified to the extent that they may be subject to or affected by (i) applicable bankruptcy, insolvency, reorganization, moratorium, usury, fraudulent conveyance or similar laws relating to or affecting the rights or remedies of creditors generally, (ii) duties and standards imposed on creditors and parties to contracts, including, without limitation, requirements of materiality, good faith, reasonableness and fair dealing, and (iii) general equitable principles. Furthermore, we express no opinion as to the availability of any equitable or specific remedy upon any breach of the Indenture or the Debt Securities, or to the successful assertion of any equitable defenses, inasmuch as the availability of such remedies or the success of any equitable defenses may be subject to the discretion of a court. We also express no opinion herein with respect to compliance by the Company with the securities or “blue sky” laws of any state or other jurisdiction of the United States or of any foreign jurisdiction. In addition, we express no opinion and make no statement herein with respect to the antifraud laws of any jurisdiction.</w:t>
      </w:r>
    </w:p>
    <w:p>
      <w:pPr>
        <w:spacing w:after="0" w:line="118"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On the basis of, and subject to, the foregoing, we are of the opinion that when (i) the Indenture has been duly executed and delivered by the Company, (ii) the final terms of the Debt Securities and of their issuance and sale have been duly established in conformity with the Indenture; (iii) the final terms of the Debt Securities have been duly authorized and established by all requisite action, corporate or other, by the Company; and (iv) such Debt Securities have been duly executed by the Company and duly authenticated by the Trustee in accordance with the terms of the Indenture, and delivered to the purchasers thereof against payment of the consideration therefor duly approved by the Company, and subject to the final terms of the Debt Securities complying with then applicable law, not resulting in a default under or a breach of any agreement or instrument binding upon the Company and complying with any requirement or restriction imposed by any court or governmental entity having jurisdiction over the Company, the Debt Securities will constitute valid and binding obligations of the Company, enforceable against the Company, in accordance with their terms.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Please note that we are opining only as to the matters expressly set forth herein, and no opinion should be inferred as to any other matters. This opinion is based upon currently existing statutes, rules, regulations and judicial decisions and is rendered as of the date hereof, and we disclaim any obligation to advise you of any change in any of the foregoing sources of law or subsequent developments in law or changes in facts or circumstances that might affect any matters or opinions set forth herein.</w:t>
      </w:r>
    </w:p>
    <w:p>
      <w:pPr>
        <w:sectPr>
          <w:pgSz w:w="11900" w:h="16838" w:orient="portrait"/>
          <w:cols w:equalWidth="0" w:num="1">
            <w:col w:w="11400"/>
          </w:cols>
          <w:pgMar w:left="240" w:top="698"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22,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We hereby consent to the filing of this opinion with the Commission as an exhibit to the Registration Statement in accordance with the requirements of</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Item 601(b)(5) of Regulation S-K under the Securities Act and to the use of our name therein and in the related prospectus under the caption “Legal Matters.” In giving such consent, we do not hereby admit that we are in the category of persons whose consent is required under Section 7 of the Securities Act or the rules and regulations of the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HALE AND DORR LLP</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MARK G. BORDEN</w:t>
            </w:r>
          </w:p>
        </w:tc>
      </w:tr>
      <w:tr>
        <w:trPr>
          <w:trHeight w:val="218"/>
        </w:trPr>
        <w:tc>
          <w:tcPr>
            <w:tcW w:w="60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rPr>
                <w:sz w:val="20"/>
                <w:szCs w:val="20"/>
                <w:color w:val="auto"/>
              </w:rPr>
            </w:pPr>
            <w:r>
              <w:rPr>
                <w:rFonts w:ascii="Arial" w:cs="Arial" w:eastAsia="Arial" w:hAnsi="Arial"/>
                <w:sz w:val="18"/>
                <w:szCs w:val="18"/>
                <w:color w:val="auto"/>
              </w:rPr>
              <w:t>Mark G. Borden, a Partner</w:t>
            </w:r>
          </w:p>
        </w:tc>
      </w:tr>
    </w:tbl>
    <w:p>
      <w:pPr>
        <w:sectPr>
          <w:pgSz w:w="11900" w:h="16838" w:orient="portrait"/>
          <w:cols w:equalWidth="0" w:num="1">
            <w:col w:w="11280"/>
          </w:cols>
          <w:pgMar w:left="240" w:top="698" w:right="37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gridSpan w:val="4"/>
          </w:tcPr>
          <w:p>
            <w:pPr>
              <w:ind w:left="160"/>
              <w:spacing w:after="0"/>
              <w:rPr>
                <w:sz w:val="20"/>
                <w:szCs w:val="20"/>
                <w:color w:val="auto"/>
              </w:rPr>
            </w:pPr>
            <w:r>
              <w:rPr>
                <w:rFonts w:ascii="Arial" w:cs="Arial" w:eastAsia="Arial" w:hAnsi="Arial"/>
                <w:sz w:val="18"/>
                <w:szCs w:val="18"/>
                <w:b w:val="1"/>
                <w:bCs w:val="1"/>
                <w:color w:val="auto"/>
                <w:w w:val="87"/>
              </w:rPr>
              <w:t>Exhibit 12.1</w:t>
            </w:r>
          </w:p>
        </w:tc>
        <w:tc>
          <w:tcPr>
            <w:tcW w:w="0" w:type="dxa"/>
            <w:vAlign w:val="bottom"/>
          </w:tcPr>
          <w:p>
            <w:pPr>
              <w:spacing w:after="0"/>
              <w:rPr>
                <w:sz w:val="1"/>
                <w:szCs w:val="1"/>
                <w:color w:val="auto"/>
              </w:rPr>
            </w:pPr>
          </w:p>
        </w:tc>
      </w:tr>
      <w:tr>
        <w:trPr>
          <w:trHeight w:val="528"/>
        </w:trPr>
        <w:tc>
          <w:tcPr>
            <w:tcW w:w="4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7"/>
          </w:tcPr>
          <w:p>
            <w:pPr>
              <w:jc w:val="center"/>
              <w:spacing w:after="0"/>
              <w:rPr>
                <w:sz w:val="20"/>
                <w:szCs w:val="20"/>
                <w:color w:val="auto"/>
              </w:rPr>
            </w:pPr>
            <w:r>
              <w:rPr>
                <w:rFonts w:ascii="Arial" w:cs="Arial" w:eastAsia="Arial" w:hAnsi="Arial"/>
                <w:sz w:val="18"/>
                <w:szCs w:val="18"/>
                <w:b w:val="1"/>
                <w:bCs w:val="1"/>
                <w:color w:val="auto"/>
                <w:w w:val="86"/>
              </w:rPr>
              <w:t>Analog Devices, Inc.</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260" w:type="dxa"/>
            <w:vAlign w:val="bottom"/>
          </w:tcPr>
          <w:p>
            <w:pPr>
              <w:spacing w:after="0"/>
              <w:rPr>
                <w:sz w:val="19"/>
                <w:szCs w:val="19"/>
                <w:color w:val="auto"/>
              </w:rPr>
            </w:pPr>
          </w:p>
        </w:tc>
        <w:tc>
          <w:tcPr>
            <w:tcW w:w="3300" w:type="dxa"/>
            <w:vAlign w:val="bottom"/>
            <w:gridSpan w:val="11"/>
          </w:tcPr>
          <w:p>
            <w:pPr>
              <w:jc w:val="center"/>
              <w:ind w:right="400"/>
              <w:spacing w:after="0"/>
              <w:rPr>
                <w:sz w:val="20"/>
                <w:szCs w:val="20"/>
                <w:color w:val="auto"/>
              </w:rPr>
            </w:pPr>
            <w:r>
              <w:rPr>
                <w:rFonts w:ascii="Arial" w:cs="Arial" w:eastAsia="Arial" w:hAnsi="Arial"/>
                <w:sz w:val="18"/>
                <w:szCs w:val="18"/>
                <w:b w:val="1"/>
                <w:bCs w:val="1"/>
                <w:color w:val="auto"/>
                <w:w w:val="88"/>
              </w:rPr>
              <w:t>Ratio of Earnings to Fixed Charges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4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Fiscal Year Ended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9"/>
        </w:trPr>
        <w:tc>
          <w:tcPr>
            <w:tcW w:w="4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November 3,</w:t>
            </w:r>
          </w:p>
        </w:tc>
        <w:tc>
          <w:tcPr>
            <w:tcW w:w="3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2"/>
              </w:rPr>
              <w:t>November 1,</w:t>
            </w:r>
          </w:p>
        </w:tc>
        <w:tc>
          <w:tcPr>
            <w:tcW w:w="2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31,</w:t>
            </w:r>
          </w:p>
        </w:tc>
        <w:tc>
          <w:tcPr>
            <w:tcW w:w="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30,</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October 29,</w:t>
            </w:r>
          </w:p>
        </w:tc>
        <w:tc>
          <w:tcPr>
            <w:tcW w:w="300" w:type="dxa"/>
            <w:vAlign w:val="bottom"/>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August 4,</w:t>
            </w: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w w:val="89"/>
              </w:rPr>
              <w:t>July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thousands, except ratios)</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2007</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Determination of earnings: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60" w:type="dxa"/>
            <w:vAlign w:val="bottom"/>
          </w:tcPr>
          <w:p>
            <w:pPr>
              <w:ind w:left="440"/>
              <w:spacing w:after="0"/>
              <w:rPr>
                <w:sz w:val="20"/>
                <w:szCs w:val="20"/>
                <w:color w:val="auto"/>
              </w:rPr>
            </w:pPr>
            <w:r>
              <w:rPr>
                <w:rFonts w:ascii="Arial" w:cs="Arial" w:eastAsia="Arial" w:hAnsi="Arial"/>
                <w:sz w:val="18"/>
                <w:szCs w:val="18"/>
                <w:color w:val="auto"/>
                <w:w w:val="92"/>
              </w:rPr>
              <w:t>Income from continuing operations before provision</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660"/>
              <w:spacing w:after="0"/>
              <w:rPr>
                <w:sz w:val="20"/>
                <w:szCs w:val="20"/>
                <w:color w:val="auto"/>
              </w:rPr>
            </w:pPr>
            <w:r>
              <w:rPr>
                <w:rFonts w:ascii="Arial" w:cs="Arial" w:eastAsia="Arial" w:hAnsi="Arial"/>
                <w:sz w:val="18"/>
                <w:szCs w:val="18"/>
                <w:color w:val="auto"/>
              </w:rPr>
              <w:t>for taxes on income</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661,457</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666,102</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297,444</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901,665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1,061,447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601,009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830,447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Capitalized interest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Fixed charges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5,243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11,388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23,935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earnings as defined</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664,273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668,691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303,669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913,493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1,081,393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624,985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844,198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Fixed Charges:</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and amortization expense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Interest portion of rent expense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1,526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1,390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Fixed charges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5,243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440"/>
              <w:spacing w:after="0"/>
              <w:rPr>
                <w:sz w:val="20"/>
                <w:szCs w:val="20"/>
                <w:color w:val="auto"/>
              </w:rPr>
            </w:pPr>
            <w:r>
              <w:rPr>
                <w:rFonts w:ascii="Arial" w:cs="Arial" w:eastAsia="Arial" w:hAnsi="Arial"/>
                <w:sz w:val="18"/>
                <w:szCs w:val="18"/>
                <w:color w:val="auto"/>
              </w:rPr>
              <w:t>Capitalized interest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charges</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5,243</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416.1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57.9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color w:val="auto"/>
        </w:rPr>
        <w:t>We consent to the reference to our firm under the caption “Experts” in this Registration Statement (Form S-3) and related Prospectus of Analog Devices, Inc. for the registration of debt securities and to the incorporation by reference therein of our reports dated November 22, 2011, with respect to the consolidated financial statements and schedule of Analog Devices, Inc., and the effectiveness of internal control over financial reporting of Analog Devices, Inc., included in its Annual Report (Form 10-K) for the year ended October 29, 2011, filed with the Securities and Exchange Commission.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21, 2012</w:t>
      </w:r>
    </w:p>
    <w:p>
      <w:pPr>
        <w:sectPr>
          <w:pgSz w:w="11900" w:h="16838" w:orient="portrait"/>
          <w:cols w:equalWidth="0" w:num="1">
            <w:col w:w="11420"/>
          </w:cols>
          <w:pgMar w:left="240" w:top="125"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69" w:lineRule="exact"/>
        <w:rPr>
          <w:sz w:val="20"/>
          <w:szCs w:val="20"/>
          <w:color w:val="auto"/>
        </w:rPr>
      </w:pPr>
    </w:p>
    <w:p>
      <w:pPr>
        <w:ind w:left="460" w:right="3180" w:hanging="452"/>
        <w:spacing w:after="0" w:line="269" w:lineRule="auto"/>
        <w:tabs>
          <w:tab w:leader="none" w:pos="460" w:val="left"/>
        </w:tabs>
        <w:numPr>
          <w:ilvl w:val="0"/>
          <w:numId w:val="56"/>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154940</wp:posOffset>
            </wp:positionV>
            <wp:extent cx="151765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BANK OF NEW YORK MELLON</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TRUST COMPANY, N.A.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40" w:type="dxa"/>
            <w:vAlign w:val="bottom"/>
            <w:gridSpan w:val="3"/>
          </w:tcPr>
          <w:p>
            <w:pPr>
              <w:jc w:val="center"/>
              <w:ind w:left="3502"/>
              <w:spacing w:after="0"/>
              <w:rPr>
                <w:sz w:val="20"/>
                <w:szCs w:val="20"/>
                <w:color w:val="auto"/>
              </w:rPr>
            </w:pPr>
            <w:r>
              <w:rPr>
                <w:rFonts w:ascii="Arial" w:cs="Arial" w:eastAsia="Arial" w:hAnsi="Arial"/>
                <w:sz w:val="18"/>
                <w:szCs w:val="18"/>
                <w:b w:val="1"/>
                <w:bCs w:val="1"/>
                <w:color w:val="auto"/>
                <w:w w:val="87"/>
              </w:rPr>
              <w:t>(Exact name of trustee as specified in its charter)</w:t>
            </w:r>
          </w:p>
        </w:tc>
        <w:tc>
          <w:tcPr>
            <w:tcW w:w="3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vMerge w:val="restart"/>
          </w:tcPr>
          <w:p>
            <w:pPr>
              <w:jc w:val="center"/>
              <w:ind w:right="1884"/>
              <w:spacing w:after="0"/>
              <w:rPr>
                <w:sz w:val="20"/>
                <w:szCs w:val="20"/>
                <w:color w:val="auto"/>
              </w:rPr>
            </w:pPr>
            <w:r>
              <w:rPr>
                <w:rFonts w:ascii="Arial" w:cs="Arial" w:eastAsia="Arial" w:hAnsi="Arial"/>
                <w:sz w:val="18"/>
                <w:szCs w:val="18"/>
                <w:b w:val="1"/>
                <w:bCs w:val="1"/>
                <w:color w:val="auto"/>
                <w:w w:val="89"/>
              </w:rPr>
              <w:t>95-3571558</w:t>
            </w:r>
          </w:p>
        </w:tc>
        <w:tc>
          <w:tcPr>
            <w:tcW w:w="0" w:type="dxa"/>
            <w:vAlign w:val="bottom"/>
          </w:tcPr>
          <w:p>
            <w:pPr>
              <w:spacing w:after="0"/>
              <w:rPr>
                <w:sz w:val="1"/>
                <w:szCs w:val="1"/>
                <w:color w:val="auto"/>
              </w:rPr>
            </w:pPr>
          </w:p>
        </w:tc>
      </w:tr>
      <w:tr>
        <w:trPr>
          <w:trHeight w:val="426"/>
        </w:trPr>
        <w:tc>
          <w:tcPr>
            <w:tcW w:w="4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840" w:type="dxa"/>
            <w:vAlign w:val="bottom"/>
            <w:gridSpan w:val="3"/>
          </w:tcPr>
          <w:p>
            <w:pPr>
              <w:jc w:val="center"/>
              <w:ind w:right="2060"/>
              <w:spacing w:after="0" w:line="149" w:lineRule="exact"/>
              <w:rPr>
                <w:sz w:val="20"/>
                <w:szCs w:val="20"/>
                <w:color w:val="auto"/>
              </w:rPr>
            </w:pPr>
            <w:r>
              <w:rPr>
                <w:rFonts w:ascii="Arial" w:cs="Arial" w:eastAsia="Arial" w:hAnsi="Arial"/>
                <w:sz w:val="14"/>
                <w:szCs w:val="14"/>
                <w:b w:val="1"/>
                <w:bCs w:val="1"/>
                <w:color w:val="auto"/>
                <w:w w:val="87"/>
              </w:rPr>
              <w:t>(Jurisdiction of incorporation</w:t>
            </w:r>
          </w:p>
        </w:tc>
        <w:tc>
          <w:tcPr>
            <w:tcW w:w="3580" w:type="dxa"/>
            <w:vAlign w:val="bottom"/>
          </w:tcPr>
          <w:p>
            <w:pPr>
              <w:jc w:val="center"/>
              <w:ind w:right="1884"/>
              <w:spacing w:after="0" w:line="149" w:lineRule="exact"/>
              <w:rPr>
                <w:sz w:val="20"/>
                <w:szCs w:val="20"/>
                <w:color w:val="auto"/>
              </w:rPr>
            </w:pPr>
            <w:r>
              <w:rPr>
                <w:rFonts w:ascii="Arial" w:cs="Arial" w:eastAsia="Arial" w:hAnsi="Arial"/>
                <w:sz w:val="14"/>
                <w:szCs w:val="14"/>
                <w:b w:val="1"/>
                <w:bCs w:val="1"/>
                <w:color w:val="auto"/>
                <w:w w:val="88"/>
              </w:rPr>
              <w:t>(I.R.S. employer</w:t>
            </w:r>
          </w:p>
        </w:tc>
        <w:tc>
          <w:tcPr>
            <w:tcW w:w="0" w:type="dxa"/>
            <w:vAlign w:val="bottom"/>
          </w:tcPr>
          <w:p>
            <w:pPr>
              <w:spacing w:after="0"/>
              <w:rPr>
                <w:sz w:val="1"/>
                <w:szCs w:val="1"/>
                <w:color w:val="auto"/>
              </w:rPr>
            </w:pPr>
          </w:p>
        </w:tc>
      </w:tr>
      <w:tr>
        <w:trPr>
          <w:trHeight w:val="174"/>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7"/>
              </w:rPr>
              <w:t>if not a U.S. national bank)</w:t>
            </w:r>
          </w:p>
        </w:tc>
        <w:tc>
          <w:tcPr>
            <w:tcW w:w="3580" w:type="dxa"/>
            <w:vAlign w:val="bottom"/>
          </w:tcPr>
          <w:p>
            <w:pPr>
              <w:jc w:val="center"/>
              <w:ind w:right="1884"/>
              <w:spacing w:after="0"/>
              <w:rPr>
                <w:sz w:val="20"/>
                <w:szCs w:val="20"/>
                <w:color w:val="auto"/>
              </w:rPr>
            </w:pPr>
            <w:r>
              <w:rPr>
                <w:rFonts w:ascii="Arial" w:cs="Arial" w:eastAsia="Arial" w:hAnsi="Arial"/>
                <w:sz w:val="14"/>
                <w:szCs w:val="14"/>
                <w:b w:val="1"/>
                <w:bCs w:val="1"/>
                <w:color w:val="auto"/>
                <w:w w:val="87"/>
              </w:rPr>
              <w:t>identification no.)</w:t>
            </w:r>
          </w:p>
        </w:tc>
        <w:tc>
          <w:tcPr>
            <w:tcW w:w="0" w:type="dxa"/>
            <w:vAlign w:val="bottom"/>
          </w:tcPr>
          <w:p>
            <w:pPr>
              <w:spacing w:after="0"/>
              <w:rPr>
                <w:sz w:val="1"/>
                <w:szCs w:val="1"/>
                <w:color w:val="auto"/>
              </w:rPr>
            </w:pPr>
          </w:p>
        </w:tc>
      </w:tr>
      <w:tr>
        <w:trPr>
          <w:trHeight w:val="418"/>
        </w:trPr>
        <w:tc>
          <w:tcPr>
            <w:tcW w:w="784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87"/>
              </w:rPr>
              <w:t>400 South Hope Street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8"/>
              </w:rPr>
              <w:t>Suite 400</w:t>
            </w: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84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87"/>
              </w:rPr>
              <w:t>Los Angeles, California</w:t>
            </w:r>
          </w:p>
        </w:tc>
        <w:tc>
          <w:tcPr>
            <w:tcW w:w="3580" w:type="dxa"/>
            <w:vAlign w:val="bottom"/>
          </w:tcPr>
          <w:p>
            <w:pPr>
              <w:jc w:val="center"/>
              <w:ind w:right="1864"/>
              <w:spacing w:after="0"/>
              <w:rPr>
                <w:sz w:val="20"/>
                <w:szCs w:val="20"/>
                <w:color w:val="auto"/>
              </w:rPr>
            </w:pPr>
            <w:r>
              <w:rPr>
                <w:rFonts w:ascii="Arial" w:cs="Arial" w:eastAsia="Arial" w:hAnsi="Arial"/>
                <w:sz w:val="18"/>
                <w:szCs w:val="18"/>
                <w:b w:val="1"/>
                <w:bCs w:val="1"/>
                <w:color w:val="auto"/>
                <w:w w:val="87"/>
              </w:rPr>
              <w:t>90071</w:t>
            </w:r>
          </w:p>
        </w:tc>
        <w:tc>
          <w:tcPr>
            <w:tcW w:w="0" w:type="dxa"/>
            <w:vAlign w:val="bottom"/>
          </w:tcPr>
          <w:p>
            <w:pPr>
              <w:spacing w:after="0"/>
              <w:rPr>
                <w:sz w:val="1"/>
                <w:szCs w:val="1"/>
                <w:color w:val="auto"/>
              </w:rPr>
            </w:pPr>
          </w:p>
        </w:tc>
      </w:tr>
      <w:tr>
        <w:trPr>
          <w:trHeight w:val="174"/>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58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(Zip code)</w:t>
            </w:r>
          </w:p>
        </w:tc>
        <w:tc>
          <w:tcPr>
            <w:tcW w:w="0" w:type="dxa"/>
            <w:vAlign w:val="bottom"/>
          </w:tcPr>
          <w:p>
            <w:pPr>
              <w:spacing w:after="0"/>
              <w:rPr>
                <w:sz w:val="1"/>
                <w:szCs w:val="1"/>
                <w:color w:val="auto"/>
              </w:rPr>
            </w:pPr>
          </w:p>
        </w:tc>
      </w:tr>
      <w:tr>
        <w:trPr>
          <w:trHeight w:val="271"/>
        </w:trPr>
        <w:tc>
          <w:tcPr>
            <w:tcW w:w="45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9"/>
        </w:trPr>
        <w:tc>
          <w:tcPr>
            <w:tcW w:w="4520" w:type="dxa"/>
            <w:vAlign w:val="bottom"/>
          </w:tcPr>
          <w:p>
            <w:pPr>
              <w:spacing w:after="0"/>
              <w:rPr>
                <w:sz w:val="24"/>
                <w:szCs w:val="24"/>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9"/>
              </w:rPr>
              <w:t>ANALOG DEVICES, INC.</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840" w:type="dxa"/>
            <w:vAlign w:val="bottom"/>
            <w:gridSpan w:val="3"/>
          </w:tcPr>
          <w:p>
            <w:pPr>
              <w:jc w:val="center"/>
              <w:ind w:left="3502"/>
              <w:spacing w:after="0"/>
              <w:rPr>
                <w:sz w:val="20"/>
                <w:szCs w:val="20"/>
                <w:color w:val="auto"/>
              </w:rPr>
            </w:pPr>
            <w:r>
              <w:rPr>
                <w:rFonts w:ascii="Arial" w:cs="Arial" w:eastAsia="Arial" w:hAnsi="Arial"/>
                <w:sz w:val="14"/>
                <w:szCs w:val="14"/>
                <w:b w:val="1"/>
                <w:bCs w:val="1"/>
                <w:color w:val="auto"/>
                <w:w w:val="86"/>
              </w:rPr>
              <w:t>(Exact name of obligor as specified in its charter)</w:t>
            </w: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45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6"/>
        </w:trPr>
        <w:tc>
          <w:tcPr>
            <w:tcW w:w="7840" w:type="dxa"/>
            <w:vAlign w:val="bottom"/>
            <w:gridSpan w:val="3"/>
          </w:tcPr>
          <w:p>
            <w:pPr>
              <w:jc w:val="center"/>
              <w:ind w:right="2040"/>
              <w:spacing w:after="0"/>
              <w:rPr>
                <w:sz w:val="20"/>
                <w:szCs w:val="20"/>
                <w:color w:val="auto"/>
              </w:rPr>
            </w:pPr>
            <w:r>
              <w:rPr>
                <w:rFonts w:ascii="Arial" w:cs="Arial" w:eastAsia="Arial" w:hAnsi="Arial"/>
                <w:sz w:val="18"/>
                <w:szCs w:val="18"/>
                <w:b w:val="1"/>
                <w:bCs w:val="1"/>
                <w:color w:val="auto"/>
                <w:w w:val="83"/>
              </w:rPr>
              <w:t>Massachusetts</w:t>
            </w:r>
          </w:p>
        </w:tc>
        <w:tc>
          <w:tcPr>
            <w:tcW w:w="3580" w:type="dxa"/>
            <w:vAlign w:val="bottom"/>
          </w:tcPr>
          <w:p>
            <w:pPr>
              <w:jc w:val="center"/>
              <w:ind w:right="1884"/>
              <w:spacing w:after="0"/>
              <w:rPr>
                <w:sz w:val="20"/>
                <w:szCs w:val="20"/>
                <w:color w:val="auto"/>
              </w:rPr>
            </w:pPr>
            <w:r>
              <w:rPr>
                <w:rFonts w:ascii="Arial" w:cs="Arial" w:eastAsia="Arial" w:hAnsi="Arial"/>
                <w:sz w:val="18"/>
                <w:szCs w:val="18"/>
                <w:b w:val="1"/>
                <w:bCs w:val="1"/>
                <w:color w:val="auto"/>
                <w:w w:val="89"/>
              </w:rPr>
              <w:t>04-2348234</w:t>
            </w:r>
          </w:p>
        </w:tc>
        <w:tc>
          <w:tcPr>
            <w:tcW w:w="0" w:type="dxa"/>
            <w:vAlign w:val="bottom"/>
          </w:tcPr>
          <w:p>
            <w:pPr>
              <w:spacing w:after="0"/>
              <w:rPr>
                <w:sz w:val="1"/>
                <w:szCs w:val="1"/>
                <w:color w:val="auto"/>
              </w:rPr>
            </w:pPr>
          </w:p>
        </w:tc>
      </w:tr>
      <w:tr>
        <w:trPr>
          <w:trHeight w:val="149"/>
        </w:trPr>
        <w:tc>
          <w:tcPr>
            <w:tcW w:w="7840" w:type="dxa"/>
            <w:vAlign w:val="bottom"/>
            <w:gridSpan w:val="3"/>
          </w:tcPr>
          <w:p>
            <w:pPr>
              <w:jc w:val="center"/>
              <w:ind w:right="206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580" w:type="dxa"/>
            <w:vAlign w:val="bottom"/>
          </w:tcPr>
          <w:p>
            <w:pPr>
              <w:jc w:val="center"/>
              <w:ind w:right="1884"/>
              <w:spacing w:after="0" w:line="149" w:lineRule="exact"/>
              <w:rPr>
                <w:sz w:val="20"/>
                <w:szCs w:val="20"/>
                <w:color w:val="auto"/>
              </w:rPr>
            </w:pPr>
            <w:r>
              <w:rPr>
                <w:rFonts w:ascii="Arial" w:cs="Arial" w:eastAsia="Arial" w:hAnsi="Arial"/>
                <w:sz w:val="14"/>
                <w:szCs w:val="14"/>
                <w:b w:val="1"/>
                <w:bCs w:val="1"/>
                <w:color w:val="auto"/>
                <w:w w:val="88"/>
              </w:rPr>
              <w:t>(I.R.S. employer</w:t>
            </w:r>
          </w:p>
        </w:tc>
        <w:tc>
          <w:tcPr>
            <w:tcW w:w="0" w:type="dxa"/>
            <w:vAlign w:val="bottom"/>
          </w:tcPr>
          <w:p>
            <w:pPr>
              <w:spacing w:after="0"/>
              <w:rPr>
                <w:sz w:val="1"/>
                <w:szCs w:val="1"/>
                <w:color w:val="auto"/>
              </w:rPr>
            </w:pPr>
          </w:p>
        </w:tc>
      </w:tr>
      <w:tr>
        <w:trPr>
          <w:trHeight w:val="174"/>
        </w:trPr>
        <w:tc>
          <w:tcPr>
            <w:tcW w:w="784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w w:val="88"/>
              </w:rPr>
              <w:t>incorporation or organization)</w:t>
            </w:r>
          </w:p>
        </w:tc>
        <w:tc>
          <w:tcPr>
            <w:tcW w:w="3580" w:type="dxa"/>
            <w:vAlign w:val="bottom"/>
          </w:tcPr>
          <w:p>
            <w:pPr>
              <w:jc w:val="center"/>
              <w:ind w:right="1884"/>
              <w:spacing w:after="0"/>
              <w:rPr>
                <w:sz w:val="20"/>
                <w:szCs w:val="20"/>
                <w:color w:val="auto"/>
              </w:rPr>
            </w:pPr>
            <w:r>
              <w:rPr>
                <w:rFonts w:ascii="Arial" w:cs="Arial" w:eastAsia="Arial" w:hAnsi="Arial"/>
                <w:sz w:val="14"/>
                <w:szCs w:val="14"/>
                <w:b w:val="1"/>
                <w:bCs w:val="1"/>
                <w:color w:val="auto"/>
                <w:w w:val="87"/>
              </w:rPr>
              <w:t>identification no.)</w:t>
            </w:r>
          </w:p>
        </w:tc>
        <w:tc>
          <w:tcPr>
            <w:tcW w:w="0" w:type="dxa"/>
            <w:vAlign w:val="bottom"/>
          </w:tcPr>
          <w:p>
            <w:pPr>
              <w:spacing w:after="0"/>
              <w:rPr>
                <w:sz w:val="1"/>
                <w:szCs w:val="1"/>
                <w:color w:val="auto"/>
              </w:rPr>
            </w:pPr>
          </w:p>
        </w:tc>
      </w:tr>
      <w:tr>
        <w:trPr>
          <w:trHeight w:val="418"/>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6"/>
              </w:rPr>
              <w:t>One Technology Way</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5"/>
              </w:rPr>
              <w:t>Norwood, Massachusetts</w:t>
            </w:r>
          </w:p>
        </w:tc>
        <w:tc>
          <w:tcPr>
            <w:tcW w:w="3580" w:type="dxa"/>
            <w:vAlign w:val="bottom"/>
          </w:tcPr>
          <w:p>
            <w:pPr>
              <w:jc w:val="center"/>
              <w:ind w:right="1884"/>
              <w:spacing w:after="0"/>
              <w:rPr>
                <w:sz w:val="20"/>
                <w:szCs w:val="20"/>
                <w:color w:val="auto"/>
              </w:rPr>
            </w:pPr>
            <w:r>
              <w:rPr>
                <w:rFonts w:ascii="Arial" w:cs="Arial" w:eastAsia="Arial" w:hAnsi="Arial"/>
                <w:sz w:val="18"/>
                <w:szCs w:val="18"/>
                <w:b w:val="1"/>
                <w:bCs w:val="1"/>
                <w:color w:val="auto"/>
                <w:w w:val="89"/>
              </w:rPr>
              <w:t>02062-9106</w:t>
            </w:r>
          </w:p>
        </w:tc>
        <w:tc>
          <w:tcPr>
            <w:tcW w:w="0" w:type="dxa"/>
            <w:vAlign w:val="bottom"/>
          </w:tcPr>
          <w:p>
            <w:pPr>
              <w:spacing w:after="0"/>
              <w:rPr>
                <w:sz w:val="1"/>
                <w:szCs w:val="1"/>
                <w:color w:val="auto"/>
              </w:rPr>
            </w:pPr>
          </w:p>
        </w:tc>
      </w:tr>
      <w:tr>
        <w:trPr>
          <w:trHeight w:val="174"/>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58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(Zip code)</w:t>
            </w:r>
          </w:p>
        </w:tc>
        <w:tc>
          <w:tcPr>
            <w:tcW w:w="0" w:type="dxa"/>
            <w:vAlign w:val="bottom"/>
          </w:tcPr>
          <w:p>
            <w:pPr>
              <w:spacing w:after="0"/>
              <w:rPr>
                <w:sz w:val="1"/>
                <w:szCs w:val="1"/>
                <w:color w:val="auto"/>
              </w:rPr>
            </w:pPr>
          </w:p>
        </w:tc>
      </w:tr>
      <w:tr>
        <w:trPr>
          <w:trHeight w:val="284"/>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520" w:type="dxa"/>
            <w:vAlign w:val="bottom"/>
          </w:tcPr>
          <w:p>
            <w:pPr>
              <w:spacing w:after="0"/>
              <w:rPr>
                <w:sz w:val="24"/>
                <w:szCs w:val="24"/>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6"/>
              </w:rPr>
              <w:t>Debt Securities</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520" w:type="dxa"/>
            <w:vAlign w:val="bottom"/>
          </w:tcPr>
          <w:p>
            <w:pPr>
              <w:spacing w:after="0"/>
              <w:rPr>
                <w:sz w:val="15"/>
                <w:szCs w:val="15"/>
                <w:color w:val="auto"/>
              </w:rPr>
            </w:pPr>
          </w:p>
        </w:tc>
        <w:tc>
          <w:tcPr>
            <w:tcW w:w="33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6"/>
              </w:rPr>
              <w:t>(Title of the indenture securities)</w:t>
            </w:r>
          </w:p>
        </w:tc>
        <w:tc>
          <w:tcPr>
            <w:tcW w:w="3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52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8" w:name="page79"/>
    <w:bookmarkEnd w:id="78"/>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information. Furnish the following information as to the trustee:</w:t>
      </w:r>
    </w:p>
    <w:p>
      <w:pPr>
        <w:spacing w:after="0" w:line="212"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Name</w:t>
            </w:r>
          </w:p>
        </w:tc>
        <w:tc>
          <w:tcPr>
            <w:tcW w:w="57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Address</w:t>
            </w:r>
          </w:p>
        </w:tc>
        <w:tc>
          <w:tcPr>
            <w:tcW w:w="1320" w:type="dxa"/>
            <w:vAlign w:val="bottom"/>
          </w:tcPr>
          <w:p>
            <w:pPr>
              <w:spacing w:after="0"/>
              <w:rPr>
                <w:sz w:val="14"/>
                <w:szCs w:val="14"/>
                <w:color w:val="auto"/>
              </w:rPr>
            </w:pPr>
          </w:p>
        </w:tc>
      </w:tr>
      <w:tr>
        <w:trPr>
          <w:trHeight w:val="201"/>
        </w:trPr>
        <w:tc>
          <w:tcPr>
            <w:tcW w:w="6060" w:type="dxa"/>
            <w:vAlign w:val="bottom"/>
            <w:gridSpan w:val="2"/>
          </w:tcPr>
          <w:p>
            <w:pPr>
              <w:spacing w:after="0" w:line="201" w:lineRule="exact"/>
              <w:rPr>
                <w:sz w:val="20"/>
                <w:szCs w:val="20"/>
                <w:color w:val="auto"/>
              </w:rPr>
            </w:pPr>
            <w:r>
              <w:rPr>
                <w:rFonts w:ascii="Arial" w:cs="Arial" w:eastAsia="Arial" w:hAnsi="Arial"/>
                <w:sz w:val="18"/>
                <w:szCs w:val="18"/>
                <w:color w:val="auto"/>
              </w:rPr>
              <w:t>Comptroller of the Currency</w:t>
            </w:r>
          </w:p>
        </w:tc>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w w:val="95"/>
              </w:rPr>
              <w:t>Washington, DC 20219</w:t>
            </w: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color w:val="auto"/>
              </w:rPr>
              <w:t>United States Department of the Treasury</w:t>
            </w: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446"/>
        </w:trPr>
        <w:tc>
          <w:tcPr>
            <w:tcW w:w="6060" w:type="dxa"/>
            <w:vAlign w:val="bottom"/>
            <w:gridSpan w:val="2"/>
          </w:tcPr>
          <w:p>
            <w:pPr>
              <w:spacing w:after="0"/>
              <w:rPr>
                <w:sz w:val="20"/>
                <w:szCs w:val="20"/>
                <w:color w:val="auto"/>
              </w:rPr>
            </w:pPr>
            <w:r>
              <w:rPr>
                <w:rFonts w:ascii="Arial" w:cs="Arial" w:eastAsia="Arial" w:hAnsi="Arial"/>
                <w:sz w:val="18"/>
                <w:szCs w:val="18"/>
                <w:color w:val="auto"/>
              </w:rPr>
              <w:t>Federal Reserve Bank</w:t>
            </w:r>
          </w:p>
        </w:tc>
        <w:tc>
          <w:tcPr>
            <w:tcW w:w="1800" w:type="dxa"/>
            <w:vAlign w:val="bottom"/>
            <w:gridSpan w:val="2"/>
          </w:tcPr>
          <w:p>
            <w:pPr>
              <w:spacing w:after="0"/>
              <w:rPr>
                <w:sz w:val="20"/>
                <w:szCs w:val="20"/>
                <w:color w:val="auto"/>
              </w:rPr>
            </w:pPr>
            <w:r>
              <w:rPr>
                <w:rFonts w:ascii="Arial" w:cs="Arial" w:eastAsia="Arial" w:hAnsi="Arial"/>
                <w:sz w:val="18"/>
                <w:szCs w:val="18"/>
                <w:color w:val="auto"/>
                <w:w w:val="86"/>
              </w:rPr>
              <w:t>San Francisco, CA 94105</w:t>
            </w:r>
          </w:p>
        </w:tc>
      </w:tr>
      <w:tr>
        <w:trPr>
          <w:trHeight w:val="432"/>
        </w:trPr>
        <w:tc>
          <w:tcPr>
            <w:tcW w:w="6060" w:type="dxa"/>
            <w:vAlign w:val="bottom"/>
            <w:gridSpan w:val="2"/>
          </w:tcPr>
          <w:p>
            <w:pPr>
              <w:spacing w:after="0"/>
              <w:rPr>
                <w:sz w:val="20"/>
                <w:szCs w:val="20"/>
                <w:color w:val="auto"/>
              </w:rPr>
            </w:pPr>
            <w:r>
              <w:rPr>
                <w:rFonts w:ascii="Arial" w:cs="Arial" w:eastAsia="Arial" w:hAnsi="Arial"/>
                <w:sz w:val="18"/>
                <w:szCs w:val="18"/>
                <w:color w:val="auto"/>
              </w:rPr>
              <w:t>Federal Deposit Insurance Corporation</w:t>
            </w:r>
          </w:p>
        </w:tc>
        <w:tc>
          <w:tcPr>
            <w:tcW w:w="1800" w:type="dxa"/>
            <w:vAlign w:val="bottom"/>
            <w:gridSpan w:val="2"/>
          </w:tcPr>
          <w:p>
            <w:pPr>
              <w:spacing w:after="0"/>
              <w:rPr>
                <w:sz w:val="20"/>
                <w:szCs w:val="20"/>
                <w:color w:val="auto"/>
              </w:rPr>
            </w:pPr>
            <w:r>
              <w:rPr>
                <w:rFonts w:ascii="Arial" w:cs="Arial" w:eastAsia="Arial" w:hAnsi="Arial"/>
                <w:sz w:val="18"/>
                <w:szCs w:val="18"/>
                <w:color w:val="auto"/>
                <w:w w:val="95"/>
              </w:rPr>
              <w:t>Washington, DC 20429</w:t>
            </w:r>
          </w:p>
        </w:tc>
      </w:tr>
    </w:tbl>
    <w:p>
      <w:pPr>
        <w:spacing w:after="0" w:line="190"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Yes.</w:t>
      </w:r>
    </w:p>
    <w:p>
      <w:pPr>
        <w:spacing w:after="0" w:line="206"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71" w:lineRule="exact"/>
        <w:rPr>
          <w:rFonts w:ascii="Arial" w:cs="Arial" w:eastAsia="Arial" w:hAnsi="Arial"/>
          <w:sz w:val="18"/>
          <w:szCs w:val="18"/>
          <w:b w:val="1"/>
          <w:bCs w:val="1"/>
          <w:color w:val="auto"/>
        </w:rPr>
      </w:pPr>
    </w:p>
    <w:p>
      <w:pPr>
        <w:ind w:left="460" w:right="5520"/>
        <w:spacing w:after="0" w:line="4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2"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166" w:lineRule="exact"/>
        <w:rPr>
          <w:sz w:val="20"/>
          <w:szCs w:val="20"/>
          <w:color w:val="auto"/>
        </w:rPr>
      </w:pPr>
    </w:p>
    <w:p>
      <w:pPr>
        <w:ind w:left="900" w:right="40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18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 copy of certificate of authority of the trustee to commence business. (Exhibit 2 to Form T-1 filed with Registration Statement No. 333-121948).</w:t>
      </w:r>
    </w:p>
    <w:p>
      <w:pPr>
        <w:spacing w:after="0" w:line="234" w:lineRule="exact"/>
        <w:rPr>
          <w:rFonts w:ascii="Arial" w:cs="Arial" w:eastAsia="Arial" w:hAnsi="Arial"/>
          <w:sz w:val="16"/>
          <w:szCs w:val="16"/>
          <w:color w:val="auto"/>
        </w:rPr>
      </w:pPr>
    </w:p>
    <w:p>
      <w:pPr>
        <w:ind w:left="900" w:right="42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copy of the authorization of the trustee to exercise corporate trust powers (Exhibit 3 to Form T-1 filed with Registration Statement No. 333-152875).</w:t>
      </w:r>
    </w:p>
    <w:p>
      <w:pPr>
        <w:spacing w:after="0" w:line="118" w:lineRule="exact"/>
        <w:rPr>
          <w:rFonts w:ascii="Arial" w:cs="Arial" w:eastAsia="Arial" w:hAnsi="Arial"/>
          <w:sz w:val="18"/>
          <w:szCs w:val="18"/>
          <w:color w:val="auto"/>
        </w:rPr>
      </w:pPr>
    </w:p>
    <w:p>
      <w:pPr>
        <w:ind w:left="5680" w:hanging="112"/>
        <w:spacing w:after="0"/>
        <w:tabs>
          <w:tab w:leader="none" w:pos="56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300"/>
          </w:cols>
          <w:pgMar w:left="240" w:top="274" w:right="359" w:bottom="1440" w:gutter="0" w:footer="0" w:header="0"/>
        </w:sectPr>
      </w:pPr>
    </w:p>
    <w:bookmarkStart w:id="79" w:name="page80"/>
    <w:bookmarkEnd w:id="79"/>
    <w:p>
      <w:pPr>
        <w:ind w:left="446" w:hanging="446"/>
        <w:spacing w:after="0"/>
        <w:tabs>
          <w:tab w:leader="none" w:pos="446"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the existing by-laws of the trustee (Exhibit 4 to Form T-1 filed with Registration Statement No. 333-162713).</w:t>
      </w:r>
    </w:p>
    <w:p>
      <w:pPr>
        <w:spacing w:after="0" w:line="212" w:lineRule="exact"/>
        <w:rPr>
          <w:sz w:val="20"/>
          <w:szCs w:val="20"/>
          <w:color w:val="auto"/>
        </w:rPr>
      </w:pPr>
    </w:p>
    <w:p>
      <w:pPr>
        <w:ind w:left="446" w:hanging="446"/>
        <w:spacing w:after="0"/>
        <w:tabs>
          <w:tab w:leader="none" w:pos="446"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Act (Exhibit 6 to Form T-1 filed with Registration Statement No. 333-152875).</w:t>
      </w:r>
    </w:p>
    <w:p>
      <w:pPr>
        <w:spacing w:after="0" w:line="234" w:lineRule="exact"/>
        <w:rPr>
          <w:rFonts w:ascii="Arial" w:cs="Arial" w:eastAsia="Arial" w:hAnsi="Arial"/>
          <w:sz w:val="16"/>
          <w:szCs w:val="16"/>
          <w:color w:val="auto"/>
        </w:rPr>
      </w:pPr>
    </w:p>
    <w:p>
      <w:pPr>
        <w:ind w:left="446" w:hanging="446"/>
        <w:spacing w:after="0"/>
        <w:tabs>
          <w:tab w:leader="none" w:pos="446"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pacing w:after="0" w:line="180" w:lineRule="exact"/>
        <w:rPr>
          <w:rFonts w:ascii="Arial" w:cs="Arial" w:eastAsia="Arial" w:hAnsi="Arial"/>
          <w:sz w:val="16"/>
          <w:szCs w:val="16"/>
          <w:color w:val="auto"/>
        </w:rPr>
      </w:pPr>
    </w:p>
    <w:p>
      <w:pPr>
        <w:ind w:left="5226" w:hanging="112"/>
        <w:spacing w:after="0"/>
        <w:tabs>
          <w:tab w:leader="none" w:pos="5226" w:val="left"/>
        </w:tabs>
        <w:numPr>
          <w:ilvl w:val="1"/>
          <w:numId w:val="6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566"/>
          </w:cols>
          <w:pgMar w:left="694" w:top="280" w:right="6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16th day of August, 2012.</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MELLON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TRUST COMPANY, N.A.</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Julie Hoffman-Ramos</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Julie Hoffman-Ramos</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80"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 TRUST COMPANY, N.A.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400 South Hope Street, Suite 400, Los Angeles, CA 90071</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close of business June 30, 2012, published in accordance with Federal regulatory authority instructions.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Dollar Amounts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98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85"/>
              </w:rPr>
              <w:t>in Thousands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color w:val="auto"/>
              </w:rPr>
              <w:t>ASSETS</w:t>
            </w:r>
          </w:p>
        </w:tc>
        <w:tc>
          <w:tcPr>
            <w:tcW w:w="5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5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5340" w:type="dxa"/>
            <w:vAlign w:val="bottom"/>
            <w:gridSpan w:val="3"/>
          </w:tcPr>
          <w:p>
            <w:pPr>
              <w:spacing w:after="0"/>
              <w:rPr>
                <w:sz w:val="20"/>
                <w:szCs w:val="20"/>
                <w:color w:val="auto"/>
              </w:rPr>
            </w:pPr>
            <w:r>
              <w:rPr>
                <w:rFonts w:ascii="Arial" w:cs="Arial" w:eastAsia="Arial" w:hAnsi="Arial"/>
                <w:sz w:val="18"/>
                <w:szCs w:val="18"/>
                <w:color w:val="auto"/>
              </w:rPr>
              <w:t>Cash and balances due from depository institutions:</w:t>
            </w:r>
          </w:p>
        </w:tc>
        <w:tc>
          <w:tcPr>
            <w:tcW w:w="5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Noninterest-bearing balances and currency and coin</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Interest-bearing balances</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w:t>
            </w:r>
          </w:p>
        </w:tc>
        <w:tc>
          <w:tcPr>
            <w:tcW w:w="5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Held-to-maturity securities</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Available-for-sale securities</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w w:val="91"/>
              </w:rPr>
              <w:t>Federal funds sold and securities purchased under agreements to resell:</w:t>
            </w:r>
          </w:p>
        </w:tc>
        <w:tc>
          <w:tcPr>
            <w:tcW w:w="5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Federal funds sold</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Securities purchased under agreements to resell</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5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Loans and leases held for sale</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income</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LESS: Allowance for loan and lease losses</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Loans and leases, net of unearned income and allowance</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Trading assets</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Investments in unconsolidated subsidiaries and associated companies</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ind w:left="420"/>
              <w:spacing w:after="0"/>
              <w:rPr>
                <w:sz w:val="20"/>
                <w:szCs w:val="20"/>
                <w:color w:val="auto"/>
              </w:rPr>
            </w:pPr>
            <w:r>
              <w:rPr>
                <w:rFonts w:ascii="Arial" w:cs="Arial" w:eastAsia="Arial" w:hAnsi="Arial"/>
                <w:sz w:val="18"/>
                <w:szCs w:val="18"/>
                <w:color w:val="auto"/>
              </w:rPr>
              <w:t>Goodwill</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856,313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5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$ 1,880,471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100" w:type="dxa"/>
            <w:vAlign w:val="bottom"/>
            <w:vMerge w:val="restart"/>
          </w:tcPr>
          <w:p>
            <w:pPr>
              <w:jc w:val="right"/>
              <w:ind w:right="4592"/>
              <w:spacing w:after="0"/>
              <w:rPr>
                <w:sz w:val="20"/>
                <w:szCs w:val="20"/>
                <w:color w:val="auto"/>
              </w:rPr>
            </w:pPr>
            <w:r>
              <w:rPr>
                <w:rFonts w:ascii="Arial" w:cs="Arial" w:eastAsia="Arial" w:hAnsi="Arial"/>
                <w:sz w:val="18"/>
                <w:szCs w:val="18"/>
                <w:color w:val="auto"/>
              </w:rPr>
              <w:t>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2" w:name="page83"/>
    <w:bookmarkEnd w:id="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LIABILITIES</w:t>
            </w:r>
          </w:p>
        </w:tc>
        <w:tc>
          <w:tcPr>
            <w:tcW w:w="9540" w:type="dxa"/>
            <w:vAlign w:val="bottom"/>
            <w:tcBorders>
              <w:bottom w:val="single" w:sz="8" w:color="CCEEFF"/>
            </w:tcBorders>
            <w:gridSpan w:val="2"/>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0560" w:type="dxa"/>
            <w:vAlign w:val="bottom"/>
            <w:gridSpan w:val="4"/>
          </w:tcPr>
          <w:p>
            <w:pPr>
              <w:spacing w:after="0"/>
              <w:rPr>
                <w:sz w:val="20"/>
                <w:szCs w:val="20"/>
                <w:color w:val="auto"/>
              </w:rPr>
            </w:pPr>
            <w:r>
              <w:rPr>
                <w:rFonts w:ascii="Arial" w:cs="Arial" w:eastAsia="Arial" w:hAnsi="Arial"/>
                <w:sz w:val="18"/>
                <w:szCs w:val="18"/>
                <w:color w:val="auto"/>
              </w:rPr>
              <w:t>Deposits: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 domestic offices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860"/>
              <w:spacing w:after="0"/>
              <w:rPr>
                <w:sz w:val="20"/>
                <w:szCs w:val="20"/>
                <w:color w:val="auto"/>
              </w:rPr>
            </w:pPr>
            <w:r>
              <w:rPr>
                <w:rFonts w:ascii="Arial" w:cs="Arial" w:eastAsia="Arial" w:hAnsi="Arial"/>
                <w:sz w:val="18"/>
                <w:szCs w:val="18"/>
                <w:color w:val="auto"/>
              </w:rPr>
              <w:t>Noninterest-bearing</w:t>
            </w:r>
          </w:p>
        </w:tc>
        <w:tc>
          <w:tcPr>
            <w:tcW w:w="7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Interest-bearing</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420"/>
              <w:spacing w:after="0"/>
              <w:rPr>
                <w:sz w:val="20"/>
                <w:szCs w:val="20"/>
                <w:color w:val="auto"/>
              </w:rPr>
            </w:pPr>
            <w:r>
              <w:rPr>
                <w:rFonts w:ascii="Arial" w:cs="Arial" w:eastAsia="Arial" w:hAnsi="Arial"/>
                <w:sz w:val="18"/>
                <w:szCs w:val="18"/>
                <w:color w:val="auto"/>
              </w:rPr>
              <w:t>Not applicable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860"/>
              <w:spacing w:after="0"/>
              <w:rPr>
                <w:sz w:val="20"/>
                <w:szCs w:val="20"/>
                <w:color w:val="auto"/>
              </w:rPr>
            </w:pPr>
            <w:r>
              <w:rPr>
                <w:rFonts w:ascii="Arial" w:cs="Arial" w:eastAsia="Arial" w:hAnsi="Arial"/>
                <w:sz w:val="18"/>
                <w:szCs w:val="18"/>
                <w:color w:val="auto"/>
              </w:rPr>
              <w:t>Federal funds purchased</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Securities sold under agreements to repurchase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spacing w:after="0"/>
              <w:rPr>
                <w:sz w:val="20"/>
                <w:szCs w:val="20"/>
                <w:color w:val="auto"/>
              </w:rPr>
            </w:pPr>
            <w:r>
              <w:rPr>
                <w:rFonts w:ascii="Arial" w:cs="Arial" w:eastAsia="Arial" w:hAnsi="Arial"/>
                <w:sz w:val="18"/>
                <w:szCs w:val="18"/>
                <w:color w:val="auto"/>
              </w:rPr>
              <w:t>Trading liabilities</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42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760" w:type="dxa"/>
            <w:vAlign w:val="bottom"/>
          </w:tcPr>
          <w:p>
            <w:pPr>
              <w:jc w:val="right"/>
              <w:spacing w:after="0"/>
              <w:rPr>
                <w:sz w:val="20"/>
                <w:szCs w:val="20"/>
                <w:color w:val="auto"/>
              </w:rPr>
            </w:pPr>
            <w:r>
              <w:rPr>
                <w:rFonts w:ascii="Arial" w:cs="Arial" w:eastAsia="Arial" w:hAnsi="Arial"/>
                <w:sz w:val="18"/>
                <w:szCs w:val="18"/>
                <w:color w:val="auto"/>
              </w:rPr>
              <w:t>229,395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54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5"/>
              </w:rPr>
              <w:t>EQUITY CAPITAL</w:t>
            </w:r>
          </w:p>
        </w:tc>
        <w:tc>
          <w:tcPr>
            <w:tcW w:w="9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0560" w:type="dxa"/>
            <w:vAlign w:val="bottom"/>
            <w:gridSpan w:val="4"/>
          </w:tcPr>
          <w:p>
            <w:pPr>
              <w:spacing w:after="0"/>
              <w:rPr>
                <w:sz w:val="20"/>
                <w:szCs w:val="20"/>
                <w:color w:val="auto"/>
              </w:rPr>
            </w:pPr>
            <w:r>
              <w:rPr>
                <w:rFonts w:ascii="Arial" w:cs="Arial" w:eastAsia="Arial" w:hAnsi="Arial"/>
                <w:sz w:val="18"/>
                <w:szCs w:val="18"/>
                <w:color w:val="auto"/>
              </w:rPr>
              <w:t>Perpetual preferred stock and related surplus</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1,121,520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420"/>
              <w:spacing w:after="0"/>
              <w:rPr>
                <w:sz w:val="20"/>
                <w:szCs w:val="20"/>
                <w:color w:val="auto"/>
              </w:rPr>
            </w:pPr>
            <w:r>
              <w:rPr>
                <w:rFonts w:ascii="Arial" w:cs="Arial" w:eastAsia="Arial" w:hAnsi="Arial"/>
                <w:sz w:val="18"/>
                <w:szCs w:val="18"/>
                <w:color w:val="auto"/>
              </w:rPr>
              <w:t>Retained earnings</w:t>
            </w:r>
          </w:p>
        </w:tc>
        <w:tc>
          <w:tcPr>
            <w:tcW w:w="760" w:type="dxa"/>
            <w:vAlign w:val="bottom"/>
          </w:tcPr>
          <w:p>
            <w:pPr>
              <w:jc w:val="right"/>
              <w:spacing w:after="0"/>
              <w:rPr>
                <w:sz w:val="20"/>
                <w:szCs w:val="20"/>
                <w:color w:val="auto"/>
              </w:rPr>
            </w:pPr>
            <w:r>
              <w:rPr>
                <w:rFonts w:ascii="Arial" w:cs="Arial" w:eastAsia="Arial" w:hAnsi="Arial"/>
                <w:sz w:val="18"/>
                <w:szCs w:val="18"/>
                <w:color w:val="auto"/>
              </w:rPr>
              <w:t>523,267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spacing w:after="0"/>
              <w:rPr>
                <w:sz w:val="20"/>
                <w:szCs w:val="20"/>
                <w:color w:val="auto"/>
              </w:rPr>
            </w:pPr>
            <w:r>
              <w:rPr>
                <w:rFonts w:ascii="Arial" w:cs="Arial" w:eastAsia="Arial" w:hAnsi="Arial"/>
                <w:sz w:val="18"/>
                <w:szCs w:val="18"/>
                <w:color w:val="auto"/>
              </w:rPr>
              <w:t>Other equity capital components</w:t>
            </w:r>
          </w:p>
        </w:tc>
        <w:tc>
          <w:tcPr>
            <w:tcW w:w="7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 available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tcPr>
          <w:p>
            <w:pPr>
              <w:ind w:left="420"/>
              <w:spacing w:after="0"/>
              <w:rPr>
                <w:sz w:val="20"/>
                <w:szCs w:val="20"/>
                <w:color w:val="auto"/>
              </w:rPr>
            </w:pPr>
            <w:r>
              <w:rPr>
                <w:rFonts w:ascii="Arial" w:cs="Arial" w:eastAsia="Arial" w:hAnsi="Arial"/>
                <w:sz w:val="18"/>
                <w:szCs w:val="18"/>
                <w:color w:val="auto"/>
              </w:rPr>
              <w:t>Total bank equity capital</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1,650,576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Noncontrolling (minority) interests in consolidated subsidiaries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40" w:type="dxa"/>
            <w:vAlign w:val="bottom"/>
            <w:gridSpan w:val="3"/>
          </w:tcPr>
          <w:p>
            <w:pPr>
              <w:spacing w:after="0"/>
              <w:rPr>
                <w:sz w:val="20"/>
                <w:szCs w:val="20"/>
                <w:color w:val="auto"/>
              </w:rPr>
            </w:pPr>
            <w:r>
              <w:rPr>
                <w:rFonts w:ascii="Arial" w:cs="Arial" w:eastAsia="Arial" w:hAnsi="Arial"/>
                <w:sz w:val="18"/>
                <w:szCs w:val="18"/>
                <w:color w:val="auto"/>
              </w:rPr>
              <w:t>Total equity capital</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1,650,576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1,880,471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 Karen Bayz, CFO and Managing Director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81" w:lineRule="exact"/>
        <w:rPr>
          <w:sz w:val="20"/>
          <w:szCs w:val="20"/>
          <w:color w:val="auto"/>
        </w:rPr>
      </w:pPr>
    </w:p>
    <w:p>
      <w:pPr>
        <w:ind w:left="460"/>
        <w:spacing w:after="0"/>
        <w:tabs>
          <w:tab w:leader="none" w:pos="1680" w:val="left"/>
          <w:tab w:leader="none" w:pos="2060" w:val="left"/>
        </w:tabs>
        <w:rPr>
          <w:sz w:val="20"/>
          <w:szCs w:val="20"/>
          <w:color w:val="auto"/>
        </w:rPr>
      </w:pPr>
      <w:r>
        <w:rPr>
          <w:rFonts w:ascii="Arial" w:cs="Arial" w:eastAsia="Arial" w:hAnsi="Arial"/>
          <w:sz w:val="18"/>
          <w:szCs w:val="18"/>
          <w:color w:val="auto"/>
        </w:rPr>
        <w:t>Karen Bayz</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CFO and Managing Director</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257" w:right="239" w:bottom="1440" w:gutter="0" w:footer="0" w:header="0"/>
        </w:sectPr>
      </w:pPr>
    </w:p>
    <w:p>
      <w:pPr>
        <w:spacing w:after="0" w:line="181"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Troy Kilpatrick, President Frank P. Sulzberger, MD William D. Lindelof, MD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auto"/>
        </w:rPr>
        <w:t>Directors (Trustees)</w:t>
      </w:r>
    </w:p>
    <w:p>
      <w:pPr>
        <w:spacing w:after="0" w:line="408" w:lineRule="exact"/>
        <w:rPr>
          <w:sz w:val="20"/>
          <w:szCs w:val="20"/>
          <w:color w:val="auto"/>
        </w:rPr>
      </w:pPr>
    </w:p>
    <w:p>
      <w:pPr>
        <w:sectPr>
          <w:pgSz w:w="11900" w:h="16838" w:orient="portrait"/>
          <w:cols w:equalWidth="0" w:num="3">
            <w:col w:w="2300" w:space="560"/>
            <w:col w:w="60" w:space="320"/>
            <w:col w:w="8180"/>
          </w:cols>
          <w:pgMar w:left="240" w:top="257"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2</w:t>
      </w:r>
    </w:p>
    <w:sectPr>
      <w:pgSz w:w="11900" w:h="16838" w:orient="portrait"/>
      <w:cols w:equalWidth="0" w:num="1">
        <w:col w:w="11420"/>
      </w:cols>
      <w:pgMar w:left="240" w:top="25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decimal"/>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9"/>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1)"/>
      <w:numFmt w:val="decimal"/>
      <w:start w:val="1"/>
    </w:lvl>
  </w:abstractNum>
  <w:abstractNum w:abstractNumId="10">
    <w:nsid w:val="7724C67E"/>
    <w:multiLevelType w:val="hybridMultilevel"/>
    <w:lvl w:ilvl="0">
      <w:lvlJc w:val="left"/>
      <w:lvlText w:val="(%1)"/>
      <w:numFmt w:val="decimal"/>
      <w:start w:val="1"/>
    </w:lvl>
  </w:abstractNum>
  <w:abstractNum w:abstractNumId="11">
    <w:nsid w:val="5C482A97"/>
    <w:multiLevelType w:val="hybridMultilevel"/>
    <w:lvl w:ilvl="0">
      <w:lvlJc w:val="left"/>
      <w:lvlText w:val="(%1)"/>
      <w:numFmt w:val="decimal"/>
      <w:start w:val="1"/>
    </w:lvl>
  </w:abstractNum>
  <w:abstractNum w:abstractNumId="12">
    <w:nsid w:val="2463B9EA"/>
    <w:multiLevelType w:val="hybridMultilevel"/>
    <w:lvl w:ilvl="0">
      <w:lvlJc w:val="left"/>
      <w:lvlText w:val="(%1)"/>
      <w:numFmt w:val="decimal"/>
      <w:start w:val="2"/>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decimal"/>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decimal"/>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1)"/>
      <w:numFmt w:val="decimal"/>
      <w:start w:val="1"/>
    </w:lvl>
    <w:lvl w:ilvl="1">
      <w:lvlJc w:val="left"/>
      <w:lvlText w:val="(%2)"/>
      <w:numFmt w:val="lowerRoman"/>
      <w:start w:val="1"/>
    </w:lvl>
  </w:abstractNum>
  <w:abstractNum w:abstractNumId="21">
    <w:nsid w:val="2A487CB0"/>
    <w:multiLevelType w:val="hybridMultilevel"/>
    <w:lvl w:ilvl="0">
      <w:lvlJc w:val="left"/>
      <w:lvlText w:val="(%1)"/>
      <w:numFmt w:val="decimal"/>
      <w:start w:val="2"/>
    </w:lvl>
  </w:abstractNum>
  <w:abstractNum w:abstractNumId="22">
    <w:nsid w:val="1D4ED43B"/>
    <w:multiLevelType w:val="hybridMultilevel"/>
    <w:lvl w:ilvl="0">
      <w:lvlJc w:val="left"/>
      <w:lvlText w:val="(%1)"/>
      <w:numFmt w:val="upperLetter"/>
      <w:start w:val="1"/>
    </w:lvl>
  </w:abstractNum>
  <w:abstractNum w:abstractNumId="23">
    <w:nsid w:val="725A06FB"/>
    <w:multiLevelType w:val="hybridMultilevel"/>
    <w:lvl w:ilvl="0">
      <w:lvlJc w:val="left"/>
      <w:lvlText w:val="(%1)"/>
      <w:numFmt w:val="upperLetter"/>
      <w:start w:val="2"/>
    </w:lvl>
  </w:abstractNum>
  <w:abstractNum w:abstractNumId="24">
    <w:nsid w:val="2CD89A32"/>
    <w:multiLevelType w:val="hybridMultilevel"/>
    <w:lvl w:ilvl="0">
      <w:lvlJc w:val="left"/>
      <w:lvlText w:val="%1"/>
      <w:numFmt w:val="decimal"/>
      <w:start w:val="1"/>
    </w:lvl>
    <w:lvl w:ilvl="1">
      <w:lvlJc w:val="left"/>
      <w:lvlText w:val="(%2)"/>
      <w:numFmt w:val="lowerRoman"/>
      <w:start w:val="1"/>
    </w:lvl>
  </w:abstractNum>
  <w:abstractNum w:abstractNumId="25">
    <w:nsid w:val="57E4CCAF"/>
    <w:multiLevelType w:val="hybridMultilevel"/>
    <w:lvl w:ilvl="0">
      <w:lvlJc w:val="left"/>
      <w:lvlText w:val="(%1)"/>
      <w:numFmt w:val="decimal"/>
      <w:start w:val="6"/>
    </w:lvl>
    <w:lvl w:ilvl="1">
      <w:lvlJc w:val="left"/>
      <w:lvlText w:val="%2"/>
      <w:numFmt w:val="lowerRoman"/>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1)"/>
      <w:numFmt w:val="lowerLetter"/>
      <w:start w:val="1"/>
    </w:lvl>
    <w:lvl w:ilvl="1">
      <w:lvlJc w:val="left"/>
      <w:lvlText w:val="-"/>
      <w:numFmt w:val="bullet"/>
      <w:start w:val="1"/>
    </w:lvl>
  </w:abstractNum>
  <w:abstractNum w:abstractNumId="28">
    <w:nsid w:val="542289EC"/>
    <w:multiLevelType w:val="hybridMultilevel"/>
    <w:lvl w:ilvl="0">
      <w:lvlJc w:val="left"/>
      <w:lvlText w:val="(%1)"/>
      <w:numFmt w:val="lowerLetter"/>
      <w:start w:val="1"/>
    </w:lvl>
  </w:abstractNum>
  <w:abstractNum w:abstractNumId="29">
    <w:nsid w:val="6DE91B18"/>
    <w:multiLevelType w:val="hybridMultilevel"/>
    <w:lvl w:ilvl="0">
      <w:lvlJc w:val="left"/>
      <w:lvlText w:val="(%1)"/>
      <w:numFmt w:val="lowerLetter"/>
      <w:start w:val="4"/>
    </w:lvl>
  </w:abstractNum>
  <w:abstractNum w:abstractNumId="30">
    <w:nsid w:val="38437FDB"/>
    <w:multiLevelType w:val="hybridMultilevel"/>
    <w:lvl w:ilvl="0">
      <w:lvlJc w:val="left"/>
      <w:lvlText w:val="(%1)"/>
      <w:numFmt w:val="lowerLetter"/>
      <w:start w:val="1"/>
    </w:lvl>
    <w:lvl w:ilvl="1">
      <w:lvlJc w:val="left"/>
      <w:lvlText w:val="-"/>
      <w:numFmt w:val="bullet"/>
      <w:start w:val="1"/>
    </w:lvl>
  </w:abstractNum>
  <w:abstractNum w:abstractNumId="31">
    <w:nsid w:val="7644A45C"/>
    <w:multiLevelType w:val="hybridMultilevel"/>
    <w:lvl w:ilvl="0">
      <w:lvlJc w:val="left"/>
      <w:lvlText w:val="(%1)"/>
      <w:numFmt w:val="lowerLetter"/>
      <w:start w:val="2"/>
    </w:lvl>
  </w:abstractNum>
  <w:abstractNum w:abstractNumId="32">
    <w:nsid w:val="32FFF90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3">
    <w:nsid w:val="684A481A"/>
    <w:multiLevelType w:val="hybridMultilevel"/>
    <w:lvl w:ilvl="0">
      <w:lvlJc w:val="left"/>
      <w:lvlText w:val="(%1)"/>
      <w:numFmt w:val="lowerLetter"/>
      <w:start w:val="5"/>
    </w:lvl>
    <w:lvl w:ilvl="1">
      <w:lvlJc w:val="left"/>
      <w:lvlText w:val="(%2)"/>
      <w:numFmt w:val="lowerRoman"/>
      <w:start w:val="1"/>
    </w:lvl>
  </w:abstractNum>
  <w:abstractNum w:abstractNumId="34">
    <w:nsid w:val="579478FE"/>
    <w:multiLevelType w:val="hybridMultilevel"/>
    <w:lvl w:ilvl="0">
      <w:lvlJc w:val="left"/>
      <w:lvlText w:val="(%1)"/>
      <w:numFmt w:val="lowerLetter"/>
      <w:start w:val="6"/>
    </w:lvl>
  </w:abstractNum>
  <w:abstractNum w:abstractNumId="35">
    <w:nsid w:val="749ABB43"/>
    <w:multiLevelType w:val="hybridMultilevel"/>
    <w:lvl w:ilvl="0">
      <w:lvlJc w:val="left"/>
      <w:lvlText w:val="(%1)"/>
      <w:numFmt w:val="lowerLetter"/>
      <w:start w:val="1"/>
    </w:lvl>
  </w:abstractNum>
  <w:abstractNum w:abstractNumId="36">
    <w:nsid w:val="3DC240FB"/>
    <w:multiLevelType w:val="hybridMultilevel"/>
    <w:lvl w:ilvl="0">
      <w:lvlJc w:val="left"/>
      <w:lvlText w:val="(%1)"/>
      <w:numFmt w:val="lowerLetter"/>
      <w:start w:val="1"/>
    </w:lvl>
  </w:abstractNum>
  <w:abstractNum w:abstractNumId="37">
    <w:nsid w:val="1BA026FA"/>
    <w:multiLevelType w:val="hybridMultilevel"/>
    <w:lvl w:ilvl="0">
      <w:lvlJc w:val="left"/>
      <w:lvlText w:val="(%1)"/>
      <w:numFmt w:val="lowerLetter"/>
      <w:start w:val="1"/>
    </w:lvl>
  </w:abstractNum>
  <w:abstractNum w:abstractNumId="38">
    <w:nsid w:val="79A1DEAA"/>
    <w:multiLevelType w:val="hybridMultilevel"/>
    <w:lvl w:ilvl="0">
      <w:lvlJc w:val="left"/>
      <w:lvlText w:val="(%1)"/>
      <w:numFmt w:val="lowerLetter"/>
      <w:start w:val="1"/>
    </w:lvl>
  </w:abstractNum>
  <w:abstractNum w:abstractNumId="39">
    <w:nsid w:val="75C6C33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0">
    <w:nsid w:val="12E685FB"/>
    <w:multiLevelType w:val="hybridMultilevel"/>
    <w:lvl w:ilvl="0">
      <w:lvlJc w:val="left"/>
      <w:lvlText w:val="(%1)"/>
      <w:numFmt w:val="lowerLetter"/>
      <w:start w:val="5"/>
    </w:lvl>
  </w:abstractNum>
  <w:abstractNum w:abstractNumId="41">
    <w:nsid w:val="70C6A529"/>
    <w:multiLevelType w:val="hybridMultilevel"/>
    <w:lvl w:ilvl="0">
      <w:lvlJc w:val="left"/>
      <w:lvlText w:val="(%1)"/>
      <w:numFmt w:val="lowerLetter"/>
      <w:start w:val="1"/>
    </w:lvl>
    <w:lvl w:ilvl="1">
      <w:lvlJc w:val="left"/>
      <w:lvlText w:val="-"/>
      <w:numFmt w:val="bullet"/>
      <w:start w:val="1"/>
    </w:lvl>
  </w:abstractNum>
  <w:abstractNum w:abstractNumId="42">
    <w:nsid w:val="520EEDD1"/>
    <w:multiLevelType w:val="hybridMultilevel"/>
    <w:lvl w:ilvl="0">
      <w:lvlJc w:val="left"/>
      <w:lvlText w:val="(%1)"/>
      <w:numFmt w:val="lowerLetter"/>
      <w:start w:val="10"/>
    </w:lvl>
  </w:abstractNum>
  <w:abstractNum w:abstractNumId="43">
    <w:nsid w:val="374A3FE6"/>
    <w:multiLevelType w:val="hybridMultilevel"/>
    <w:lvl w:ilvl="0">
      <w:lvlJc w:val="left"/>
      <w:lvlText w:val="(%1)"/>
      <w:numFmt w:val="lowerLetter"/>
      <w:start w:val="1"/>
    </w:lvl>
  </w:abstractNum>
  <w:abstractNum w:abstractNumId="44">
    <w:nsid w:val="4F4EF00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
      <w:numFmt w:val="bullet"/>
      <w:start w:val="1"/>
    </w:lvl>
  </w:abstractNum>
  <w:abstractNum w:abstractNumId="45">
    <w:nsid w:val="23F9C13C"/>
    <w:multiLevelType w:val="hybridMultilevel"/>
    <w:lvl w:ilvl="0">
      <w:lvlJc w:val="left"/>
      <w:lvlText w:val="(%1)"/>
      <w:numFmt w:val="lowerLetter"/>
      <w:start w:val="2"/>
    </w:lvl>
  </w:abstractNum>
  <w:abstractNum w:abstractNumId="46">
    <w:nsid w:val="649BB77C"/>
    <w:multiLevelType w:val="hybridMultilevel"/>
    <w:lvl w:ilvl="0">
      <w:lvlJc w:val="left"/>
      <w:lvlText w:val="(%1)"/>
      <w:numFmt w:val="lowerLetter"/>
      <w:start w:val="1"/>
    </w:lvl>
  </w:abstractNum>
  <w:abstractNum w:abstractNumId="47">
    <w:nsid w:val="275AC794"/>
    <w:multiLevelType w:val="hybridMultilevel"/>
    <w:lvl w:ilvl="0">
      <w:lvlJc w:val="left"/>
      <w:lvlText w:val="(%1)"/>
      <w:numFmt w:val="lowerLetter"/>
      <w:start w:val="1"/>
    </w:lvl>
    <w:lvl w:ilvl="1">
      <w:lvlJc w:val="left"/>
      <w:lvlText w:val="-"/>
      <w:numFmt w:val="bullet"/>
      <w:start w:val="1"/>
    </w:lvl>
  </w:abstractNum>
  <w:abstractNum w:abstractNumId="48">
    <w:nsid w:val="39386575"/>
    <w:multiLevelType w:val="hybridMultilevel"/>
    <w:lvl w:ilvl="0">
      <w:lvlJc w:val="left"/>
      <w:lvlText w:val="(%1)"/>
      <w:numFmt w:val="lowerLetter"/>
      <w:start w:val="2"/>
    </w:lvl>
  </w:abstractNum>
  <w:abstractNum w:abstractNumId="49">
    <w:nsid w:val="1CF10FD8"/>
    <w:multiLevelType w:val="hybridMultilevel"/>
    <w:lvl w:ilvl="0">
      <w:lvlJc w:val="left"/>
      <w:lvlText w:val="(%1)"/>
      <w:numFmt w:val="lowerLetter"/>
      <w:start w:val="4"/>
    </w:lvl>
  </w:abstractNum>
  <w:abstractNum w:abstractNumId="50">
    <w:nsid w:val="180115BE"/>
    <w:multiLevelType w:val="hybridMultilevel"/>
    <w:lvl w:ilvl="0">
      <w:lvlJc w:val="left"/>
      <w:lvlText w:val="(%1)"/>
      <w:numFmt w:val="lowerLetter"/>
      <w:start w:val="1"/>
    </w:lvl>
  </w:abstractNum>
  <w:abstractNum w:abstractNumId="51">
    <w:nsid w:val="235BA861"/>
    <w:multiLevelType w:val="hybridMultilevel"/>
    <w:lvl w:ilvl="0">
      <w:lvlJc w:val="left"/>
      <w:lvlText w:val="(%1)"/>
      <w:numFmt w:val="lowerLetter"/>
      <w:start w:val="1"/>
    </w:lvl>
  </w:abstractNum>
  <w:abstractNum w:abstractNumId="52">
    <w:nsid w:val="47398C89"/>
    <w:multiLevelType w:val="hybridMultilevel"/>
    <w:lvl w:ilvl="0">
      <w:lvlJc w:val="left"/>
      <w:lvlText w:val="(%1)"/>
      <w:numFmt w:val="lowerLetter"/>
      <w:start w:val="1"/>
    </w:lvl>
  </w:abstractNum>
  <w:abstractNum w:abstractNumId="53">
    <w:nsid w:val="354FE9F9"/>
    <w:multiLevelType w:val="hybridMultilevel"/>
    <w:lvl w:ilvl="0">
      <w:lvlJc w:val="left"/>
      <w:lvlText w:val="(%1)"/>
      <w:numFmt w:val="lowerLetter"/>
      <w:start w:val="1"/>
    </w:lvl>
  </w:abstractNum>
  <w:abstractNum w:abstractNumId="54">
    <w:nsid w:val="15B5AF5C"/>
    <w:multiLevelType w:val="hybridMultilevel"/>
    <w:lvl w:ilvl="0">
      <w:lvlJc w:val="left"/>
      <w:lvlText w:val="(%1)"/>
      <w:numFmt w:val="lowerLetter"/>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1)"/>
      <w:numFmt w:val="lowerLetter"/>
      <w:start w:val="1"/>
    </w:lvl>
  </w:abstractNum>
  <w:abstractNum w:abstractNumId="58">
    <w:nsid w:val="3F6AB60F"/>
    <w:multiLevelType w:val="hybridMultilevel"/>
    <w:lvl w:ilvl="0">
      <w:lvlJc w:val="left"/>
      <w:lvlText w:val="(%1)"/>
      <w:numFmt w:val="lowerLetter"/>
      <w:start w:val="2"/>
    </w:lvl>
  </w:abstractNum>
  <w:abstractNum w:abstractNumId="59">
    <w:nsid w:val="61574095"/>
    <w:multiLevelType w:val="hybridMultilevel"/>
    <w:lvl w:ilvl="0">
      <w:lvlJc w:val="left"/>
      <w:lvlText w:val="%1."/>
      <w:numFmt w:val="decimal"/>
      <w:start w:val="2"/>
    </w:lvl>
  </w:abstractNum>
  <w:abstractNum w:abstractNumId="60">
    <w:nsid w:val="7E0C57B1"/>
    <w:multiLevelType w:val="hybridMultilevel"/>
    <w:lvl w:ilvl="0">
      <w:lvlJc w:val="left"/>
      <w:lvlText w:val="%1."/>
      <w:numFmt w:val="decimal"/>
      <w:start w:val="16"/>
    </w:lvl>
  </w:abstractNum>
  <w:abstractNum w:abstractNumId="61">
    <w:nsid w:val="77AE35EB"/>
    <w:multiLevelType w:val="hybridMultilevel"/>
    <w:lvl w:ilvl="0">
      <w:lvlJc w:val="left"/>
      <w:lvlText w:val="%1."/>
      <w:numFmt w:val="decimal"/>
      <w:start w:val="1"/>
    </w:lvl>
    <w:lvl w:ilvl="1">
      <w:lvlJc w:val="left"/>
      <w:lvlText w:val="-"/>
      <w:numFmt w:val="bullet"/>
      <w:start w:val="1"/>
    </w:lvl>
  </w:abstractNum>
  <w:abstractNum w:abstractNumId="62">
    <w:nsid w:val="579BE4F1"/>
    <w:multiLevelType w:val="hybridMultilevel"/>
    <w:lvl w:ilvl="0">
      <w:lvlJc w:val="left"/>
      <w:lvlText w:val="%1."/>
      <w:numFmt w:val="decimal"/>
      <w:start w:val="4"/>
    </w:lvl>
  </w:abstractNum>
  <w:abstractNum w:abstractNumId="63">
    <w:nsid w:val="310C50B3"/>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2019-12-09T04:22:57Z</dcterms:created>
  <dcterms:modified xsi:type="dcterms:W3CDTF">2019-12-09T04:22:57Z</dcterms:modified>
</cp:coreProperties>
</file>