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640" w:right="251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May 2, 1998</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640" w:right="2419" w:hanging="632"/>
        <w:spacing w:after="0" w:line="235"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 (d) OF THE SECURITIES EXCHANGE ACT OF 1934</w:t>
      </w:r>
    </w:p>
    <w:p>
      <w:pPr>
        <w:spacing w:after="0" w:line="208"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For the Transition period from_______________ to ________________</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226" w:lineRule="exact"/>
        <w:rPr>
          <w:sz w:val="24"/>
          <w:szCs w:val="24"/>
          <w:color w:val="auto"/>
        </w:rPr>
      </w:pPr>
    </w:p>
    <w:p>
      <w:pPr>
        <w:ind w:right="1700" w:firstLine="211"/>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1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(781) 329-4700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4" w:right="1440" w:bottom="1440" w:gutter="0" w:footer="0" w:header="0"/>
          <w:type w:val="continuous"/>
        </w:sectPr>
      </w:pPr>
    </w:p>
    <w:p>
      <w:pPr>
        <w:spacing w:after="0" w:line="2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May 29, 1998 was 162,924,214 shares of Common Stock.</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900"/>
        <w:spacing w:after="0" w:line="238" w:lineRule="auto"/>
        <w:rPr>
          <w:sz w:val="20"/>
          <w:szCs w:val="20"/>
          <w:color w:val="auto"/>
        </w:rPr>
      </w:pPr>
      <w:r>
        <w:rPr>
          <w:rFonts w:ascii="Courier New" w:cs="Courier New" w:eastAsia="Courier New" w:hAnsi="Courier New"/>
          <w:sz w:val="18"/>
          <w:szCs w:val="18"/>
          <w:color w:val="auto"/>
        </w:rPr>
        <w:t>PART I</w:t>
      </w: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4360" w:type="dxa"/>
            <w:vAlign w:val="bottom"/>
          </w:tcPr>
          <w:p>
            <w:pPr>
              <w:ind w:left="1880"/>
              <w:spacing w:after="0"/>
              <w:rPr>
                <w:sz w:val="20"/>
                <w:szCs w:val="20"/>
                <w:color w:val="auto"/>
              </w:rPr>
            </w:pPr>
            <w:r>
              <w:rPr>
                <w:rFonts w:ascii="Courier New" w:cs="Courier New" w:eastAsia="Courier New" w:hAnsi="Courier New"/>
                <w:sz w:val="18"/>
                <w:szCs w:val="18"/>
                <w:color w:val="auto"/>
              </w:rPr>
              <w:t>FINANCIAL INFORMATION</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436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ANALOG DEVICES, INC.</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4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810"/>
        </w:trPr>
        <w:tc>
          <w:tcPr>
            <w:tcW w:w="1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4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May 2, 1998</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May 3, 1997</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360" w:type="dxa"/>
            <w:vAlign w:val="bottom"/>
          </w:tcPr>
          <w:p>
            <w:pPr>
              <w:spacing w:after="0"/>
              <w:rPr>
                <w:sz w:val="24"/>
                <w:szCs w:val="24"/>
                <w:color w:val="auto"/>
              </w:rPr>
            </w:pP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$333,109</w:t>
            </w: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$300,813</w:t>
            </w: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w:t>
            </w:r>
          </w:p>
        </w:tc>
        <w:tc>
          <w:tcPr>
            <w:tcW w:w="4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169,426</w:t>
            </w:r>
          </w:p>
        </w:tc>
        <w:tc>
          <w:tcPr>
            <w:tcW w:w="5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150,544</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margin</w:t>
            </w:r>
          </w:p>
        </w:tc>
        <w:tc>
          <w:tcPr>
            <w:tcW w:w="4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163,683</w:t>
            </w:r>
          </w:p>
        </w:tc>
        <w:tc>
          <w:tcPr>
            <w:tcW w:w="5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150,269</w:t>
            </w: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Operating expenses:</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56,190</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47,768</w:t>
            </w:r>
          </w:p>
        </w:tc>
      </w:tr>
      <w:tr>
        <w:trPr>
          <w:trHeight w:val="203"/>
        </w:trPr>
        <w:tc>
          <w:tcPr>
            <w:tcW w:w="5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6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57,014</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46,859</w:t>
            </w:r>
          </w:p>
        </w:tc>
      </w:tr>
      <w:tr>
        <w:trPr>
          <w:trHeight w:val="203"/>
        </w:trPr>
        <w:tc>
          <w:tcPr>
            <w:tcW w:w="5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Gain on sale of business, net</w:t>
            </w: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(13,100)</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100,104</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94,627</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w:t>
            </w:r>
          </w:p>
        </w:tc>
        <w:tc>
          <w:tcPr>
            <w:tcW w:w="4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63,579</w:t>
            </w:r>
          </w:p>
        </w:tc>
        <w:tc>
          <w:tcPr>
            <w:tcW w:w="5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55,642</w:t>
            </w: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3,103</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2,973</w:t>
            </w:r>
          </w:p>
        </w:tc>
      </w:tr>
      <w:tr>
        <w:trPr>
          <w:trHeight w:val="203"/>
        </w:trPr>
        <w:tc>
          <w:tcPr>
            <w:tcW w:w="5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(4,318)</w:t>
            </w:r>
          </w:p>
        </w:tc>
        <w:tc>
          <w:tcPr>
            <w:tcW w:w="5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(3,976)</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4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996</w:t>
            </w:r>
          </w:p>
        </w:tc>
        <w:tc>
          <w:tcPr>
            <w:tcW w:w="58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477</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(219)</w:t>
            </w:r>
          </w:p>
        </w:tc>
        <w:tc>
          <w:tcPr>
            <w:tcW w:w="5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4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63,798</w:t>
            </w:r>
          </w:p>
        </w:tc>
        <w:tc>
          <w:tcPr>
            <w:tcW w:w="5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56,168</w:t>
            </w: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4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15,358</w:t>
            </w:r>
          </w:p>
        </w:tc>
        <w:tc>
          <w:tcPr>
            <w:tcW w:w="5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14,051</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360" w:type="dxa"/>
            <w:vAlign w:val="bottom"/>
          </w:tcPr>
          <w:p>
            <w:pPr>
              <w:spacing w:after="0"/>
              <w:rPr>
                <w:sz w:val="24"/>
                <w:szCs w:val="24"/>
                <w:color w:val="auto"/>
              </w:rPr>
            </w:pPr>
          </w:p>
        </w:tc>
        <w:tc>
          <w:tcPr>
            <w:tcW w:w="16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$ 48,440</w:t>
            </w: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$ 42,117</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basic earnings per share</w:t>
            </w:r>
          </w:p>
        </w:tc>
        <w:tc>
          <w:tcPr>
            <w:tcW w:w="4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162,124</w:t>
            </w:r>
          </w:p>
        </w:tc>
        <w:tc>
          <w:tcPr>
            <w:tcW w:w="5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158,714</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Basic earnings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0.30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0.27</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diluted earnings per share</w:t>
            </w:r>
          </w:p>
        </w:tc>
        <w:tc>
          <w:tcPr>
            <w:tcW w:w="4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179,427</w:t>
            </w:r>
          </w:p>
        </w:tc>
        <w:tc>
          <w:tcPr>
            <w:tcW w:w="5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176,104</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Diluted earnings per share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0.28</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0.25</w:t>
            </w:r>
          </w:p>
        </w:tc>
      </w:tr>
      <w:tr>
        <w:trPr>
          <w:trHeight w:val="203"/>
        </w:trPr>
        <w:tc>
          <w:tcPr>
            <w:tcW w:w="1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97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CONDENSED CONSOLIDATED STATEMENTS OF INCOME</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4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480" w:type="dxa"/>
            <w:vAlign w:val="bottom"/>
          </w:tcPr>
          <w:p>
            <w:pPr>
              <w:spacing w:after="0"/>
              <w:rPr>
                <w:sz w:val="17"/>
                <w:szCs w:val="17"/>
                <w:color w:val="auto"/>
              </w:rPr>
            </w:pPr>
          </w:p>
        </w:tc>
        <w:tc>
          <w:tcPr>
            <w:tcW w:w="3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May 2, 1998</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May 3, 1997</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84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$663,830</w:t>
            </w:r>
          </w:p>
        </w:tc>
        <w:tc>
          <w:tcPr>
            <w:tcW w:w="1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$592,876</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64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332,086</w:t>
            </w:r>
          </w:p>
        </w:tc>
        <w:tc>
          <w:tcPr>
            <w:tcW w:w="58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299,165</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64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331,744</w:t>
            </w:r>
          </w:p>
        </w:tc>
        <w:tc>
          <w:tcPr>
            <w:tcW w:w="58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293,711</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111,165</w:t>
            </w:r>
          </w:p>
        </w:tc>
        <w:tc>
          <w:tcPr>
            <w:tcW w:w="5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93,472</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6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112,660</w:t>
            </w:r>
          </w:p>
        </w:tc>
        <w:tc>
          <w:tcPr>
            <w:tcW w:w="5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91,990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 business, net</w:t>
            </w:r>
          </w:p>
        </w:tc>
        <w:tc>
          <w:tcPr>
            <w:tcW w:w="64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(13,100)</w:t>
            </w:r>
          </w:p>
        </w:tc>
        <w:tc>
          <w:tcPr>
            <w:tcW w:w="58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210,725</w:t>
            </w:r>
          </w:p>
        </w:tc>
        <w:tc>
          <w:tcPr>
            <w:tcW w:w="5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185,462</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6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121,019</w:t>
            </w:r>
          </w:p>
        </w:tc>
        <w:tc>
          <w:tcPr>
            <w:tcW w:w="5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108,249</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6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5,532</w:t>
            </w:r>
          </w:p>
        </w:tc>
        <w:tc>
          <w:tcPr>
            <w:tcW w:w="5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6,753</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64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(8,299)</w:t>
            </w:r>
          </w:p>
        </w:tc>
        <w:tc>
          <w:tcPr>
            <w:tcW w:w="58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(7,370)</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1,781</w:t>
            </w:r>
          </w:p>
        </w:tc>
        <w:tc>
          <w:tcPr>
            <w:tcW w:w="5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470</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(986)</w:t>
            </w:r>
          </w:p>
        </w:tc>
        <w:tc>
          <w:tcPr>
            <w:tcW w:w="58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64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122,005</w:t>
            </w:r>
          </w:p>
        </w:tc>
        <w:tc>
          <w:tcPr>
            <w:tcW w:w="58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108,396</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64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29,281</w:t>
            </w:r>
          </w:p>
        </w:tc>
        <w:tc>
          <w:tcPr>
            <w:tcW w:w="58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27,099</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84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$ 92,724</w:t>
            </w:r>
          </w:p>
        </w:tc>
        <w:tc>
          <w:tcPr>
            <w:tcW w:w="1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$ 81,297</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Shares used to compute basic earnings per share</w:t>
            </w:r>
          </w:p>
        </w:tc>
        <w:tc>
          <w:tcPr>
            <w:tcW w:w="64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161,574</w:t>
            </w:r>
          </w:p>
        </w:tc>
        <w:tc>
          <w:tcPr>
            <w:tcW w:w="58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158,615</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0.58</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0.52</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Shares used to compute diluted earnings per share</w:t>
            </w:r>
          </w:p>
        </w:tc>
        <w:tc>
          <w:tcPr>
            <w:tcW w:w="64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178,787</w:t>
            </w:r>
          </w:p>
        </w:tc>
        <w:tc>
          <w:tcPr>
            <w:tcW w:w="58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176,027</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0.54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0.48</w:t>
            </w:r>
          </w:p>
        </w:tc>
      </w:tr>
      <w:tr>
        <w:trPr>
          <w:trHeight w:val="203"/>
        </w:trPr>
        <w:tc>
          <w:tcPr>
            <w:tcW w:w="5480" w:type="dxa"/>
            <w:vAlign w:val="bottom"/>
          </w:tcPr>
          <w:p>
            <w:pPr>
              <w:spacing w:after="0"/>
              <w:rPr>
                <w:sz w:val="17"/>
                <w:szCs w:val="17"/>
                <w:color w:val="auto"/>
              </w:rPr>
            </w:pPr>
          </w:p>
        </w:tc>
        <w:tc>
          <w:tcPr>
            <w:tcW w:w="184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May 2, 1998</w:t>
            </w:r>
          </w:p>
        </w:tc>
        <w:tc>
          <w:tcPr>
            <w:tcW w:w="2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November 1, 1997</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May 3, 1997</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286,105</w:t>
            </w:r>
          </w:p>
        </w:tc>
        <w:tc>
          <w:tcPr>
            <w:tcW w:w="2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289,601</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234,393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33,819</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51,006</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68,198</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242,981</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255,886</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233,327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8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97,554</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66,253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59,243</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141,867</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128,187</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129,092</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27,558</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31,526</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29,444</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266,979</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225,966</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217,779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63,500</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54,761</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54,500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18,473</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18,209</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16,060</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911,857</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895,429</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824,257</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158,598</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145,952</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143,677</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1,022,398</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938,602</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856,606</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63,091</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58,714</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53,230</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95,939</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87,407</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81,599</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1,340,026</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1,230,675</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1,135,112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8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619,059</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569,040</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525,933</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8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720,967</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661,635</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609,179</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191,623</w:t>
            </w:r>
          </w:p>
        </w:tc>
        <w:tc>
          <w:tcPr>
            <w:tcW w:w="2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131,468</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122,343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17,227</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14,768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15,817</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57,875</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60,553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31,838</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266,725</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206,789</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169,998</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$1,899,549</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$1,763,853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$1,603,434</w:t>
            </w:r>
          </w:p>
        </w:tc>
      </w:tr>
      <w:tr>
        <w:trPr>
          <w:trHeight w:val="203"/>
        </w:trPr>
        <w:tc>
          <w:tcPr>
            <w:tcW w:w="454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May 2, 1998</w:t>
            </w:r>
          </w:p>
        </w:tc>
        <w:tc>
          <w:tcPr>
            <w:tcW w:w="2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November 1, 1997</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May 3, 1997</w:t>
            </w:r>
          </w:p>
        </w:tc>
      </w:tr>
      <w:tr>
        <w:trPr>
          <w:trHeight w:val="203"/>
        </w:trPr>
        <w:tc>
          <w:tcPr>
            <w:tcW w:w="4220" w:type="dxa"/>
            <w:vAlign w:val="bottom"/>
          </w:tcPr>
          <w:p>
            <w:pPr>
              <w:spacing w:after="0"/>
              <w:rPr>
                <w:sz w:val="17"/>
                <w:szCs w:val="17"/>
                <w:color w:val="auto"/>
              </w:rPr>
            </w:pPr>
          </w:p>
        </w:tc>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11,954</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11,733</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11,651</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95,811</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97,654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84,566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47,788</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37,013</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36,311</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64,335</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52,550</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56,586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84,268</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75,444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71,595</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304,488</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274,394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263,181</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52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309,989</w:t>
            </w:r>
          </w:p>
        </w:tc>
        <w:tc>
          <w:tcPr>
            <w:tcW w:w="520" w:type="dxa"/>
            <w:vAlign w:val="bottom"/>
          </w:tcPr>
          <w:p>
            <w:pPr>
              <w:spacing w:after="0"/>
              <w:rPr>
                <w:sz w:val="24"/>
                <w:szCs w:val="24"/>
                <w:color w:val="auto"/>
              </w:rPr>
            </w:pPr>
          </w:p>
        </w:tc>
        <w:tc>
          <w:tcPr>
            <w:tcW w:w="1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310,000</w:t>
            </w:r>
          </w:p>
        </w:tc>
        <w:tc>
          <w:tcPr>
            <w:tcW w:w="4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310,000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32,863</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38,852</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44,627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24,000</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20,740</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36,716</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31,737</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17,024</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403,568</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401,329</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391,651</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$.16 2/3 par value,</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600,000,000 shares authorized,</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163,578,201 shares issued</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(161,941,094 in November 1997,</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160,285,212 in May 1997)</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27,264</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26,991</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26,715</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233,297</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223,885</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182,678</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924,308</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831,584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734,663</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7,195</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6,724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5,199</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1,192,064</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1,089,184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949,255</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24,682 shares in treasury,</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cost (35,094 in November 1997</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26,464 in May 1997)</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571</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1,054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653</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1,191,493</w:t>
            </w:r>
          </w:p>
        </w:tc>
        <w:tc>
          <w:tcPr>
            <w:tcW w:w="5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1,088,130</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948,602</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$1,899,549</w:t>
            </w: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$1,763,853</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$1,603,434</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60" w:type="dxa"/>
            <w:vAlign w:val="bottom"/>
            <w:gridSpan w:val="3"/>
          </w:tcPr>
          <w:p>
            <w:pPr>
              <w:jc w:val="right"/>
              <w:ind w:right="77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6180" w:type="dxa"/>
            <w:vAlign w:val="bottom"/>
          </w:tcPr>
          <w:p>
            <w:pPr>
              <w:spacing w:after="0"/>
              <w:rPr>
                <w:sz w:val="17"/>
                <w:szCs w:val="17"/>
                <w:color w:val="auto"/>
              </w:rPr>
            </w:pPr>
          </w:p>
        </w:tc>
        <w:tc>
          <w:tcPr>
            <w:tcW w:w="3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May 2, 1998</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May 3, 1997</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18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92,724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81,297</w:t>
            </w: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8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61,002</w:t>
            </w:r>
          </w:p>
        </w:tc>
        <w:tc>
          <w:tcPr>
            <w:tcW w:w="5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48,564</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8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3,253</w:t>
            </w:r>
          </w:p>
        </w:tc>
        <w:tc>
          <w:tcPr>
            <w:tcW w:w="5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2,985</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 (income)</w:t>
            </w:r>
          </w:p>
        </w:tc>
        <w:tc>
          <w:tcPr>
            <w:tcW w:w="8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838</w:t>
            </w:r>
          </w:p>
        </w:tc>
        <w:tc>
          <w:tcPr>
            <w:tcW w:w="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8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(3,319)</w:t>
            </w:r>
          </w:p>
        </w:tc>
        <w:tc>
          <w:tcPr>
            <w:tcW w:w="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(6,232)</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8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61,774</w:t>
            </w:r>
          </w:p>
        </w:tc>
        <w:tc>
          <w:tcPr>
            <w:tcW w:w="5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45,201</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8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154,498</w:t>
            </w:r>
          </w:p>
        </w:tc>
        <w:tc>
          <w:tcPr>
            <w:tcW w:w="5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126,498</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8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(119,292)</w:t>
            </w:r>
          </w:p>
        </w:tc>
        <w:tc>
          <w:tcPr>
            <w:tcW w:w="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(73,748)</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8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94,370</w:t>
            </w:r>
          </w:p>
        </w:tc>
        <w:tc>
          <w:tcPr>
            <w:tcW w:w="5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89,810</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8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(77,183)</w:t>
            </w:r>
          </w:p>
        </w:tc>
        <w:tc>
          <w:tcPr>
            <w:tcW w:w="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(68,198)</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8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(54,228)</w:t>
            </w:r>
          </w:p>
        </w:tc>
        <w:tc>
          <w:tcPr>
            <w:tcW w:w="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(53,961)</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8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(6,152)</w:t>
            </w:r>
          </w:p>
        </w:tc>
        <w:tc>
          <w:tcPr>
            <w:tcW w:w="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(5,524)</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8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(162,485)</w:t>
            </w:r>
          </w:p>
        </w:tc>
        <w:tc>
          <w:tcPr>
            <w:tcW w:w="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(111,621)</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8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8,775</w:t>
            </w:r>
          </w:p>
        </w:tc>
        <w:tc>
          <w:tcPr>
            <w:tcW w:w="5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4,791</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8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(5,768)</w:t>
            </w:r>
          </w:p>
        </w:tc>
        <w:tc>
          <w:tcPr>
            <w:tcW w:w="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(5,505)</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equipment financing</w:t>
            </w:r>
          </w:p>
        </w:tc>
        <w:tc>
          <w:tcPr>
            <w:tcW w:w="8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7,123</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increase (decrease) in variable</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rate borrowings</w:t>
            </w:r>
          </w:p>
        </w:tc>
        <w:tc>
          <w:tcPr>
            <w:tcW w:w="8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315</w:t>
            </w:r>
          </w:p>
        </w:tc>
        <w:tc>
          <w:tcPr>
            <w:tcW w:w="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(1,964)</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8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3,322</w:t>
            </w:r>
          </w:p>
        </w:tc>
        <w:tc>
          <w:tcPr>
            <w:tcW w:w="5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4,445</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880" w:type="dxa"/>
            <w:vAlign w:val="bottom"/>
          </w:tcPr>
          <w:p>
            <w:pPr>
              <w:spacing w:after="0"/>
              <w:rPr>
                <w:sz w:val="24"/>
                <w:szCs w:val="24"/>
                <w:color w:val="auto"/>
              </w:rPr>
            </w:pP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1,169</w:t>
            </w:r>
          </w:p>
        </w:tc>
        <w:tc>
          <w:tcPr>
            <w:tcW w:w="5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4,962</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Net (decrease) increase in cash and cash equivalents</w:t>
            </w:r>
          </w:p>
        </w:tc>
        <w:tc>
          <w:tcPr>
            <w:tcW w:w="88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(3,496)</w:t>
            </w:r>
          </w:p>
        </w:tc>
        <w:tc>
          <w:tcPr>
            <w:tcW w:w="5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24,284</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8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289,601</w:t>
            </w:r>
          </w:p>
        </w:tc>
        <w:tc>
          <w:tcPr>
            <w:tcW w:w="5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210,109</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$ 286,105</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$ 234,393</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INFORMATION</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18,962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21,640</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7,830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8,114</w:t>
            </w:r>
          </w:p>
        </w:tc>
      </w:tr>
      <w:tr>
        <w:trPr>
          <w:trHeight w:val="203"/>
        </w:trPr>
        <w:tc>
          <w:tcPr>
            <w:tcW w:w="6180" w:type="dxa"/>
            <w:vAlign w:val="bottom"/>
          </w:tcPr>
          <w:p>
            <w:pPr>
              <w:spacing w:after="0"/>
              <w:rPr>
                <w:sz w:val="17"/>
                <w:szCs w:val="17"/>
                <w:color w:val="auto"/>
              </w:rPr>
            </w:pPr>
          </w:p>
        </w:tc>
        <w:tc>
          <w:tcPr>
            <w:tcW w:w="22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59"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5"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Notes to Condensed Consolidated Financial Statements May 2, 1998</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which are necessary to fairly state the results for this interim period and should be read in conjunction with the most recent Annual Report to Stockholders.</w:t>
      </w:r>
    </w:p>
    <w:p>
      <w:pPr>
        <w:spacing w:after="0" w:line="200" w:lineRule="exact"/>
        <w:rPr>
          <w:sz w:val="20"/>
          <w:szCs w:val="20"/>
          <w:color w:val="auto"/>
        </w:rPr>
      </w:pP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1998 presentation.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Investments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quarter of fiscal 1998 the Company made the final payment of $56 million in connection with its joint venture with Taiwan Semiconductor Manufacturing Company ("TSMC") and other investors for the construction and operation of a semiconductor fabrication facility in Camas, Washington ("WaferTech"). The Company has invested $140 million in WaferTech and has an 18% equity ownership in the joint venture.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Gain on Sale of Business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second quarter of fiscal 1998, the Company completed the sale of its disk drive IC business to Adaptec, Inc. This disposal is in line with the Company's strategic decision to concentrate on other areas of its business, specifically analog ICs and DSP products. The Company received approximately $27 million in cash for the disk drive product line and after providing for the write-off of inventory, fixed assets and other costs incurred to complete the transaction, recorded a net gain of approximately $13 million. The Company has entered into other arrangements with Adaptec that provide for payments to the Company aggregating $13 million for assisting Adaptec in future research and development efforts and up to $20 million in royalties based on sales by Adaptec of products incorporating the acquired ADI technology.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Earnings Per Share</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February 1997, the Financial Accounting Standards Board issued Statement No. 128, "Earnings per Share", which the Company adopted in the first quarter of fiscal 1998. The Company changed the method used to compute earnings per share and will restate all prior periods. Under the new requirements, primary and fully diluted earnings per share were replaced by basic and diluted earnings per share. Basic earnings per share is computed based only on the weighted average number of common shares outstanding during the period and the dilutive effect of future issues of common stock relating to stock option programs and convertible debt financing is excluded. Diluted earnings per share is computed essentially in the same manner as fully diluted earnings per share with some exceptions. The primary exception affecting the Company's calculation of diluted EPS is that the dilutive effect of stock options is always based on the average market price of the stock during the period, not the higher of the average and period end market price which was required under APB 15. The following table sets forth the computation of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 (Continued)</w:t>
      </w:r>
    </w:p>
    <w:p>
      <w:pPr>
        <w:spacing w:after="0"/>
        <w:rPr>
          <w:sz w:val="20"/>
          <w:szCs w:val="20"/>
          <w:color w:val="auto"/>
        </w:rPr>
      </w:pPr>
      <w:r>
        <w:rPr>
          <w:rFonts w:ascii="Courier New" w:cs="Courier New" w:eastAsia="Courier New" w:hAnsi="Courier New"/>
          <w:sz w:val="18"/>
          <w:szCs w:val="18"/>
          <w:color w:val="auto"/>
        </w:rPr>
        <w:t>May 2, 1998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5740" w:type="dxa"/>
            <w:vAlign w:val="bottom"/>
          </w:tcPr>
          <w:p>
            <w:pPr>
              <w:spacing w:after="0"/>
              <w:rPr>
                <w:sz w:val="17"/>
                <w:szCs w:val="17"/>
                <w:color w:val="auto"/>
              </w:rPr>
            </w:pPr>
          </w:p>
        </w:tc>
        <w:tc>
          <w:tcPr>
            <w:tcW w:w="34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May 2, 1998</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May 3, 1997</w:t>
            </w:r>
          </w:p>
        </w:tc>
      </w:tr>
      <w:tr>
        <w:trPr>
          <w:trHeight w:val="203"/>
        </w:trPr>
        <w:tc>
          <w:tcPr>
            <w:tcW w:w="5740" w:type="dxa"/>
            <w:vAlign w:val="bottom"/>
          </w:tcPr>
          <w:p>
            <w:pPr>
              <w:spacing w:after="0"/>
              <w:rPr>
                <w:sz w:val="17"/>
                <w:szCs w:val="17"/>
                <w:color w:val="auto"/>
              </w:rPr>
            </w:pPr>
          </w:p>
        </w:tc>
        <w:tc>
          <w:tcPr>
            <w:tcW w:w="2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1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$ 48,440</w:t>
            </w: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$ 42,117</w:t>
            </w:r>
          </w:p>
        </w:tc>
      </w:tr>
      <w:tr>
        <w:trPr>
          <w:trHeight w:val="203"/>
        </w:trPr>
        <w:tc>
          <w:tcPr>
            <w:tcW w:w="5740" w:type="dxa"/>
            <w:vAlign w:val="bottom"/>
          </w:tcPr>
          <w:p>
            <w:pPr>
              <w:spacing w:after="0"/>
              <w:rPr>
                <w:sz w:val="17"/>
                <w:szCs w:val="17"/>
                <w:color w:val="auto"/>
              </w:rPr>
            </w:pPr>
          </w:p>
        </w:tc>
        <w:tc>
          <w:tcPr>
            <w:tcW w:w="2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11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162,124</w:t>
            </w:r>
          </w:p>
        </w:tc>
        <w:tc>
          <w:tcPr>
            <w:tcW w:w="48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158,714</w:t>
            </w:r>
          </w:p>
        </w:tc>
      </w:tr>
      <w:tr>
        <w:trPr>
          <w:trHeight w:val="203"/>
        </w:trPr>
        <w:tc>
          <w:tcPr>
            <w:tcW w:w="5740" w:type="dxa"/>
            <w:vAlign w:val="bottom"/>
          </w:tcPr>
          <w:p>
            <w:pPr>
              <w:spacing w:after="0"/>
              <w:rPr>
                <w:sz w:val="17"/>
                <w:szCs w:val="17"/>
                <w:color w:val="auto"/>
              </w:rPr>
            </w:pPr>
          </w:p>
        </w:tc>
        <w:tc>
          <w:tcPr>
            <w:tcW w:w="2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0.30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0.27</w:t>
            </w:r>
          </w:p>
        </w:tc>
      </w:tr>
      <w:tr>
        <w:trPr>
          <w:trHeight w:val="203"/>
        </w:trPr>
        <w:tc>
          <w:tcPr>
            <w:tcW w:w="5740" w:type="dxa"/>
            <w:vAlign w:val="bottom"/>
          </w:tcPr>
          <w:p>
            <w:pPr>
              <w:spacing w:after="0"/>
              <w:rPr>
                <w:sz w:val="17"/>
                <w:szCs w:val="17"/>
                <w:color w:val="auto"/>
              </w:rPr>
            </w:pPr>
          </w:p>
        </w:tc>
        <w:tc>
          <w:tcPr>
            <w:tcW w:w="2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1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$ 48,440</w:t>
            </w: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$ 42,117</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11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1,453</w:t>
            </w:r>
          </w:p>
        </w:tc>
        <w:tc>
          <w:tcPr>
            <w:tcW w:w="4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1,425</w:t>
            </w:r>
          </w:p>
        </w:tc>
      </w:tr>
      <w:tr>
        <w:trPr>
          <w:trHeight w:val="203"/>
        </w:trPr>
        <w:tc>
          <w:tcPr>
            <w:tcW w:w="5740" w:type="dxa"/>
            <w:vAlign w:val="bottom"/>
          </w:tcPr>
          <w:p>
            <w:pPr>
              <w:spacing w:after="0"/>
              <w:rPr>
                <w:sz w:val="17"/>
                <w:szCs w:val="17"/>
                <w:color w:val="auto"/>
              </w:rPr>
            </w:pPr>
          </w:p>
        </w:tc>
        <w:tc>
          <w:tcPr>
            <w:tcW w:w="2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21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$ 49,893</w:t>
            </w: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$ 43,542</w:t>
            </w:r>
          </w:p>
        </w:tc>
      </w:tr>
      <w:tr>
        <w:trPr>
          <w:trHeight w:val="203"/>
        </w:trPr>
        <w:tc>
          <w:tcPr>
            <w:tcW w:w="5740" w:type="dxa"/>
            <w:vAlign w:val="bottom"/>
          </w:tcPr>
          <w:p>
            <w:pPr>
              <w:spacing w:after="0"/>
              <w:rPr>
                <w:sz w:val="17"/>
                <w:szCs w:val="17"/>
                <w:color w:val="auto"/>
              </w:rPr>
            </w:pPr>
          </w:p>
        </w:tc>
        <w:tc>
          <w:tcPr>
            <w:tcW w:w="2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11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162,124</w:t>
            </w:r>
          </w:p>
        </w:tc>
        <w:tc>
          <w:tcPr>
            <w:tcW w:w="48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158,714</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common stock equivalents</w:t>
            </w:r>
          </w:p>
        </w:tc>
        <w:tc>
          <w:tcPr>
            <w:tcW w:w="11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6,319</w:t>
            </w:r>
          </w:p>
        </w:tc>
        <w:tc>
          <w:tcPr>
            <w:tcW w:w="4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6,405</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11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10,984</w:t>
            </w:r>
          </w:p>
        </w:tc>
        <w:tc>
          <w:tcPr>
            <w:tcW w:w="4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10,985</w:t>
            </w:r>
          </w:p>
        </w:tc>
      </w:tr>
      <w:tr>
        <w:trPr>
          <w:trHeight w:val="203"/>
        </w:trPr>
        <w:tc>
          <w:tcPr>
            <w:tcW w:w="5740" w:type="dxa"/>
            <w:vAlign w:val="bottom"/>
          </w:tcPr>
          <w:p>
            <w:pPr>
              <w:spacing w:after="0"/>
              <w:rPr>
                <w:sz w:val="17"/>
                <w:szCs w:val="17"/>
                <w:color w:val="auto"/>
              </w:rPr>
            </w:pPr>
          </w:p>
        </w:tc>
        <w:tc>
          <w:tcPr>
            <w:tcW w:w="2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1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179,427</w:t>
            </w:r>
          </w:p>
        </w:tc>
        <w:tc>
          <w:tcPr>
            <w:tcW w:w="4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176,104</w:t>
            </w:r>
          </w:p>
        </w:tc>
      </w:tr>
      <w:tr>
        <w:trPr>
          <w:trHeight w:val="203"/>
        </w:trPr>
        <w:tc>
          <w:tcPr>
            <w:tcW w:w="5740" w:type="dxa"/>
            <w:vAlign w:val="bottom"/>
          </w:tcPr>
          <w:p>
            <w:pPr>
              <w:spacing w:after="0"/>
              <w:rPr>
                <w:sz w:val="17"/>
                <w:szCs w:val="17"/>
                <w:color w:val="auto"/>
              </w:rPr>
            </w:pPr>
          </w:p>
        </w:tc>
        <w:tc>
          <w:tcPr>
            <w:tcW w:w="2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0.28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0.25</w:t>
            </w:r>
          </w:p>
        </w:tc>
      </w:tr>
      <w:tr>
        <w:trPr>
          <w:trHeight w:val="203"/>
        </w:trPr>
        <w:tc>
          <w:tcPr>
            <w:tcW w:w="5740" w:type="dxa"/>
            <w:vAlign w:val="bottom"/>
          </w:tcPr>
          <w:p>
            <w:pPr>
              <w:spacing w:after="0"/>
              <w:rPr>
                <w:sz w:val="17"/>
                <w:szCs w:val="17"/>
                <w:color w:val="auto"/>
              </w:rPr>
            </w:pPr>
          </w:p>
        </w:tc>
        <w:tc>
          <w:tcPr>
            <w:tcW w:w="2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Six Months</w:t>
            </w: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5740" w:type="dxa"/>
            <w:vAlign w:val="bottom"/>
          </w:tcPr>
          <w:p>
            <w:pPr>
              <w:spacing w:after="0"/>
              <w:rPr>
                <w:sz w:val="17"/>
                <w:szCs w:val="17"/>
                <w:color w:val="auto"/>
              </w:rPr>
            </w:pPr>
          </w:p>
        </w:tc>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May 2, 1998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May 3, 1997</w:t>
            </w:r>
          </w:p>
        </w:tc>
      </w:tr>
      <w:tr>
        <w:trPr>
          <w:trHeight w:val="203"/>
        </w:trPr>
        <w:tc>
          <w:tcPr>
            <w:tcW w:w="5740" w:type="dxa"/>
            <w:vAlign w:val="bottom"/>
          </w:tcPr>
          <w:p>
            <w:pPr>
              <w:spacing w:after="0"/>
              <w:rPr>
                <w:sz w:val="17"/>
                <w:szCs w:val="17"/>
                <w:color w:val="auto"/>
              </w:rPr>
            </w:pPr>
          </w:p>
        </w:tc>
        <w:tc>
          <w:tcPr>
            <w:tcW w:w="2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57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3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$ 92,724</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$ 81,297</w:t>
            </w:r>
          </w:p>
        </w:tc>
      </w:tr>
      <w:tr>
        <w:trPr>
          <w:trHeight w:val="203"/>
        </w:trPr>
        <w:tc>
          <w:tcPr>
            <w:tcW w:w="5740" w:type="dxa"/>
            <w:vAlign w:val="bottom"/>
          </w:tcPr>
          <w:p>
            <w:pPr>
              <w:spacing w:after="0"/>
              <w:rPr>
                <w:sz w:val="17"/>
                <w:szCs w:val="17"/>
                <w:color w:val="auto"/>
              </w:rPr>
            </w:pPr>
          </w:p>
        </w:tc>
        <w:tc>
          <w:tcPr>
            <w:tcW w:w="2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23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161,574</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158,615</w:t>
            </w:r>
          </w:p>
        </w:tc>
      </w:tr>
      <w:tr>
        <w:trPr>
          <w:trHeight w:val="203"/>
        </w:trPr>
        <w:tc>
          <w:tcPr>
            <w:tcW w:w="5740" w:type="dxa"/>
            <w:vAlign w:val="bottom"/>
          </w:tcPr>
          <w:p>
            <w:pPr>
              <w:spacing w:after="0"/>
              <w:rPr>
                <w:sz w:val="17"/>
                <w:szCs w:val="17"/>
                <w:color w:val="auto"/>
              </w:rPr>
            </w:pPr>
          </w:p>
        </w:tc>
        <w:tc>
          <w:tcPr>
            <w:tcW w:w="2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23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0.58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0.52</w:t>
            </w:r>
          </w:p>
        </w:tc>
      </w:tr>
      <w:tr>
        <w:trPr>
          <w:trHeight w:val="203"/>
        </w:trPr>
        <w:tc>
          <w:tcPr>
            <w:tcW w:w="5740" w:type="dxa"/>
            <w:vAlign w:val="bottom"/>
          </w:tcPr>
          <w:p>
            <w:pPr>
              <w:spacing w:after="0"/>
              <w:rPr>
                <w:sz w:val="17"/>
                <w:szCs w:val="17"/>
                <w:color w:val="auto"/>
              </w:rPr>
            </w:pPr>
          </w:p>
        </w:tc>
        <w:tc>
          <w:tcPr>
            <w:tcW w:w="2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3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$ 92,724</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$ 81,297</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2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2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2,864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2,850</w:t>
            </w:r>
          </w:p>
        </w:tc>
      </w:tr>
      <w:tr>
        <w:trPr>
          <w:trHeight w:val="203"/>
        </w:trPr>
        <w:tc>
          <w:tcPr>
            <w:tcW w:w="5740" w:type="dxa"/>
            <w:vAlign w:val="bottom"/>
          </w:tcPr>
          <w:p>
            <w:pPr>
              <w:spacing w:after="0"/>
              <w:rPr>
                <w:sz w:val="17"/>
                <w:szCs w:val="17"/>
                <w:color w:val="auto"/>
              </w:rPr>
            </w:pPr>
          </w:p>
        </w:tc>
        <w:tc>
          <w:tcPr>
            <w:tcW w:w="2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23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$ 95,588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$ 84,147</w:t>
            </w:r>
          </w:p>
        </w:tc>
      </w:tr>
      <w:tr>
        <w:trPr>
          <w:trHeight w:val="203"/>
        </w:trPr>
        <w:tc>
          <w:tcPr>
            <w:tcW w:w="5740" w:type="dxa"/>
            <w:vAlign w:val="bottom"/>
          </w:tcPr>
          <w:p>
            <w:pPr>
              <w:spacing w:after="0"/>
              <w:rPr>
                <w:sz w:val="17"/>
                <w:szCs w:val="17"/>
                <w:color w:val="auto"/>
              </w:rPr>
            </w:pPr>
          </w:p>
        </w:tc>
        <w:tc>
          <w:tcPr>
            <w:tcW w:w="2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ind w:left="320"/>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23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161,574</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158,615</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common stock equivalents</w:t>
            </w:r>
          </w:p>
        </w:tc>
        <w:tc>
          <w:tcPr>
            <w:tcW w:w="2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6,229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6,427</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2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10,984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10,985</w:t>
            </w:r>
          </w:p>
        </w:tc>
      </w:tr>
      <w:tr>
        <w:trPr>
          <w:trHeight w:val="203"/>
        </w:trPr>
        <w:tc>
          <w:tcPr>
            <w:tcW w:w="5740" w:type="dxa"/>
            <w:vAlign w:val="bottom"/>
          </w:tcPr>
          <w:p>
            <w:pPr>
              <w:spacing w:after="0"/>
              <w:rPr>
                <w:sz w:val="17"/>
                <w:szCs w:val="17"/>
                <w:color w:val="auto"/>
              </w:rPr>
            </w:pPr>
          </w:p>
        </w:tc>
        <w:tc>
          <w:tcPr>
            <w:tcW w:w="2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2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178,787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176,027</w:t>
            </w:r>
          </w:p>
        </w:tc>
      </w:tr>
      <w:tr>
        <w:trPr>
          <w:trHeight w:val="203"/>
        </w:trPr>
        <w:tc>
          <w:tcPr>
            <w:tcW w:w="5740" w:type="dxa"/>
            <w:vAlign w:val="bottom"/>
          </w:tcPr>
          <w:p>
            <w:pPr>
              <w:spacing w:after="0"/>
              <w:rPr>
                <w:sz w:val="17"/>
                <w:szCs w:val="17"/>
                <w:color w:val="auto"/>
              </w:rPr>
            </w:pPr>
          </w:p>
        </w:tc>
        <w:tc>
          <w:tcPr>
            <w:tcW w:w="2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DILUTED EARNINGS PER SHARE</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0.54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0.48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020" w:space="720"/>
            <w:col w:w="860" w:space="620"/>
            <w:col w:w="199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4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information should be read in connection with the unaudited consolidated condensed financial statements and the notes thereto included in Item 1 of this Quarterly Report and the audited consolidated financial statements and notes thereto and Management's Analysis for the fiscal year ended November 1, 1997, contained in the Annual Report on Form 10-K.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and analysis may contain forward-looking statements. Such statements are subject to certain risks and uncertainties, including those discussed below or in the Company's Form 10-K for the fiscal year ended November 1, 1997, that could cause actual results to differ materially from the Company's expectations. Readers are cautioned not to place undue reliance on any forward-looking statements, as they reflect management's analysis only as of the date hereof. The Company undertakes no obligation to release the results of any revision to these forward-looking statements which may be made to reflect events or circumstances after the date hereof or to reflect the occurrence of unanticipated events.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sales for the second quarter of fiscal 1998 were $333 million, an increase of 11% from the $301 million reported for the second quarter of fiscal 1997. Net sales for the first two quarters of fiscal 1998 were $664 million, an increase of 12% from the $593 million reported for the comparable period of fiscal 1997. Excluding revenue from the disk drive IC business, which was sold during the second quarter of fiscal 1998, revenue increased 16% as compared to the second quarter of fiscal 1997 and 18% as compared to first half of fiscal 1997. For both the second quarter of fiscal 1998 and the six months ended May 2, 1998 the growth is due to higher sales volumes of standard linear IC products which more than offset a decline in demand for GSM (Global Systems for Mobile communications) chipsets. Consistent with the current market environment for the semiconductor industry, the Company has experienced diminished backlog and a softening of demand for its products, which has resulted in increased levels of inventory and more dependence on orders that are received and shipped in the same quarter.</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gross margin for the second quarter of fiscal 1998 was 49.1%, compared to 50.0% for the second quarter of fiscal 1997. The gross margin was 50.0% for the first half of fiscal 1998 compared to 49.5% for the first half of fiscal 1997. Overall, gross margin in fiscal 1998 benefited from a sales mix shift in favor of higher margin products. The margin in the second quarter of fiscal 1998 was adversely affected by additional inventory reserves of $8 million associated with older GSM chipsets.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Research and development expenses were 16.9% and 16.7% of sales for the three months and six months ended May 2, 1998, compared to 15.9% and 15.8% of sales for the corresponding periods of fiscal 1997. These increases were partly due to an increase in customer funded initiatives and to the continued development of innovative SLIC products and processes and higher spending for the development of new products utilizing the Company's high-speed linear and digital signal processing technologies. The Company believes that a continued commitment to research and development is essential in order to maintain product leadership with its existing products and to provide innovative new product offerings, and therefore, expects to continue to make significant investments in research and development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marketing, general &amp; administrative ("SMG&amp;A") expenses for the second quarter of fiscal 1998 were $57 million an increase of $10 million from the $47 million reported for second quarter of fiscal 1997. SMG&amp;A expense for the six months ended May 2, 1998 were $113 million and increase of $21 million from the $92 million for the six months ended May 3, 1997. These increases are primarily attributable to a charge of $6 million recorded in the second quarter related to the consolidation and realignment of the Company's North American third-party distribution channel and initiatives to streamline the Company's cost structure. In addition, the first quarter of fiscal 1998 included an $8 million charge related to bad debt reserves.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second quarter of fiscal 1998, the Company completed the sale of its disk drive IC business to Adaptec, Inc. This disposal is in line with the Company's strategic decision to concentrate on other areas of its business, specifically analog ICs and DSP products. The Company received approximately $27 million in cash for the disk drive product line and after providing for the write-off of inventory, fixed assets and other costs incurred to complete the transaction, recorded a net gain of approximately $13 million. The Company has entered into other arrangements with Adaptec that provide for payments to the Company aggregating $13 million for assisting Adaptec in future research and development efforts and up to $20 million in royalties based on sales by Adaptec of products incorporating the acquired ADI technology.</w:t>
      </w:r>
    </w:p>
    <w:p>
      <w:pPr>
        <w:spacing w:after="0" w:line="216"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The effective income tax rate decreased to 24% for the second quarter and the first six month period of fiscal 1998 from 25% for the second quarter and first six month period of fiscal 1997 due to a shift in the mix of worldwide profits.</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income for the second quarter of fiscal 1998 of $48 million increased 15% compared to the second quarter of fiscal 1997. Net income for the first half of fiscal 1998 of $93 million increased 14% compared to the first half of fiscal 1997. Diluted earnings per share were $0.28 and $0.54 for the three months and six months ended May 2, 1998, compared to $0.25 and $0.48 for the comparable periods of fiscal 1997 an increase of 12% and 12.5%, respectively.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May 2, 1998, cash, cash equivalents and short-term investments totaled $320 million. The Company's primary source of funds for the first six months of fiscal 1998 was $154 million of cash provided by operations. The principal uses of funds in the first six months of fiscal 1998 were a $56 million payment made in connection with the Company's joint venture agreement and the purchase of $119 million of property, plant and equipment.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receivable totaled $243 million at the end of the second quarter of fiscal 1998, a decrease of $3 million from the first quarter of fiscal 1998, and $13 million from the fourth quarter of fiscal 1997 and an increase of $10 million from the second quarter of fiscal 1997. The number of days sales outstanding has consistently decreased to 66 days for the second quarter of fiscal 1998, compared to 68, 70 and 71 for the first quarter of fiscal 1998, the fourth quarter of fiscal 1997 and the second quarter of fiscal 1997, respectively.</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Inventories of $267 million at May 2, 1998 rose $41 million compared to the fourth quarter of fiscal 1997 and were $49 million above the second quarter of fiscal 1997. Inventory as a percentage of annualized quarterly sales increased to 20% at May 2, 1998 compared to 17% for the fourth quarter of fiscal 1997 and 18% for the second quarter of fiscal 1997. The increase in inventory levels was a result of the increase in manufacturing capacity over the past year, combined with the current slowdown in demand. The current inventory levels will allow the Company to respond to the expected resumption in demand.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additions to property, plant and equipment of $57 million for the second quarter of fiscal 1998 were funded with cash generated from operations. Capital expenditures related to the Company's continued upgrade and expansion of its existing manufacturing facilities worldwide.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Company currently plans to spend approximately $175 million on capital expenditures during fiscal 1998, primarily in connection with the continued expansion of its manufacturing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May 2, 1998, the Company's principal sources of liquidity were $320 million</w:t>
      </w:r>
    </w:p>
    <w:p>
      <w:pPr>
        <w:spacing w:after="0" w:line="238" w:lineRule="auto"/>
        <w:rPr>
          <w:sz w:val="20"/>
          <w:szCs w:val="20"/>
          <w:color w:val="auto"/>
        </w:rPr>
      </w:pPr>
      <w:r>
        <w:rPr>
          <w:rFonts w:ascii="Courier New" w:cs="Courier New" w:eastAsia="Courier New" w:hAnsi="Courier New"/>
          <w:sz w:val="18"/>
          <w:szCs w:val="18"/>
          <w:color w:val="auto"/>
        </w:rPr>
        <w:t>of cash and cash equivalents and short-term investments. In addition, the</w:t>
      </w:r>
    </w:p>
    <w:p>
      <w:pPr>
        <w:spacing w:after="0"/>
        <w:rPr>
          <w:sz w:val="20"/>
          <w:szCs w:val="20"/>
          <w:color w:val="auto"/>
        </w:rPr>
      </w:pPr>
      <w:r>
        <w:rPr>
          <w:rFonts w:ascii="Courier New" w:cs="Courier New" w:eastAsia="Courier New" w:hAnsi="Courier New"/>
          <w:sz w:val="18"/>
          <w:szCs w:val="18"/>
          <w:color w:val="auto"/>
        </w:rPr>
        <w:t>Company has various lines of credit both in the U.S. and overseas, including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 million credit facility in the U.S. which expires in 2000, all of which were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substantially unused at May 2, 1998. At May 2, 1998, the Company's</w:t>
      </w:r>
    </w:p>
    <w:p>
      <w:pPr>
        <w:spacing w:after="0" w:line="238" w:lineRule="auto"/>
        <w:rPr>
          <w:sz w:val="20"/>
          <w:szCs w:val="20"/>
          <w:color w:val="auto"/>
        </w:rPr>
      </w:pPr>
      <w:r>
        <w:rPr>
          <w:rFonts w:ascii="Courier New" w:cs="Courier New" w:eastAsia="Courier New" w:hAnsi="Courier New"/>
          <w:sz w:val="18"/>
          <w:szCs w:val="18"/>
          <w:color w:val="auto"/>
        </w:rPr>
        <w:t>debt-to-equity ratio was 30%.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Which May Affect Future Results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This can cause customer and distributor inventory levels to fluctuate and can disrupt the order patterns from both customers and distributors. The Company is exposed to the risk of obsolescence of its inventory depending on the mix of future business. As a result of these and other factors, there can be no assurance that the Company will not experience material fluctuations in future operating results on a quarterly or annual basis.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currently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has substantially increased its manufacturing capacity through both expansion of its production facilities and increased access to third-party foundries; there can be no assurance that the Company will not encounter unanticipated production problems at either its own facilities or at third-party foundries; or if the demand were to increase significantly that the increased capacity would be sufficient to satisfy demand for its products. The Company relies, and plans to continue to rely, on assembly and test subcontractors and on third-party wafer fabricators to supply most of its wafers that can be manufactured using industry-standard digital processes, and such reliance involves several risks, including reduced control over delivery schedules, 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 including the potential adverse impact in operating results for "take or pay" covenants in certain of its supply agreements. While the Company tries to ensure that its manufacturing capacity and demand for its products are in relative balance, no assurance can be given that from time to time an imbalance between the Company's manufacturing capacity and the demand for its products would not occur. Any such imbalance could adversely affect the Company's consolidated results of operations.</w:t>
      </w:r>
    </w:p>
    <w:p>
      <w:pPr>
        <w:spacing w:after="0" w:line="39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the first six months of fiscal 1998, 51% of the Company's revenues were derived from customers in international markets. The Company has manufacturing facilities outside the U.S., in Ireland, the Philippines and Taiwan. The Company also has supply agreements that include "take or pay" covenants with suppliers located in Southeast Asia ("SEA") and as part of these arrangements, the Company has $26 million on deposit with two of these suppliers. The Company also has a $21 million investment with one of these suppliers. In addition, the Company's major partner in its joint venture, WaferTech, is TSMC which is located in the SEA region. The Company is therefore subject to the economic and political risks inherent in international operations, including risks associated with the ongoing uncertainties in the economies in SEA.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the Company's Annual Report on form 10-K for the fiscal year ended November 1, 1997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has installed Year 2000 compliant software in many of its major systems. A task force is engaged in the ongoing effort to complete this activity for the balance of the Company's systems. The cost of these efforts is not expected to be material. The Company presently believes that the Year 2000 issue will not pose significant operational problems. However, Year 2000 issues could have a significant impact on the Company's operations and its financial results if modifications cannot be completed on a timely basis; unforeseen needs or problems arise; or, if the systems operated by the Company's customers, vendors or subcontractors are not Year 2000 compliant.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ind w:left="2860"/>
        <w:spacing w:after="0" w:line="238" w:lineRule="auto"/>
        <w:rPr>
          <w:sz w:val="20"/>
          <w:szCs w:val="20"/>
          <w:color w:val="auto"/>
        </w:rPr>
      </w:pPr>
      <w:r>
        <w:rPr>
          <w:rFonts w:ascii="Courier New" w:cs="Courier New" w:eastAsia="Courier New" w:hAnsi="Courier New"/>
          <w:sz w:val="18"/>
          <w:szCs w:val="18"/>
          <w:color w:val="auto"/>
        </w:rPr>
        <w:t>PART II - OTHER INFORMATION</w:t>
      </w: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At the Annual Meeting of Stockholders held on March 10, 1998, the stockholders of the Company elected Messers. Jerald G. Fishman and F. Grant Saviers to serve as Class II Directors for a term of three years by the following votes: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Nominee</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6"/>
              </w:rPr>
              <w:t>Votes for</w:t>
            </w: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Votes Withheld</w:t>
            </w:r>
          </w:p>
        </w:tc>
        <w:tc>
          <w:tcPr>
            <w:tcW w:w="2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Broker Non Votes</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Jerald G. Fishman</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7"/>
              </w:rPr>
              <w:t>136,971,458</w:t>
            </w:r>
          </w:p>
        </w:tc>
        <w:tc>
          <w:tcPr>
            <w:tcW w:w="220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824,118</w:t>
            </w:r>
          </w:p>
        </w:tc>
        <w:tc>
          <w:tcPr>
            <w:tcW w:w="21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 Grant Saviers</w:t>
            </w:r>
          </w:p>
        </w:tc>
        <w:tc>
          <w:tcPr>
            <w:tcW w:w="1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136,890,786</w:t>
            </w:r>
          </w:p>
        </w:tc>
        <w:tc>
          <w:tcPr>
            <w:tcW w:w="220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904,790</w:t>
            </w:r>
          </w:p>
        </w:tc>
        <w:tc>
          <w:tcPr>
            <w:tcW w:w="2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terms of office of Messrs. John L. Doyle, Samuel H. Fuller, Charles O. Holliday, Jr., Joel Moses, Lester C. Thurow and Ray Stata continued after the meeting.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the same meeting, the stockholders approved the adoption of the 1998 Stock Option Plan, which replaces the Company's 1988 Stock Option Plan, and allows for the grant of up to 15 million shares of Common Stock (subject to adjustment in the event of stock splits, stock dividends and other similar events), by a vote of 78,460,614 in favor, 43,560,284 opposed and 354,859 abstaining. There were 15,419,819 broker non-votes on the proposal.</w:t>
      </w:r>
    </w:p>
    <w:p>
      <w:pPr>
        <w:spacing w:after="0" w:line="210"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At the same meeting, the stockholders approved amendments to the Company's 1994 Director Option Plan, by a vote of 111,907,918 in favor, 9,785,761 opposed and 682,078 abstaining. There were 15,419,819 broker non-votes on the proposal.</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Stockholders also ratified the selection by the Board of Directors of Ernst &amp; Young LLP as the Company's independent auditors for the fiscal year ending October 31, 1998, by a vote of 137,346,956 in favor, 110,002 opposed and 338,618 abstaining.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8-K - Reporting Date - March 19, 1998</w:t>
      </w:r>
    </w:p>
    <w:p>
      <w:pPr>
        <w:spacing w:after="0" w:line="206" w:lineRule="exact"/>
        <w:rPr>
          <w:rFonts w:ascii="Courier New" w:cs="Courier New" w:eastAsia="Courier New" w:hAnsi="Courier New"/>
          <w:sz w:val="18"/>
          <w:szCs w:val="18"/>
          <w:color w:val="auto"/>
        </w:rPr>
      </w:pPr>
    </w:p>
    <w:p>
      <w:pPr>
        <w:ind w:left="1060"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Item reported - Item 5. Other Events. On March 19, 1998 the Registrant filed information relating to the March 10, 1998 declaration of a dividend, by the Board of Directors of the Company, of one Right for each outstanding share of the Company's Common Stock to stockholders of record at the close of business on March 23, 1998.</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Analog Devices, Inc.</w:t>
      </w:r>
    </w:p>
    <w:p>
      <w:pPr>
        <w:ind w:left="50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15,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Jerald G. Fishman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Jerald G. Fishman</w:t>
      </w:r>
    </w:p>
    <w:p>
      <w:pPr>
        <w:ind w:left="420"/>
        <w:spacing w:after="0" w:line="238" w:lineRule="auto"/>
        <w:rPr>
          <w:sz w:val="20"/>
          <w:szCs w:val="20"/>
          <w:color w:val="auto"/>
        </w:rPr>
      </w:pPr>
      <w:r>
        <w:rPr>
          <w:rFonts w:ascii="Courier New" w:cs="Courier New" w:eastAsia="Courier New" w:hAnsi="Courier New"/>
          <w:sz w:val="18"/>
          <w:szCs w:val="18"/>
          <w:color w:val="auto"/>
        </w:rPr>
        <w:t>President and</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15, 1998</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E. McDonough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E. McDonough</w:t>
      </w:r>
    </w:p>
    <w:p>
      <w:pPr>
        <w:ind w:left="420"/>
        <w:spacing w:after="0" w:line="238" w:lineRule="auto"/>
        <w:rPr>
          <w:sz w:val="20"/>
          <w:szCs w:val="20"/>
          <w:color w:val="auto"/>
        </w:rPr>
      </w:pPr>
      <w:r>
        <w:rPr>
          <w:rFonts w:ascii="Courier New" w:cs="Courier New" w:eastAsia="Courier New" w:hAnsi="Courier New"/>
          <w:sz w:val="18"/>
          <w:szCs w:val="18"/>
          <w:color w:val="auto"/>
        </w:rPr>
        <w:t>Vice President-Finance</w:t>
      </w:r>
    </w:p>
    <w:p>
      <w:pPr>
        <w:ind w:left="420"/>
        <w:spacing w:after="0"/>
        <w:rPr>
          <w:sz w:val="20"/>
          <w:szCs w:val="20"/>
          <w:color w:val="auto"/>
        </w:rPr>
      </w:pPr>
      <w:r>
        <w:rPr>
          <w:rFonts w:ascii="Courier New" w:cs="Courier New" w:eastAsia="Courier New" w:hAnsi="Courier New"/>
          <w:sz w:val="18"/>
          <w:szCs w:val="18"/>
          <w:color w:val="auto"/>
        </w:rPr>
        <w:t>and Chief Financial Officer</w:t>
      </w:r>
    </w:p>
    <w:p>
      <w:pPr>
        <w:ind w:left="420"/>
        <w:spacing w:after="0" w:line="237" w:lineRule="auto"/>
        <w:rPr>
          <w:sz w:val="20"/>
          <w:szCs w:val="20"/>
          <w:color w:val="auto"/>
        </w:rPr>
      </w:pPr>
      <w:r>
        <w:rPr>
          <w:rFonts w:ascii="Courier New" w:cs="Courier New" w:eastAsia="Courier New" w:hAnsi="Courier New"/>
          <w:sz w:val="18"/>
          <w:szCs w:val="18"/>
          <w:color w:val="auto"/>
        </w:rPr>
        <w:t>(Principal Financial and</w:t>
      </w:r>
    </w:p>
    <w:p>
      <w:pPr>
        <w:ind w:left="42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jc w:val="right"/>
        <w:ind w:right="4939"/>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OCT-31-1998</w:t>
      </w:r>
    </w:p>
    <w:p>
      <w:pPr>
        <w:ind w:left="2940"/>
        <w:spacing w:after="0"/>
        <w:rPr>
          <w:sz w:val="20"/>
          <w:szCs w:val="20"/>
          <w:color w:val="auto"/>
        </w:rPr>
      </w:pPr>
      <w:r>
        <w:rPr>
          <w:rFonts w:ascii="Courier New" w:cs="Courier New" w:eastAsia="Courier New" w:hAnsi="Courier New"/>
          <w:sz w:val="18"/>
          <w:szCs w:val="18"/>
          <w:color w:val="auto"/>
        </w:rPr>
        <w:t>NOV-02-1998</w:t>
      </w:r>
    </w:p>
    <w:p>
      <w:pPr>
        <w:ind w:left="3160"/>
        <w:spacing w:after="0" w:line="237" w:lineRule="auto"/>
        <w:rPr>
          <w:sz w:val="20"/>
          <w:szCs w:val="20"/>
          <w:color w:val="auto"/>
        </w:rPr>
      </w:pPr>
      <w:r>
        <w:rPr>
          <w:rFonts w:ascii="Courier New" w:cs="Courier New" w:eastAsia="Courier New" w:hAnsi="Courier New"/>
          <w:sz w:val="18"/>
          <w:szCs w:val="18"/>
          <w:color w:val="auto"/>
        </w:rPr>
        <w:t>MAY-02-1998</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286,105</w:t>
      </w:r>
    </w:p>
    <w:p>
      <w:pPr>
        <w:ind w:left="3680"/>
        <w:spacing w:after="0" w:line="237" w:lineRule="auto"/>
        <w:rPr>
          <w:sz w:val="20"/>
          <w:szCs w:val="20"/>
          <w:color w:val="auto"/>
        </w:rPr>
      </w:pPr>
      <w:r>
        <w:rPr>
          <w:rFonts w:ascii="Courier New" w:cs="Courier New" w:eastAsia="Courier New" w:hAnsi="Courier New"/>
          <w:sz w:val="18"/>
          <w:szCs w:val="18"/>
          <w:color w:val="auto"/>
        </w:rPr>
        <w:t>33,819</w:t>
      </w:r>
    </w:p>
    <w:p>
      <w:pPr>
        <w:ind w:left="3460"/>
        <w:spacing w:after="0"/>
        <w:rPr>
          <w:sz w:val="20"/>
          <w:szCs w:val="20"/>
          <w:color w:val="auto"/>
        </w:rPr>
      </w:pPr>
      <w:r>
        <w:rPr>
          <w:rFonts w:ascii="Courier New" w:cs="Courier New" w:eastAsia="Courier New" w:hAnsi="Courier New"/>
          <w:sz w:val="18"/>
          <w:szCs w:val="18"/>
          <w:color w:val="auto"/>
        </w:rPr>
        <w:t>242,981</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266,979</w:t>
      </w:r>
    </w:p>
    <w:p>
      <w:pPr>
        <w:ind w:left="3160"/>
        <w:spacing w:after="0" w:line="237" w:lineRule="auto"/>
        <w:rPr>
          <w:sz w:val="20"/>
          <w:szCs w:val="20"/>
          <w:color w:val="auto"/>
        </w:rPr>
      </w:pPr>
      <w:r>
        <w:rPr>
          <w:rFonts w:ascii="Courier New" w:cs="Courier New" w:eastAsia="Courier New" w:hAnsi="Courier New"/>
          <w:sz w:val="18"/>
          <w:szCs w:val="18"/>
          <w:color w:val="auto"/>
        </w:rPr>
        <w:t>911,857</w:t>
      </w:r>
    </w:p>
    <w:p>
      <w:pPr>
        <w:ind w:left="4000"/>
        <w:spacing w:after="0" w:line="238" w:lineRule="auto"/>
        <w:rPr>
          <w:sz w:val="20"/>
          <w:szCs w:val="20"/>
          <w:color w:val="auto"/>
        </w:rPr>
      </w:pPr>
      <w:r>
        <w:rPr>
          <w:rFonts w:ascii="Courier New" w:cs="Courier New" w:eastAsia="Courier New" w:hAnsi="Courier New"/>
          <w:sz w:val="18"/>
          <w:szCs w:val="18"/>
          <w:color w:val="auto"/>
        </w:rPr>
        <w:t>1,340,026</w:t>
      </w:r>
    </w:p>
    <w:p>
      <w:pPr>
        <w:ind w:left="3360"/>
        <w:spacing w:after="0"/>
        <w:rPr>
          <w:sz w:val="20"/>
          <w:szCs w:val="20"/>
          <w:color w:val="auto"/>
        </w:rPr>
      </w:pPr>
      <w:r>
        <w:rPr>
          <w:rFonts w:ascii="Courier New" w:cs="Courier New" w:eastAsia="Courier New" w:hAnsi="Courier New"/>
          <w:sz w:val="18"/>
          <w:szCs w:val="18"/>
          <w:color w:val="auto"/>
        </w:rPr>
        <w:t>619,059</w:t>
      </w:r>
    </w:p>
    <w:p>
      <w:pPr>
        <w:ind w:left="3160"/>
        <w:spacing w:after="0" w:line="237" w:lineRule="auto"/>
        <w:rPr>
          <w:sz w:val="20"/>
          <w:szCs w:val="20"/>
          <w:color w:val="auto"/>
        </w:rPr>
      </w:pPr>
      <w:r>
        <w:rPr>
          <w:rFonts w:ascii="Courier New" w:cs="Courier New" w:eastAsia="Courier New" w:hAnsi="Courier New"/>
          <w:sz w:val="18"/>
          <w:szCs w:val="18"/>
          <w:color w:val="auto"/>
        </w:rPr>
        <w:t>1,899,549</w:t>
      </w:r>
    </w:p>
    <w:p>
      <w:pPr>
        <w:ind w:left="2620"/>
        <w:spacing w:after="0"/>
        <w:rPr>
          <w:sz w:val="20"/>
          <w:szCs w:val="20"/>
          <w:color w:val="auto"/>
        </w:rPr>
      </w:pPr>
      <w:r>
        <w:rPr>
          <w:rFonts w:ascii="Courier New" w:cs="Courier New" w:eastAsia="Courier New" w:hAnsi="Courier New"/>
          <w:sz w:val="18"/>
          <w:szCs w:val="18"/>
          <w:color w:val="auto"/>
        </w:rPr>
        <w:t>304,488</w:t>
      </w:r>
    </w:p>
    <w:p>
      <w:pPr>
        <w:ind w:left="4100"/>
        <w:spacing w:after="0" w:line="237" w:lineRule="auto"/>
        <w:rPr>
          <w:sz w:val="20"/>
          <w:szCs w:val="20"/>
          <w:color w:val="auto"/>
        </w:rPr>
      </w:pPr>
      <w:r>
        <w:rPr>
          <w:rFonts w:ascii="Courier New" w:cs="Courier New" w:eastAsia="Courier New" w:hAnsi="Courier New"/>
          <w:sz w:val="18"/>
          <w:szCs w:val="18"/>
          <w:color w:val="auto"/>
        </w:rPr>
        <w:t>309,989</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27,264</w:t>
      </w:r>
    </w:p>
    <w:p>
      <w:pPr>
        <w:ind w:left="3580"/>
        <w:spacing w:after="0"/>
        <w:rPr>
          <w:sz w:val="20"/>
          <w:szCs w:val="20"/>
          <w:color w:val="auto"/>
        </w:rPr>
      </w:pPr>
      <w:r>
        <w:rPr>
          <w:rFonts w:ascii="Courier New" w:cs="Courier New" w:eastAsia="Courier New" w:hAnsi="Courier New"/>
          <w:sz w:val="18"/>
          <w:szCs w:val="18"/>
          <w:color w:val="auto"/>
        </w:rPr>
        <w:t>1,164,229</w:t>
      </w:r>
    </w:p>
    <w:p>
      <w:pPr>
        <w:ind w:left="1680"/>
        <w:spacing w:after="0" w:line="237" w:lineRule="auto"/>
        <w:rPr>
          <w:sz w:val="20"/>
          <w:szCs w:val="20"/>
          <w:color w:val="auto"/>
        </w:rPr>
      </w:pPr>
      <w:r>
        <w:rPr>
          <w:rFonts w:ascii="Courier New" w:cs="Courier New" w:eastAsia="Courier New" w:hAnsi="Courier New"/>
          <w:sz w:val="18"/>
          <w:szCs w:val="18"/>
          <w:color w:val="auto"/>
        </w:rPr>
        <w:t>1,899,549</w:t>
      </w:r>
    </w:p>
    <w:p>
      <w:pPr>
        <w:ind w:left="4100"/>
        <w:spacing w:after="0"/>
        <w:rPr>
          <w:sz w:val="20"/>
          <w:szCs w:val="20"/>
          <w:color w:val="auto"/>
        </w:rPr>
      </w:pPr>
      <w:r>
        <w:rPr>
          <w:rFonts w:ascii="Courier New" w:cs="Courier New" w:eastAsia="Courier New" w:hAnsi="Courier New"/>
          <w:sz w:val="18"/>
          <w:szCs w:val="18"/>
          <w:color w:val="auto"/>
        </w:rPr>
        <w:t>663,830</w:t>
      </w:r>
    </w:p>
    <w:p>
      <w:pPr>
        <w:ind w:left="3160"/>
        <w:spacing w:after="0" w:line="237" w:lineRule="auto"/>
        <w:rPr>
          <w:sz w:val="20"/>
          <w:szCs w:val="20"/>
          <w:color w:val="auto"/>
        </w:rPr>
      </w:pPr>
      <w:r>
        <w:rPr>
          <w:rFonts w:ascii="Courier New" w:cs="Courier New" w:eastAsia="Courier New" w:hAnsi="Courier New"/>
          <w:sz w:val="18"/>
          <w:szCs w:val="18"/>
          <w:color w:val="auto"/>
        </w:rPr>
        <w:t>663,830</w:t>
      </w:r>
    </w:p>
    <w:p>
      <w:pPr>
        <w:jc w:val="right"/>
        <w:ind w:right="5059"/>
        <w:spacing w:after="0"/>
        <w:rPr>
          <w:sz w:val="20"/>
          <w:szCs w:val="20"/>
          <w:color w:val="auto"/>
        </w:rPr>
      </w:pPr>
      <w:r>
        <w:rPr>
          <w:rFonts w:ascii="Courier New" w:cs="Courier New" w:eastAsia="Courier New" w:hAnsi="Courier New"/>
          <w:sz w:val="18"/>
          <w:szCs w:val="18"/>
          <w:color w:val="auto"/>
        </w:rPr>
        <w:t>332,086</w:t>
      </w:r>
    </w:p>
    <w:p>
      <w:pPr>
        <w:ind w:left="3460"/>
        <w:spacing w:after="0" w:line="237" w:lineRule="auto"/>
        <w:rPr>
          <w:sz w:val="20"/>
          <w:szCs w:val="20"/>
          <w:color w:val="auto"/>
        </w:rPr>
      </w:pPr>
      <w:r>
        <w:rPr>
          <w:rFonts w:ascii="Courier New" w:cs="Courier New" w:eastAsia="Courier New" w:hAnsi="Courier New"/>
          <w:sz w:val="18"/>
          <w:szCs w:val="18"/>
          <w:color w:val="auto"/>
        </w:rPr>
        <w:t>332,086</w:t>
      </w:r>
    </w:p>
    <w:p>
      <w:pPr>
        <w:ind w:left="3160"/>
        <w:spacing w:after="0"/>
        <w:rPr>
          <w:sz w:val="20"/>
          <w:szCs w:val="20"/>
          <w:color w:val="auto"/>
        </w:rPr>
      </w:pPr>
      <w:r>
        <w:rPr>
          <w:rFonts w:ascii="Courier New" w:cs="Courier New" w:eastAsia="Courier New" w:hAnsi="Courier New"/>
          <w:sz w:val="18"/>
          <w:szCs w:val="18"/>
          <w:color w:val="auto"/>
        </w:rPr>
        <w:t>210,725</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5,532</w:t>
      </w:r>
    </w:p>
    <w:p>
      <w:pPr>
        <w:ind w:left="3260"/>
        <w:spacing w:after="0"/>
        <w:rPr>
          <w:sz w:val="20"/>
          <w:szCs w:val="20"/>
          <w:color w:val="auto"/>
        </w:rPr>
      </w:pPr>
      <w:r>
        <w:rPr>
          <w:rFonts w:ascii="Courier New" w:cs="Courier New" w:eastAsia="Courier New" w:hAnsi="Courier New"/>
          <w:sz w:val="18"/>
          <w:szCs w:val="18"/>
          <w:color w:val="auto"/>
        </w:rPr>
        <w:t>122,005</w:t>
      </w:r>
    </w:p>
    <w:p>
      <w:pPr>
        <w:ind w:left="3680"/>
        <w:spacing w:after="0" w:line="237" w:lineRule="auto"/>
        <w:rPr>
          <w:sz w:val="20"/>
          <w:szCs w:val="20"/>
          <w:color w:val="auto"/>
        </w:rPr>
      </w:pPr>
      <w:r>
        <w:rPr>
          <w:rFonts w:ascii="Courier New" w:cs="Courier New" w:eastAsia="Courier New" w:hAnsi="Courier New"/>
          <w:sz w:val="18"/>
          <w:szCs w:val="18"/>
          <w:color w:val="auto"/>
        </w:rPr>
        <w:t>29,281</w:t>
      </w:r>
    </w:p>
    <w:p>
      <w:pPr>
        <w:ind w:left="2940"/>
        <w:spacing w:after="0"/>
        <w:rPr>
          <w:sz w:val="20"/>
          <w:szCs w:val="20"/>
          <w:color w:val="auto"/>
        </w:rPr>
      </w:pPr>
      <w:r>
        <w:rPr>
          <w:rFonts w:ascii="Courier New" w:cs="Courier New" w:eastAsia="Courier New" w:hAnsi="Courier New"/>
          <w:sz w:val="18"/>
          <w:szCs w:val="18"/>
          <w:color w:val="auto"/>
        </w:rPr>
        <w:t>92,724</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line="238" w:lineRule="auto"/>
        <w:rPr>
          <w:sz w:val="20"/>
          <w:szCs w:val="20"/>
          <w:color w:val="auto"/>
        </w:rPr>
      </w:pPr>
      <w:r>
        <w:rPr>
          <w:rFonts w:ascii="Courier New" w:cs="Courier New" w:eastAsia="Courier New" w:hAnsi="Courier New"/>
          <w:sz w:val="18"/>
          <w:szCs w:val="18"/>
          <w:color w:val="auto"/>
        </w:rPr>
        <w:t>92,724</w:t>
      </w:r>
    </w:p>
    <w:p>
      <w:pPr>
        <w:ind w:left="3900"/>
        <w:spacing w:after="0"/>
        <w:rPr>
          <w:sz w:val="20"/>
          <w:szCs w:val="20"/>
          <w:color w:val="auto"/>
        </w:rPr>
      </w:pPr>
      <w:r>
        <w:rPr>
          <w:rFonts w:ascii="Courier New" w:cs="Courier New" w:eastAsia="Courier New" w:hAnsi="Courier New"/>
          <w:sz w:val="18"/>
          <w:szCs w:val="18"/>
          <w:color w:val="auto"/>
        </w:rPr>
        <w:t>.58</w:t>
      </w:r>
    </w:p>
    <w:p>
      <w:pPr>
        <w:ind w:left="3900"/>
        <w:spacing w:after="0" w:line="237" w:lineRule="auto"/>
        <w:rPr>
          <w:sz w:val="20"/>
          <w:szCs w:val="20"/>
          <w:color w:val="auto"/>
        </w:rPr>
      </w:pPr>
      <w:r>
        <w:rPr>
          <w:rFonts w:ascii="Courier New" w:cs="Courier New" w:eastAsia="Courier New" w:hAnsi="Courier New"/>
          <w:sz w:val="18"/>
          <w:szCs w:val="18"/>
          <w:color w:val="auto"/>
        </w:rPr>
        <w:t>.54</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2019-12-20T05:33:01Z</dcterms:created>
  <dcterms:modified xsi:type="dcterms:W3CDTF">2019-12-20T05:33:01Z</dcterms:modified>
</cp:coreProperties>
</file>