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167"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Nakamura Katsufumi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6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ANALOG DEVICES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ADI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67"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ANALOG DEVICES, INC.</w:t>
            </w: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 ANALOG WAY</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WILMINGTON MA</w:t>
            </w: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20"/>
                <w:szCs w:val="20"/>
                <w:color w:val="0000FF"/>
              </w:rPr>
              <w:t>01887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23"/>
        <w:spacing w:after="0"/>
        <w:rPr>
          <w:sz w:val="20"/>
          <w:szCs w:val="20"/>
          <w:color w:val="auto"/>
        </w:rPr>
      </w:pPr>
      <w:r>
        <w:rPr>
          <w:rFonts w:ascii="Times New Roman" w:cs="Times New Roman" w:eastAsia="Times New Roman" w:hAnsi="Times New Roman"/>
          <w:sz w:val="20"/>
          <w:szCs w:val="20"/>
          <w:color w:val="0000FF"/>
        </w:rPr>
        <w:t>SVP &amp; Chief Customer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67"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 Stock-$.16-2/3 value</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60" w:type="dxa"/>
            <w:vAlign w:val="bottom"/>
          </w:tcPr>
          <w:p>
            <w:pPr>
              <w:ind w:left="520"/>
              <w:spacing w:after="0"/>
              <w:rPr>
                <w:sz w:val="20"/>
                <w:szCs w:val="20"/>
                <w:color w:val="auto"/>
              </w:rPr>
            </w:pPr>
            <w:r>
              <w:rPr>
                <w:rFonts w:ascii="Times New Roman" w:cs="Times New Roman" w:eastAsia="Times New Roman" w:hAnsi="Times New Roman"/>
                <w:sz w:val="20"/>
                <w:szCs w:val="20"/>
                <w:color w:val="0000FF"/>
              </w:rPr>
              <w:t>2,127.974</w:t>
            </w:r>
          </w:p>
        </w:tc>
        <w:tc>
          <w:tcPr>
            <w:tcW w:w="78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8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2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60" w:type="dxa"/>
            <w:vAlign w:val="bottom"/>
          </w:tcPr>
          <w:p>
            <w:pPr>
              <w:spacing w:after="0"/>
              <w:rPr>
                <w:sz w:val="14"/>
                <w:szCs w:val="14"/>
                <w:color w:val="auto"/>
              </w:rPr>
            </w:pPr>
          </w:p>
        </w:tc>
        <w:tc>
          <w:tcPr>
            <w:tcW w:w="7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1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 to</w:t>
            </w: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03/29/2028</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 Stock-$.16-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2,490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91.13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 value</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 to</w:t>
            </w: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03/13/2029</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 Stock-$.16-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2,320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108.08</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 value</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 Stock - $.16-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3"/>
              </w:rPr>
              <w:t>309</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0</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 value</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 Stock - $.16-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1,114</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0</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 value</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Performance-Based Restricted Stock</w:t>
            </w: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 Stock-$.16-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3"/>
              </w:rPr>
              <w:t>236</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0</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Unit</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 value</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Performance-Based Restricted Stock</w:t>
            </w: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 Stock - $.16-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3"/>
              </w:rPr>
              <w:t>643</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0</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Unit</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 value</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 Stock-$.16-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1,396</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0</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 value</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Performance-Based Restricted Stock</w:t>
            </w: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 Stock-$.16-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3"/>
              </w:rPr>
              <w:t>536</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0</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Unit</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 value</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Performance-Based Restricted Stock</w:t>
            </w: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(8)</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 Stock-$.16-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3"/>
              </w:rPr>
              <w:t>208</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0</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Unit</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 value</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98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(9)</w:t>
            </w: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 Stock-$.16-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1,667</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0</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 value</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08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86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16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22332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2233295"/>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3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280" w:type="dxa"/>
            <w:vAlign w:val="bottom"/>
            <w:vMerge w:val="restart"/>
          </w:tcPr>
          <w:p>
            <w:pPr>
              <w:ind w:left="6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ind w:left="6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ind w:left="64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20" w:type="dxa"/>
            <w:vAlign w:val="bottom"/>
          </w:tcPr>
          <w:p>
            <w:pPr>
              <w:spacing w:after="0"/>
              <w:rPr>
                <w:sz w:val="14"/>
                <w:szCs w:val="14"/>
                <w:color w:val="auto"/>
              </w:rPr>
            </w:pPr>
          </w:p>
        </w:tc>
        <w:tc>
          <w:tcPr>
            <w:tcW w:w="1280" w:type="dxa"/>
            <w:vAlign w:val="bottom"/>
          </w:tcPr>
          <w:p>
            <w:pPr>
              <w:ind w:left="6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280" w:type="dxa"/>
            <w:vAlign w:val="bottom"/>
          </w:tcPr>
          <w:p>
            <w:pPr>
              <w:ind w:left="6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2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Performance-Based Restricted Stock</w:t>
            </w:r>
          </w:p>
        </w:tc>
        <w:tc>
          <w:tcPr>
            <w:tcW w:w="840" w:type="dxa"/>
            <w:vAlign w:val="bottom"/>
            <w:vMerge w:val="restart"/>
          </w:tcPr>
          <w:p>
            <w:pPr>
              <w:jc w:val="right"/>
              <w:ind w:right="297"/>
              <w:spacing w:after="0"/>
              <w:rPr>
                <w:sz w:val="20"/>
                <w:szCs w:val="20"/>
                <w:color w:val="auto"/>
              </w:rPr>
            </w:pPr>
            <w:r>
              <w:rPr>
                <w:rFonts w:ascii="Times New Roman" w:cs="Times New Roman" w:eastAsia="Times New Roman" w:hAnsi="Times New Roman"/>
                <w:sz w:val="13"/>
                <w:szCs w:val="13"/>
                <w:color w:val="008000"/>
              </w:rPr>
              <w:t>(10)</w:t>
            </w:r>
          </w:p>
        </w:tc>
        <w:tc>
          <w:tcPr>
            <w:tcW w:w="84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(10)</w:t>
            </w: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 Stock-$.16-</w:t>
            </w:r>
          </w:p>
        </w:tc>
        <w:tc>
          <w:tcPr>
            <w:tcW w:w="820" w:type="dxa"/>
            <w:vAlign w:val="bottom"/>
            <w:vMerge w:val="restart"/>
          </w:tcPr>
          <w:p>
            <w:pPr>
              <w:jc w:val="right"/>
              <w:ind w:right="242"/>
              <w:spacing w:after="0"/>
              <w:rPr>
                <w:sz w:val="20"/>
                <w:szCs w:val="20"/>
                <w:color w:val="auto"/>
              </w:rPr>
            </w:pPr>
            <w:r>
              <w:rPr>
                <w:rFonts w:ascii="Times New Roman" w:cs="Times New Roman" w:eastAsia="Times New Roman" w:hAnsi="Times New Roman"/>
                <w:sz w:val="20"/>
                <w:szCs w:val="20"/>
                <w:color w:val="0000FF"/>
              </w:rPr>
              <w:t>481</w:t>
            </w:r>
          </w:p>
        </w:tc>
        <w:tc>
          <w:tcPr>
            <w:tcW w:w="840" w:type="dxa"/>
            <w:vAlign w:val="bottom"/>
            <w:vMerge w:val="restart"/>
          </w:tcPr>
          <w:p>
            <w:pPr>
              <w:jc w:val="right"/>
              <w:ind w:right="322"/>
              <w:spacing w:after="0"/>
              <w:rPr>
                <w:sz w:val="20"/>
                <w:szCs w:val="20"/>
                <w:color w:val="auto"/>
              </w:rPr>
            </w:pPr>
            <w:r>
              <w:rPr>
                <w:rFonts w:ascii="Times New Roman" w:cs="Times New Roman" w:eastAsia="Times New Roman" w:hAnsi="Times New Roman"/>
                <w:sz w:val="20"/>
                <w:szCs w:val="20"/>
                <w:color w:val="0000FF"/>
              </w:rPr>
              <w:t>0</w:t>
            </w:r>
          </w:p>
        </w:tc>
        <w:tc>
          <w:tcPr>
            <w:tcW w:w="24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34"/>
        </w:trPr>
        <w:tc>
          <w:tcPr>
            <w:tcW w:w="32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Unit</w:t>
            </w:r>
          </w:p>
        </w:tc>
        <w:tc>
          <w:tcPr>
            <w:tcW w:w="8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 value</w:t>
            </w:r>
          </w:p>
        </w:tc>
        <w:tc>
          <w:tcPr>
            <w:tcW w:w="8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2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2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2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Performance-Based Restricted Stock</w:t>
            </w:r>
          </w:p>
        </w:tc>
        <w:tc>
          <w:tcPr>
            <w:tcW w:w="84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color w:val="008000"/>
              </w:rPr>
              <w:t>(11)</w:t>
            </w:r>
          </w:p>
        </w:tc>
        <w:tc>
          <w:tcPr>
            <w:tcW w:w="84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color w:val="008000"/>
              </w:rPr>
              <w:t>(11)</w:t>
            </w: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Comm Stock-$.16-</w:t>
            </w:r>
          </w:p>
        </w:tc>
        <w:tc>
          <w:tcPr>
            <w:tcW w:w="820" w:type="dxa"/>
            <w:vAlign w:val="bottom"/>
            <w:vMerge w:val="restart"/>
          </w:tcPr>
          <w:p>
            <w:pPr>
              <w:jc w:val="right"/>
              <w:ind w:right="242"/>
              <w:spacing w:after="0"/>
              <w:rPr>
                <w:sz w:val="20"/>
                <w:szCs w:val="20"/>
                <w:color w:val="auto"/>
              </w:rPr>
            </w:pPr>
            <w:r>
              <w:rPr>
                <w:rFonts w:ascii="Times New Roman" w:cs="Times New Roman" w:eastAsia="Times New Roman" w:hAnsi="Times New Roman"/>
                <w:sz w:val="20"/>
                <w:szCs w:val="20"/>
                <w:color w:val="0000FF"/>
              </w:rPr>
              <w:t>192</w:t>
            </w:r>
          </w:p>
        </w:tc>
        <w:tc>
          <w:tcPr>
            <w:tcW w:w="840" w:type="dxa"/>
            <w:vAlign w:val="bottom"/>
            <w:vMerge w:val="restart"/>
          </w:tcPr>
          <w:p>
            <w:pPr>
              <w:jc w:val="right"/>
              <w:ind w:right="322"/>
              <w:spacing w:after="0"/>
              <w:rPr>
                <w:sz w:val="20"/>
                <w:szCs w:val="20"/>
                <w:color w:val="auto"/>
              </w:rPr>
            </w:pPr>
            <w:r>
              <w:rPr>
                <w:rFonts w:ascii="Times New Roman" w:cs="Times New Roman" w:eastAsia="Times New Roman" w:hAnsi="Times New Roman"/>
                <w:sz w:val="20"/>
                <w:szCs w:val="20"/>
                <w:color w:val="0000FF"/>
              </w:rPr>
              <w:t>0</w:t>
            </w:r>
          </w:p>
        </w:tc>
        <w:tc>
          <w:tcPr>
            <w:tcW w:w="24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34"/>
        </w:trPr>
        <w:tc>
          <w:tcPr>
            <w:tcW w:w="32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Unit</w:t>
            </w:r>
          </w:p>
        </w:tc>
        <w:tc>
          <w:tcPr>
            <w:tcW w:w="8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 value</w:t>
            </w:r>
          </w:p>
        </w:tc>
        <w:tc>
          <w:tcPr>
            <w:tcW w:w="8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2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is fully vested.</w:t>
      </w:r>
    </w:p>
    <w:p>
      <w:pPr>
        <w:spacing w:after="0" w:line="52" w:lineRule="exact"/>
        <w:rPr>
          <w:rFonts w:ascii="Times New Roman" w:cs="Times New Roman" w:eastAsia="Times New Roman" w:hAnsi="Times New Roman"/>
          <w:sz w:val="15"/>
          <w:szCs w:val="15"/>
          <w:color w:val="008000"/>
        </w:rPr>
      </w:pPr>
    </w:p>
    <w:p>
      <w:pPr>
        <w:ind w:left="20" w:right="80" w:firstLine="5"/>
        <w:spacing w:after="0" w:line="25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(RSUs) granted to the Reporting Person on March 10, 2021 vest in equal installments on the first, second, third and fourth anniversaries of March 10, 2021. Upon each vesting date, each vested RSU shall automatically convert into one share of common stock.</w:t>
      </w:r>
    </w:p>
    <w:p>
      <w:pPr>
        <w:spacing w:after="0" w:line="17" w:lineRule="exact"/>
        <w:rPr>
          <w:rFonts w:ascii="Times New Roman" w:cs="Times New Roman" w:eastAsia="Times New Roman" w:hAnsi="Times New Roman"/>
          <w:sz w:val="15"/>
          <w:szCs w:val="15"/>
          <w:color w:val="008000"/>
        </w:rPr>
      </w:pPr>
    </w:p>
    <w:p>
      <w:pPr>
        <w:ind w:left="20" w:right="200" w:firstLine="5"/>
        <w:spacing w:after="0" w:line="25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RSUs granted to the Reporting Person on April 4, 2022 vest in equal installments on the first, second, third and fourth anniversaries of March 15, 2022. Upon each vesting date, each vested RSU shall automatically convert into one share of common stock.</w:t>
      </w:r>
    </w:p>
    <w:p>
      <w:pPr>
        <w:spacing w:after="0" w:line="17" w:lineRule="exact"/>
        <w:rPr>
          <w:rFonts w:ascii="Times New Roman" w:cs="Times New Roman" w:eastAsia="Times New Roman" w:hAnsi="Times New Roman"/>
          <w:sz w:val="15"/>
          <w:szCs w:val="15"/>
          <w:color w:val="008000"/>
        </w:rPr>
      </w:pPr>
    </w:p>
    <w:p>
      <w:pPr>
        <w:ind w:left="20" w:right="60" w:firstLine="5"/>
        <w:spacing w:after="0" w:line="23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Performance-Based RSU represents the right to receive, following the vesting, up to 200% of one share of common stock of the Company. The resulting number of shares of common stock of the Company acquired upon vesting of the Performance-Based RSUs is contingent upon the achievement of pre-established performance parameters relating to the Company's relative total shareholder return (TSR) performance against the TSR of a defined comparator group of companies, as approved by the Company's Compensation and Talent Committee, over a three-year performance period beginning on the grant date and ending on March 15, 2025 and vesting on March 29, 2025.</w:t>
      </w:r>
    </w:p>
    <w:p>
      <w:pPr>
        <w:spacing w:after="0" w:line="33" w:lineRule="exact"/>
        <w:rPr>
          <w:rFonts w:ascii="Times New Roman" w:cs="Times New Roman" w:eastAsia="Times New Roman" w:hAnsi="Times New Roman"/>
          <w:sz w:val="15"/>
          <w:szCs w:val="15"/>
          <w:color w:val="008000"/>
        </w:rPr>
      </w:pPr>
    </w:p>
    <w:p>
      <w:pPr>
        <w:ind w:left="20" w:right="60" w:firstLine="5"/>
        <w:spacing w:after="0" w:line="23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Performance-Based RSU represents the right to receive, following the vesting, up to 200% of one share of common stock of the Company. The resulting number of shares of common stock of the Company acquired upon vesting of the Performance-Based RSUs is contingent upon the achievement of pre-established performance parameters relating to the Company's financial performance, as approved by the Company's Compensation and Talent Committee, over a one-year performance period, two-year cumulative performance period and three-year cumulative performance period, and vesting on the third anniversary of March 15, 2022.</w:t>
      </w:r>
    </w:p>
    <w:p>
      <w:pPr>
        <w:spacing w:after="0" w:line="33" w:lineRule="exact"/>
        <w:rPr>
          <w:rFonts w:ascii="Times New Roman" w:cs="Times New Roman" w:eastAsia="Times New Roman" w:hAnsi="Times New Roman"/>
          <w:sz w:val="15"/>
          <w:szCs w:val="15"/>
          <w:color w:val="008000"/>
        </w:rPr>
      </w:pPr>
    </w:p>
    <w:p>
      <w:pPr>
        <w:ind w:left="20" w:right="200" w:firstLine="5"/>
        <w:spacing w:after="0" w:line="25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RSUs granted to the Reporting Person on April 3, 2023 vest in equal installments on the first, second, third and fourth anniversaries of March 15, 2023. Upon each vesting date, each vested RSU shall automatically convert into one share of common stock.</w:t>
      </w:r>
    </w:p>
    <w:p>
      <w:pPr>
        <w:spacing w:after="0" w:line="17" w:lineRule="exact"/>
        <w:rPr>
          <w:rFonts w:ascii="Times New Roman" w:cs="Times New Roman" w:eastAsia="Times New Roman" w:hAnsi="Times New Roman"/>
          <w:sz w:val="15"/>
          <w:szCs w:val="15"/>
          <w:color w:val="008000"/>
        </w:rPr>
      </w:pPr>
    </w:p>
    <w:p>
      <w:pPr>
        <w:ind w:left="20" w:right="60" w:firstLine="5"/>
        <w:spacing w:after="0" w:line="23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Performance-Based RSU represents the right to receive, following the vesting, up to 200% of one share of common stock of the Company. The resulting number of shares of common stock of the Company acquired upon vesting of the Performance-Based RSUs is contingent upon the achievement of pre-established performance parameters relating to the Company's financial performance, as approved by the Company's Compensation and Talent Committee, over a one-year performance period, two-year cumulative performance period and three-year cumulative performance period, and vesting on the third anniversary of March 15, 2023.</w:t>
      </w:r>
    </w:p>
    <w:p>
      <w:pPr>
        <w:spacing w:after="0" w:line="33" w:lineRule="exact"/>
        <w:rPr>
          <w:rFonts w:ascii="Times New Roman" w:cs="Times New Roman" w:eastAsia="Times New Roman" w:hAnsi="Times New Roman"/>
          <w:sz w:val="15"/>
          <w:szCs w:val="15"/>
          <w:color w:val="008000"/>
        </w:rPr>
      </w:pPr>
    </w:p>
    <w:p>
      <w:pPr>
        <w:ind w:left="20" w:right="60" w:firstLine="5"/>
        <w:spacing w:after="0" w:line="23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Performance-Based RSU represents the right to receive, following the vesting, up to 200% of one share of common stock of the Company. The resulting number of shares of common stock of the Company acquired upon vesting of the Performance-Based RSUs is contingent upon the achievement of pre-established performance parameters relating to the Company's relative TSR performance against the TSR of a defined comparator group of companies, as approved by the Company's Compensation and Talent Committee, over a three-year performance period beginning on March 15, 2023 and ending on March 15, 2026 and vesting on March 29, 2026.</w:t>
      </w:r>
    </w:p>
    <w:p>
      <w:pPr>
        <w:spacing w:after="0" w:line="33" w:lineRule="exact"/>
        <w:rPr>
          <w:rFonts w:ascii="Times New Roman" w:cs="Times New Roman" w:eastAsia="Times New Roman" w:hAnsi="Times New Roman"/>
          <w:sz w:val="15"/>
          <w:szCs w:val="15"/>
          <w:color w:val="008000"/>
        </w:rPr>
      </w:pPr>
    </w:p>
    <w:p>
      <w:pPr>
        <w:ind w:left="20" w:right="220" w:firstLine="5"/>
        <w:spacing w:after="0" w:line="25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RSUs granted to the Reporting Person on September 10, 2024 vest in equal installments on the first, second, third and fourth anniversaries of August 15, 2024. Upon each vesting date, each vested RSU shall automatically convert into one share of common stock.</w:t>
      </w:r>
    </w:p>
    <w:p>
      <w:pPr>
        <w:spacing w:after="0" w:line="17" w:lineRule="exact"/>
        <w:rPr>
          <w:rFonts w:ascii="Times New Roman" w:cs="Times New Roman" w:eastAsia="Times New Roman" w:hAnsi="Times New Roman"/>
          <w:sz w:val="15"/>
          <w:szCs w:val="15"/>
          <w:color w:val="008000"/>
        </w:rPr>
      </w:pPr>
    </w:p>
    <w:p>
      <w:pPr>
        <w:jc w:val="both"/>
        <w:ind w:left="20" w:right="60" w:firstLine="5"/>
        <w:spacing w:after="0" w:line="239" w:lineRule="auto"/>
        <w:tabs>
          <w:tab w:leader="none" w:pos="245"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Performance-Based RSU represents the right to receive, following the vesting, up to 200% of one share of common stock of the Company. The resulting number of shares of common stock of the Company acquired upon vesting of the Performance-Based RSUs is contingent upon the achievement of pre-established performance parameters relating to the Company's financial performance, as approved by the Company's Compensation and Talent Committee, over a three-year performance period beginning on the first day of the third quarter of the Company's fiscal year 2024 and ending on the last day of the second quarter of the Company's fiscal year 2027, and vesting on August 29, 2027.</w:t>
      </w:r>
    </w:p>
    <w:p>
      <w:pPr>
        <w:spacing w:after="0" w:line="33" w:lineRule="exact"/>
        <w:rPr>
          <w:rFonts w:ascii="Times New Roman" w:cs="Times New Roman" w:eastAsia="Times New Roman" w:hAnsi="Times New Roman"/>
          <w:sz w:val="15"/>
          <w:szCs w:val="15"/>
          <w:color w:val="008000"/>
        </w:rPr>
      </w:pPr>
    </w:p>
    <w:p>
      <w:pPr>
        <w:jc w:val="both"/>
        <w:ind w:left="20" w:right="60" w:firstLine="5"/>
        <w:spacing w:after="0" w:line="239" w:lineRule="auto"/>
        <w:tabs>
          <w:tab w:leader="none" w:pos="24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Performance-Based RSU represents the right to receive, following the vesting, up to 200% of one share of common stock of the Company. The resulting number of shares of common stock of the Company acquired upon vesting of the Performance-Based RSUs is contingent upon the achievement of pre-established performance parameters relating to the Company's relative TSR performance against the TSR of a defined comparator group of companies, as approved by the Company's Compensation and Talent Committee, over a three-year performance period beginning on August 15, 2024 and ending on August 15, 2027, and vesting on August 29, 2027.</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Shelly Shaw, General</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0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Counsel, by Power of</w:t>
            </w:r>
          </w:p>
        </w:tc>
        <w:tc>
          <w:tcPr>
            <w:tcW w:w="280" w:type="dxa"/>
            <w:vAlign w:val="bottom"/>
          </w:tcPr>
          <w:p>
            <w:pPr>
              <w:spacing w:after="0"/>
              <w:rPr>
                <w:sz w:val="19"/>
                <w:szCs w:val="19"/>
                <w:color w:val="auto"/>
              </w:rPr>
            </w:pPr>
          </w:p>
        </w:tc>
        <w:tc>
          <w:tcPr>
            <w:tcW w:w="8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4"/>
              </w:rPr>
              <w:t>11/12/2024</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8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Attorney</w:t>
            </w:r>
          </w:p>
        </w:tc>
        <w:tc>
          <w:tcPr>
            <w:tcW w:w="500" w:type="dxa"/>
            <w:vAlign w:val="bottom"/>
            <w:gridSpan w:val="2"/>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220" w:firstLine="5"/>
        <w:spacing w:after="0" w:line="335" w:lineRule="auto"/>
        <w:tabs>
          <w:tab w:leader="none" w:pos="17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6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9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44259" TargetMode="External"/><Relationship Id="rId11"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2024-11-12T16:21:52Z</dcterms:created>
  <dcterms:modified xsi:type="dcterms:W3CDTF">2024-11-12T16:21:52Z</dcterms:modified>
</cp:coreProperties>
</file>