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231775</wp:posOffset>
            </wp:positionH>
            <wp:positionV relativeFrom="page">
              <wp:posOffset>406400</wp:posOffset>
            </wp:positionV>
            <wp:extent cx="70942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4220" cy="8255"/>
                    </a:xfrm>
                    <a:prstGeom prst="rect">
                      <a:avLst/>
                    </a:prstGeom>
                    <a:noFill/>
                  </pic:spPr>
                </pic:pic>
              </a:graphicData>
            </a:graphic>
          </wp:anchor>
        </w:drawing>
        <w:drawing>
          <wp:anchor simplePos="0" relativeHeight="251657728" behindDoc="1" locked="0" layoutInCell="0" allowOverlap="1">
            <wp:simplePos x="0" y="0"/>
            <wp:positionH relativeFrom="page">
              <wp:posOffset>231775</wp:posOffset>
            </wp:positionH>
            <wp:positionV relativeFrom="page">
              <wp:posOffset>372745</wp:posOffset>
            </wp:positionV>
            <wp:extent cx="70942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4220" cy="8255"/>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52070</wp:posOffset>
            </wp:positionV>
            <wp:extent cx="1721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22"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41275</wp:posOffset>
            </wp:positionV>
            <wp:extent cx="1721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680" w:right="320" w:hanging="657"/>
        <w:spacing w:after="0" w:line="231" w:lineRule="auto"/>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January 29, 2022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 w:lineRule="exact"/>
        <w:rPr>
          <w:sz w:val="24"/>
          <w:szCs w:val="24"/>
          <w:color w:val="auto"/>
        </w:rPr>
      </w:pPr>
    </w:p>
    <w:p>
      <w:pPr>
        <w:ind w:left="700" w:right="280" w:hanging="664"/>
        <w:spacing w:after="0" w:line="231" w:lineRule="auto"/>
        <w:tabs>
          <w:tab w:leader="none" w:pos="700" w:val="left"/>
        </w:tabs>
        <w:numPr>
          <w:ilvl w:val="0"/>
          <w:numId w:val="2"/>
        </w:numPr>
        <w:rPr>
          <w:rFonts w:ascii="MS PGothic" w:cs="MS PGothic" w:eastAsia="MS PGothic" w:hAnsi="MS PGothic"/>
          <w:sz w:val="25"/>
          <w:szCs w:val="25"/>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Arial" w:cs="Arial" w:eastAsia="Arial" w:hAnsi="Arial"/>
                <w:sz w:val="18"/>
                <w:szCs w:val="18"/>
                <w:b w:val="1"/>
                <w:bCs w:val="1"/>
                <w:color w:val="auto"/>
                <w:w w:val="89"/>
              </w:rPr>
              <w:t>For the transition period from</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560" w:type="dxa"/>
            <w:vAlign w:val="bottom"/>
            <w:tcBorders>
              <w:bottom w:val="single" w:sz="8" w:color="auto"/>
            </w:tcBorders>
          </w:tcPr>
          <w:p>
            <w:pPr>
              <w:spacing w:after="0"/>
              <w:rPr>
                <w:sz w:val="17"/>
                <w:szCs w:val="17"/>
                <w:color w:val="auto"/>
              </w:rPr>
            </w:pPr>
          </w:p>
        </w:tc>
      </w:tr>
      <w:tr>
        <w:trPr>
          <w:trHeight w:val="229"/>
        </w:trPr>
        <w:tc>
          <w:tcPr>
            <w:tcW w:w="2840" w:type="dxa"/>
            <w:vAlign w:val="bottom"/>
            <w:gridSpan w:val="2"/>
          </w:tcPr>
          <w:p>
            <w:pPr>
              <w:ind w:left="740"/>
              <w:spacing w:after="0"/>
              <w:rPr>
                <w:sz w:val="20"/>
                <w:szCs w:val="20"/>
                <w:color w:val="auto"/>
              </w:rPr>
            </w:pPr>
            <w:r>
              <w:rPr>
                <w:rFonts w:ascii="Arial" w:cs="Arial" w:eastAsia="Arial" w:hAnsi="Arial"/>
                <w:sz w:val="18"/>
                <w:szCs w:val="18"/>
                <w:b w:val="1"/>
                <w:bCs w:val="1"/>
                <w:color w:val="auto"/>
                <w:w w:val="86"/>
              </w:rPr>
              <w:t>Commission File No. 1-7819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50800</wp:posOffset>
            </wp:positionV>
            <wp:extent cx="1721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Analog Devices,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17780</wp:posOffset>
            </wp:positionV>
            <wp:extent cx="1721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174" w:lineRule="exact"/>
        <w:rPr>
          <w:sz w:val="24"/>
          <w:szCs w:val="24"/>
          <w:color w:val="auto"/>
        </w:rPr>
      </w:pPr>
    </w:p>
    <w:tbl>
      <w:tblPr>
        <w:tblLayout w:type="fixed"/>
        <w:tblInd w:w="1100" w:type="dxa"/>
        <w:tblCellMar>
          <w:top w:w="0" w:type="dxa"/>
          <w:left w:w="0" w:type="dxa"/>
          <w:bottom w:w="0" w:type="dxa"/>
          <w:right w:w="0" w:type="dxa"/>
        </w:tblCellMar>
      </w:tblPr>
      <w:tr>
        <w:trPr>
          <w:trHeight w:val="224"/>
        </w:trPr>
        <w:tc>
          <w:tcPr>
            <w:tcW w:w="2320" w:type="dxa"/>
            <w:vAlign w:val="bottom"/>
          </w:tcPr>
          <w:p>
            <w:pPr>
              <w:jc w:val="center"/>
              <w:ind w:left="1041"/>
              <w:spacing w:after="0"/>
              <w:rPr>
                <w:sz w:val="20"/>
                <w:szCs w:val="20"/>
                <w:color w:val="auto"/>
              </w:rPr>
            </w:pPr>
            <w:r>
              <w:rPr>
                <w:rFonts w:ascii="Arial" w:cs="Arial" w:eastAsia="Arial" w:hAnsi="Arial"/>
                <w:sz w:val="18"/>
                <w:szCs w:val="18"/>
                <w:b w:val="1"/>
                <w:bCs w:val="1"/>
                <w:color w:val="auto"/>
                <w:w w:val="83"/>
              </w:rPr>
              <w:t>Massachusetts</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tcPr>
          <w:p>
            <w:pPr>
              <w:jc w:val="right"/>
              <w:ind w:right="499"/>
              <w:spacing w:after="0"/>
              <w:rPr>
                <w:sz w:val="20"/>
                <w:szCs w:val="20"/>
                <w:color w:val="auto"/>
              </w:rPr>
            </w:pPr>
            <w:r>
              <w:rPr>
                <w:rFonts w:ascii="Arial" w:cs="Arial" w:eastAsia="Arial" w:hAnsi="Arial"/>
                <w:sz w:val="18"/>
                <w:szCs w:val="18"/>
                <w:b w:val="1"/>
                <w:bCs w:val="1"/>
                <w:color w:val="auto"/>
              </w:rPr>
              <w:t>04-2348234</w:t>
            </w:r>
          </w:p>
        </w:tc>
      </w:tr>
      <w:tr>
        <w:trPr>
          <w:trHeight w:val="179"/>
        </w:trPr>
        <w:tc>
          <w:tcPr>
            <w:tcW w:w="3540" w:type="dxa"/>
            <w:vAlign w:val="bottom"/>
            <w:gridSpan w:val="2"/>
          </w:tcPr>
          <w:p>
            <w:pPr>
              <w:jc w:val="center"/>
              <w:ind w:right="32"/>
              <w:spacing w:after="0"/>
              <w:rPr>
                <w:sz w:val="20"/>
                <w:szCs w:val="20"/>
                <w:color w:val="auto"/>
              </w:rPr>
            </w:pPr>
            <w:r>
              <w:rPr>
                <w:rFonts w:ascii="Arial" w:cs="Arial" w:eastAsia="Arial" w:hAnsi="Arial"/>
                <w:sz w:val="14"/>
                <w:szCs w:val="14"/>
                <w:i w:val="1"/>
                <w:iCs w:val="1"/>
                <w:color w:val="auto"/>
                <w:w w:val="94"/>
              </w:rPr>
              <w:t>(State or other jurisdiction of incorporation or organization)</w:t>
            </w:r>
          </w:p>
        </w:tc>
        <w:tc>
          <w:tcPr>
            <w:tcW w:w="420" w:type="dxa"/>
            <w:vAlign w:val="bottom"/>
          </w:tcPr>
          <w:p>
            <w:pPr>
              <w:spacing w:after="0"/>
              <w:rPr>
                <w:sz w:val="15"/>
                <w:szCs w:val="15"/>
                <w:color w:val="auto"/>
              </w:rPr>
            </w:pPr>
          </w:p>
        </w:tc>
        <w:tc>
          <w:tcPr>
            <w:tcW w:w="4440" w:type="dxa"/>
            <w:vAlign w:val="bottom"/>
          </w:tcPr>
          <w:p>
            <w:pPr>
              <w:jc w:val="center"/>
              <w:ind w:left="2359"/>
              <w:spacing w:after="0"/>
              <w:rPr>
                <w:sz w:val="20"/>
                <w:szCs w:val="20"/>
                <w:color w:val="auto"/>
              </w:rPr>
            </w:pPr>
            <w:r>
              <w:rPr>
                <w:rFonts w:ascii="Arial" w:cs="Arial" w:eastAsia="Arial" w:hAnsi="Arial"/>
                <w:sz w:val="14"/>
                <w:szCs w:val="14"/>
                <w:i w:val="1"/>
                <w:iCs w:val="1"/>
                <w:color w:val="auto"/>
                <w:w w:val="92"/>
              </w:rPr>
              <w:t>(I.R.S. Employer Identification No.)</w:t>
            </w:r>
          </w:p>
        </w:tc>
      </w:tr>
      <w:tr>
        <w:trPr>
          <w:trHeight w:val="321"/>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One Analog Way,</w:t>
            </w:r>
          </w:p>
        </w:tc>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Wilmington,</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w w:val="99"/>
              </w:rPr>
              <w:t>MA</w:t>
            </w:r>
          </w:p>
        </w:tc>
        <w:tc>
          <w:tcPr>
            <w:tcW w:w="4440" w:type="dxa"/>
            <w:vAlign w:val="bottom"/>
          </w:tcPr>
          <w:p>
            <w:pPr>
              <w:jc w:val="right"/>
              <w:ind w:right="699"/>
              <w:spacing w:after="0"/>
              <w:rPr>
                <w:sz w:val="20"/>
                <w:szCs w:val="20"/>
                <w:color w:val="auto"/>
              </w:rPr>
            </w:pPr>
            <w:r>
              <w:rPr>
                <w:rFonts w:ascii="Arial" w:cs="Arial" w:eastAsia="Arial" w:hAnsi="Arial"/>
                <w:sz w:val="18"/>
                <w:szCs w:val="18"/>
                <w:b w:val="1"/>
                <w:bCs w:val="1"/>
                <w:color w:val="auto"/>
              </w:rPr>
              <w:t>01887</w:t>
            </w:r>
          </w:p>
        </w:tc>
      </w:tr>
      <w:tr>
        <w:trPr>
          <w:trHeight w:val="179"/>
        </w:trPr>
        <w:tc>
          <w:tcPr>
            <w:tcW w:w="3540" w:type="dxa"/>
            <w:vAlign w:val="bottom"/>
            <w:gridSpan w:val="2"/>
          </w:tcPr>
          <w:p>
            <w:pPr>
              <w:jc w:val="center"/>
              <w:ind w:right="12"/>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420" w:type="dxa"/>
            <w:vAlign w:val="bottom"/>
          </w:tcPr>
          <w:p>
            <w:pPr>
              <w:spacing w:after="0"/>
              <w:rPr>
                <w:sz w:val="15"/>
                <w:szCs w:val="15"/>
                <w:color w:val="auto"/>
              </w:rPr>
            </w:pPr>
          </w:p>
        </w:tc>
        <w:tc>
          <w:tcPr>
            <w:tcW w:w="4440" w:type="dxa"/>
            <w:vAlign w:val="bottom"/>
          </w:tcPr>
          <w:p>
            <w:pPr>
              <w:jc w:val="center"/>
              <w:ind w:left="2379"/>
              <w:spacing w:after="0"/>
              <w:rPr>
                <w:sz w:val="20"/>
                <w:szCs w:val="20"/>
                <w:color w:val="auto"/>
              </w:rPr>
            </w:pPr>
            <w:r>
              <w:rPr>
                <w:rFonts w:ascii="Arial" w:cs="Arial" w:eastAsia="Arial" w:hAnsi="Arial"/>
                <w:sz w:val="14"/>
                <w:szCs w:val="14"/>
                <w:i w:val="1"/>
                <w:iCs w:val="1"/>
                <w:color w:val="auto"/>
                <w:w w:val="93"/>
              </w:rPr>
              <w:t>(Zip Code)</w:t>
            </w:r>
          </w:p>
        </w:tc>
      </w:tr>
      <w:tr>
        <w:trPr>
          <w:trHeight w:val="294"/>
        </w:trPr>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tcPr>
          <w:p>
            <w:pPr>
              <w:jc w:val="right"/>
              <w:ind w:right="3239"/>
              <w:spacing w:after="0"/>
              <w:rPr>
                <w:sz w:val="20"/>
                <w:szCs w:val="20"/>
                <w:color w:val="auto"/>
              </w:rPr>
            </w:pPr>
            <w:r>
              <w:rPr>
                <w:rFonts w:ascii="Arial" w:cs="Arial" w:eastAsia="Arial" w:hAnsi="Arial"/>
                <w:sz w:val="18"/>
                <w:szCs w:val="18"/>
                <w:b w:val="1"/>
                <w:bCs w:val="1"/>
                <w:color w:val="auto"/>
                <w:w w:val="89"/>
              </w:rPr>
              <w:t>(781) 935-5565</w:t>
            </w:r>
          </w:p>
        </w:tc>
      </w:tr>
    </w:tbl>
    <w:p>
      <w:pPr>
        <w:jc w:val="center"/>
        <w:ind w:right="-39"/>
        <w:spacing w:after="0" w:line="235" w:lineRule="auto"/>
        <w:rPr>
          <w:sz w:val="20"/>
          <w:szCs w:val="20"/>
          <w:color w:val="auto"/>
        </w:rPr>
      </w:pPr>
      <w:r>
        <w:rPr>
          <w:rFonts w:ascii="Arial" w:cs="Arial" w:eastAsia="Arial" w:hAnsi="Arial"/>
          <w:sz w:val="14"/>
          <w:szCs w:val="14"/>
          <w:i w:val="1"/>
          <w:iCs w:val="1"/>
          <w:color w:val="auto"/>
        </w:rPr>
        <w:t>(Registrant’s telephone number, including area code)</w:t>
      </w:r>
    </w:p>
    <w:p>
      <w:pPr>
        <w:jc w:val="center"/>
        <w:ind w:right="-3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52070</wp:posOffset>
            </wp:positionV>
            <wp:extent cx="1721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765" w:right="359" w:bottom="1440" w:gutter="0" w:footer="0" w:header="0"/>
        </w:sectPr>
      </w:pPr>
    </w:p>
    <w:p>
      <w:pPr>
        <w:spacing w:after="0" w:line="37"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200" w:space="720"/>
            <w:col w:w="1780" w:space="720"/>
            <w:col w:w="3800"/>
          </w:cols>
          <w:pgMar w:left="320" w:top="765" w:right="35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234" w:lineRule="exact"/>
        <w:rPr>
          <w:sz w:val="24"/>
          <w:szCs w:val="24"/>
          <w:color w:val="auto"/>
        </w:rPr>
      </w:pPr>
    </w:p>
    <w:p>
      <w:pPr>
        <w:sectPr>
          <w:pgSz w:w="11900" w:h="16838" w:orient="portrait"/>
          <w:cols w:equalWidth="0" w:num="3">
            <w:col w:w="4740" w:space="720"/>
            <w:col w:w="1840" w:space="720"/>
            <w:col w:w="3200"/>
          </w:cols>
          <w:pgMar w:left="320" w:top="765" w:right="359" w:bottom="1440" w:gutter="0" w:footer="0" w:header="0"/>
          <w:type w:val="continuous"/>
        </w:sectPr>
      </w:pPr>
    </w:p>
    <w:p>
      <w:pPr>
        <w:spacing w:after="0" w:line="1" w:lineRule="exact"/>
        <w:rPr>
          <w:sz w:val="24"/>
          <w:szCs w:val="24"/>
          <w:color w:val="auto"/>
        </w:rPr>
      </w:pPr>
    </w:p>
    <w:p>
      <w:pPr>
        <w:ind w:right="120" w:firstLine="434"/>
        <w:spacing w:after="0" w:line="23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180" w:firstLine="434"/>
        <w:spacing w:after="0" w:line="23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right="140" w:firstLine="434"/>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0"/>
        </w:trPr>
        <w:tc>
          <w:tcPr>
            <w:tcW w:w="2420" w:type="dxa"/>
            <w:vAlign w:val="bottom"/>
          </w:tcPr>
          <w:p>
            <w:pPr>
              <w:ind w:left="440"/>
              <w:spacing w:after="0" w:line="190" w:lineRule="exact"/>
              <w:rPr>
                <w:sz w:val="20"/>
                <w:szCs w:val="20"/>
                <w:color w:val="auto"/>
              </w:rPr>
            </w:pPr>
            <w:r>
              <w:rPr>
                <w:rFonts w:ascii="Arial" w:cs="Arial" w:eastAsia="Arial" w:hAnsi="Arial"/>
                <w:sz w:val="18"/>
                <w:szCs w:val="18"/>
                <w:color w:val="auto"/>
              </w:rPr>
              <w:t>Large accelerated</w:t>
            </w:r>
          </w:p>
        </w:tc>
        <w:tc>
          <w:tcPr>
            <w:tcW w:w="3060" w:type="dxa"/>
            <w:vAlign w:val="bottom"/>
            <w:vMerge w:val="restart"/>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840" w:type="dxa"/>
            <w:vAlign w:val="bottom"/>
            <w:vMerge w:val="restart"/>
          </w:tcPr>
          <w:p>
            <w:pPr>
              <w:ind w:left="2360"/>
              <w:spacing w:after="0"/>
              <w:rPr>
                <w:sz w:val="20"/>
                <w:szCs w:val="20"/>
                <w:color w:val="auto"/>
              </w:rPr>
            </w:pPr>
            <w:r>
              <w:rPr>
                <w:rFonts w:ascii="Arial" w:cs="Arial" w:eastAsia="Arial" w:hAnsi="Arial"/>
                <w:sz w:val="18"/>
                <w:szCs w:val="18"/>
                <w:color w:val="auto"/>
              </w:rPr>
              <w:t>Accelerated filer</w:t>
            </w:r>
          </w:p>
        </w:tc>
        <w:tc>
          <w:tcPr>
            <w:tcW w:w="760" w:type="dxa"/>
            <w:vAlign w:val="bottom"/>
            <w:vMerge w:val="restart"/>
          </w:tcPr>
          <w:p>
            <w:pPr>
              <w:ind w:left="5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175"/>
        </w:trPr>
        <w:tc>
          <w:tcPr>
            <w:tcW w:w="2420" w:type="dxa"/>
            <w:vAlign w:val="bottom"/>
          </w:tcPr>
          <w:p>
            <w:pPr>
              <w:spacing w:after="0" w:line="175" w:lineRule="exact"/>
              <w:rPr>
                <w:sz w:val="20"/>
                <w:szCs w:val="20"/>
                <w:color w:val="auto"/>
              </w:rPr>
            </w:pPr>
            <w:r>
              <w:rPr>
                <w:rFonts w:ascii="Arial" w:cs="Arial" w:eastAsia="Arial" w:hAnsi="Arial"/>
                <w:sz w:val="18"/>
                <w:szCs w:val="18"/>
                <w:color w:val="auto"/>
              </w:rPr>
              <w:t>filer</w:t>
            </w:r>
          </w:p>
        </w:tc>
        <w:tc>
          <w:tcPr>
            <w:tcW w:w="3060" w:type="dxa"/>
            <w:vAlign w:val="bottom"/>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420" w:type="dxa"/>
            <w:vAlign w:val="bottom"/>
          </w:tcPr>
          <w:p>
            <w:pPr>
              <w:ind w:left="440"/>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8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5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331"/>
        </w:trPr>
        <w:tc>
          <w:tcPr>
            <w:tcW w:w="2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4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5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43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9" w:lineRule="exact"/>
        <w:rPr>
          <w:sz w:val="24"/>
          <w:szCs w:val="24"/>
          <w:color w:val="auto"/>
        </w:rPr>
      </w:pPr>
    </w:p>
    <w:p>
      <w:pPr>
        <w:ind w:left="440"/>
        <w:spacing w:after="0" w:line="242" w:lineRule="exact"/>
        <w:tabs>
          <w:tab w:leader="none" w:pos="8560" w:val="left"/>
          <w:tab w:leader="none" w:pos="9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4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January 29, 2022 there were 523,315,130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624205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60325</wp:posOffset>
            </wp:positionV>
            <wp:extent cx="7094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42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26670</wp:posOffset>
            </wp:positionV>
            <wp:extent cx="7094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 w:name="page2"/>
    <w:bookmarkEnd w:id="1"/>
    <w:p>
      <w:pPr>
        <w:ind w:left="4200"/>
        <w:spacing w:after="0"/>
        <w:rPr>
          <w:sz w:val="20"/>
          <w:szCs w:val="20"/>
          <w:color w:val="auto"/>
        </w:rPr>
      </w:pPr>
      <w:r>
        <w:rPr>
          <w:rFonts w:ascii="Arial" w:cs="Arial" w:eastAsia="Arial" w:hAnsi="Arial"/>
          <w:sz w:val="18"/>
          <w:szCs w:val="18"/>
          <w:b w:val="1"/>
          <w:bCs w:val="1"/>
          <w:color w:val="auto"/>
        </w:rPr>
        <w:t>PART I - FINANCIAL INFORMATION</w:t>
      </w:r>
    </w:p>
    <w:p>
      <w:pPr>
        <w:spacing w:after="0" w:line="227"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36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4"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r>
      <w:tr>
        <w:trPr>
          <w:trHeight w:val="182"/>
        </w:trPr>
        <w:tc>
          <w:tcPr>
            <w:tcW w:w="1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January 29, 2022</w:t>
            </w:r>
          </w:p>
        </w:tc>
        <w:tc>
          <w:tcPr>
            <w:tcW w:w="220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January 30, 2021</w:t>
            </w:r>
          </w:p>
        </w:tc>
      </w:tr>
      <w:tr>
        <w:trPr>
          <w:trHeight w:val="217"/>
        </w:trPr>
        <w:tc>
          <w:tcPr>
            <w:tcW w:w="18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2,684,293$</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1,558,458</w:t>
            </w:r>
          </w:p>
        </w:tc>
      </w:tr>
      <w:tr>
        <w:trPr>
          <w:trHeight w:val="22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les</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1,282,296</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513,087</w:t>
            </w:r>
          </w:p>
        </w:tc>
      </w:tr>
      <w:tr>
        <w:trPr>
          <w:trHeight w:val="217"/>
        </w:trPr>
        <w:tc>
          <w:tcPr>
            <w:tcW w:w="5100" w:type="dxa"/>
            <w:vAlign w:val="bottom"/>
            <w:gridSpan w:val="2"/>
          </w:tcPr>
          <w:p>
            <w:pPr>
              <w:spacing w:after="0" w:line="204" w:lineRule="exact"/>
              <w:rPr>
                <w:sz w:val="20"/>
                <w:szCs w:val="20"/>
                <w:color w:val="auto"/>
              </w:rPr>
            </w:pPr>
            <w:r>
              <w:rPr>
                <w:rFonts w:ascii="Arial" w:cs="Arial" w:eastAsia="Arial" w:hAnsi="Arial"/>
                <w:sz w:val="18"/>
                <w:szCs w:val="18"/>
                <w:color w:val="auto"/>
              </w:rPr>
              <w:t>margin</w:t>
            </w:r>
          </w:p>
        </w:tc>
        <w:tc>
          <w:tcPr>
            <w:tcW w:w="18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1,401,997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1,045,371</w:t>
            </w:r>
          </w:p>
        </w:tc>
      </w:tr>
      <w:tr>
        <w:trPr>
          <w:trHeight w:val="224"/>
        </w:trPr>
        <w:tc>
          <w:tcPr>
            <w:tcW w:w="5100" w:type="dxa"/>
            <w:vAlign w:val="bottom"/>
            <w:gridSpan w:val="2"/>
          </w:tcPr>
          <w:p>
            <w:pPr>
              <w:ind w:left="80"/>
              <w:spacing w:after="0"/>
              <w:rPr>
                <w:sz w:val="20"/>
                <w:szCs w:val="20"/>
                <w:color w:val="auto"/>
              </w:rPr>
            </w:pPr>
            <w:r>
              <w:rPr>
                <w:rFonts w:ascii="Arial" w:cs="Arial" w:eastAsia="Arial" w:hAnsi="Arial"/>
                <w:sz w:val="18"/>
                <w:szCs w:val="18"/>
                <w:color w:val="auto"/>
              </w:rPr>
              <w:t>expenses:</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100" w:type="dxa"/>
            <w:vAlign w:val="bottom"/>
            <w:gridSpan w:val="2"/>
          </w:tcPr>
          <w:p>
            <w:pPr>
              <w:spacing w:after="0"/>
              <w:rPr>
                <w:sz w:val="20"/>
                <w:szCs w:val="20"/>
                <w:color w:val="auto"/>
              </w:rPr>
            </w:pPr>
            <w:r>
              <w:rPr>
                <w:rFonts w:ascii="Arial" w:cs="Arial" w:eastAsia="Arial" w:hAnsi="Arial"/>
                <w:sz w:val="18"/>
                <w:szCs w:val="18"/>
                <w:color w:val="auto"/>
              </w:rPr>
              <w:t>esearch and development</w:t>
            </w:r>
          </w:p>
        </w:tc>
        <w:tc>
          <w:tcPr>
            <w:tcW w:w="182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426,780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288,150</w:t>
            </w:r>
          </w:p>
        </w:tc>
      </w:tr>
      <w:tr>
        <w:trPr>
          <w:trHeight w:val="224"/>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lling, marketing, general and administrative</w:t>
            </w:r>
          </w:p>
        </w:tc>
        <w:tc>
          <w:tcPr>
            <w:tcW w:w="182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297,365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185,275</w:t>
            </w:r>
          </w:p>
        </w:tc>
      </w:tr>
      <w:tr>
        <w:trPr>
          <w:trHeight w:val="224"/>
        </w:trPr>
        <w:tc>
          <w:tcPr>
            <w:tcW w:w="18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mortization of intangibles</w:t>
            </w:r>
          </w:p>
        </w:tc>
        <w:tc>
          <w:tcPr>
            <w:tcW w:w="182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253,367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107,648</w:t>
            </w: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pecial charges, net</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59,728</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17"/>
        </w:trPr>
        <w:tc>
          <w:tcPr>
            <w:tcW w:w="5100" w:type="dxa"/>
            <w:vAlign w:val="bottom"/>
            <w:gridSpan w:val="2"/>
          </w:tcPr>
          <w:p>
            <w:pPr>
              <w:spacing w:after="0" w:line="204" w:lineRule="exact"/>
              <w:rPr>
                <w:sz w:val="20"/>
                <w:szCs w:val="20"/>
                <w:color w:val="auto"/>
              </w:rPr>
            </w:pPr>
            <w:r>
              <w:rPr>
                <w:rFonts w:ascii="Arial" w:cs="Arial" w:eastAsia="Arial" w:hAnsi="Arial"/>
                <w:sz w:val="18"/>
                <w:szCs w:val="18"/>
                <w:color w:val="auto"/>
              </w:rPr>
              <w:t>rating expenses</w:t>
            </w:r>
          </w:p>
        </w:tc>
        <w:tc>
          <w:tcPr>
            <w:tcW w:w="18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1,037,240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581,511</w:t>
            </w:r>
          </w:p>
        </w:tc>
      </w:tr>
      <w:tr>
        <w:trPr>
          <w:trHeight w:val="224"/>
        </w:trPr>
        <w:tc>
          <w:tcPr>
            <w:tcW w:w="5100" w:type="dxa"/>
            <w:vAlign w:val="bottom"/>
            <w:gridSpan w:val="2"/>
          </w:tcPr>
          <w:p>
            <w:pPr>
              <w:ind w:left="80"/>
              <w:spacing w:after="0"/>
              <w:rPr>
                <w:sz w:val="20"/>
                <w:szCs w:val="20"/>
                <w:color w:val="auto"/>
              </w:rPr>
            </w:pPr>
            <w:r>
              <w:rPr>
                <w:rFonts w:ascii="Arial" w:cs="Arial" w:eastAsia="Arial" w:hAnsi="Arial"/>
                <w:sz w:val="18"/>
                <w:szCs w:val="18"/>
                <w:color w:val="auto"/>
              </w:rPr>
              <w:t>income:</w:t>
            </w:r>
          </w:p>
        </w:tc>
        <w:tc>
          <w:tcPr>
            <w:tcW w:w="182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364,757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463,860</w:t>
            </w:r>
          </w:p>
        </w:tc>
      </w:tr>
      <w:tr>
        <w:trPr>
          <w:trHeight w:val="22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ting expense (income):</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100" w:type="dxa"/>
            <w:vAlign w:val="bottom"/>
            <w:gridSpan w:val="2"/>
          </w:tcPr>
          <w:p>
            <w:pPr>
              <w:spacing w:after="0"/>
              <w:rPr>
                <w:sz w:val="20"/>
                <w:szCs w:val="20"/>
                <w:color w:val="auto"/>
              </w:rPr>
            </w:pPr>
            <w:r>
              <w:rPr>
                <w:rFonts w:ascii="Arial" w:cs="Arial" w:eastAsia="Arial" w:hAnsi="Arial"/>
                <w:sz w:val="18"/>
                <w:szCs w:val="18"/>
                <w:color w:val="auto"/>
              </w:rPr>
              <w:t>terest expense</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51,964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42,479</w:t>
            </w:r>
          </w:p>
        </w:tc>
      </w:tr>
      <w:tr>
        <w:trPr>
          <w:trHeight w:val="224"/>
        </w:trPr>
        <w:tc>
          <w:tcPr>
            <w:tcW w:w="5100" w:type="dxa"/>
            <w:vAlign w:val="bottom"/>
            <w:gridSpan w:val="2"/>
          </w:tcPr>
          <w:p>
            <w:pPr>
              <w:spacing w:after="0"/>
              <w:rPr>
                <w:sz w:val="20"/>
                <w:szCs w:val="20"/>
                <w:color w:val="auto"/>
              </w:rPr>
            </w:pPr>
            <w:r>
              <w:rPr>
                <w:rFonts w:ascii="Arial" w:cs="Arial" w:eastAsia="Arial" w:hAnsi="Arial"/>
                <w:sz w:val="18"/>
                <w:szCs w:val="18"/>
                <w:color w:val="auto"/>
              </w:rPr>
              <w:t>terest income</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4"/>
        </w:trPr>
        <w:tc>
          <w:tcPr>
            <w:tcW w:w="5100" w:type="dxa"/>
            <w:vAlign w:val="bottom"/>
            <w:gridSpan w:val="2"/>
          </w:tcPr>
          <w:p>
            <w:pPr>
              <w:spacing w:after="0"/>
              <w:rPr>
                <w:sz w:val="20"/>
                <w:szCs w:val="20"/>
                <w:color w:val="auto"/>
              </w:rPr>
            </w:pPr>
            <w:r>
              <w:rPr>
                <w:rFonts w:ascii="Arial" w:cs="Arial" w:eastAsia="Arial" w:hAnsi="Arial"/>
                <w:sz w:val="18"/>
                <w:szCs w:val="18"/>
                <w:color w:val="auto"/>
              </w:rPr>
              <w:t>ther, net</w:t>
            </w:r>
          </w:p>
        </w:tc>
        <w:tc>
          <w:tcPr>
            <w:tcW w:w="182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(10,544)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(15,028)</w:t>
            </w:r>
          </w:p>
        </w:tc>
      </w:tr>
      <w:tr>
        <w:trPr>
          <w:trHeight w:val="217"/>
        </w:trPr>
        <w:tc>
          <w:tcPr>
            <w:tcW w:w="5100" w:type="dxa"/>
            <w:vAlign w:val="bottom"/>
            <w:gridSpan w:val="2"/>
          </w:tcPr>
          <w:p>
            <w:pPr>
              <w:spacing w:after="0" w:line="204" w:lineRule="exact"/>
              <w:rPr>
                <w:sz w:val="20"/>
                <w:szCs w:val="20"/>
                <w:color w:val="auto"/>
              </w:rPr>
            </w:pPr>
            <w:r>
              <w:rPr>
                <w:rFonts w:ascii="Arial" w:cs="Arial" w:eastAsia="Arial" w:hAnsi="Arial"/>
                <w:sz w:val="18"/>
                <w:szCs w:val="18"/>
                <w:color w:val="auto"/>
              </w:rPr>
              <w:t>operating expense (income)</w:t>
            </w:r>
          </w:p>
        </w:tc>
        <w:tc>
          <w:tcPr>
            <w:tcW w:w="1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41,202</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27,242</w:t>
            </w:r>
          </w:p>
        </w:tc>
      </w:tr>
      <w:tr>
        <w:trPr>
          <w:trHeight w:val="217"/>
        </w:trPr>
        <w:tc>
          <w:tcPr>
            <w:tcW w:w="5100" w:type="dxa"/>
            <w:vAlign w:val="bottom"/>
            <w:gridSpan w:val="2"/>
          </w:tcPr>
          <w:p>
            <w:pPr>
              <w:spacing w:after="0" w:line="204" w:lineRule="exact"/>
              <w:rPr>
                <w:sz w:val="20"/>
                <w:szCs w:val="20"/>
                <w:color w:val="auto"/>
              </w:rPr>
            </w:pPr>
            <w:r>
              <w:rPr>
                <w:rFonts w:ascii="Arial" w:cs="Arial" w:eastAsia="Arial" w:hAnsi="Arial"/>
                <w:sz w:val="18"/>
                <w:szCs w:val="18"/>
                <w:color w:val="auto"/>
              </w:rPr>
              <w:t>efore income taxes</w:t>
            </w:r>
          </w:p>
        </w:tc>
        <w:tc>
          <w:tcPr>
            <w:tcW w:w="18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323,555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436,618</w:t>
            </w:r>
          </w:p>
        </w:tc>
      </w:tr>
      <w:tr>
        <w:trPr>
          <w:trHeight w:val="224"/>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for income taxes</w:t>
            </w: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43,478</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48,099</w:t>
            </w:r>
          </w:p>
        </w:tc>
      </w:tr>
      <w:tr>
        <w:trPr>
          <w:trHeight w:val="217"/>
        </w:trPr>
        <w:tc>
          <w:tcPr>
            <w:tcW w:w="5100" w:type="dxa"/>
            <w:vAlign w:val="bottom"/>
            <w:gridSpan w:val="2"/>
          </w:tcPr>
          <w:p>
            <w:pPr>
              <w:spacing w:after="0" w:line="204" w:lineRule="exact"/>
              <w:rPr>
                <w:sz w:val="20"/>
                <w:szCs w:val="20"/>
                <w:color w:val="auto"/>
              </w:rPr>
            </w:pPr>
            <w:r>
              <w:rPr>
                <w:rFonts w:ascii="Arial" w:cs="Arial" w:eastAsia="Arial" w:hAnsi="Arial"/>
                <w:sz w:val="18"/>
                <w:szCs w:val="18"/>
                <w:color w:val="auto"/>
              </w:rPr>
              <w:t>me</w:t>
            </w:r>
          </w:p>
        </w:tc>
        <w:tc>
          <w:tcPr>
            <w:tcW w:w="1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$280,077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388,519</w:t>
            </w:r>
          </w:p>
        </w:tc>
      </w:tr>
      <w:tr>
        <w:trPr>
          <w:trHeight w:val="20"/>
        </w:trPr>
        <w:tc>
          <w:tcPr>
            <w:tcW w:w="180" w:type="dxa"/>
            <w:vAlign w:val="bottom"/>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ed to compute earnings per common share – basic</w:t>
            </w:r>
          </w:p>
        </w:tc>
        <w:tc>
          <w:tcPr>
            <w:tcW w:w="182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525,291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369,203</w:t>
            </w:r>
          </w:p>
        </w:tc>
      </w:tr>
      <w:tr>
        <w:trPr>
          <w:trHeight w:val="224"/>
        </w:trPr>
        <w:tc>
          <w:tcPr>
            <w:tcW w:w="180" w:type="dxa"/>
            <w:vAlign w:val="bottom"/>
          </w:tcPr>
          <w:p>
            <w:pPr>
              <w:spacing w:after="0"/>
              <w:rPr>
                <w:sz w:val="20"/>
                <w:szCs w:val="20"/>
                <w:color w:val="auto"/>
              </w:rPr>
            </w:pPr>
            <w:r>
              <w:rPr>
                <w:rFonts w:ascii="Arial" w:cs="Arial" w:eastAsia="Arial" w:hAnsi="Arial"/>
                <w:sz w:val="18"/>
                <w:szCs w:val="18"/>
                <w:color w:val="auto"/>
                <w:w w:val="79"/>
              </w:rPr>
              <w:t>ed</w:t>
            </w:r>
          </w:p>
        </w:tc>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 compute earnings per common share – diluted</w:t>
            </w:r>
          </w:p>
        </w:tc>
        <w:tc>
          <w:tcPr>
            <w:tcW w:w="182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530,142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373,106</w:t>
            </w:r>
          </w:p>
        </w:tc>
      </w:tr>
      <w:tr>
        <w:trPr>
          <w:trHeight w:val="486"/>
        </w:trPr>
        <w:tc>
          <w:tcPr>
            <w:tcW w:w="5100" w:type="dxa"/>
            <w:vAlign w:val="bottom"/>
            <w:gridSpan w:val="2"/>
          </w:tcPr>
          <w:p>
            <w:pPr>
              <w:spacing w:after="0"/>
              <w:rPr>
                <w:sz w:val="20"/>
                <w:szCs w:val="20"/>
                <w:color w:val="auto"/>
              </w:rPr>
            </w:pPr>
            <w:r>
              <w:rPr>
                <w:rFonts w:ascii="Arial" w:cs="Arial" w:eastAsia="Arial" w:hAnsi="Arial"/>
                <w:sz w:val="18"/>
                <w:szCs w:val="18"/>
                <w:color w:val="auto"/>
              </w:rPr>
              <w:t>nings per common share</w:t>
            </w:r>
          </w:p>
        </w:tc>
        <w:tc>
          <w:tcPr>
            <w:tcW w:w="1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4"/>
        </w:trPr>
        <w:tc>
          <w:tcPr>
            <w:tcW w:w="5100" w:type="dxa"/>
            <w:vAlign w:val="bottom"/>
            <w:gridSpan w:val="2"/>
          </w:tcPr>
          <w:p>
            <w:pPr>
              <w:spacing w:after="0"/>
              <w:rPr>
                <w:sz w:val="20"/>
                <w:szCs w:val="20"/>
                <w:color w:val="auto"/>
              </w:rPr>
            </w:pPr>
            <w:r>
              <w:rPr>
                <w:rFonts w:ascii="Arial" w:cs="Arial" w:eastAsia="Arial" w:hAnsi="Arial"/>
                <w:sz w:val="18"/>
                <w:szCs w:val="18"/>
                <w:color w:val="auto"/>
              </w:rPr>
              <w:t>arnings per common share</w:t>
            </w:r>
          </w:p>
        </w:tc>
        <w:tc>
          <w:tcPr>
            <w:tcW w:w="1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-3232785</wp:posOffset>
            </wp:positionV>
            <wp:extent cx="6534150" cy="150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150" cy="15049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-2940050</wp:posOffset>
            </wp:positionV>
            <wp:extent cx="6534150" cy="142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4150" cy="14224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-2371725</wp:posOffset>
            </wp:positionV>
            <wp:extent cx="6534150" cy="150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4150" cy="15049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-2079625</wp:posOffset>
            </wp:positionV>
            <wp:extent cx="6534150" cy="142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34150" cy="14224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-1795145</wp:posOffset>
            </wp:positionV>
            <wp:extent cx="6534150" cy="142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4150" cy="14224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-1511300</wp:posOffset>
            </wp:positionV>
            <wp:extent cx="6534150" cy="150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4150" cy="15049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-1210310</wp:posOffset>
            </wp:positionV>
            <wp:extent cx="6534150" cy="142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4150" cy="14224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-283210</wp:posOffset>
            </wp:positionV>
            <wp:extent cx="6534150" cy="142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4150" cy="1422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80"/>
          </w:cols>
          <w:pgMar w:left="220" w:top="990" w:right="1199" w:bottom="1440" w:gutter="0" w:footer="0" w:header="0"/>
        </w:sectPr>
      </w:pPr>
    </w:p>
    <w:bookmarkStart w:id="2" w:name="page3"/>
    <w:bookmarkEnd w:id="2"/>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2"/>
        </w:trPr>
        <w:tc>
          <w:tcPr>
            <w:tcW w:w="7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20" w:type="dxa"/>
            <w:vAlign w:val="bottom"/>
          </w:tcPr>
          <w:p>
            <w:pPr>
              <w:spacing w:after="0"/>
              <w:rPr>
                <w:sz w:val="15"/>
                <w:szCs w:val="15"/>
                <w:color w:val="auto"/>
              </w:rPr>
            </w:pPr>
          </w:p>
        </w:tc>
        <w:tc>
          <w:tcPr>
            <w:tcW w:w="144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January 30, 2021</w:t>
            </w:r>
          </w:p>
        </w:tc>
        <w:tc>
          <w:tcPr>
            <w:tcW w:w="0" w:type="dxa"/>
            <w:vAlign w:val="bottom"/>
          </w:tcPr>
          <w:p>
            <w:pPr>
              <w:spacing w:after="0"/>
              <w:rPr>
                <w:sz w:val="1"/>
                <w:szCs w:val="1"/>
                <w:color w:val="auto"/>
              </w:rPr>
            </w:pPr>
          </w:p>
        </w:tc>
      </w:tr>
      <w:tr>
        <w:trPr>
          <w:trHeight w:val="217"/>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280,077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388,519</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92"/>
              </w:rPr>
              <w:t>Change in fair value of derivative instruments designated as cash flow hedges (net of taxes of $506 and</w:t>
            </w:r>
          </w:p>
        </w:tc>
        <w:tc>
          <w:tcPr>
            <w:tcW w:w="2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$6,661, respectively)</w:t>
            </w: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780" w:type="dxa"/>
            <w:vAlign w:val="bottom"/>
          </w:tcPr>
          <w:p>
            <w:pPr>
              <w:ind w:left="140"/>
              <w:spacing w:after="0" w:line="172" w:lineRule="exact"/>
              <w:rPr>
                <w:sz w:val="20"/>
                <w:szCs w:val="20"/>
                <w:color w:val="auto"/>
              </w:rPr>
            </w:pPr>
            <w:r>
              <w:rPr>
                <w:rFonts w:ascii="Arial" w:cs="Arial" w:eastAsia="Arial" w:hAnsi="Arial"/>
                <w:sz w:val="18"/>
                <w:szCs w:val="18"/>
                <w:color w:val="auto"/>
                <w:w w:val="91"/>
              </w:rPr>
              <w:t>Changes in pension plans, net actuarial loss and foreign currency translation adjustments (net of taxes of</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$96 and $86, respectively)</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30,960</w:t>
            </w:r>
          </w:p>
        </w:tc>
        <w:tc>
          <w:tcPr>
            <w:tcW w:w="0" w:type="dxa"/>
            <w:vAlign w:val="bottom"/>
          </w:tcPr>
          <w:p>
            <w:pPr>
              <w:spacing w:after="0"/>
              <w:rPr>
                <w:sz w:val="1"/>
                <w:szCs w:val="1"/>
                <w:color w:val="auto"/>
              </w:rPr>
            </w:pPr>
          </w:p>
        </w:tc>
      </w:tr>
      <w:tr>
        <w:trPr>
          <w:trHeight w:val="217"/>
        </w:trPr>
        <w:tc>
          <w:tcPr>
            <w:tcW w:w="77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278,024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419,479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 2022</w:t>
            </w:r>
          </w:p>
        </w:tc>
        <w:tc>
          <w:tcPr>
            <w:tcW w:w="240" w:type="dxa"/>
            <w:vAlign w:val="bottom"/>
          </w:tcPr>
          <w:p>
            <w:pPr>
              <w:spacing w:after="0"/>
              <w:rPr>
                <w:sz w:val="16"/>
                <w:szCs w:val="16"/>
                <w:color w:val="auto"/>
              </w:rPr>
            </w:pPr>
          </w:p>
        </w:tc>
        <w:tc>
          <w:tcPr>
            <w:tcW w:w="1520" w:type="dxa"/>
            <w:vAlign w:val="bottom"/>
          </w:tcPr>
          <w:p>
            <w:pPr>
              <w:jc w:val="right"/>
              <w:ind w:right="281"/>
              <w:spacing w:after="0"/>
              <w:rPr>
                <w:sz w:val="20"/>
                <w:szCs w:val="20"/>
                <w:color w:val="auto"/>
              </w:rPr>
            </w:pPr>
            <w:r>
              <w:rPr>
                <w:rFonts w:ascii="Arial" w:cs="Arial" w:eastAsia="Arial" w:hAnsi="Arial"/>
                <w:sz w:val="14"/>
                <w:szCs w:val="14"/>
                <w:b w:val="1"/>
                <w:bCs w:val="1"/>
                <w:color w:val="auto"/>
              </w:rPr>
              <w:t>October 30, 2021</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1,977,964</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1,636,928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1,459,056</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972,571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1,200,610</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740,687</w:t>
            </w:r>
          </w:p>
        </w:tc>
        <w:tc>
          <w:tcPr>
            <w:tcW w:w="0" w:type="dxa"/>
            <w:vAlign w:val="bottom"/>
          </w:tcPr>
          <w:p>
            <w:pPr>
              <w:spacing w:after="0"/>
              <w:rPr>
                <w:sz w:val="1"/>
                <w:szCs w:val="1"/>
                <w:color w:val="auto"/>
              </w:rPr>
            </w:pP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4,636,695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5,378,317</w:t>
            </w:r>
          </w:p>
        </w:tc>
        <w:tc>
          <w:tcPr>
            <w:tcW w:w="0" w:type="dxa"/>
            <w:vAlign w:val="bottom"/>
          </w:tcPr>
          <w:p>
            <w:pPr>
              <w:spacing w:after="0"/>
              <w:rPr>
                <w:sz w:val="1"/>
                <w:szCs w:val="1"/>
                <w:color w:val="auto"/>
              </w:rPr>
            </w:pPr>
          </w:p>
        </w:tc>
      </w:tr>
      <w:tr>
        <w:trPr>
          <w:trHeight w:val="208"/>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property, plant and equipment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2,037,290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1,979,051</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26,940,594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26,918,470</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14,762,722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15,267,170</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2,317,301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2,267,269</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511,794</w:t>
            </w:r>
          </w:p>
        </w:tc>
        <w:tc>
          <w:tcPr>
            <w:tcW w:w="0" w:type="dxa"/>
            <w:vAlign w:val="bottom"/>
          </w:tcPr>
          <w:p>
            <w:pPr>
              <w:spacing w:after="0"/>
              <w:rPr>
                <w:sz w:val="1"/>
                <w:szCs w:val="1"/>
                <w:color w:val="auto"/>
              </w:rPr>
            </w:pPr>
          </w:p>
        </w:tc>
      </w:tr>
      <w:tr>
        <w:trPr>
          <w:trHeight w:val="200"/>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46,578,919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46,943,754</w:t>
            </w:r>
          </w:p>
        </w:tc>
        <w:tc>
          <w:tcPr>
            <w:tcW w:w="0" w:type="dxa"/>
            <w:vAlign w:val="bottom"/>
          </w:tcPr>
          <w:p>
            <w:pPr>
              <w:spacing w:after="0"/>
              <w:rPr>
                <w:sz w:val="1"/>
                <w:szCs w:val="1"/>
                <w:color w:val="auto"/>
              </w:rPr>
            </w:pP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51,215,614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52,322,071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436,227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443,434</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332,685</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Debt, current</w:t>
            </w:r>
          </w:p>
        </w:tc>
        <w:tc>
          <w:tcPr>
            <w:tcW w:w="2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516,663</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1,385,259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1,477,530</w:t>
            </w:r>
          </w:p>
        </w:tc>
        <w:tc>
          <w:tcPr>
            <w:tcW w:w="0" w:type="dxa"/>
            <w:vAlign w:val="bottom"/>
          </w:tcPr>
          <w:p>
            <w:pPr>
              <w:spacing w:after="0"/>
              <w:rPr>
                <w:sz w:val="1"/>
                <w:szCs w:val="1"/>
                <w:color w:val="auto"/>
              </w:rPr>
            </w:pPr>
          </w:p>
        </w:tc>
      </w:tr>
      <w:tr>
        <w:trPr>
          <w:trHeight w:val="200"/>
        </w:trPr>
        <w:tc>
          <w:tcPr>
            <w:tcW w:w="758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2,221,906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2,770,312</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6,253,575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6,253,212</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3,952,185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3,938,830</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832,204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811,337</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528,432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555,838</w:t>
            </w:r>
          </w:p>
        </w:tc>
        <w:tc>
          <w:tcPr>
            <w:tcW w:w="0" w:type="dxa"/>
            <w:vAlign w:val="bottom"/>
          </w:tcPr>
          <w:p>
            <w:pPr>
              <w:spacing w:after="0"/>
              <w:rPr>
                <w:sz w:val="1"/>
                <w:szCs w:val="1"/>
                <w:color w:val="auto"/>
              </w:rPr>
            </w:pPr>
          </w:p>
        </w:tc>
      </w:tr>
      <w:tr>
        <w:trPr>
          <w:trHeight w:val="200"/>
        </w:trPr>
        <w:tc>
          <w:tcPr>
            <w:tcW w:w="7580" w:type="dxa"/>
            <w:vAlign w:val="bottom"/>
          </w:tcPr>
          <w:p>
            <w:pPr>
              <w:ind w:left="140"/>
              <w:spacing w:after="0"/>
              <w:rPr>
                <w:sz w:val="20"/>
                <w:szCs w:val="20"/>
                <w:color w:val="auto"/>
              </w:rPr>
            </w:pPr>
            <w:r>
              <w:rPr>
                <w:rFonts w:ascii="Arial" w:cs="Arial" w:eastAsia="Arial" w:hAnsi="Arial"/>
                <w:sz w:val="16"/>
                <w:szCs w:val="16"/>
                <w:color w:val="auto"/>
              </w:rPr>
              <w:t>Total non-current liabilities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11,566,396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11,559,217</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2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758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0"/>
              </w:rPr>
              <w:t>Common stock, 0.16 2/3 par value, 1,200,000,000 shares authorized, 523,315,130 shares outstanding (525,330,672</w:t>
            </w:r>
          </w:p>
        </w:tc>
        <w:tc>
          <w:tcPr>
            <w:tcW w:w="2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87,221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87,554</w:t>
            </w:r>
          </w:p>
        </w:tc>
        <w:tc>
          <w:tcPr>
            <w:tcW w:w="0" w:type="dxa"/>
            <w:vAlign w:val="bottom"/>
          </w:tcPr>
          <w:p>
            <w:pPr>
              <w:spacing w:after="0"/>
              <w:rPr>
                <w:sz w:val="1"/>
                <w:szCs w:val="1"/>
                <w:color w:val="auto"/>
              </w:rPr>
            </w:pP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 October 30, 2021)</w:t>
            </w:r>
          </w:p>
        </w:tc>
        <w:tc>
          <w:tcPr>
            <w:tcW w:w="2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30,093,961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30,574,237</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7,434,748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7,517,316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(186,565)</w:t>
            </w:r>
          </w:p>
        </w:tc>
        <w:tc>
          <w:tcPr>
            <w:tcW w:w="0" w:type="dxa"/>
            <w:vAlign w:val="bottom"/>
          </w:tcPr>
          <w:p>
            <w:pPr>
              <w:spacing w:after="0"/>
              <w:rPr>
                <w:sz w:val="1"/>
                <w:szCs w:val="1"/>
                <w:color w:val="auto"/>
              </w:rPr>
            </w:pPr>
          </w:p>
        </w:tc>
      </w:tr>
      <w:tr>
        <w:trPr>
          <w:trHeight w:val="204"/>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37,427,312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37,992,542</w:t>
            </w:r>
          </w:p>
        </w:tc>
        <w:tc>
          <w:tcPr>
            <w:tcW w:w="0" w:type="dxa"/>
            <w:vAlign w:val="bottom"/>
          </w:tcPr>
          <w:p>
            <w:pPr>
              <w:spacing w:after="0"/>
              <w:rPr>
                <w:sz w:val="1"/>
                <w:szCs w:val="1"/>
                <w:color w:val="auto"/>
              </w:rPr>
            </w:pPr>
          </w:p>
        </w:tc>
      </w:tr>
      <w:tr>
        <w:trPr>
          <w:trHeight w:val="20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51,215,614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52,322,071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2"/>
          </w:tcPr>
          <w:p>
            <w:pPr>
              <w:jc w:val="center"/>
              <w:ind w:left="118"/>
              <w:spacing w:after="0"/>
              <w:rPr>
                <w:sz w:val="20"/>
                <w:szCs w:val="20"/>
                <w:color w:val="auto"/>
              </w:rPr>
            </w:pPr>
            <w:r>
              <w:rPr>
                <w:rFonts w:ascii="Arial" w:cs="Arial" w:eastAsia="Arial" w:hAnsi="Arial"/>
                <w:sz w:val="14"/>
                <w:szCs w:val="14"/>
                <w:b w:val="1"/>
                <w:bCs w:val="1"/>
                <w:color w:val="auto"/>
                <w:w w:val="91"/>
              </w:rPr>
              <w:t>Three Months Ended January 29, 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Capital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160"/>
              <w:spacing w:after="0" w:line="130"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8"/>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Excess of</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4"/>
        </w:trPr>
        <w:tc>
          <w:tcPr>
            <w:tcW w:w="4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Par Value</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30,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30,574,237</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7,517,316</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(186,565)</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280,077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declared and paid - $0.69 per share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8"/>
              </w:rPr>
              <w:t>(362,645)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(575,586)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JANUARY 29, 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523,315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30,093,961</w:t>
            </w:r>
          </w:p>
        </w:tc>
        <w:tc>
          <w:tcPr>
            <w:tcW w:w="4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7,434,748</w:t>
            </w:r>
          </w:p>
        </w:tc>
        <w:tc>
          <w:tcPr>
            <w:tcW w:w="4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(188,618)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5"/>
        </w:trPr>
        <w:tc>
          <w:tcPr>
            <w:tcW w:w="4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2"/>
          </w:tcPr>
          <w:p>
            <w:pPr>
              <w:ind w:left="660"/>
              <w:spacing w:after="0"/>
              <w:rPr>
                <w:sz w:val="20"/>
                <w:szCs w:val="20"/>
                <w:color w:val="auto"/>
              </w:rPr>
            </w:pPr>
            <w:r>
              <w:rPr>
                <w:rFonts w:ascii="Arial" w:cs="Arial" w:eastAsia="Arial" w:hAnsi="Arial"/>
                <w:sz w:val="14"/>
                <w:szCs w:val="14"/>
                <w:b w:val="1"/>
                <w:bCs w:val="1"/>
                <w:color w:val="auto"/>
              </w:rPr>
              <w:t>Three Months Ended January 30, 2021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Capital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122"/>
              <w:spacing w:after="0" w:line="130"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8"/>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Excess of</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4"/>
        </w:trPr>
        <w:tc>
          <w:tcPr>
            <w:tcW w:w="484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CEEFF"/>
            </w:tcBorders>
            <w:gridSpan w:val="2"/>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Par Value</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31, 2020</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4,949,586</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7,236,238</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388,519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declared and paid - $0.62 per share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JANUARY 30, 2021</w:t>
            </w:r>
          </w:p>
        </w:tc>
        <w:tc>
          <w:tcPr>
            <w:tcW w:w="1020" w:type="dxa"/>
            <w:vAlign w:val="bottom"/>
          </w:tcPr>
          <w:p>
            <w:pPr>
              <w:jc w:val="right"/>
              <w:spacing w:after="0"/>
              <w:rPr>
                <w:sz w:val="20"/>
                <w:szCs w:val="20"/>
                <w:color w:val="auto"/>
              </w:rPr>
            </w:pPr>
            <w:r>
              <w:rPr>
                <w:rFonts w:ascii="Arial" w:cs="Arial" w:eastAsia="Arial" w:hAnsi="Arial"/>
                <w:sz w:val="18"/>
                <w:szCs w:val="18"/>
                <w:color w:val="auto"/>
              </w:rPr>
              <w:t>368,894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4,849,185</w:t>
            </w:r>
          </w:p>
        </w:tc>
        <w:tc>
          <w:tcPr>
            <w:tcW w:w="40" w:type="dxa"/>
            <w:vAlign w:val="bottom"/>
          </w:tcPr>
          <w:p>
            <w:pPr>
              <w:spacing w:after="0"/>
              <w:rPr>
                <w:sz w:val="18"/>
                <w:szCs w:val="18"/>
                <w:color w:val="auto"/>
              </w:rPr>
            </w:pPr>
          </w:p>
        </w:tc>
        <w:tc>
          <w:tcPr>
            <w:tcW w:w="30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7,395,578</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(218,501)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101"/>
              <w:spacing w:after="0"/>
              <w:rPr>
                <w:sz w:val="20"/>
                <w:szCs w:val="20"/>
                <w:color w:val="auto"/>
              </w:rPr>
            </w:pPr>
            <w:r>
              <w:rPr>
                <w:rFonts w:ascii="Arial" w:cs="Arial" w:eastAsia="Arial" w:hAnsi="Arial"/>
                <w:sz w:val="14"/>
                <w:szCs w:val="14"/>
                <w:b w:val="1"/>
                <w:bCs w:val="1"/>
                <w:color w:val="auto"/>
              </w:rPr>
              <w:t>Three Months Ended</w:t>
            </w:r>
          </w:p>
        </w:tc>
      </w:tr>
      <w:tr>
        <w:trPr>
          <w:trHeight w:val="182"/>
        </w:trPr>
        <w:tc>
          <w:tcPr>
            <w:tcW w:w="7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29, 2022</w:t>
            </w:r>
          </w:p>
        </w:tc>
        <w:tc>
          <w:tcPr>
            <w:tcW w:w="22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Arial" w:cs="Arial" w:eastAsia="Arial" w:hAnsi="Arial"/>
                <w:sz w:val="14"/>
                <w:szCs w:val="14"/>
                <w:b w:val="1"/>
                <w:bCs w:val="1"/>
                <w:color w:val="auto"/>
              </w:rPr>
              <w:t>January 30, 2021</w:t>
            </w:r>
          </w:p>
        </w:tc>
      </w:tr>
      <w:tr>
        <w:trPr>
          <w:trHeight w:val="191"/>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207"/>
        </w:trPr>
        <w:tc>
          <w:tcPr>
            <w:tcW w:w="75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280,077</w:t>
            </w:r>
          </w:p>
        </w:tc>
        <w:tc>
          <w:tcPr>
            <w:tcW w:w="1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388,519</w:t>
            </w:r>
          </w:p>
        </w:tc>
      </w:tr>
      <w:tr>
        <w:trPr>
          <w:trHeight w:val="214"/>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7"/>
        </w:trPr>
        <w:tc>
          <w:tcPr>
            <w:tcW w:w="758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65,165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56,309</w:t>
            </w:r>
          </w:p>
        </w:tc>
      </w:tr>
      <w:tr>
        <w:trPr>
          <w:trHeight w:val="214"/>
        </w:trPr>
        <w:tc>
          <w:tcPr>
            <w:tcW w:w="7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145,044</w:t>
            </w:r>
          </w:p>
        </w:tc>
      </w:tr>
      <w:tr>
        <w:trPr>
          <w:trHeight w:val="207"/>
        </w:trPr>
        <w:tc>
          <w:tcPr>
            <w:tcW w:w="7580" w:type="dxa"/>
            <w:vAlign w:val="bottom"/>
          </w:tcPr>
          <w:p>
            <w:pPr>
              <w:ind w:left="66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86,939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36,638</w:t>
            </w:r>
          </w:p>
        </w:tc>
      </w:tr>
      <w:tr>
        <w:trPr>
          <w:trHeight w:val="214"/>
        </w:trPr>
        <w:tc>
          <w:tcPr>
            <w:tcW w:w="7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Cost of goods sold for inventory acquired</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58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(34,651)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(27,275)</w:t>
            </w:r>
          </w:p>
        </w:tc>
      </w:tr>
      <w:tr>
        <w:trPr>
          <w:trHeight w:val="214"/>
        </w:trPr>
        <w:tc>
          <w:tcPr>
            <w:tcW w:w="7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(14,553)</w:t>
            </w:r>
          </w:p>
        </w:tc>
      </w:tr>
      <w:tr>
        <w:trPr>
          <w:trHeight w:val="207"/>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(315,410)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(156,741)</w:t>
            </w:r>
          </w:p>
        </w:tc>
      </w:tr>
      <w:tr>
        <w:trPr>
          <w:trHeight w:val="207"/>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adjustments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576,336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39,422</w:t>
            </w:r>
          </w:p>
        </w:tc>
      </w:tr>
      <w:tr>
        <w:trPr>
          <w:trHeight w:val="200"/>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856,413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427,941</w:t>
            </w:r>
          </w:p>
        </w:tc>
      </w:tr>
      <w:tr>
        <w:trPr>
          <w:trHeight w:val="19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7"/>
        </w:trPr>
        <w:tc>
          <w:tcPr>
            <w:tcW w:w="7580" w:type="dxa"/>
            <w:vAlign w:val="bottom"/>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(67,388)</w:t>
            </w:r>
          </w:p>
        </w:tc>
      </w:tr>
      <w:tr>
        <w:trPr>
          <w:trHeight w:val="214"/>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(7,683)</w:t>
            </w:r>
          </w:p>
        </w:tc>
      </w:tr>
      <w:tr>
        <w:trPr>
          <w:trHeight w:val="200"/>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(103,309)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(75,071)</w:t>
            </w:r>
          </w:p>
        </w:tc>
      </w:tr>
      <w:tr>
        <w:trPr>
          <w:trHeight w:val="194"/>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7"/>
        </w:trPr>
        <w:tc>
          <w:tcPr>
            <w:tcW w:w="7580" w:type="dxa"/>
            <w:vAlign w:val="bottom"/>
          </w:tcPr>
          <w:p>
            <w:pPr>
              <w:ind w:left="340"/>
              <w:spacing w:after="0"/>
              <w:rPr>
                <w:sz w:val="20"/>
                <w:szCs w:val="20"/>
                <w:color w:val="auto"/>
              </w:rPr>
            </w:pPr>
            <w:r>
              <w:rPr>
                <w:rFonts w:ascii="Arial" w:cs="Arial" w:eastAsia="Arial" w:hAnsi="Arial"/>
                <w:sz w:val="16"/>
                <w:szCs w:val="16"/>
                <w:color w:val="auto"/>
              </w:rPr>
              <w:t>Early termination of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(519,116)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 payments to shareholders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(229,179)</w:t>
            </w:r>
          </w:p>
        </w:tc>
      </w:tr>
      <w:tr>
        <w:trPr>
          <w:trHeight w:val="207"/>
        </w:trPr>
        <w:tc>
          <w:tcPr>
            <w:tcW w:w="758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(157,057)</w:t>
            </w:r>
          </w:p>
        </w:tc>
      </w:tr>
      <w:tr>
        <w:trPr>
          <w:trHeight w:val="214"/>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employee stock plans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19,920</w:t>
            </w:r>
          </w:p>
        </w:tc>
      </w:tr>
      <w:tr>
        <w:trPr>
          <w:trHeight w:val="207"/>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w:t>
            </w:r>
          </w:p>
        </w:tc>
      </w:tr>
      <w:tr>
        <w:trPr>
          <w:trHeight w:val="207"/>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(937,268)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(363,823)</w:t>
            </w:r>
          </w:p>
        </w:tc>
      </w:tr>
      <w:tr>
        <w:trPr>
          <w:trHeight w:val="20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w:t>
            </w:r>
          </w:p>
        </w:tc>
      </w:tr>
      <w:tr>
        <w:trPr>
          <w:trHeight w:val="20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(7,797)</w:t>
            </w:r>
          </w:p>
        </w:tc>
      </w:tr>
      <w:tr>
        <w:trPr>
          <w:trHeight w:val="20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1,977,964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1,055,860</w:t>
            </w:r>
          </w:p>
        </w:tc>
      </w:tr>
      <w:tr>
        <w:trPr>
          <w:trHeight w:val="22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1,790,399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1,048,063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jc w:val="both"/>
        <w:ind w:left="2720" w:right="2720" w:firstLine="25"/>
        <w:spacing w:after="0" w:line="291" w:lineRule="auto"/>
        <w:rPr>
          <w:sz w:val="20"/>
          <w:szCs w:val="20"/>
          <w:color w:val="auto"/>
        </w:rPr>
      </w:pPr>
      <w:r>
        <w:rPr>
          <w:rFonts w:ascii="Arial" w:cs="Arial" w:eastAsia="Arial" w:hAnsi="Arial"/>
          <w:sz w:val="16"/>
          <w:szCs w:val="16"/>
          <w:b w:val="1"/>
          <w:bCs w:val="1"/>
          <w:color w:val="auto"/>
        </w:rPr>
        <w:t>NOTES TO CONDENSED CONSOLIDATED FINANCIAL STATEMENTS FOR THE THREE MONTHS ENDED JANUARY 29, 2022 (UNAUDITED) (all tabular amounts in thousands except per share amounts and percentages)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67" w:lineRule="exact"/>
        <w:rPr>
          <w:sz w:val="20"/>
          <w:szCs w:val="20"/>
          <w:color w:val="auto"/>
        </w:rPr>
      </w:pPr>
    </w:p>
    <w:p>
      <w:pPr>
        <w:jc w:val="both"/>
        <w:ind w:right="40" w:firstLine="434"/>
        <w:spacing w:after="0" w:line="316" w:lineRule="auto"/>
        <w:rPr>
          <w:sz w:val="20"/>
          <w:szCs w:val="20"/>
          <w:color w:val="auto"/>
        </w:rPr>
      </w:pPr>
      <w:r>
        <w:rPr>
          <w:rFonts w:ascii="Arial" w:cs="Arial" w:eastAsia="Arial" w:hAnsi="Arial"/>
          <w:sz w:val="15"/>
          <w:szCs w:val="15"/>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30, 2021 (fiscal 2021) and related notes. The results of operations for the interim periods shown in this report are not necessarily indicative of the results that may be expected for the fiscal year ending October 29, 2022 (fiscal 2022) or any future period.</w:t>
      </w:r>
    </w:p>
    <w:p>
      <w:pPr>
        <w:spacing w:after="0" w:line="92" w:lineRule="exact"/>
        <w:rPr>
          <w:sz w:val="20"/>
          <w:szCs w:val="20"/>
          <w:color w:val="auto"/>
        </w:rPr>
      </w:pPr>
    </w:p>
    <w:p>
      <w:pPr>
        <w:ind w:right="360" w:firstLine="434"/>
        <w:spacing w:after="0" w:line="261"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2022 presentation.</w:t>
      </w:r>
    </w:p>
    <w:p>
      <w:pPr>
        <w:spacing w:after="0" w:line="89"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 xml:space="preserve">On August 26, 2021 (Acquisition Date), the Company completed the acquisition of Maxim Integrated Products, Inc. (Maxim), an independent manufacturer of innovative analog and mixed-signal products and technologies. The acquisition of Maxim is referred to as the Acquisition. The consolidated financial statements included in this Quarterly Report on Form 10-Q include the financial results of Maxim prospectively from the Acquisition Date. See Note 14, </w:t>
      </w:r>
      <w:r>
        <w:rPr>
          <w:rFonts w:ascii="Arial" w:cs="Arial" w:eastAsia="Arial" w:hAnsi="Arial"/>
          <w:sz w:val="16"/>
          <w:szCs w:val="16"/>
          <w:i w:val="1"/>
          <w:iCs w:val="1"/>
          <w:color w:val="auto"/>
        </w:rPr>
        <w:t>Acquisitions</w:t>
      </w:r>
      <w:r>
        <w:rPr>
          <w:rFonts w:ascii="Arial" w:cs="Arial" w:eastAsia="Arial" w:hAnsi="Arial"/>
          <w:sz w:val="16"/>
          <w:szCs w:val="16"/>
          <w:color w:val="auto"/>
        </w:rPr>
        <w:t>, in these Notes to Condensed Consolidated Financial Statements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Shareholders' Equity</w:t>
      </w:r>
    </w:p>
    <w:p>
      <w:pPr>
        <w:spacing w:after="0" w:line="115" w:lineRule="exact"/>
        <w:rPr>
          <w:sz w:val="20"/>
          <w:szCs w:val="20"/>
          <w:color w:val="auto"/>
        </w:rPr>
      </w:pPr>
    </w:p>
    <w:p>
      <w:pPr>
        <w:ind w:firstLine="237"/>
        <w:spacing w:after="0" w:line="247" w:lineRule="auto"/>
        <w:rPr>
          <w:sz w:val="20"/>
          <w:szCs w:val="20"/>
          <w:color w:val="auto"/>
        </w:rPr>
      </w:pPr>
      <w:r>
        <w:rPr>
          <w:rFonts w:ascii="Arial" w:cs="Arial" w:eastAsia="Arial" w:hAnsi="Arial"/>
          <w:sz w:val="18"/>
          <w:szCs w:val="18"/>
          <w:color w:val="auto"/>
        </w:rPr>
        <w:t>In fiscal 2021, the Company entered into accelerated share repurchase agreements (ASR) with third party financial institutions, paid $2.5 billion and received an initial delivery of 12.3 million shares of common stock, which represented approximately 80% of the notional amount of the ASR. As of October 30, 2021, the Company recorded the remaining 20%, or $500.0 million, within Prepaid expenses and other current assets on the Consolidated Balance Sheet, which was utilized during the first quarter of fiscal 2022. During the first quarter of fiscal 2022, the ASR was completed and an additional 2.1 million shares of common stock were received as final settlement of the ASR. In total, the Company repurchased 14.4 million shares under the ASR at an average price per share of $173.77.</w:t>
      </w:r>
    </w:p>
    <w:p>
      <w:pPr>
        <w:spacing w:after="0" w:line="90" w:lineRule="exact"/>
        <w:rPr>
          <w:sz w:val="20"/>
          <w:szCs w:val="20"/>
          <w:color w:val="auto"/>
        </w:rPr>
      </w:pPr>
    </w:p>
    <w:p>
      <w:pPr>
        <w:ind w:right="80" w:firstLine="434"/>
        <w:spacing w:after="0" w:line="287" w:lineRule="auto"/>
        <w:rPr>
          <w:sz w:val="20"/>
          <w:szCs w:val="20"/>
          <w:color w:val="auto"/>
        </w:rPr>
      </w:pPr>
      <w:r>
        <w:rPr>
          <w:rFonts w:ascii="Arial" w:cs="Arial" w:eastAsia="Arial" w:hAnsi="Arial"/>
          <w:sz w:val="16"/>
          <w:szCs w:val="16"/>
          <w:color w:val="auto"/>
        </w:rPr>
        <w:t>As of January 29, 2022, the Company had repurchased a total of approximately 174.0 million shares of its common stock for approximately $9.3 billion under the Company's share repurchase program. As of January 29, 2022, an additional $7.3 billion remains available for repurchase of shares under the current authorized program. The Company also repurchases shares in settlement of employee tax withholding obligations due upon the vesting of restricted stock units/awards or the exercise of stock options. Future repurchases of common stock will be dependent upon the Company's financial position, results of operations, outlook, liquidity, and other factors deemed relevant by the Company.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Accumulated Other Comprehensive (Loss) Income</w:t>
      </w:r>
    </w:p>
    <w:p>
      <w:pPr>
        <w:spacing w:after="0" w:line="167"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three months of fiscal 2022.</w:t>
      </w:r>
    </w:p>
    <w:tbl>
      <w:tblPr>
        <w:tblLayout w:type="fixed"/>
        <w:tblInd w:w="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Arial" w:cs="Arial" w:eastAsia="Arial" w:hAnsi="Arial"/>
                <w:sz w:val="16"/>
                <w:szCs w:val="16"/>
                <w:b w:val="1"/>
                <w:bCs w:val="1"/>
                <w:color w:val="auto"/>
              </w:rPr>
              <w:t>Foreign</w:t>
            </w:r>
          </w:p>
        </w:tc>
        <w:tc>
          <w:tcPr>
            <w:tcW w:w="560" w:type="dxa"/>
            <w:vAlign w:val="bottom"/>
          </w:tcPr>
          <w:p>
            <w:pPr>
              <w:spacing w:after="0"/>
              <w:rPr>
                <w:sz w:val="14"/>
                <w:szCs w:val="14"/>
                <w:color w:val="auto"/>
              </w:rPr>
            </w:pPr>
          </w:p>
        </w:tc>
        <w:tc>
          <w:tcPr>
            <w:tcW w:w="116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Unrealized</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1680" w:type="dxa"/>
            <w:vAlign w:val="bottom"/>
            <w:gridSpan w:val="3"/>
          </w:tcPr>
          <w:p>
            <w:pPr>
              <w:ind w:left="100"/>
              <w:spacing w:after="0" w:line="158" w:lineRule="exact"/>
              <w:rPr>
                <w:sz w:val="20"/>
                <w:szCs w:val="20"/>
                <w:color w:val="auto"/>
              </w:rPr>
            </w:pPr>
            <w:r>
              <w:rPr>
                <w:rFonts w:ascii="Arial" w:cs="Arial" w:eastAsia="Arial" w:hAnsi="Arial"/>
                <w:sz w:val="16"/>
                <w:szCs w:val="16"/>
                <w:b w:val="1"/>
                <w:bCs w:val="1"/>
                <w:color w:val="auto"/>
              </w:rPr>
              <w:t>currency translation</w:t>
            </w:r>
          </w:p>
        </w:tc>
        <w:tc>
          <w:tcPr>
            <w:tcW w:w="17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84"/>
              </w:rPr>
              <w:t>holding gains (losses)</w:t>
            </w:r>
          </w:p>
        </w:tc>
        <w:tc>
          <w:tcPr>
            <w:tcW w:w="52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Pension plans</w:t>
            </w:r>
          </w:p>
        </w:tc>
        <w:tc>
          <w:tcPr>
            <w:tcW w:w="680" w:type="dxa"/>
            <w:vAlign w:val="bottom"/>
          </w:tcPr>
          <w:p>
            <w:pPr>
              <w:spacing w:after="0"/>
              <w:rPr>
                <w:sz w:val="13"/>
                <w:szCs w:val="13"/>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1680" w:type="dxa"/>
            <w:vAlign w:val="bottom"/>
            <w:gridSpan w:val="3"/>
          </w:tcPr>
          <w:p>
            <w:pPr>
              <w:ind w:left="400"/>
              <w:spacing w:after="0"/>
              <w:rPr>
                <w:sz w:val="20"/>
                <w:szCs w:val="20"/>
                <w:color w:val="auto"/>
              </w:rPr>
            </w:pPr>
            <w:r>
              <w:rPr>
                <w:rFonts w:ascii="Arial" w:cs="Arial" w:eastAsia="Arial" w:hAnsi="Arial"/>
                <w:sz w:val="16"/>
                <w:szCs w:val="16"/>
                <w:b w:val="1"/>
                <w:bCs w:val="1"/>
                <w:color w:val="auto"/>
              </w:rPr>
              <w:t>adjustment</w:t>
            </w: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on derivatives</w:t>
            </w:r>
          </w:p>
        </w:tc>
        <w:tc>
          <w:tcPr>
            <w:tcW w:w="5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October 30, 2021</w:t>
            </w:r>
          </w:p>
        </w:tc>
        <w:tc>
          <w:tcPr>
            <w:tcW w:w="6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(37,016)</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(186,565)</w:t>
            </w:r>
          </w:p>
        </w:tc>
        <w:tc>
          <w:tcPr>
            <w:tcW w:w="0" w:type="dxa"/>
            <w:vAlign w:val="bottom"/>
          </w:tcPr>
          <w:p>
            <w:pPr>
              <w:spacing w:after="0"/>
              <w:rPr>
                <w:sz w:val="1"/>
                <w:szCs w:val="1"/>
                <w:color w:val="auto"/>
              </w:rPr>
            </w:pPr>
          </w:p>
        </w:tc>
      </w:tr>
      <w:tr>
        <w:trPr>
          <w:trHeight w:val="172"/>
        </w:trPr>
        <w:tc>
          <w:tcPr>
            <w:tcW w:w="4460" w:type="dxa"/>
            <w:vAlign w:val="bottom"/>
          </w:tcPr>
          <w:p>
            <w:pPr>
              <w:ind w:left="620"/>
              <w:spacing w:after="0" w:line="172" w:lineRule="exact"/>
              <w:rPr>
                <w:sz w:val="20"/>
                <w:szCs w:val="20"/>
                <w:color w:val="auto"/>
              </w:rPr>
            </w:pPr>
            <w:r>
              <w:rPr>
                <w:rFonts w:ascii="Arial" w:cs="Arial" w:eastAsia="Arial" w:hAnsi="Arial"/>
                <w:sz w:val="18"/>
                <w:szCs w:val="18"/>
                <w:color w:val="auto"/>
              </w:rPr>
              <w:t>Other comprehensive (loss) income before</w:t>
            </w:r>
          </w:p>
        </w:tc>
        <w:tc>
          <w:tcPr>
            <w:tcW w:w="6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6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620"/>
              <w:spacing w:after="0" w:line="172" w:lineRule="exact"/>
              <w:rPr>
                <w:sz w:val="20"/>
                <w:szCs w:val="20"/>
                <w:color w:val="auto"/>
              </w:rPr>
            </w:pPr>
            <w:r>
              <w:rPr>
                <w:rFonts w:ascii="Arial" w:cs="Arial" w:eastAsia="Arial" w:hAnsi="Arial"/>
                <w:sz w:val="18"/>
                <w:szCs w:val="18"/>
                <w:color w:val="auto"/>
                <w:w w:val="98"/>
              </w:rPr>
              <w:t>Amounts reclassified out of other comprehensive</w:t>
            </w:r>
          </w:p>
        </w:tc>
        <w:tc>
          <w:tcPr>
            <w:tcW w:w="6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w:t>
            </w:r>
          </w:p>
        </w:tc>
        <w:tc>
          <w:tcPr>
            <w:tcW w:w="6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620"/>
              <w:spacing w:after="0"/>
              <w:rPr>
                <w:sz w:val="20"/>
                <w:szCs w:val="20"/>
                <w:color w:val="auto"/>
              </w:rPr>
            </w:pPr>
            <w:r>
              <w:rPr>
                <w:rFonts w:ascii="Arial" w:cs="Arial" w:eastAsia="Arial" w:hAnsi="Arial"/>
                <w:sz w:val="18"/>
                <w:szCs w:val="18"/>
                <w:color w:val="auto"/>
              </w:rPr>
              <w:t>Tax effects</w:t>
            </w:r>
          </w:p>
        </w:tc>
        <w:tc>
          <w:tcPr>
            <w:tcW w:w="6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comprehensive (loss) income</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7"/>
        </w:trPr>
        <w:tc>
          <w:tcPr>
            <w:tcW w:w="4460" w:type="dxa"/>
            <w:vAlign w:val="bottom"/>
          </w:tcPr>
          <w:p>
            <w:pPr>
              <w:ind w:left="420"/>
              <w:spacing w:after="0"/>
              <w:rPr>
                <w:sz w:val="20"/>
                <w:szCs w:val="20"/>
                <w:color w:val="auto"/>
              </w:rPr>
            </w:pPr>
            <w:r>
              <w:rPr>
                <w:rFonts w:ascii="Arial" w:cs="Arial" w:eastAsia="Arial" w:hAnsi="Arial"/>
                <w:sz w:val="18"/>
                <w:szCs w:val="18"/>
                <w:b w:val="1"/>
                <w:bCs w:val="1"/>
                <w:color w:val="auto"/>
              </w:rPr>
              <w:t>January 29, 2022</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(30,398)</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(35,512)</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amounts reclassified out of AOCI into the Condensed Consolidated Statements of Income and the Condensed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7" w:name="page8"/>
    <w:bookmarkEnd w:id="7"/>
    <w:p>
      <w:pPr>
        <w:spacing w:after="0" w:line="50"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-117475</wp:posOffset>
            </wp:positionV>
            <wp:extent cx="2298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980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3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Component</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29, 2022</w:t>
            </w: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w w:val="92"/>
              </w:rPr>
              <w:t>January 30, 2021</w:t>
            </w:r>
          </w:p>
        </w:tc>
        <w:tc>
          <w:tcPr>
            <w:tcW w:w="20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Location</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Unrealized holding (gains) losses on derivatives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180" w:type="dxa"/>
            <w:vAlign w:val="bottom"/>
            <w:gridSpan w:val="2"/>
          </w:tcPr>
          <w:p>
            <w:pPr>
              <w:ind w:left="620"/>
              <w:spacing w:after="0"/>
              <w:rPr>
                <w:sz w:val="20"/>
                <w:szCs w:val="20"/>
                <w:color w:val="auto"/>
              </w:rPr>
            </w:pPr>
            <w:r>
              <w:rPr>
                <w:rFonts w:ascii="Arial" w:cs="Arial" w:eastAsia="Arial" w:hAnsi="Arial"/>
                <w:sz w:val="18"/>
                <w:szCs w:val="18"/>
                <w:color w:val="auto"/>
              </w:rPr>
              <w:t>Currency forwards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(1,986)</w:t>
            </w:r>
          </w:p>
        </w:tc>
        <w:tc>
          <w:tcPr>
            <w:tcW w:w="480" w:type="dxa"/>
            <w:vAlign w:val="bottom"/>
          </w:tcPr>
          <w:p>
            <w:pPr>
              <w:spacing w:after="0"/>
              <w:rPr>
                <w:sz w:val="19"/>
                <w:szCs w:val="19"/>
                <w:color w:val="auto"/>
              </w:rPr>
            </w:pPr>
          </w:p>
        </w:tc>
        <w:tc>
          <w:tcPr>
            <w:tcW w:w="20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w:t>
            </w:r>
          </w:p>
        </w:tc>
        <w:tc>
          <w:tcPr>
            <w:tcW w:w="48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8"/>
              </w:rPr>
              <w:t>Research and development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480" w:type="dxa"/>
            <w:vAlign w:val="bottom"/>
          </w:tcPr>
          <w:p>
            <w:pPr>
              <w:spacing w:after="0"/>
              <w:rPr>
                <w:sz w:val="19"/>
                <w:szCs w:val="19"/>
                <w:color w:val="auto"/>
              </w:rPr>
            </w:pPr>
          </w:p>
        </w:tc>
        <w:tc>
          <w:tcPr>
            <w:tcW w:w="3900" w:type="dxa"/>
            <w:vAlign w:val="bottom"/>
            <w:gridSpan w:val="6"/>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Interest rate derivatives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48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(3,804)</w:t>
            </w:r>
          </w:p>
        </w:tc>
        <w:tc>
          <w:tcPr>
            <w:tcW w:w="48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4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(3,600)</w:t>
            </w:r>
          </w:p>
        </w:tc>
        <w:tc>
          <w:tcPr>
            <w:tcW w:w="480" w:type="dxa"/>
            <w:vAlign w:val="bottom"/>
          </w:tcPr>
          <w:p>
            <w:pPr>
              <w:spacing w:after="0"/>
              <w:rPr>
                <w:sz w:val="18"/>
                <w:szCs w:val="18"/>
                <w:color w:val="auto"/>
              </w:rPr>
            </w:pPr>
          </w:p>
        </w:tc>
        <w:tc>
          <w:tcPr>
            <w:tcW w:w="2000" w:type="dxa"/>
            <w:vAlign w:val="bottom"/>
            <w:gridSpan w:val="3"/>
          </w:tcPr>
          <w:p>
            <w:pPr>
              <w:ind w:left="40"/>
              <w:spacing w:after="0"/>
              <w:rPr>
                <w:sz w:val="20"/>
                <w:szCs w:val="20"/>
                <w:color w:val="auto"/>
              </w:rPr>
            </w:pPr>
            <w:r>
              <w:rPr>
                <w:rFonts w:ascii="Arial" w:cs="Arial" w:eastAsia="Arial" w:hAnsi="Arial"/>
                <w:sz w:val="18"/>
                <w:szCs w:val="18"/>
                <w:color w:val="auto"/>
              </w:rPr>
              <w:t>Net of tax</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040" w:type="dxa"/>
            <w:vAlign w:val="bottom"/>
            <w:gridSpan w:val="9"/>
          </w:tcPr>
          <w:p>
            <w:pPr>
              <w:ind w:left="420"/>
              <w:spacing w:after="0"/>
              <w:rPr>
                <w:sz w:val="20"/>
                <w:szCs w:val="20"/>
                <w:color w:val="auto"/>
              </w:rPr>
            </w:pPr>
            <w:r>
              <w:rPr>
                <w:rFonts w:ascii="Arial" w:cs="Arial" w:eastAsia="Arial" w:hAnsi="Arial"/>
                <w:sz w:val="18"/>
                <w:szCs w:val="18"/>
                <w:color w:val="auto"/>
                <w:w w:val="89"/>
              </w:rPr>
              <w:t>Amortization of pension components included in the computation of net periodic pension cost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Actuarial losses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w:t>
            </w:r>
          </w:p>
        </w:tc>
        <w:tc>
          <w:tcPr>
            <w:tcW w:w="48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Tax</w:t>
            </w:r>
          </w:p>
        </w:tc>
        <w:tc>
          <w:tcPr>
            <w:tcW w:w="2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4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3180" w:type="dxa"/>
            <w:vAlign w:val="bottom"/>
            <w:gridSpan w:val="2"/>
            <w:shd w:val="clear" w:color="auto" w:fill="CCEEFF"/>
          </w:tcPr>
          <w:p>
            <w:pPr>
              <w:ind w:left="420"/>
              <w:spacing w:after="0" w:line="172" w:lineRule="exact"/>
              <w:rPr>
                <w:sz w:val="20"/>
                <w:szCs w:val="20"/>
                <w:color w:val="auto"/>
              </w:rPr>
            </w:pPr>
            <w:r>
              <w:rPr>
                <w:rFonts w:ascii="Arial" w:cs="Arial" w:eastAsia="Arial" w:hAnsi="Arial"/>
                <w:sz w:val="18"/>
                <w:szCs w:val="18"/>
                <w:color w:val="auto"/>
              </w:rPr>
              <w:t>Total amounts reclassified out of</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(2,938)</w:t>
            </w: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AOCI, net of tax</w:t>
            </w:r>
          </w:p>
        </w:tc>
        <w:tc>
          <w:tcPr>
            <w:tcW w:w="2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gridSpan w:val="2"/>
            <w:vMerge w:val="continue"/>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Note 4 – Earnings Per Share</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00" w:type="dxa"/>
            <w:vAlign w:val="bottom"/>
          </w:tcPr>
          <w:p>
            <w:pPr>
              <w:spacing w:after="0"/>
              <w:rPr>
                <w:sz w:val="24"/>
                <w:szCs w:val="24"/>
                <w:color w:val="auto"/>
              </w:rPr>
            </w:pPr>
          </w:p>
        </w:tc>
        <w:tc>
          <w:tcPr>
            <w:tcW w:w="7040" w:type="dxa"/>
            <w:vAlign w:val="bottom"/>
            <w:gridSpan w:val="9"/>
          </w:tcPr>
          <w:p>
            <w:pPr>
              <w:ind w:left="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00" w:type="dxa"/>
            <w:vAlign w:val="bottom"/>
            <w:gridSpan w:val="6"/>
          </w:tcPr>
          <w:p>
            <w:pPr>
              <w:ind w:left="1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2"/>
        </w:trPr>
        <w:tc>
          <w:tcPr>
            <w:tcW w:w="40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January 29, 2022</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January 30,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60"/>
              <w:spacing w:after="0" w:line="204"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Basic shares: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Weighted-average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w w:val="99"/>
              </w:rPr>
              <w:t>Earnings per common share basic:</w:t>
            </w: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0.53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0" w:type="dxa"/>
            <w:vAlign w:val="bottom"/>
            <w:shd w:val="clear" w:color="auto" w:fill="CCEEFF"/>
          </w:tcPr>
          <w:p>
            <w:pPr>
              <w:spacing w:after="0"/>
              <w:rPr>
                <w:sz w:val="16"/>
                <w:szCs w:val="16"/>
                <w:color w:val="auto"/>
              </w:rPr>
            </w:pPr>
          </w:p>
        </w:tc>
        <w:tc>
          <w:tcPr>
            <w:tcW w:w="3180" w:type="dxa"/>
            <w:vAlign w:val="bottom"/>
            <w:gridSpan w:val="2"/>
            <w:shd w:val="clear" w:color="auto" w:fill="CCEEFF"/>
          </w:tcPr>
          <w:p>
            <w:pPr>
              <w:ind w:left="60"/>
              <w:spacing w:after="0" w:line="190" w:lineRule="exact"/>
              <w:rPr>
                <w:sz w:val="20"/>
                <w:szCs w:val="20"/>
                <w:color w:val="auto"/>
              </w:rPr>
            </w:pPr>
            <w:r>
              <w:rPr>
                <w:rFonts w:ascii="Arial" w:cs="Arial" w:eastAsia="Arial" w:hAnsi="Arial"/>
                <w:sz w:val="18"/>
                <w:szCs w:val="18"/>
                <w:color w:val="auto"/>
              </w:rPr>
              <w:t>Diluted shares:</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180" w:type="dxa"/>
            <w:vAlign w:val="bottom"/>
            <w:gridSpan w:val="2"/>
          </w:tcPr>
          <w:p>
            <w:pPr>
              <w:ind w:left="380"/>
              <w:spacing w:after="0"/>
              <w:rPr>
                <w:sz w:val="20"/>
                <w:szCs w:val="20"/>
                <w:color w:val="auto"/>
              </w:rPr>
            </w:pPr>
            <w:r>
              <w:rPr>
                <w:rFonts w:ascii="Arial" w:cs="Arial" w:eastAsia="Arial" w:hAnsi="Arial"/>
                <w:sz w:val="18"/>
                <w:szCs w:val="18"/>
                <w:color w:val="auto"/>
                <w:w w:val="91"/>
              </w:rPr>
              <w:t>Weighted-average shares outstanding</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525,291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shd w:val="clear" w:color="auto" w:fill="CCEEFF"/>
          </w:tcPr>
          <w:p>
            <w:pPr>
              <w:spacing w:after="0"/>
              <w:rPr>
                <w:sz w:val="19"/>
                <w:szCs w:val="19"/>
                <w:color w:val="auto"/>
              </w:rPr>
            </w:pPr>
          </w:p>
        </w:tc>
        <w:tc>
          <w:tcPr>
            <w:tcW w:w="48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800" w:type="dxa"/>
            <w:vAlign w:val="bottom"/>
            <w:gridSpan w:val="5"/>
          </w:tcPr>
          <w:p>
            <w:pPr>
              <w:ind w:left="380"/>
              <w:spacing w:after="0" w:line="203" w:lineRule="exact"/>
              <w:rPr>
                <w:sz w:val="20"/>
                <w:szCs w:val="20"/>
                <w:color w:val="auto"/>
              </w:rPr>
            </w:pPr>
            <w:r>
              <w:rPr>
                <w:rFonts w:ascii="Arial" w:cs="Arial" w:eastAsia="Arial" w:hAnsi="Arial"/>
                <w:sz w:val="18"/>
                <w:szCs w:val="18"/>
                <w:color w:val="auto"/>
                <w:w w:val="92"/>
              </w:rPr>
              <w:t>Weighted-average common and common equivalent shares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530,142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0" w:type="dxa"/>
            <w:vAlign w:val="bottom"/>
            <w:shd w:val="clear" w:color="auto" w:fill="CCEEFF"/>
          </w:tcPr>
          <w:p>
            <w:pPr>
              <w:spacing w:after="0"/>
              <w:rPr>
                <w:sz w:val="20"/>
                <w:szCs w:val="20"/>
                <w:color w:val="auto"/>
              </w:rPr>
            </w:pPr>
          </w:p>
        </w:tc>
        <w:tc>
          <w:tcPr>
            <w:tcW w:w="31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6"/>
              </w:rPr>
              <w:t>Earnings per common share diluted:</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8"/>
                <w:szCs w:val="18"/>
                <w:color w:val="auto"/>
              </w:rPr>
              <w:t>Anti-dilutive shares related to:</w:t>
            </w: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 w:type="dxa"/>
            <w:vAlign w:val="bottom"/>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0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Outstanding stock-based awards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 net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Liabilities related to special charges, net are included in Accrued liabilities in the Condensed Consolidated Balance Sheets. The activity is detailed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Special Charges</w:t>
            </w:r>
          </w:p>
        </w:tc>
        <w:tc>
          <w:tcPr>
            <w:tcW w:w="56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Arial" w:cs="Arial" w:eastAsia="Arial" w:hAnsi="Arial"/>
                <w:sz w:val="14"/>
                <w:szCs w:val="14"/>
                <w:b w:val="1"/>
                <w:bCs w:val="1"/>
                <w:color w:val="auto"/>
              </w:rPr>
              <w:t>Closure of Manufacturing</w:t>
            </w:r>
          </w:p>
        </w:tc>
        <w:tc>
          <w:tcPr>
            <w:tcW w:w="2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Global Repositioning Actions</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60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Facilities</w:t>
            </w: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2021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25,774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21,065</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40" w:type="dxa"/>
            <w:vAlign w:val="bottom"/>
            <w:gridSpan w:val="2"/>
          </w:tcPr>
          <w:p>
            <w:pPr>
              <w:spacing w:after="0" w:line="203" w:lineRule="exact"/>
              <w:rPr>
                <w:sz w:val="20"/>
                <w:szCs w:val="20"/>
                <w:color w:val="auto"/>
              </w:rPr>
            </w:pPr>
            <w:r>
              <w:rPr>
                <w:rFonts w:ascii="Arial" w:cs="Arial" w:eastAsia="Arial" w:hAnsi="Arial"/>
                <w:sz w:val="18"/>
                <w:szCs w:val="18"/>
                <w:color w:val="auto"/>
              </w:rPr>
              <w:t>Employee severance and benefit costs</w:t>
            </w:r>
          </w:p>
        </w:tc>
        <w:tc>
          <w:tcPr>
            <w:tcW w:w="5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44,411</w:t>
            </w:r>
          </w:p>
        </w:tc>
        <w:tc>
          <w:tcPr>
            <w:tcW w:w="0" w:type="dxa"/>
            <w:vAlign w:val="bottom"/>
          </w:tcPr>
          <w:p>
            <w:pPr>
              <w:spacing w:after="0"/>
              <w:rPr>
                <w:sz w:val="1"/>
                <w:szCs w:val="1"/>
                <w:color w:val="auto"/>
              </w:rPr>
            </w:pPr>
          </w:p>
        </w:tc>
      </w:tr>
      <w:tr>
        <w:trPr>
          <w:trHeight w:val="224"/>
        </w:trPr>
        <w:tc>
          <w:tcPr>
            <w:tcW w:w="46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Severance and benefit payments</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(25,776)</w:t>
            </w:r>
          </w:p>
        </w:tc>
        <w:tc>
          <w:tcPr>
            <w:tcW w:w="0" w:type="dxa"/>
            <w:vAlign w:val="bottom"/>
          </w:tcPr>
          <w:p>
            <w:pPr>
              <w:spacing w:after="0"/>
              <w:rPr>
                <w:sz w:val="1"/>
                <w:szCs w:val="1"/>
                <w:color w:val="auto"/>
              </w:rPr>
            </w:pPr>
          </w:p>
        </w:tc>
      </w:tr>
      <w:tr>
        <w:trPr>
          <w:trHeight w:val="224"/>
        </w:trPr>
        <w:tc>
          <w:tcPr>
            <w:tcW w:w="46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 payments</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56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2"/>
        </w:trPr>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6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39,646</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Closure of Manufacturing Facilities</w:t>
      </w:r>
    </w:p>
    <w:p>
      <w:pPr>
        <w:spacing w:after="0" w:line="109" w:lineRule="exact"/>
        <w:rPr>
          <w:sz w:val="20"/>
          <w:szCs w:val="20"/>
          <w:color w:val="auto"/>
        </w:rPr>
      </w:pPr>
    </w:p>
    <w:p>
      <w:pPr>
        <w:ind w:right="540" w:firstLine="395"/>
        <w:spacing w:after="0" w:line="261" w:lineRule="auto"/>
        <w:rPr>
          <w:sz w:val="20"/>
          <w:szCs w:val="20"/>
          <w:color w:val="auto"/>
        </w:rPr>
      </w:pPr>
      <w:r>
        <w:rPr>
          <w:rFonts w:ascii="Arial" w:cs="Arial" w:eastAsia="Arial" w:hAnsi="Arial"/>
          <w:sz w:val="18"/>
          <w:szCs w:val="18"/>
          <w:color w:val="auto"/>
        </w:rPr>
        <w:t>The Company recorded net special charges of $62.6 million on a cumulative basis through January 29, 2022 as a result of its decision to consolidate certain wafer and test facility operations acquired as part of the acquisition of Linear Technology Corporation.</w:t>
      </w:r>
    </w:p>
    <w:p>
      <w:pPr>
        <w:spacing w:after="0" w:line="76" w:lineRule="exact"/>
        <w:rPr>
          <w:sz w:val="20"/>
          <w:szCs w:val="20"/>
          <w:color w:val="auto"/>
        </w:rPr>
      </w:pPr>
    </w:p>
    <w:p>
      <w:pPr>
        <w:ind w:right="460" w:firstLine="395"/>
        <w:spacing w:after="0" w:line="299" w:lineRule="auto"/>
        <w:rPr>
          <w:sz w:val="20"/>
          <w:szCs w:val="20"/>
          <w:color w:val="auto"/>
        </w:rPr>
      </w:pPr>
      <w:r>
        <w:rPr>
          <w:rFonts w:ascii="Arial" w:cs="Arial" w:eastAsia="Arial" w:hAnsi="Arial"/>
          <w:sz w:val="16"/>
          <w:szCs w:val="16"/>
          <w:color w:val="auto"/>
        </w:rPr>
        <w:t>The special charges include severance and fringe benefit costs, in accordance with the Company's ongoing benefit plan or statutory requirements at foreign locations, one-time termination benefits for the impacted manufacturing, engineering and SMG&amp;A employees and other exit costs. These one-time termination benefits are being recognized over the future service period required for employees to earn these benefits.</w:t>
      </w:r>
    </w:p>
    <w:p>
      <w:pPr>
        <w:spacing w:after="0" w:line="49" w:lineRule="exact"/>
        <w:rPr>
          <w:sz w:val="20"/>
          <w:szCs w:val="20"/>
          <w:color w:val="auto"/>
        </w:rPr>
      </w:pPr>
    </w:p>
    <w:p>
      <w:pPr>
        <w:ind w:right="300" w:firstLine="395"/>
        <w:spacing w:after="0" w:line="252" w:lineRule="auto"/>
        <w:rPr>
          <w:sz w:val="20"/>
          <w:szCs w:val="20"/>
          <w:color w:val="auto"/>
        </w:rPr>
      </w:pPr>
      <w:r>
        <w:rPr>
          <w:rFonts w:ascii="Arial" w:cs="Arial" w:eastAsia="Arial" w:hAnsi="Arial"/>
          <w:sz w:val="18"/>
          <w:szCs w:val="18"/>
          <w:color w:val="auto"/>
        </w:rPr>
        <w:t xml:space="preserve">During fiscal 2021, the Company ceased production at its Hillview wafer fabrication facility located in Milpitas, California and determined that this facility met the held for sale criteria specified in Accounting Standards Codification (ASC) 360. See Note 6,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in these Notes to Condensed Consolidated Financial Statements for amounts reclassified.</w:t>
      </w:r>
    </w:p>
    <w:p>
      <w:pPr>
        <w:spacing w:after="0" w:line="85" w:lineRule="exact"/>
        <w:rPr>
          <w:sz w:val="20"/>
          <w:szCs w:val="20"/>
          <w:color w:val="auto"/>
        </w:rPr>
      </w:pPr>
    </w:p>
    <w:p>
      <w:pPr>
        <w:jc w:val="both"/>
        <w:ind w:right="180" w:firstLine="395"/>
        <w:spacing w:after="0" w:line="250" w:lineRule="auto"/>
        <w:rPr>
          <w:sz w:val="20"/>
          <w:szCs w:val="20"/>
          <w:color w:val="auto"/>
        </w:rPr>
      </w:pPr>
      <w:r>
        <w:rPr>
          <w:rFonts w:ascii="Arial" w:cs="Arial" w:eastAsia="Arial" w:hAnsi="Arial"/>
          <w:sz w:val="18"/>
          <w:szCs w:val="18"/>
          <w:color w:val="auto"/>
        </w:rPr>
        <w:t>During fiscal 2021, the Company completed the sale of its facility and certain equipment in Singapore, which were previously classified as held for sale, for approximately $35.7 million, which resulted in a gain of $13.6 million. Concurrent with the sale, the Company entered into a short-term lease agreement to leaseback a portion of the facility while it completes its transition of related operations to its facilities in Penang, Malaysia and the Philippines, as well as to its outsourced assembly and test partners.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Global Repositioning Actions</w:t>
      </w:r>
    </w:p>
    <w:p>
      <w:pPr>
        <w:spacing w:after="0" w:line="109" w:lineRule="exact"/>
        <w:rPr>
          <w:sz w:val="20"/>
          <w:szCs w:val="20"/>
          <w:color w:val="auto"/>
        </w:rPr>
      </w:pPr>
    </w:p>
    <w:p>
      <w:pPr>
        <w:ind w:right="320" w:firstLine="395"/>
        <w:spacing w:after="0" w:line="327" w:lineRule="auto"/>
        <w:rPr>
          <w:sz w:val="20"/>
          <w:szCs w:val="20"/>
          <w:color w:val="auto"/>
        </w:rPr>
      </w:pPr>
      <w:r>
        <w:rPr>
          <w:rFonts w:ascii="Arial" w:cs="Arial" w:eastAsia="Arial" w:hAnsi="Arial"/>
          <w:sz w:val="15"/>
          <w:szCs w:val="15"/>
          <w:color w:val="auto"/>
        </w:rPr>
        <w:t>The Company recorded net special charges of $274.1 million on a cumulative basis through January 29, 2022, as a result of organizational initiatives to better align its global workforce with the Company's long-term strategic plan. Special charges of $53.1 million recognized in the first quarter of fiscal 2022 primarily consisted of $61.4 million of severance and benefit costs as well as charges recorded from the acceleration of equity awards in connection with the</w:t>
      </w:r>
    </w:p>
    <w:p>
      <w:pPr>
        <w:sectPr>
          <w:pgSz w:w="11900" w:h="16889" w:orient="portrait"/>
          <w:cols w:equalWidth="0" w:num="1">
            <w:col w:w="11340"/>
          </w:cols>
          <w:pgMar w:left="320" w:top="1025" w:right="239" w:bottom="0" w:gutter="0" w:footer="0" w:header="0"/>
        </w:sectPr>
      </w:pPr>
    </w:p>
    <w:bookmarkStart w:id="8" w:name="page9"/>
    <w:bookmarkEnd w:id="8"/>
    <w:p>
      <w:pPr>
        <w:ind w:right="620"/>
        <w:spacing w:after="0" w:line="261" w:lineRule="auto"/>
        <w:rPr>
          <w:sz w:val="20"/>
          <w:szCs w:val="20"/>
          <w:color w:val="auto"/>
        </w:rPr>
      </w:pPr>
      <w:r>
        <w:rPr>
          <w:rFonts w:ascii="Arial" w:cs="Arial" w:eastAsia="Arial" w:hAnsi="Arial"/>
          <w:sz w:val="18"/>
          <w:szCs w:val="18"/>
          <w:color w:val="auto"/>
        </w:rPr>
        <w:t>termination of a limited number of employees as part of the integration of the Acquisition. These charges were partially offset by a gain of $8.3 million recognized upon the sale of a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102"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During fiscal 2021, the Company ceased production at its Hillview wafer fabrication facility located in Milpitas, California and determined that this facility met the held for sale criteria specified in ASC 360. As of January 29, 2022, Prepaid expenses and other current assets includes the following assets held for sale recorded at the fair value of the asset group, less costs to sell: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and buildings</w:t>
            </w:r>
          </w:p>
        </w:tc>
        <w:tc>
          <w:tcPr>
            <w:tcW w:w="6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7"/>
              </w:rPr>
              <w:t>40,070</w:t>
            </w:r>
          </w:p>
        </w:tc>
        <w:tc>
          <w:tcPr>
            <w:tcW w:w="0" w:type="dxa"/>
            <w:vAlign w:val="bottom"/>
          </w:tcPr>
          <w:p>
            <w:pPr>
              <w:spacing w:after="0"/>
              <w:rPr>
                <w:sz w:val="1"/>
                <w:szCs w:val="1"/>
                <w:color w:val="auto"/>
              </w:rPr>
            </w:pPr>
          </w:p>
        </w:tc>
      </w:tr>
      <w:tr>
        <w:trPr>
          <w:trHeight w:val="223"/>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9"/>
              </w:rPr>
              <w:t>(13,634)</w:t>
            </w:r>
          </w:p>
        </w:tc>
        <w:tc>
          <w:tcPr>
            <w:tcW w:w="0" w:type="dxa"/>
            <w:vAlign w:val="bottom"/>
          </w:tcPr>
          <w:p>
            <w:pPr>
              <w:spacing w:after="0"/>
              <w:rPr>
                <w:sz w:val="1"/>
                <w:szCs w:val="1"/>
                <w:color w:val="auto"/>
              </w:rPr>
            </w:pPr>
          </w:p>
        </w:tc>
      </w:tr>
      <w:tr>
        <w:trPr>
          <w:trHeight w:val="242"/>
        </w:trPr>
        <w:tc>
          <w:tcPr>
            <w:tcW w:w="9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property, plant and equipment reclassified to Prepaid expenses and other current assets</w:t>
            </w:r>
          </w:p>
        </w:tc>
        <w:tc>
          <w:tcPr>
            <w:tcW w:w="6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87"/>
              </w:rPr>
              <w:t>26,436</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bottom w:val="single" w:sz="8" w:color="CCEEFF"/>
            </w:tcBorders>
            <w:vMerge w:val="restart"/>
          </w:tcPr>
          <w:p>
            <w:pPr>
              <w:jc w:val="right"/>
              <w:ind w:right="3632"/>
              <w:spacing w:after="0"/>
              <w:rPr>
                <w:sz w:val="20"/>
                <w:szCs w:val="20"/>
                <w:color w:val="auto"/>
              </w:rPr>
            </w:pPr>
            <w:r>
              <w:rPr>
                <w:rFonts w:ascii="Arial" w:cs="Arial" w:eastAsia="Arial" w:hAnsi="Arial"/>
                <w:sz w:val="18"/>
                <w:szCs w:val="18"/>
                <w:color w:val="auto"/>
              </w:rPr>
              <w:t>7</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9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3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7 –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9" w:lineRule="exact"/>
        <w:rPr>
          <w:sz w:val="20"/>
          <w:szCs w:val="20"/>
          <w:color w:val="auto"/>
        </w:rPr>
      </w:pPr>
    </w:p>
    <w:p>
      <w:pPr>
        <w:ind w:right="80" w:firstLine="434"/>
        <w:spacing w:after="0" w:line="282"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82"/>
        </w:trPr>
        <w:tc>
          <w:tcPr>
            <w:tcW w:w="27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January 30, 2021</w:t>
            </w:r>
          </w:p>
        </w:tc>
        <w:tc>
          <w:tcPr>
            <w:tcW w:w="440" w:type="dxa"/>
            <w:vAlign w:val="bottom"/>
            <w:tcBorders>
              <w:bottom w:val="single" w:sz="8" w:color="auto"/>
            </w:tcBorders>
          </w:tcPr>
          <w:p>
            <w:pPr>
              <w:spacing w:after="0"/>
              <w:rPr>
                <w:sz w:val="15"/>
                <w:szCs w:val="15"/>
                <w:color w:val="auto"/>
              </w:rPr>
            </w:pPr>
          </w:p>
        </w:tc>
      </w:tr>
      <w:tr>
        <w:trPr>
          <w:trHeight w:val="177"/>
        </w:trPr>
        <w:tc>
          <w:tcPr>
            <w:tcW w:w="27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Y/Y%</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of Revenue*</w:t>
            </w:r>
          </w:p>
        </w:tc>
      </w:tr>
      <w:tr>
        <w:trPr>
          <w:trHeight w:val="217"/>
        </w:trPr>
        <w:tc>
          <w:tcPr>
            <w:tcW w:w="274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rPr>
              <w:t>Industrial</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1,341,113</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856,186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tcPr>
          <w:p>
            <w:pPr>
              <w:ind w:left="460"/>
              <w:spacing w:after="0"/>
              <w:rPr>
                <w:sz w:val="20"/>
                <w:szCs w:val="20"/>
                <w:color w:val="auto"/>
              </w:rPr>
            </w:pPr>
            <w:r>
              <w:rPr>
                <w:rFonts w:ascii="Arial" w:cs="Arial" w:eastAsia="Arial" w:hAnsi="Arial"/>
                <w:sz w:val="18"/>
                <w:szCs w:val="18"/>
                <w:color w:val="auto"/>
              </w:rPr>
              <w:t>Automotive</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552,671</w:t>
            </w:r>
          </w:p>
        </w:tc>
        <w:tc>
          <w:tcPr>
            <w:tcW w:w="80" w:type="dxa"/>
            <w:vAlign w:val="bottom"/>
          </w:tcPr>
          <w:p>
            <w:pPr>
              <w:spacing w:after="0"/>
              <w:rPr>
                <w:sz w:val="19"/>
                <w:szCs w:val="19"/>
                <w:color w:val="auto"/>
              </w:rPr>
            </w:pPr>
          </w:p>
        </w:tc>
        <w:tc>
          <w:tcPr>
            <w:tcW w:w="1400" w:type="dxa"/>
            <w:vAlign w:val="bottom"/>
          </w:tcPr>
          <w:p>
            <w:pPr>
              <w:jc w:val="right"/>
              <w:ind w:right="397"/>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246,504</w:t>
            </w:r>
          </w:p>
        </w:tc>
        <w:tc>
          <w:tcPr>
            <w:tcW w:w="100" w:type="dxa"/>
            <w:vAlign w:val="bottom"/>
          </w:tcPr>
          <w:p>
            <w:pPr>
              <w:spacing w:after="0"/>
              <w:rPr>
                <w:sz w:val="19"/>
                <w:szCs w:val="19"/>
                <w:color w:val="auto"/>
              </w:rPr>
            </w:pP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Communications</w:t>
            </w: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281,726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Consumer</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378,112</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tcPr>
          <w:p>
            <w:pPr>
              <w:jc w:val="right"/>
              <w:ind w:right="350"/>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174,042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2,684,293</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1,558,458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100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83"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1"/>
        </w:trPr>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0"/>
              </w:rPr>
              <w:t>January 29, 2022</w:t>
            </w: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0"/>
              </w:rPr>
              <w:t>January 30, 2021</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65"/>
        </w:trPr>
        <w:tc>
          <w:tcPr>
            <w:tcW w:w="420" w:type="dxa"/>
            <w:vAlign w:val="bottom"/>
          </w:tcPr>
          <w:p>
            <w:pPr>
              <w:spacing w:after="0"/>
              <w:rPr>
                <w:sz w:val="14"/>
                <w:szCs w:val="14"/>
                <w:color w:val="auto"/>
              </w:rPr>
            </w:pPr>
          </w:p>
        </w:tc>
        <w:tc>
          <w:tcPr>
            <w:tcW w:w="3120" w:type="dxa"/>
            <w:vAlign w:val="bottom"/>
            <w:gridSpan w:val="2"/>
          </w:tcPr>
          <w:p>
            <w:pPr>
              <w:spacing w:after="0" w:line="165" w:lineRule="exact"/>
              <w:rPr>
                <w:sz w:val="20"/>
                <w:szCs w:val="20"/>
                <w:color w:val="auto"/>
              </w:rPr>
            </w:pPr>
            <w:r>
              <w:rPr>
                <w:rFonts w:ascii="Arial" w:cs="Arial" w:eastAsia="Arial" w:hAnsi="Arial"/>
                <w:sz w:val="18"/>
                <w:szCs w:val="18"/>
                <w:color w:val="auto"/>
              </w:rPr>
              <w:t>Channel</w:t>
            </w:r>
          </w:p>
        </w:tc>
        <w:tc>
          <w:tcPr>
            <w:tcW w:w="680" w:type="dxa"/>
            <w:vAlign w:val="bottom"/>
          </w:tcPr>
          <w:p>
            <w:pPr>
              <w:spacing w:after="0"/>
              <w:rPr>
                <w:sz w:val="14"/>
                <w:szCs w:val="14"/>
                <w:color w:val="auto"/>
              </w:rPr>
            </w:pPr>
          </w:p>
        </w:tc>
        <w:tc>
          <w:tcPr>
            <w:tcW w:w="1940" w:type="dxa"/>
            <w:vAlign w:val="bottom"/>
            <w:gridSpan w:val="3"/>
          </w:tcPr>
          <w:p>
            <w:pPr>
              <w:ind w:left="200"/>
              <w:spacing w:after="0"/>
              <w:rPr>
                <w:sz w:val="20"/>
                <w:szCs w:val="20"/>
                <w:color w:val="auto"/>
              </w:rPr>
            </w:pPr>
            <w:r>
              <w:rPr>
                <w:rFonts w:ascii="Arial" w:cs="Arial" w:eastAsia="Arial" w:hAnsi="Arial"/>
                <w:sz w:val="14"/>
                <w:szCs w:val="14"/>
                <w:b w:val="1"/>
                <w:bCs w:val="1"/>
                <w:color w:val="auto"/>
              </w:rPr>
              <w:t>Revenue</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 of Revenue*</w:t>
            </w:r>
          </w:p>
        </w:tc>
        <w:tc>
          <w:tcPr>
            <w:tcW w:w="840" w:type="dxa"/>
            <w:vAlign w:val="bottom"/>
          </w:tcPr>
          <w:p>
            <w:pPr>
              <w:spacing w:after="0"/>
              <w:rPr>
                <w:sz w:val="14"/>
                <w:szCs w:val="14"/>
                <w:color w:val="auto"/>
              </w:rPr>
            </w:pPr>
          </w:p>
        </w:tc>
        <w:tc>
          <w:tcPr>
            <w:tcW w:w="178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2"/>
              </w:rPr>
              <w:t>% of Revenue*</w:t>
            </w:r>
          </w:p>
        </w:tc>
        <w:tc>
          <w:tcPr>
            <w:tcW w:w="220" w:type="dxa"/>
            <w:vAlign w:val="bottom"/>
          </w:tcPr>
          <w:p>
            <w:pPr>
              <w:spacing w:after="0"/>
              <w:rPr>
                <w:sz w:val="14"/>
                <w:szCs w:val="14"/>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Distributors</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1,653,054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946,386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0" w:type="dxa"/>
            <w:vAlign w:val="bottom"/>
          </w:tcPr>
          <w:p>
            <w:pPr>
              <w:spacing w:after="0"/>
              <w:rPr>
                <w:sz w:val="19"/>
                <w:szCs w:val="19"/>
                <w:color w:val="auto"/>
              </w:rPr>
            </w:pP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Direct customers</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1,003,181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589,456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ind w:right="336"/>
              <w:spacing w:after="0"/>
              <w:rPr>
                <w:sz w:val="20"/>
                <w:szCs w:val="20"/>
                <w:color w:val="auto"/>
              </w:rPr>
            </w:pPr>
            <w:r>
              <w:rPr>
                <w:rFonts w:ascii="Arial" w:cs="Arial" w:eastAsia="Arial" w:hAnsi="Arial"/>
                <w:sz w:val="18"/>
                <w:szCs w:val="18"/>
                <w:color w:val="auto"/>
              </w:rPr>
              <w:t>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2,684,293</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1,558,458</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67" w:lineRule="exact"/>
        <w:rPr>
          <w:sz w:val="20"/>
          <w:szCs w:val="20"/>
          <w:color w:val="auto"/>
        </w:rPr>
      </w:pPr>
    </w:p>
    <w:p>
      <w:pPr>
        <w:ind w:right="120" w:firstLine="434"/>
        <w:spacing w:after="0" w:line="248"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41" w:lineRule="exact"/>
        <w:rPr>
          <w:sz w:val="20"/>
          <w:szCs w:val="20"/>
          <w:color w:val="auto"/>
        </w:rPr>
      </w:pPr>
    </w:p>
    <w:p>
      <w:pPr>
        <w:ind w:right="480" w:firstLine="434"/>
        <w:spacing w:after="0" w:line="261"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29" w:lineRule="exact"/>
        <w:rPr>
          <w:sz w:val="20"/>
          <w:szCs w:val="20"/>
          <w:color w:val="auto"/>
        </w:rPr>
      </w:pPr>
    </w:p>
    <w:p>
      <w:pPr>
        <w:ind w:right="280" w:firstLine="434"/>
        <w:spacing w:after="0" w:line="324"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82" w:lineRule="exact"/>
        <w:rPr>
          <w:sz w:val="20"/>
          <w:szCs w:val="20"/>
          <w:color w:val="auto"/>
        </w:rPr>
      </w:pPr>
    </w:p>
    <w:p>
      <w:pPr>
        <w:ind w:right="340" w:firstLine="434"/>
        <w:spacing w:after="0" w:line="26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ind w:right="140" w:firstLine="434"/>
        <w:spacing w:after="0" w:line="250" w:lineRule="auto"/>
        <w:rPr>
          <w:sz w:val="20"/>
          <w:szCs w:val="20"/>
          <w:color w:val="auto"/>
        </w:rPr>
      </w:pPr>
      <w:r>
        <w:rPr>
          <w:rFonts w:ascii="Arial" w:cs="Arial" w:eastAsia="Arial" w:hAnsi="Arial"/>
          <w:sz w:val="18"/>
          <w:szCs w:val="18"/>
          <w:color w:val="auto"/>
        </w:rPr>
        <w:t>The tables below, set forth by level, presents the Company’s financial assets and liabilities, excluding accrued interest components that were accounted for at fair value on a recurring basis as of January 29, 2022 and October 30, 2021. The tables exclude cash on hand and assets and liabilities that are measured at historical cost or any basis other than fair value. As of January 29, 2022 and October 30, 2021, the Company held $1,053.5 million and $1,315.0 million, respectively, of cash that was excluded from the tables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January 29, 2022</w:t>
            </w: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0"/>
        </w:trPr>
        <w:tc>
          <w:tcPr>
            <w:tcW w:w="5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Fair Value measurement at</w:t>
            </w: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3"/>
        </w:trPr>
        <w:tc>
          <w:tcPr>
            <w:tcW w:w="5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Reporting Date using:</w:t>
            </w: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55"/>
        </w:trPr>
        <w:tc>
          <w:tcPr>
            <w:tcW w:w="5040" w:type="dxa"/>
            <w:vAlign w:val="bottom"/>
          </w:tcPr>
          <w:p>
            <w:pPr>
              <w:spacing w:after="0"/>
              <w:rPr>
                <w:sz w:val="13"/>
                <w:szCs w:val="13"/>
                <w:color w:val="auto"/>
              </w:rPr>
            </w:pPr>
          </w:p>
        </w:tc>
        <w:tc>
          <w:tcPr>
            <w:tcW w:w="2080" w:type="dxa"/>
            <w:vAlign w:val="bottom"/>
            <w:gridSpan w:val="3"/>
          </w:tcPr>
          <w:p>
            <w:pPr>
              <w:jc w:val="center"/>
              <w:ind w:left="218"/>
              <w:spacing w:after="0" w:line="155" w:lineRule="exact"/>
              <w:rPr>
                <w:sz w:val="20"/>
                <w:szCs w:val="20"/>
                <w:color w:val="auto"/>
              </w:rPr>
            </w:pPr>
            <w:r>
              <w:rPr>
                <w:rFonts w:ascii="Arial" w:cs="Arial" w:eastAsia="Arial" w:hAnsi="Arial"/>
                <w:sz w:val="14"/>
                <w:szCs w:val="14"/>
                <w:b w:val="1"/>
                <w:bCs w:val="1"/>
                <w:color w:val="auto"/>
                <w:w w:val="90"/>
              </w:rPr>
              <w:t>Quoted Prices in Active</w:t>
            </w:r>
          </w:p>
        </w:tc>
        <w:tc>
          <w:tcPr>
            <w:tcW w:w="600" w:type="dxa"/>
            <w:vAlign w:val="bottom"/>
          </w:tcPr>
          <w:p>
            <w:pPr>
              <w:spacing w:after="0"/>
              <w:rPr>
                <w:sz w:val="13"/>
                <w:szCs w:val="13"/>
                <w:color w:val="auto"/>
              </w:rPr>
            </w:pPr>
          </w:p>
        </w:tc>
        <w:tc>
          <w:tcPr>
            <w:tcW w:w="14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Significant Other</w:t>
            </w: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8"/>
        </w:trPr>
        <w:tc>
          <w:tcPr>
            <w:tcW w:w="5040" w:type="dxa"/>
            <w:vAlign w:val="bottom"/>
          </w:tcPr>
          <w:p>
            <w:pPr>
              <w:spacing w:after="0"/>
              <w:rPr>
                <w:sz w:val="13"/>
                <w:szCs w:val="13"/>
                <w:color w:val="auto"/>
              </w:rPr>
            </w:pPr>
          </w:p>
        </w:tc>
        <w:tc>
          <w:tcPr>
            <w:tcW w:w="2080" w:type="dxa"/>
            <w:vAlign w:val="bottom"/>
            <w:gridSpan w:val="3"/>
          </w:tcPr>
          <w:p>
            <w:pPr>
              <w:ind w:left="140"/>
              <w:spacing w:after="0" w:line="158" w:lineRule="exact"/>
              <w:rPr>
                <w:sz w:val="20"/>
                <w:szCs w:val="20"/>
                <w:color w:val="auto"/>
              </w:rPr>
            </w:pPr>
            <w:r>
              <w:rPr>
                <w:rFonts w:ascii="Arial" w:cs="Arial" w:eastAsia="Arial" w:hAnsi="Arial"/>
                <w:sz w:val="14"/>
                <w:szCs w:val="14"/>
                <w:b w:val="1"/>
                <w:bCs w:val="1"/>
                <w:color w:val="auto"/>
              </w:rPr>
              <w:t>Markets for Identical Assets</w:t>
            </w:r>
          </w:p>
        </w:tc>
        <w:tc>
          <w:tcPr>
            <w:tcW w:w="2080" w:type="dxa"/>
            <w:vAlign w:val="bottom"/>
            <w:gridSpan w:val="3"/>
          </w:tcPr>
          <w:p>
            <w:pPr>
              <w:ind w:left="420"/>
              <w:spacing w:after="0" w:line="158" w:lineRule="exact"/>
              <w:rPr>
                <w:sz w:val="20"/>
                <w:szCs w:val="20"/>
                <w:color w:val="auto"/>
              </w:rPr>
            </w:pPr>
            <w:r>
              <w:rPr>
                <w:rFonts w:ascii="Arial" w:cs="Arial" w:eastAsia="Arial" w:hAnsi="Arial"/>
                <w:sz w:val="14"/>
                <w:szCs w:val="14"/>
                <w:b w:val="1"/>
                <w:bCs w:val="1"/>
                <w:color w:val="auto"/>
              </w:rPr>
              <w:t>Observable Inputs</w:t>
            </w: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3"/>
        </w:trPr>
        <w:tc>
          <w:tcPr>
            <w:tcW w:w="5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(Level 1)</w:t>
            </w:r>
          </w:p>
        </w:tc>
        <w:tc>
          <w:tcPr>
            <w:tcW w:w="60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80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Total</w:t>
            </w:r>
          </w:p>
        </w:tc>
      </w:tr>
      <w:tr>
        <w:trPr>
          <w:trHeight w:val="24"/>
        </w:trPr>
        <w:tc>
          <w:tcPr>
            <w:tcW w:w="5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504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4"/>
        </w:trPr>
        <w:tc>
          <w:tcPr>
            <w:tcW w:w="5040" w:type="dxa"/>
            <w:vAlign w:val="bottom"/>
          </w:tcPr>
          <w:p>
            <w:pPr>
              <w:ind w:left="460"/>
              <w:spacing w:after="0"/>
              <w:rPr>
                <w:sz w:val="20"/>
                <w:szCs w:val="20"/>
                <w:color w:val="auto"/>
              </w:rPr>
            </w:pPr>
            <w:r>
              <w:rPr>
                <w:rFonts w:ascii="Arial" w:cs="Arial" w:eastAsia="Arial" w:hAnsi="Arial"/>
                <w:sz w:val="18"/>
                <w:szCs w:val="18"/>
                <w:b w:val="1"/>
                <w:bCs w:val="1"/>
                <w:color w:val="auto"/>
              </w:rPr>
              <w:t>Cash equivalents:</w:t>
            </w: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Available-for-sale:</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5040" w:type="dxa"/>
            <w:vAlign w:val="bottom"/>
          </w:tcPr>
          <w:p>
            <w:pPr>
              <w:ind w:left="1080"/>
              <w:spacing w:after="0"/>
              <w:rPr>
                <w:sz w:val="20"/>
                <w:szCs w:val="20"/>
                <w:color w:val="auto"/>
              </w:rPr>
            </w:pPr>
            <w:r>
              <w:rPr>
                <w:rFonts w:ascii="Arial" w:cs="Arial" w:eastAsia="Arial" w:hAnsi="Arial"/>
                <w:sz w:val="18"/>
                <w:szCs w:val="18"/>
                <w:color w:val="auto"/>
                <w:w w:val="99"/>
              </w:rPr>
              <w:t>Government and institutional money market funds</w:t>
            </w:r>
          </w:p>
        </w:tc>
        <w:tc>
          <w:tcPr>
            <w:tcW w:w="7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606,876</w:t>
            </w:r>
          </w:p>
        </w:tc>
        <w:tc>
          <w:tcPr>
            <w:tcW w:w="120" w:type="dxa"/>
            <w:vAlign w:val="bottom"/>
          </w:tcPr>
          <w:p>
            <w:pPr>
              <w:spacing w:after="0"/>
              <w:rPr>
                <w:sz w:val="19"/>
                <w:szCs w:val="19"/>
                <w:color w:val="auto"/>
              </w:rPr>
            </w:pPr>
          </w:p>
        </w:tc>
        <w:tc>
          <w:tcPr>
            <w:tcW w:w="600" w:type="dxa"/>
            <w:vAlign w:val="bottom"/>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606,876</w:t>
            </w:r>
          </w:p>
        </w:tc>
      </w:tr>
      <w:tr>
        <w:trPr>
          <w:trHeight w:val="224"/>
        </w:trPr>
        <w:tc>
          <w:tcPr>
            <w:tcW w:w="5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Corporate obligations (1)</w:t>
            </w:r>
          </w:p>
        </w:tc>
        <w:tc>
          <w:tcPr>
            <w:tcW w:w="7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129,993</w:t>
            </w:r>
          </w:p>
        </w:tc>
      </w:tr>
      <w:tr>
        <w:trPr>
          <w:trHeight w:val="224"/>
        </w:trPr>
        <w:tc>
          <w:tcPr>
            <w:tcW w:w="5040" w:type="dxa"/>
            <w:vAlign w:val="bottom"/>
          </w:tcPr>
          <w:p>
            <w:pPr>
              <w:ind w:left="460"/>
              <w:spacing w:after="0"/>
              <w:rPr>
                <w:sz w:val="20"/>
                <w:szCs w:val="20"/>
                <w:color w:val="auto"/>
              </w:rPr>
            </w:pPr>
            <w:r>
              <w:rPr>
                <w:rFonts w:ascii="Arial" w:cs="Arial" w:eastAsia="Arial" w:hAnsi="Arial"/>
                <w:sz w:val="18"/>
                <w:szCs w:val="18"/>
                <w:b w:val="1"/>
                <w:bCs w:val="1"/>
                <w:color w:val="auto"/>
              </w:rPr>
              <w:t>Other assets:</w:t>
            </w: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Deferred compensation plan investments</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70,258</w:t>
            </w:r>
          </w:p>
        </w:tc>
      </w:tr>
      <w:tr>
        <w:trPr>
          <w:trHeight w:val="217"/>
        </w:trPr>
        <w:tc>
          <w:tcPr>
            <w:tcW w:w="5040" w:type="dxa"/>
            <w:vAlign w:val="bottom"/>
          </w:tcPr>
          <w:p>
            <w:pPr>
              <w:ind w:left="460"/>
              <w:spacing w:after="0"/>
              <w:rPr>
                <w:sz w:val="20"/>
                <w:szCs w:val="20"/>
                <w:color w:val="auto"/>
              </w:rPr>
            </w:pPr>
            <w:r>
              <w:rPr>
                <w:rFonts w:ascii="Arial" w:cs="Arial" w:eastAsia="Arial" w:hAnsi="Arial"/>
                <w:sz w:val="18"/>
                <w:szCs w:val="18"/>
                <w:b w:val="1"/>
                <w:bCs w:val="1"/>
                <w:color w:val="auto"/>
              </w:rPr>
              <w:t>Total assets measured at fair value</w:t>
            </w:r>
          </w:p>
        </w:tc>
        <w:tc>
          <w:tcPr>
            <w:tcW w:w="7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677,134</w:t>
            </w: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129,993</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807,127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5040" w:type="dxa"/>
            <w:vAlign w:val="bottom"/>
            <w:shd w:val="clear" w:color="auto" w:fill="CCEEFF"/>
          </w:tcPr>
          <w:p>
            <w:pPr>
              <w:ind w:left="460"/>
              <w:spacing w:after="0" w:line="190" w:lineRule="exact"/>
              <w:rPr>
                <w:sz w:val="20"/>
                <w:szCs w:val="20"/>
                <w:color w:val="auto"/>
              </w:rPr>
            </w:pPr>
            <w:r>
              <w:rPr>
                <w:rFonts w:ascii="Arial" w:cs="Arial" w:eastAsia="Arial" w:hAnsi="Arial"/>
                <w:sz w:val="18"/>
                <w:szCs w:val="18"/>
                <w:b w:val="1"/>
                <w:bCs w:val="1"/>
                <w:color w:val="auto"/>
              </w:rPr>
              <w:t>Liabilities</w:t>
            </w:r>
          </w:p>
        </w:tc>
        <w:tc>
          <w:tcPr>
            <w:tcW w:w="7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3"/>
        </w:trPr>
        <w:tc>
          <w:tcPr>
            <w:tcW w:w="504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Forward foreign currency exchange contracts (2)</w:t>
            </w: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w:t>
            </w:r>
          </w:p>
        </w:tc>
      </w:tr>
      <w:tr>
        <w:trPr>
          <w:trHeight w:val="237"/>
        </w:trPr>
        <w:tc>
          <w:tcPr>
            <w:tcW w:w="50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 measured at fair value</w:t>
            </w: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January 29, 2022 was $130.0 million.</w:t>
      </w:r>
    </w:p>
    <w:p>
      <w:pPr>
        <w:spacing w:after="0" w:line="15" w:lineRule="exact"/>
        <w:rPr>
          <w:rFonts w:ascii="Arial" w:cs="Arial" w:eastAsia="Arial" w:hAnsi="Arial"/>
          <w:sz w:val="18"/>
          <w:szCs w:val="18"/>
          <w:color w:val="auto"/>
        </w:rPr>
      </w:pPr>
    </w:p>
    <w:p>
      <w:pPr>
        <w:ind w:left="640" w:right="620" w:hanging="319"/>
        <w:spacing w:after="0" w:line="286" w:lineRule="auto"/>
        <w:tabs>
          <w:tab w:leader="none" w:pos="63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Company has master netting arrangements by counterparty with respect to derivative contracts. See Note 9,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in these Notes to Condensed Consolidated Financial Statements for more information related to the Company's master netting arrangements.</w:t>
      </w: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October 30, 2021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Reporting Date using:</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89"/>
              </w:rPr>
              <w:t>Quoted Prices in Active</w:t>
            </w:r>
          </w:p>
        </w:tc>
        <w:tc>
          <w:tcPr>
            <w:tcW w:w="220" w:type="dxa"/>
            <w:vAlign w:val="bottom"/>
          </w:tcPr>
          <w:p>
            <w:pPr>
              <w:spacing w:after="0"/>
              <w:rPr>
                <w:sz w:val="13"/>
                <w:szCs w:val="13"/>
                <w:color w:val="auto"/>
              </w:rPr>
            </w:pPr>
          </w:p>
        </w:tc>
        <w:tc>
          <w:tcPr>
            <w:tcW w:w="16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2"/>
              </w:rPr>
              <w:t>Significant Other</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720" w:type="dxa"/>
            <w:vAlign w:val="bottom"/>
          </w:tcPr>
          <w:p>
            <w:pPr>
              <w:spacing w:after="0"/>
              <w:rPr>
                <w:sz w:val="12"/>
                <w:szCs w:val="12"/>
                <w:color w:val="auto"/>
              </w:rPr>
            </w:pPr>
          </w:p>
        </w:tc>
        <w:tc>
          <w:tcPr>
            <w:tcW w:w="186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w w:val="96"/>
              </w:rPr>
              <w:t>Markets for Identical Assets</w:t>
            </w:r>
          </w:p>
        </w:tc>
        <w:tc>
          <w:tcPr>
            <w:tcW w:w="220" w:type="dxa"/>
            <w:vAlign w:val="bottom"/>
          </w:tcPr>
          <w:p>
            <w:pPr>
              <w:spacing w:after="0"/>
              <w:rPr>
                <w:sz w:val="12"/>
                <w:szCs w:val="12"/>
                <w:color w:val="auto"/>
              </w:rPr>
            </w:pPr>
          </w:p>
        </w:tc>
        <w:tc>
          <w:tcPr>
            <w:tcW w:w="16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662,997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662,997</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compensation plan investments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71,301</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734,298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734,298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foreign currency exchange contracts (1)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18"/>
                <w:szCs w:val="18"/>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40" w:right="620" w:hanging="319"/>
        <w:spacing w:after="0" w:line="324" w:lineRule="auto"/>
        <w:tabs>
          <w:tab w:leader="none" w:pos="634"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Company has master netting arrangements by counterparty with respect to derivative contracts. See Note 9,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in these Notes to Condensed Consolidated Financial Statements for more information related to the Company's master netting arrangements.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61" w:lineRule="exact"/>
        <w:rPr>
          <w:sz w:val="20"/>
          <w:szCs w:val="20"/>
          <w:color w:val="auto"/>
        </w:rPr>
      </w:pPr>
    </w:p>
    <w:p>
      <w:pPr>
        <w:ind w:right="260" w:firstLine="434"/>
        <w:spacing w:after="0" w:line="261"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market rates.</w:t>
      </w:r>
    </w:p>
    <w:p>
      <w:pPr>
        <w:spacing w:after="0" w:line="129" w:lineRule="exact"/>
        <w:rPr>
          <w:sz w:val="20"/>
          <w:szCs w:val="20"/>
          <w:color w:val="auto"/>
        </w:rPr>
      </w:pPr>
    </w:p>
    <w:p>
      <w:pPr>
        <w:ind w:right="20" w:firstLine="434"/>
        <w:spacing w:after="0" w:line="261"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prices.</w:t>
      </w:r>
    </w:p>
    <w:p>
      <w:pPr>
        <w:spacing w:after="0" w:line="129" w:lineRule="exact"/>
        <w:rPr>
          <w:sz w:val="20"/>
          <w:szCs w:val="20"/>
          <w:color w:val="auto"/>
        </w:rPr>
      </w:pPr>
    </w:p>
    <w:p>
      <w:pPr>
        <w:ind w:right="60" w:firstLine="434"/>
        <w:spacing w:after="0" w:line="248"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61"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b w:val="1"/>
          <w:bCs w:val="1"/>
          <w:i w:val="1"/>
          <w:iCs w:val="1"/>
          <w:color w:val="auto"/>
        </w:rPr>
        <w:t>Held for sale assets —</w:t>
      </w:r>
      <w:r>
        <w:rPr>
          <w:rFonts w:ascii="Arial" w:cs="Arial" w:eastAsia="Arial" w:hAnsi="Arial"/>
          <w:sz w:val="18"/>
          <w:szCs w:val="18"/>
          <w:color w:val="auto"/>
        </w:rPr>
        <w:t>The Company has classified the assets held for sale at fair value, which is determined based on the use of appraisals and input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market participants, and as such is considered a Level 3 fair value measurement. See Note 6,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in these Notes to Condensed Consolidated Financial Statements for more information related to held for sale assets.</w:t>
      </w:r>
    </w:p>
    <w:p>
      <w:pPr>
        <w:spacing w:after="0" w:line="98" w:lineRule="exact"/>
        <w:rPr>
          <w:sz w:val="20"/>
          <w:szCs w:val="20"/>
          <w:color w:val="auto"/>
        </w:rPr>
      </w:pPr>
    </w:p>
    <w:p>
      <w:pPr>
        <w:ind w:right="20" w:firstLine="395"/>
        <w:spacing w:after="0" w:line="293" w:lineRule="auto"/>
        <w:rPr>
          <w:sz w:val="20"/>
          <w:szCs w:val="20"/>
          <w:color w:val="auto"/>
        </w:rPr>
      </w:pPr>
      <w:r>
        <w:rPr>
          <w:rFonts w:ascii="Arial" w:cs="Arial" w:eastAsia="Arial" w:hAnsi="Arial"/>
          <w:sz w:val="16"/>
          <w:szCs w:val="16"/>
          <w:b w:val="1"/>
          <w:bCs w:val="1"/>
          <w:i w:val="1"/>
          <w:iCs w:val="1"/>
          <w:color w:val="auto"/>
        </w:rPr>
        <w:t xml:space="preserve">Debt — </w:t>
      </w:r>
      <w:r>
        <w:rPr>
          <w:rFonts w:ascii="Arial" w:cs="Arial" w:eastAsia="Arial" w:hAnsi="Arial"/>
          <w:sz w:val="16"/>
          <w:szCs w:val="16"/>
          <w:color w:val="auto"/>
        </w:rPr>
        <w:t>The table below presents the estimated fair value of certain financial instruments not recorded at fair value on a recurring basis. The fair values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senior unsecured notes are obtained from broker prices and are classified as Level 1 measurements according to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29, 2022</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30, 2021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2"/>
          </w:tcPr>
          <w:p>
            <w:pPr>
              <w:ind w:left="60"/>
              <w:spacing w:after="0" w:line="130" w:lineRule="exact"/>
              <w:rPr>
                <w:sz w:val="20"/>
                <w:szCs w:val="20"/>
                <w:color w:val="auto"/>
              </w:rPr>
            </w:pPr>
            <w:r>
              <w:rPr>
                <w:rFonts w:ascii="Arial" w:cs="Arial" w:eastAsia="Arial" w:hAnsi="Arial"/>
                <w:sz w:val="14"/>
                <w:szCs w:val="14"/>
                <w:b w:val="1"/>
                <w:bCs w:val="1"/>
                <w:color w:val="auto"/>
              </w:rPr>
              <w:t>Principal Amount</w:t>
            </w:r>
          </w:p>
        </w:tc>
        <w:tc>
          <w:tcPr>
            <w:tcW w:w="740" w:type="dxa"/>
            <w:vAlign w:val="bottom"/>
          </w:tcPr>
          <w:p>
            <w:pPr>
              <w:spacing w:after="0"/>
              <w:rPr>
                <w:sz w:val="11"/>
                <w:szCs w:val="11"/>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2"/>
          </w:tcPr>
          <w:p>
            <w:pPr>
              <w:ind w:left="40"/>
              <w:spacing w:after="0" w:line="130" w:lineRule="exact"/>
              <w:rPr>
                <w:sz w:val="20"/>
                <w:szCs w:val="20"/>
                <w:color w:val="auto"/>
              </w:rPr>
            </w:pPr>
            <w:r>
              <w:rPr>
                <w:rFonts w:ascii="Arial" w:cs="Arial" w:eastAsia="Arial" w:hAnsi="Arial"/>
                <w:sz w:val="14"/>
                <w:szCs w:val="14"/>
                <w:b w:val="1"/>
                <w:bCs w:val="1"/>
                <w:color w:val="auto"/>
              </w:rPr>
              <w:t>Principal Amount</w:t>
            </w:r>
          </w:p>
        </w:tc>
        <w:tc>
          <w:tcPr>
            <w:tcW w:w="720" w:type="dxa"/>
            <w:vAlign w:val="bottom"/>
          </w:tcPr>
          <w:p>
            <w:pPr>
              <w:spacing w:after="0"/>
              <w:rPr>
                <w:sz w:val="11"/>
                <w:szCs w:val="11"/>
                <w:color w:val="auto"/>
              </w:rPr>
            </w:pPr>
          </w:p>
        </w:tc>
        <w:tc>
          <w:tcPr>
            <w:tcW w:w="11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80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Maxim 2023 Notes, due March 2023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520,236</w:t>
            </w:r>
          </w:p>
        </w:tc>
        <w:tc>
          <w:tcPr>
            <w:tcW w:w="0" w:type="dxa"/>
            <w:vAlign w:val="bottom"/>
          </w:tcPr>
          <w:p>
            <w:pPr>
              <w:spacing w:after="0"/>
              <w:rPr>
                <w:sz w:val="1"/>
                <w:szCs w:val="1"/>
                <w:color w:val="auto"/>
              </w:rPr>
            </w:pPr>
          </w:p>
        </w:tc>
      </w:tr>
      <w:tr>
        <w:trPr>
          <w:trHeight w:val="223"/>
        </w:trPr>
        <w:tc>
          <w:tcPr>
            <w:tcW w:w="800" w:type="dxa"/>
            <w:vAlign w:val="bottom"/>
          </w:tcPr>
          <w:p>
            <w:pPr>
              <w:ind w:left="420"/>
              <w:spacing w:after="0"/>
              <w:rPr>
                <w:sz w:val="20"/>
                <w:szCs w:val="20"/>
                <w:color w:val="auto"/>
              </w:rPr>
            </w:pPr>
            <w:r>
              <w:rPr>
                <w:rFonts w:ascii="Arial" w:cs="Arial" w:eastAsia="Arial" w:hAnsi="Arial"/>
                <w:sz w:val="18"/>
                <w:szCs w:val="18"/>
                <w:color w:val="auto"/>
                <w:w w:val="89"/>
              </w:rPr>
              <w:t>2024</w:t>
            </w:r>
          </w:p>
        </w:tc>
        <w:tc>
          <w:tcPr>
            <w:tcW w:w="2700" w:type="dxa"/>
            <w:vAlign w:val="bottom"/>
          </w:tcPr>
          <w:p>
            <w:pPr>
              <w:ind w:left="20"/>
              <w:spacing w:after="0"/>
              <w:rPr>
                <w:sz w:val="20"/>
                <w:szCs w:val="20"/>
                <w:color w:val="auto"/>
              </w:rPr>
            </w:pPr>
            <w:r>
              <w:rPr>
                <w:rFonts w:ascii="Arial" w:cs="Arial" w:eastAsia="Arial" w:hAnsi="Arial"/>
                <w:sz w:val="18"/>
                <w:szCs w:val="18"/>
                <w:color w:val="auto"/>
              </w:rPr>
              <w:t>Notes, due October 2024</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500,233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500,482</w:t>
            </w: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2025</w:t>
            </w: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April 2025</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423,265</w:t>
            </w:r>
          </w:p>
        </w:tc>
        <w:tc>
          <w:tcPr>
            <w:tcW w:w="0" w:type="dxa"/>
            <w:vAlign w:val="bottom"/>
          </w:tcPr>
          <w:p>
            <w:pPr>
              <w:spacing w:after="0"/>
              <w:rPr>
                <w:sz w:val="1"/>
                <w:szCs w:val="1"/>
                <w:color w:val="auto"/>
              </w:rPr>
            </w:pPr>
          </w:p>
        </w:tc>
      </w:tr>
      <w:tr>
        <w:trPr>
          <w:trHeight w:val="223"/>
        </w:trPr>
        <w:tc>
          <w:tcPr>
            <w:tcW w:w="800" w:type="dxa"/>
            <w:vAlign w:val="bottom"/>
          </w:tcPr>
          <w:p>
            <w:pPr>
              <w:ind w:left="420"/>
              <w:spacing w:after="0"/>
              <w:rPr>
                <w:sz w:val="20"/>
                <w:szCs w:val="20"/>
                <w:color w:val="auto"/>
              </w:rPr>
            </w:pPr>
            <w:r>
              <w:rPr>
                <w:rFonts w:ascii="Arial" w:cs="Arial" w:eastAsia="Arial" w:hAnsi="Arial"/>
                <w:sz w:val="18"/>
                <w:szCs w:val="18"/>
                <w:color w:val="auto"/>
                <w:w w:val="89"/>
              </w:rPr>
              <w:t>2026</w:t>
            </w:r>
          </w:p>
        </w:tc>
        <w:tc>
          <w:tcPr>
            <w:tcW w:w="2700" w:type="dxa"/>
            <w:vAlign w:val="bottom"/>
          </w:tcPr>
          <w:p>
            <w:pPr>
              <w:ind w:left="20"/>
              <w:spacing w:after="0"/>
              <w:rPr>
                <w:sz w:val="20"/>
                <w:szCs w:val="20"/>
                <w:color w:val="auto"/>
              </w:rPr>
            </w:pPr>
            <w:r>
              <w:rPr>
                <w:rFonts w:ascii="Arial" w:cs="Arial" w:eastAsia="Arial" w:hAnsi="Arial"/>
                <w:sz w:val="18"/>
                <w:szCs w:val="18"/>
                <w:color w:val="auto"/>
              </w:rPr>
              <w:t>Notes, due December 2026</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960,798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986,243</w:t>
            </w:r>
          </w:p>
        </w:tc>
        <w:tc>
          <w:tcPr>
            <w:tcW w:w="0" w:type="dxa"/>
            <w:vAlign w:val="bottom"/>
          </w:tcPr>
          <w:p>
            <w:pPr>
              <w:spacing w:after="0"/>
              <w:rPr>
                <w:sz w:val="1"/>
                <w:szCs w:val="1"/>
                <w:color w:val="auto"/>
              </w:rPr>
            </w:pPr>
          </w:p>
        </w:tc>
      </w:tr>
      <w:tr>
        <w:trPr>
          <w:trHeight w:val="224"/>
        </w:trPr>
        <w:tc>
          <w:tcPr>
            <w:tcW w:w="3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Maxim 2027 Notes, due June 2027</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542,942</w:t>
            </w:r>
          </w:p>
        </w:tc>
        <w:tc>
          <w:tcPr>
            <w:tcW w:w="0" w:type="dxa"/>
            <w:vAlign w:val="bottom"/>
          </w:tcPr>
          <w:p>
            <w:pPr>
              <w:spacing w:after="0"/>
              <w:rPr>
                <w:sz w:val="1"/>
                <w:szCs w:val="1"/>
                <w:color w:val="auto"/>
              </w:rPr>
            </w:pPr>
          </w:p>
        </w:tc>
      </w:tr>
      <w:tr>
        <w:trPr>
          <w:trHeight w:val="223"/>
        </w:trPr>
        <w:tc>
          <w:tcPr>
            <w:tcW w:w="800" w:type="dxa"/>
            <w:vAlign w:val="bottom"/>
          </w:tcPr>
          <w:p>
            <w:pPr>
              <w:ind w:left="420"/>
              <w:spacing w:after="0"/>
              <w:rPr>
                <w:sz w:val="20"/>
                <w:szCs w:val="20"/>
                <w:color w:val="auto"/>
              </w:rPr>
            </w:pPr>
            <w:r>
              <w:rPr>
                <w:rFonts w:ascii="Arial" w:cs="Arial" w:eastAsia="Arial" w:hAnsi="Arial"/>
                <w:sz w:val="18"/>
                <w:szCs w:val="18"/>
                <w:color w:val="auto"/>
                <w:w w:val="89"/>
              </w:rPr>
              <w:t>2028</w:t>
            </w:r>
          </w:p>
        </w:tc>
        <w:tc>
          <w:tcPr>
            <w:tcW w:w="2700" w:type="dxa"/>
            <w:vAlign w:val="bottom"/>
          </w:tcPr>
          <w:p>
            <w:pPr>
              <w:ind w:left="20"/>
              <w:spacing w:after="0"/>
              <w:rPr>
                <w:sz w:val="20"/>
                <w:szCs w:val="20"/>
                <w:color w:val="auto"/>
              </w:rPr>
            </w:pPr>
            <w:r>
              <w:rPr>
                <w:rFonts w:ascii="Arial" w:cs="Arial" w:eastAsia="Arial" w:hAnsi="Arial"/>
                <w:sz w:val="18"/>
                <w:szCs w:val="18"/>
                <w:color w:val="auto"/>
              </w:rPr>
              <w:t>Notes, due October 2028</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722,982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743,109</w:t>
            </w: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2031</w:t>
            </w: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October 2031</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996,702</w:t>
            </w:r>
          </w:p>
        </w:tc>
        <w:tc>
          <w:tcPr>
            <w:tcW w:w="0" w:type="dxa"/>
            <w:vAlign w:val="bottom"/>
          </w:tcPr>
          <w:p>
            <w:pPr>
              <w:spacing w:after="0"/>
              <w:rPr>
                <w:sz w:val="1"/>
                <w:szCs w:val="1"/>
                <w:color w:val="auto"/>
              </w:rPr>
            </w:pPr>
          </w:p>
        </w:tc>
      </w:tr>
      <w:tr>
        <w:trPr>
          <w:trHeight w:val="223"/>
        </w:trPr>
        <w:tc>
          <w:tcPr>
            <w:tcW w:w="800" w:type="dxa"/>
            <w:vAlign w:val="bottom"/>
          </w:tcPr>
          <w:p>
            <w:pPr>
              <w:ind w:left="420"/>
              <w:spacing w:after="0"/>
              <w:rPr>
                <w:sz w:val="20"/>
                <w:szCs w:val="20"/>
                <w:color w:val="auto"/>
              </w:rPr>
            </w:pPr>
            <w:r>
              <w:rPr>
                <w:rFonts w:ascii="Arial" w:cs="Arial" w:eastAsia="Arial" w:hAnsi="Arial"/>
                <w:sz w:val="18"/>
                <w:szCs w:val="18"/>
                <w:color w:val="auto"/>
                <w:w w:val="89"/>
              </w:rPr>
              <w:t>2036</w:t>
            </w:r>
          </w:p>
        </w:tc>
        <w:tc>
          <w:tcPr>
            <w:tcW w:w="2700" w:type="dxa"/>
            <w:vAlign w:val="bottom"/>
          </w:tcPr>
          <w:p>
            <w:pPr>
              <w:ind w:left="20"/>
              <w:spacing w:after="0"/>
              <w:rPr>
                <w:sz w:val="20"/>
                <w:szCs w:val="20"/>
                <w:color w:val="auto"/>
              </w:rPr>
            </w:pPr>
            <w:r>
              <w:rPr>
                <w:rFonts w:ascii="Arial" w:cs="Arial" w:eastAsia="Arial" w:hAnsi="Arial"/>
                <w:sz w:val="18"/>
                <w:szCs w:val="18"/>
                <w:color w:val="auto"/>
              </w:rPr>
              <w:t>Notes, due December 2036</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144,278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165,586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144,278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176,960</w:t>
            </w: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2041</w:t>
            </w: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October 2041</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758,246</w:t>
            </w:r>
          </w:p>
        </w:tc>
        <w:tc>
          <w:tcPr>
            <w:tcW w:w="0" w:type="dxa"/>
            <w:vAlign w:val="bottom"/>
          </w:tcPr>
          <w:p>
            <w:pPr>
              <w:spacing w:after="0"/>
              <w:rPr>
                <w:sz w:val="1"/>
                <w:szCs w:val="1"/>
                <w:color w:val="auto"/>
              </w:rPr>
            </w:pPr>
          </w:p>
        </w:tc>
      </w:tr>
      <w:tr>
        <w:trPr>
          <w:trHeight w:val="223"/>
        </w:trPr>
        <w:tc>
          <w:tcPr>
            <w:tcW w:w="800" w:type="dxa"/>
            <w:vAlign w:val="bottom"/>
          </w:tcPr>
          <w:p>
            <w:pPr>
              <w:ind w:left="420"/>
              <w:spacing w:after="0"/>
              <w:rPr>
                <w:sz w:val="20"/>
                <w:szCs w:val="20"/>
                <w:color w:val="auto"/>
              </w:rPr>
            </w:pPr>
            <w:r>
              <w:rPr>
                <w:rFonts w:ascii="Arial" w:cs="Arial" w:eastAsia="Arial" w:hAnsi="Arial"/>
                <w:sz w:val="18"/>
                <w:szCs w:val="18"/>
                <w:color w:val="auto"/>
                <w:w w:val="89"/>
              </w:rPr>
              <w:t>2045</w:t>
            </w:r>
          </w:p>
        </w:tc>
        <w:tc>
          <w:tcPr>
            <w:tcW w:w="2700" w:type="dxa"/>
            <w:vAlign w:val="bottom"/>
          </w:tcPr>
          <w:p>
            <w:pPr>
              <w:ind w:left="20"/>
              <w:spacing w:after="0"/>
              <w:rPr>
                <w:sz w:val="20"/>
                <w:szCs w:val="20"/>
                <w:color w:val="auto"/>
              </w:rPr>
            </w:pPr>
            <w:r>
              <w:rPr>
                <w:rFonts w:ascii="Arial" w:cs="Arial" w:eastAsia="Arial" w:hAnsi="Arial"/>
                <w:sz w:val="18"/>
                <w:szCs w:val="18"/>
                <w:color w:val="auto"/>
              </w:rPr>
              <w:t>Notes, due December 2045</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332,587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444,072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332,587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469,592</w:t>
            </w: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2051</w:t>
            </w: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October 2051</w:t>
            </w: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952,121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1,029,830</w:t>
            </w:r>
          </w:p>
        </w:tc>
        <w:tc>
          <w:tcPr>
            <w:tcW w:w="0" w:type="dxa"/>
            <w:vAlign w:val="bottom"/>
          </w:tcPr>
          <w:p>
            <w:pPr>
              <w:spacing w:after="0"/>
              <w:rPr>
                <w:sz w:val="1"/>
                <w:szCs w:val="1"/>
                <w:color w:val="auto"/>
              </w:rPr>
            </w:pPr>
          </w:p>
        </w:tc>
      </w:tr>
      <w:tr>
        <w:trPr>
          <w:trHeight w:val="217"/>
        </w:trPr>
        <w:tc>
          <w:tcPr>
            <w:tcW w:w="3500" w:type="dxa"/>
            <w:vAlign w:val="bottom"/>
            <w:gridSpan w:val="2"/>
          </w:tcPr>
          <w:p>
            <w:pPr>
              <w:ind w:left="420"/>
              <w:spacing w:after="0"/>
              <w:rPr>
                <w:sz w:val="20"/>
                <w:szCs w:val="20"/>
                <w:color w:val="auto"/>
              </w:rPr>
            </w:pPr>
            <w:r>
              <w:rPr>
                <w:rFonts w:ascii="Arial" w:cs="Arial" w:eastAsia="Arial" w:hAnsi="Arial"/>
                <w:sz w:val="18"/>
                <w:szCs w:val="18"/>
                <w:color w:val="auto"/>
              </w:rPr>
              <w:t>Total debt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6,276,865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6,363,874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6,776,865</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7,147,607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67" w:lineRule="exact"/>
        <w:rPr>
          <w:sz w:val="20"/>
          <w:szCs w:val="20"/>
          <w:color w:val="auto"/>
        </w:rPr>
      </w:pPr>
    </w:p>
    <w:p>
      <w:pPr>
        <w:ind w:right="20" w:firstLine="434"/>
        <w:spacing w:after="0" w:line="280"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Thai Baht, South Korean Won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2" w:name="page13"/>
    <w:bookmarkEnd w:id="12"/>
    <w:p>
      <w:pPr>
        <w:ind w:firstLine="434"/>
        <w:spacing w:after="0" w:line="284" w:lineRule="auto"/>
        <w:rPr>
          <w:sz w:val="20"/>
          <w:szCs w:val="20"/>
          <w:color w:val="auto"/>
        </w:rPr>
      </w:pPr>
      <w:r>
        <w:rPr>
          <w:rFonts w:ascii="Arial" w:cs="Arial" w:eastAsia="Arial" w:hAnsi="Arial"/>
          <w:sz w:val="16"/>
          <w:szCs w:val="16"/>
          <w:color w:val="auto"/>
        </w:rPr>
        <w:t>The total notional amounts of forward foreign currency derivative instruments designated as hedging instruments of cash flow hedges denominated in Euros, British Pounds, Philippine Pesos, Thai Baht, South Korean Won and Japanese Yen as of January 29, 2022 and October 30, 2021 were $304.9 million and $343.6 million, respectively. The fair values of forward foreign currency derivative instruments designated as hedging instruments in the Company’s Condensed Consolidated Balance Sheets as of January 29, 2022 and October 30,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At</w:t>
            </w:r>
          </w:p>
        </w:tc>
        <w:tc>
          <w:tcPr>
            <w:tcW w:w="1320" w:type="dxa"/>
            <w:vAlign w:val="bottom"/>
            <w:tcBorders>
              <w:bottom w:val="single" w:sz="8" w:color="auto"/>
            </w:tcBorders>
          </w:tcPr>
          <w:p>
            <w:pPr>
              <w:spacing w:after="0"/>
              <w:rPr>
                <w:sz w:val="16"/>
                <w:szCs w:val="16"/>
                <w:color w:val="auto"/>
              </w:rPr>
            </w:pPr>
          </w:p>
        </w:tc>
      </w:tr>
      <w:tr>
        <w:trPr>
          <w:trHeight w:val="184"/>
        </w:trPr>
        <w:tc>
          <w:tcPr>
            <w:tcW w:w="3680" w:type="dxa"/>
            <w:vAlign w:val="bottom"/>
            <w:tcBorders>
              <w:bottom w:val="single" w:sz="8" w:color="CCEEFF"/>
            </w:tcBorders>
          </w:tcPr>
          <w:p>
            <w:pPr>
              <w:spacing w:after="0"/>
              <w:rPr>
                <w:sz w:val="15"/>
                <w:szCs w:val="15"/>
                <w:color w:val="auto"/>
              </w:rPr>
            </w:pPr>
          </w:p>
        </w:tc>
        <w:tc>
          <w:tcPr>
            <w:tcW w:w="34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w w:val="96"/>
              </w:rPr>
              <w:t>January 29, 2022</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4"/>
              </w:rPr>
              <w:t>October 30, 2021</w:t>
            </w:r>
          </w:p>
        </w:tc>
      </w:tr>
      <w:tr>
        <w:trPr>
          <w:trHeight w:val="217"/>
        </w:trPr>
        <w:tc>
          <w:tcPr>
            <w:tcW w:w="368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w w:val="88"/>
              </w:rPr>
              <w:t>Forward foreign currency exchange contracts</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Accrued liabilities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9,464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7,113</w:t>
            </w:r>
          </w:p>
        </w:tc>
      </w:tr>
    </w:tbl>
    <w:p>
      <w:pPr>
        <w:spacing w:after="0" w:line="238" w:lineRule="exact"/>
        <w:rPr>
          <w:sz w:val="20"/>
          <w:szCs w:val="20"/>
          <w:color w:val="auto"/>
        </w:rPr>
      </w:pPr>
    </w:p>
    <w:p>
      <w:pPr>
        <w:jc w:val="both"/>
        <w:ind w:right="120" w:firstLine="434"/>
        <w:spacing w:after="0" w:line="252" w:lineRule="auto"/>
        <w:rPr>
          <w:sz w:val="20"/>
          <w:szCs w:val="20"/>
          <w:color w:val="auto"/>
        </w:rPr>
      </w:pPr>
      <w:r>
        <w:rPr>
          <w:rFonts w:ascii="Arial" w:cs="Arial" w:eastAsia="Arial" w:hAnsi="Arial"/>
          <w:sz w:val="18"/>
          <w:szCs w:val="18"/>
          <w:color w:val="auto"/>
        </w:rPr>
        <w:t>As of January 29, 2022 and October 30, 2021, the total notional amounts of undesignated hedges related to forward foreign currency exchange contracts were $206.2 million and $120.0 million, respectively. The fair values of these hedging instruments in the Company’s Condensed Consolidated Balance Sheets were immaterial as of January 29, 2022 and October 30, 2021.</w:t>
      </w:r>
    </w:p>
    <w:p>
      <w:pPr>
        <w:spacing w:after="0" w:line="138" w:lineRule="exact"/>
        <w:rPr>
          <w:sz w:val="20"/>
          <w:szCs w:val="20"/>
          <w:color w:val="auto"/>
        </w:rPr>
      </w:pPr>
    </w:p>
    <w:p>
      <w:pPr>
        <w:jc w:val="both"/>
        <w:ind w:right="120" w:firstLine="395"/>
        <w:spacing w:after="0" w:line="261" w:lineRule="auto"/>
        <w:rPr>
          <w:sz w:val="20"/>
          <w:szCs w:val="20"/>
          <w:color w:val="auto"/>
        </w:rPr>
      </w:pPr>
      <w:r>
        <w:rPr>
          <w:rFonts w:ascii="Arial" w:cs="Arial" w:eastAsia="Arial" w:hAnsi="Arial"/>
          <w:sz w:val="18"/>
          <w:szCs w:val="18"/>
          <w:color w:val="auto"/>
        </w:rPr>
        <w:t>The Company estimates $7.3 million, net of tax, of settlements on forward foreign currency derivative instruments included in AOCI will be reclassified into earnings within the next twelve months.</w:t>
      </w:r>
    </w:p>
    <w:p>
      <w:pPr>
        <w:spacing w:after="0" w:line="129"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January 29, 2022 and October 30, 2021, none of the netting arrangements involved collateral.</w:t>
      </w:r>
    </w:p>
    <w:p>
      <w:pPr>
        <w:spacing w:after="0" w:line="10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29, 2022</w:t>
            </w:r>
          </w:p>
        </w:tc>
        <w:tc>
          <w:tcPr>
            <w:tcW w:w="180" w:type="dxa"/>
            <w:vAlign w:val="bottom"/>
          </w:tcPr>
          <w:p>
            <w:pPr>
              <w:spacing w:after="0"/>
              <w:rPr>
                <w:sz w:val="16"/>
                <w:szCs w:val="16"/>
                <w:color w:val="auto"/>
              </w:rPr>
            </w:pPr>
          </w:p>
        </w:tc>
        <w:tc>
          <w:tcPr>
            <w:tcW w:w="13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October 30, 2021</w:t>
            </w:r>
          </w:p>
        </w:tc>
      </w:tr>
      <w:tr>
        <w:trPr>
          <w:trHeight w:val="222"/>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amounts of recognized liabilities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(8,404)</w:t>
            </w:r>
          </w:p>
        </w:tc>
      </w:tr>
      <w:tr>
        <w:trPr>
          <w:trHeight w:val="242"/>
        </w:trPr>
        <w:tc>
          <w:tcPr>
            <w:tcW w:w="81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liabilities offset and presented in the Condensed Consolidated Balance Sheets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firstLine="434"/>
        <w:spacing w:after="0" w:line="280"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January 29, 2022 and October 30, 2021,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17" w:lineRule="exact"/>
        <w:rPr>
          <w:sz w:val="20"/>
          <w:szCs w:val="20"/>
          <w:color w:val="auto"/>
        </w:rPr>
      </w:pPr>
    </w:p>
    <w:p>
      <w:pPr>
        <w:ind w:right="100" w:firstLine="434"/>
        <w:spacing w:after="0" w:line="252"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Inventories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January 29, 2022 and October 30, 2021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29, 2022</w:t>
            </w:r>
          </w:p>
        </w:tc>
        <w:tc>
          <w:tcPr>
            <w:tcW w:w="680" w:type="dxa"/>
            <w:vAlign w:val="bottom"/>
          </w:tcPr>
          <w:p>
            <w:pPr>
              <w:spacing w:after="0"/>
              <w:rPr>
                <w:sz w:val="16"/>
                <w:szCs w:val="16"/>
                <w:color w:val="auto"/>
              </w:rPr>
            </w:pPr>
          </w:p>
        </w:tc>
        <w:tc>
          <w:tcPr>
            <w:tcW w:w="1560" w:type="dxa"/>
            <w:vAlign w:val="bottom"/>
          </w:tcPr>
          <w:p>
            <w:pPr>
              <w:jc w:val="right"/>
              <w:ind w:right="296"/>
              <w:spacing w:after="0"/>
              <w:rPr>
                <w:sz w:val="20"/>
                <w:szCs w:val="20"/>
                <w:color w:val="auto"/>
              </w:rPr>
            </w:pPr>
            <w:r>
              <w:rPr>
                <w:rFonts w:ascii="Arial" w:cs="Arial" w:eastAsia="Arial" w:hAnsi="Arial"/>
                <w:sz w:val="14"/>
                <w:szCs w:val="14"/>
                <w:b w:val="1"/>
                <w:bCs w:val="1"/>
                <w:color w:val="auto"/>
              </w:rPr>
              <w:t>October 30, 2021</w:t>
            </w:r>
          </w:p>
        </w:tc>
      </w:tr>
      <w:tr>
        <w:trPr>
          <w:trHeight w:val="222"/>
        </w:trPr>
        <w:tc>
          <w:tcPr>
            <w:tcW w:w="66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Raw materials</w:t>
            </w:r>
          </w:p>
        </w:tc>
        <w:tc>
          <w:tcPr>
            <w:tcW w:w="6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80,456</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71,639</w:t>
            </w:r>
          </w:p>
        </w:tc>
      </w:tr>
      <w:tr>
        <w:trPr>
          <w:trHeight w:val="223"/>
        </w:trPr>
        <w:tc>
          <w:tcPr>
            <w:tcW w:w="6660" w:type="dxa"/>
            <w:vAlign w:val="bottom"/>
          </w:tcPr>
          <w:p>
            <w:pPr>
              <w:ind w:left="460"/>
              <w:spacing w:after="0"/>
              <w:rPr>
                <w:sz w:val="20"/>
                <w:szCs w:val="20"/>
                <w:color w:val="auto"/>
              </w:rPr>
            </w:pPr>
            <w:r>
              <w:rPr>
                <w:rFonts w:ascii="Arial" w:cs="Arial" w:eastAsia="Arial" w:hAnsi="Arial"/>
                <w:sz w:val="18"/>
                <w:szCs w:val="18"/>
                <w:color w:val="auto"/>
              </w:rPr>
              <w:t>Work in process</w:t>
            </w:r>
          </w:p>
        </w:tc>
        <w:tc>
          <w:tcPr>
            <w:tcW w:w="6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679,644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858,627</w:t>
            </w:r>
          </w:p>
        </w:tc>
      </w:tr>
      <w:tr>
        <w:trPr>
          <w:trHeight w:val="224"/>
        </w:trPr>
        <w:tc>
          <w:tcPr>
            <w:tcW w:w="6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Finished goods</w:t>
            </w:r>
          </w:p>
        </w:tc>
        <w:tc>
          <w:tcPr>
            <w:tcW w:w="6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212,471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270,344</w:t>
            </w:r>
          </w:p>
        </w:tc>
      </w:tr>
      <w:tr>
        <w:trPr>
          <w:trHeight w:val="217"/>
        </w:trPr>
        <w:tc>
          <w:tcPr>
            <w:tcW w:w="6660" w:type="dxa"/>
            <w:vAlign w:val="bottom"/>
          </w:tcPr>
          <w:p>
            <w:pPr>
              <w:ind w:left="580"/>
              <w:spacing w:after="0"/>
              <w:rPr>
                <w:sz w:val="20"/>
                <w:szCs w:val="20"/>
                <w:color w:val="auto"/>
              </w:rPr>
            </w:pPr>
            <w:r>
              <w:rPr>
                <w:rFonts w:ascii="Arial" w:cs="Arial" w:eastAsia="Arial" w:hAnsi="Arial"/>
                <w:sz w:val="18"/>
                <w:szCs w:val="18"/>
                <w:color w:val="auto"/>
              </w:rPr>
              <w:t>Total inventories</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972,571</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1,200,610</w:t>
            </w: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11 – Debt</w:t>
      </w:r>
    </w:p>
    <w:p>
      <w:pPr>
        <w:spacing w:after="0" w:line="102"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In conjunction with the Acquisition, the Company acquired $500.0 million aggregate principal amount of Maxim’s 3.375% senior unsecured and unsubordinated notes due March 15, 2023 (the Maxim March 2023 Notes). On November 4, 2021, the Maxim March 2023 Notes were redeemed for cash at a redemption price equal to $1,038.23 for each $1,000 principal amount.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02" w:lineRule="exact"/>
        <w:rPr>
          <w:sz w:val="20"/>
          <w:szCs w:val="20"/>
          <w:color w:val="auto"/>
        </w:rPr>
      </w:pPr>
    </w:p>
    <w:p>
      <w:pPr>
        <w:ind w:right="300" w:firstLine="434"/>
        <w:spacing w:after="0" w:line="324" w:lineRule="auto"/>
        <w:rPr>
          <w:sz w:val="20"/>
          <w:szCs w:val="20"/>
          <w:color w:val="auto"/>
        </w:rPr>
      </w:pPr>
      <w:r>
        <w:rPr>
          <w:rFonts w:ascii="Arial" w:cs="Arial" w:eastAsia="Arial" w:hAnsi="Arial"/>
          <w:sz w:val="16"/>
          <w:szCs w:val="16"/>
          <w:color w:val="auto"/>
        </w:rPr>
        <w:t>The Company’s effective tax rates for the three-month periods ended January 29, 2022 and January 30, 2021 were below the U.S. statutory tax rate of 21.0%, due to lower statutory tax rates applicable to the Company's operations in the foreign jurisdictions in which it earns income.</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first quarter of fiscal 2022, the Company increased acquisition related tax reserves by $25.3 million consisting of $21.8 million in tax and</w:t>
      </w:r>
    </w:p>
    <w:p>
      <w:pPr>
        <w:spacing w:after="0" w:line="3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$3.5 million in accrued interest primarily relating to tax audits. The Company engages in continuous discussions and negotiations with tax authorities regarding tax matters in various jurisdictions. It is reasonably possible that the balance of gross unrecognized tax benefits, including accrued interest and penalties, could decrease by as much as $146.0 million within the next twelve months due to the completion of tax audits, including any administrative appeals.</w:t>
      </w:r>
    </w:p>
    <w:p>
      <w:pPr>
        <w:spacing w:after="0" w:line="43" w:lineRule="exact"/>
        <w:rPr>
          <w:sz w:val="20"/>
          <w:szCs w:val="20"/>
          <w:color w:val="auto"/>
        </w:rPr>
      </w:pPr>
    </w:p>
    <w:p>
      <w:pPr>
        <w:ind w:right="240" w:firstLine="434"/>
        <w:spacing w:after="0" w:line="291" w:lineRule="auto"/>
        <w:rPr>
          <w:sz w:val="20"/>
          <w:szCs w:val="20"/>
          <w:color w:val="auto"/>
        </w:rPr>
      </w:pPr>
      <w:r>
        <w:rPr>
          <w:rFonts w:ascii="Arial" w:cs="Arial" w:eastAsia="Arial" w:hAnsi="Arial"/>
          <w:sz w:val="16"/>
          <w:szCs w:val="16"/>
          <w:color w:val="auto"/>
        </w:rPr>
        <w:t>The Company has numerous audits ongoing throughout the world including: an IRS income tax audit for the fiscal years ended November 3, 2018 and November 2, 2019; a pre-acquisition IRS income tax audit for Maxim's fiscal years ended June 27, 2015 through June 24, 2017; various U.S. state and local audits and various international audits. The Company's U.S. federal tax returns prior to the fiscal year ended November 3, 2018 are no longer subject to examination, except for the Maxim pre-Acquisition fiscal years 2015 to 2017 noted above.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Reference Rate Reform</w:t>
      </w:r>
    </w:p>
    <w:p>
      <w:pPr>
        <w:spacing w:after="0" w:line="96" w:lineRule="exact"/>
        <w:rPr>
          <w:sz w:val="20"/>
          <w:szCs w:val="20"/>
          <w:color w:val="auto"/>
        </w:rPr>
      </w:pPr>
    </w:p>
    <w:p>
      <w:pPr>
        <w:ind w:right="140" w:firstLine="434"/>
        <w:spacing w:after="0" w:line="316" w:lineRule="auto"/>
        <w:rPr>
          <w:sz w:val="20"/>
          <w:szCs w:val="20"/>
          <w:color w:val="auto"/>
        </w:rPr>
      </w:pPr>
      <w:r>
        <w:rPr>
          <w:rFonts w:ascii="Arial" w:cs="Arial" w:eastAsia="Arial" w:hAnsi="Arial"/>
          <w:sz w:val="15"/>
          <w:szCs w:val="15"/>
          <w:color w:val="auto"/>
        </w:rPr>
        <w:t xml:space="preserve">In March 2020, the Financial Accounting Standards Board (FASB) issued ASU No. 2020-04, </w:t>
      </w:r>
      <w:r>
        <w:rPr>
          <w:rFonts w:ascii="Arial" w:cs="Arial" w:eastAsia="Arial" w:hAnsi="Arial"/>
          <w:sz w:val="15"/>
          <w:szCs w:val="15"/>
          <w:i w:val="1"/>
          <w:iCs w:val="1"/>
          <w:color w:val="auto"/>
        </w:rPr>
        <w:t>Reference Rate Reform (Topic 848) - Facilitation of the</w:t>
      </w:r>
      <w:r>
        <w:rPr>
          <w:rFonts w:ascii="Arial" w:cs="Arial" w:eastAsia="Arial" w:hAnsi="Arial"/>
          <w:sz w:val="15"/>
          <w:szCs w:val="15"/>
          <w:color w:val="auto"/>
        </w:rPr>
        <w:t xml:space="preserve"> </w:t>
      </w:r>
      <w:r>
        <w:rPr>
          <w:rFonts w:ascii="Arial" w:cs="Arial" w:eastAsia="Arial" w:hAnsi="Arial"/>
          <w:sz w:val="15"/>
          <w:szCs w:val="15"/>
          <w:i w:val="1"/>
          <w:iCs w:val="1"/>
          <w:color w:val="auto"/>
        </w:rPr>
        <w:t>Effects of Reference Rate Reform on Financial Reporting</w:t>
      </w:r>
      <w:r>
        <w:rPr>
          <w:rFonts w:ascii="Arial" w:cs="Arial" w:eastAsia="Arial" w:hAnsi="Arial"/>
          <w:sz w:val="15"/>
          <w:szCs w:val="15"/>
          <w:color w:val="auto"/>
        </w:rPr>
        <w:t>, which provides optional guidance for accounting for contracts, hedging relationships,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affected by reference rate reform, if certain criteria are met. The provisions of this standard are available for election through December 31, 2022. The Company adopted this standard in the first quarter of fiscal 2022 with no material impact on the Company's financial position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Acquired Contract Assets and Contract Liabilities</w:t>
      </w:r>
    </w:p>
    <w:p>
      <w:pPr>
        <w:spacing w:after="0" w:line="96"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Acquired Contract Assets and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Under the new guidance (ASC 805-20-30-28), the acquirer should determine what contract assets and/or contract liabilities it would have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ASU 2021-08 is effective for the Company in the first quarter of the fiscal year ended November 1, 2024.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of ASU 2021-08 and the impact, if any, adoption will have on its financial position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Acquisitions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Maxim Integrated Products, Inc.</w:t>
      </w:r>
    </w:p>
    <w:p>
      <w:pPr>
        <w:spacing w:after="0" w:line="96" w:lineRule="exact"/>
        <w:rPr>
          <w:sz w:val="20"/>
          <w:szCs w:val="20"/>
          <w:color w:val="auto"/>
        </w:rPr>
      </w:pPr>
    </w:p>
    <w:p>
      <w:pPr>
        <w:ind w:right="180" w:firstLine="395"/>
        <w:spacing w:after="0" w:line="287" w:lineRule="auto"/>
        <w:rPr>
          <w:sz w:val="20"/>
          <w:szCs w:val="20"/>
          <w:color w:val="auto"/>
        </w:rPr>
      </w:pPr>
      <w:r>
        <w:rPr>
          <w:rFonts w:ascii="Arial" w:cs="Arial" w:eastAsia="Arial" w:hAnsi="Arial"/>
          <w:sz w:val="16"/>
          <w:szCs w:val="16"/>
          <w:color w:val="auto"/>
        </w:rPr>
        <w:t>On the Acquisition Date, the Company completed its acquisition of all of the voting interests of Maxim, an independent manufacturer of innovative analog and mixed-signal products and technologies. The total consideration paid to acquire Maxim, which consisted of cash, common stock of the Company and share-based compensation awards, was approximately $28.0 billion. The Company believes the combination creates an expanded suite of top-performing mixed-signal and power management technology offerings and complements the Company's legacy offerings. The results of operations of Maxim from the Acquisition Date are included in the Company’s Condensed Consolidated Statement of Income, Condensed Consolidated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4" w:name="page15"/>
    <w:bookmarkEnd w:id="14"/>
    <w:p>
      <w:pPr>
        <w:ind w:right="140"/>
        <w:spacing w:after="0" w:line="261" w:lineRule="auto"/>
        <w:rPr>
          <w:sz w:val="20"/>
          <w:szCs w:val="20"/>
          <w:color w:val="auto"/>
        </w:rPr>
      </w:pPr>
      <w:r>
        <w:rPr>
          <w:rFonts w:ascii="Arial" w:cs="Arial" w:eastAsia="Arial" w:hAnsi="Arial"/>
          <w:sz w:val="18"/>
          <w:szCs w:val="18"/>
          <w:color w:val="auto"/>
        </w:rPr>
        <w:t>Balance Sheet, Condensed Consolidated Statement of Cash Flows and Condensed Consolidated Statement of Shareholders’ Equity for the three-month period ended January 29, 2022.</w:t>
      </w:r>
    </w:p>
    <w:p>
      <w:pPr>
        <w:spacing w:after="0" w:line="50" w:lineRule="exact"/>
        <w:rPr>
          <w:sz w:val="20"/>
          <w:szCs w:val="20"/>
          <w:color w:val="auto"/>
        </w:rPr>
      </w:pPr>
    </w:p>
    <w:p>
      <w:pPr>
        <w:ind w:right="160" w:firstLine="395"/>
        <w:spacing w:after="0" w:line="287" w:lineRule="auto"/>
        <w:rPr>
          <w:sz w:val="20"/>
          <w:szCs w:val="20"/>
          <w:color w:val="auto"/>
        </w:rPr>
      </w:pPr>
      <w:r>
        <w:rPr>
          <w:rFonts w:ascii="Arial" w:cs="Arial" w:eastAsia="Arial" w:hAnsi="Arial"/>
          <w:sz w:val="16"/>
          <w:szCs w:val="16"/>
          <w:color w:val="auto"/>
        </w:rPr>
        <w:t>During the first quarter of 2022, the Company recorded acquisition accounting adjustments of $24.9 million to goodwill comprised of $19.0 million to income tax payable, $7.8 million to other non-current liabilities and $1.6 million to accrued liabilities offset by $3.5 million to deferred income taxes. The Acquisition accounting is not complete and additional information relating to conditions that existed at the Acquisition Date may become known to the Company during the remainder of the measurement period. As of the filing date of this Quarterly Report on Form 10-Q, the Company is still in the process of valuing Maxim's assets, including fixed assets, intangible assets, and liabilities, including related income tax accounting.</w:t>
      </w:r>
    </w:p>
    <w:p>
      <w:pPr>
        <w:spacing w:after="0" w:line="4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following unaudited pro forma consolidated financial information for the three-month period ended January 30, 2021 combines the results of the Company for the three-month period ended January 30, 2021 and the unaudited results of Maxim for the corresponding period. The unaudited pro forma consolidated financial information assumes that the Acquisition, which closed on August 26, 2021, was completed on November 3, 2019 (the first day of fiscal 2020). The pro forma consolidated financial information has been calculated after applying the Company’s accounting policies and includes adjustments for amortization expense of acquired intangible assets, fair value adjustments for acquired inventory, property, plant and equipment and long-term debt and compensation expense for ongoing share-based compensation arrangements that were replaced in conjunction with the Acquisition, together with the consequential tax effects. These pro forma results have been prepared for comparative purposes only and do not purport to be indicative of the operating results of the Company that would have been achieved had the Acquisition actually taken place on November 3, 2019.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60" w:type="dxa"/>
            <w:vAlign w:val="bottom"/>
          </w:tcPr>
          <w:p>
            <w:pPr>
              <w:jc w:val="center"/>
              <w:ind w:right="372"/>
              <w:spacing w:after="0"/>
              <w:rPr>
                <w:sz w:val="20"/>
                <w:szCs w:val="20"/>
                <w:color w:val="auto"/>
              </w:rPr>
            </w:pPr>
            <w:r>
              <w:rPr>
                <w:rFonts w:ascii="Arial" w:cs="Arial" w:eastAsia="Arial" w:hAnsi="Arial"/>
                <w:sz w:val="18"/>
                <w:szCs w:val="18"/>
                <w:b w:val="1"/>
                <w:bCs w:val="1"/>
                <w:color w:val="auto"/>
                <w:w w:val="90"/>
              </w:rPr>
              <w:t>Pro Forma Three Months Ended</w:t>
            </w:r>
          </w:p>
        </w:tc>
      </w:tr>
      <w:tr>
        <w:trPr>
          <w:trHeight w:val="235"/>
        </w:trPr>
        <w:tc>
          <w:tcPr>
            <w:tcW w:w="7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b w:val="1"/>
                <w:bCs w:val="1"/>
                <w:color w:val="auto"/>
                <w:w w:val="89"/>
              </w:rPr>
              <w:t>(unaudited)</w:t>
            </w:r>
          </w:p>
        </w:tc>
      </w:tr>
      <w:tr>
        <w:trPr>
          <w:trHeight w:val="233"/>
        </w:trPr>
        <w:tc>
          <w:tcPr>
            <w:tcW w:w="7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b w:val="1"/>
                <w:bCs w:val="1"/>
                <w:color w:val="auto"/>
                <w:w w:val="88"/>
              </w:rPr>
              <w:t>January 30, 2021</w:t>
            </w:r>
          </w:p>
        </w:tc>
      </w:tr>
      <w:tr>
        <w:trPr>
          <w:trHeight w:val="221"/>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2,059,679</w:t>
            </w: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3560" w:type="dxa"/>
            <w:vAlign w:val="bottom"/>
          </w:tcPr>
          <w:p>
            <w:pPr>
              <w:jc w:val="right"/>
              <w:spacing w:after="0"/>
              <w:rPr>
                <w:sz w:val="20"/>
                <w:szCs w:val="20"/>
                <w:color w:val="auto"/>
              </w:rPr>
            </w:pPr>
            <w:r>
              <w:rPr>
                <w:rFonts w:ascii="Arial" w:cs="Arial" w:eastAsia="Arial" w:hAnsi="Arial"/>
                <w:sz w:val="18"/>
                <w:szCs w:val="18"/>
                <w:color w:val="auto"/>
              </w:rPr>
              <w:t>298,895</w:t>
            </w:r>
          </w:p>
        </w:tc>
      </w:tr>
      <w:tr>
        <w:trPr>
          <w:trHeight w:val="237"/>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36"/>
        </w:trPr>
        <w:tc>
          <w:tcPr>
            <w:tcW w:w="722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3560" w:type="dxa"/>
            <w:vAlign w:val="bottom"/>
          </w:tcPr>
          <w:p>
            <w:pPr>
              <w:jc w:val="right"/>
              <w:spacing w:after="0"/>
              <w:rPr>
                <w:sz w:val="20"/>
                <w:szCs w:val="20"/>
                <w:color w:val="auto"/>
              </w:rPr>
            </w:pPr>
            <w:r>
              <w:rPr>
                <w:rFonts w:ascii="Arial" w:cs="Arial" w:eastAsia="Arial" w:hAnsi="Arial"/>
                <w:sz w:val="18"/>
                <w:szCs w:val="18"/>
                <w:color w:val="auto"/>
              </w:rPr>
              <w:t>0.55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67" w:lineRule="exact"/>
        <w:rPr>
          <w:sz w:val="20"/>
          <w:szCs w:val="20"/>
          <w:color w:val="auto"/>
        </w:rPr>
      </w:pPr>
    </w:p>
    <w:p>
      <w:pPr>
        <w:jc w:val="both"/>
        <w:ind w:right="60" w:firstLine="395"/>
        <w:spacing w:after="0" w:line="362" w:lineRule="auto"/>
        <w:rPr>
          <w:sz w:val="20"/>
          <w:szCs w:val="20"/>
          <w:color w:val="auto"/>
        </w:rPr>
      </w:pPr>
      <w:r>
        <w:rPr>
          <w:rFonts w:ascii="Arial" w:cs="Arial" w:eastAsia="Arial" w:hAnsi="Arial"/>
          <w:sz w:val="15"/>
          <w:szCs w:val="15"/>
          <w:color w:val="auto"/>
        </w:rPr>
        <w:t>On February 15, 2022, the Board of Directors of the Company declared a cash dividend of $0.76 per outstanding share of common stock. The dividend will be paid on March 8, 2022 to all shareholders of record at the close of business on February 25, 2022 and is expected to total approximately $397.7 million.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5" w:name="page16"/>
    <w:bookmarkEnd w:id="15"/>
    <w:p>
      <w:pPr>
        <w:ind w:left="2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60" w:lineRule="exact"/>
        <w:rPr>
          <w:sz w:val="20"/>
          <w:szCs w:val="20"/>
          <w:color w:val="auto"/>
        </w:rPr>
      </w:pPr>
    </w:p>
    <w:p>
      <w:pPr>
        <w:ind w:right="120" w:firstLine="434"/>
        <w:spacing w:after="0" w:line="299"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30, 2021 (fiscal 2021).</w:t>
      </w:r>
    </w:p>
    <w:p>
      <w:pPr>
        <w:spacing w:after="0" w:line="102" w:lineRule="exact"/>
        <w:rPr>
          <w:sz w:val="20"/>
          <w:szCs w:val="20"/>
          <w:color w:val="auto"/>
        </w:rPr>
      </w:pPr>
    </w:p>
    <w:p>
      <w:pPr>
        <w:ind w:right="20" w:firstLine="434"/>
        <w:spacing w:after="0" w:line="277" w:lineRule="auto"/>
        <w:rPr>
          <w:sz w:val="20"/>
          <w:szCs w:val="20"/>
          <w:color w:val="auto"/>
        </w:rPr>
      </w:pPr>
      <w:r>
        <w:rPr>
          <w:rFonts w:ascii="Arial" w:cs="Arial" w:eastAsia="Arial" w:hAnsi="Arial"/>
          <w:sz w:val="16"/>
          <w:szCs w:val="16"/>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development of technologies and research and development investments; the impact of the COVID-19 pandemic on our business, financial condition and results of operations; our future market position and expected competitive changes in the marketplace for our products; our plans and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or realize the benefits or synergies expected of acquired businesses and technologies, including the acquired business, operations and employees of Maxim Integrated Products, Inc.;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22" w:lineRule="exact"/>
        <w:rPr>
          <w:sz w:val="20"/>
          <w:szCs w:val="20"/>
          <w:color w:val="auto"/>
        </w:rPr>
      </w:pPr>
    </w:p>
    <w:p>
      <w:pPr>
        <w:ind w:right="80" w:firstLine="434"/>
        <w:spacing w:after="0" w:line="248" w:lineRule="auto"/>
        <w:rPr>
          <w:sz w:val="20"/>
          <w:szCs w:val="20"/>
          <w:color w:val="auto"/>
        </w:rPr>
      </w:pPr>
      <w:r>
        <w:rPr>
          <w:rFonts w:ascii="Arial" w:cs="Arial" w:eastAsia="Arial" w:hAnsi="Arial"/>
          <w:sz w:val="18"/>
          <w:szCs w:val="18"/>
          <w:color w:val="auto"/>
        </w:rPr>
        <w:t>The pandemic caused by the novel strain of the coronavirus (COVID-19) and the numerous measures implemented by government authorities in response, have impacted and likely will continue to impact our workforce and operations, the operations of our customers and those of our respective vendors and suppliers. We have significant operations worldwide, including in the United States, the Philippines, Ireland, Malaysia, Thailand, China and India. Each of these countries has been affected by the pandemic and taken measures to try to contain it, resulting in disruptions at some of our manufacturing operations and facilities.</w:t>
      </w:r>
    </w:p>
    <w:p>
      <w:pPr>
        <w:spacing w:after="0" w:line="102" w:lineRule="exact"/>
        <w:rPr>
          <w:sz w:val="20"/>
          <w:szCs w:val="20"/>
          <w:color w:val="auto"/>
        </w:rPr>
      </w:pPr>
    </w:p>
    <w:p>
      <w:pPr>
        <w:jc w:val="both"/>
        <w:ind w:right="20" w:firstLine="434"/>
        <w:spacing w:after="0" w:line="299" w:lineRule="auto"/>
        <w:rPr>
          <w:sz w:val="20"/>
          <w:szCs w:val="20"/>
          <w:color w:val="auto"/>
        </w:rPr>
      </w:pPr>
      <w:r>
        <w:rPr>
          <w:rFonts w:ascii="Arial" w:cs="Arial" w:eastAsia="Arial" w:hAnsi="Arial"/>
          <w:sz w:val="16"/>
          <w:szCs w:val="16"/>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76"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While we are confident that our strategy and long-term contingency planning have positioned us well to weather the current uncertainty, we cannot at this time fully quantify or forecast the impact of COVID-19 on our business. The full extent of the impact of the COVID-19 pandemic on our business, financial condition and results of operations will depend on future developments, which are highly uncertain such as the continued duration and severity of the pandemic, the spread of more contagious variants of the virus, the adoption rate of vaccines, the actions to contain the virus or treat its impact, or how quickly and to what extent normal economic and operating conditions can resume.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Maxim Integrated Products, Inc.</w:t>
      </w:r>
    </w:p>
    <w:p>
      <w:pPr>
        <w:spacing w:after="0" w:line="122" w:lineRule="exact"/>
        <w:rPr>
          <w:sz w:val="20"/>
          <w:szCs w:val="20"/>
          <w:color w:val="auto"/>
        </w:rPr>
      </w:pPr>
    </w:p>
    <w:p>
      <w:pPr>
        <w:ind w:right="260" w:firstLine="434"/>
        <w:spacing w:after="0" w:line="248" w:lineRule="auto"/>
        <w:rPr>
          <w:sz w:val="20"/>
          <w:szCs w:val="20"/>
          <w:color w:val="auto"/>
        </w:rPr>
      </w:pPr>
      <w:r>
        <w:rPr>
          <w:rFonts w:ascii="Arial" w:cs="Arial" w:eastAsia="Arial" w:hAnsi="Arial"/>
          <w:sz w:val="18"/>
          <w:szCs w:val="18"/>
          <w:color w:val="auto"/>
        </w:rPr>
        <w:t xml:space="preserve">On August 26, 2021 (Acquisition Date), we completed the acquisition of Maxim Integrated Products, Inc. (Maxim), an independent manufacturer of innovative analog and mixed-signal products and technologies. The acquisition of Maxim is referred to as the Acquisition. The consolidated financial statements included in this Quarterly Report on Form 10-Q include the financial results of Maxim prospectively from the Acquisition Date. See Note 14,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Condensed Consolidated Financial Statements contained in Part I, Item 1 of this Quarterly Report on Form 10-Q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r>
      <w:tr>
        <w:trPr>
          <w:trHeight w:val="182"/>
        </w:trPr>
        <w:tc>
          <w:tcPr>
            <w:tcW w:w="4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2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66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r>
      <w:tr>
        <w:trPr>
          <w:trHeight w:val="217"/>
        </w:trPr>
        <w:tc>
          <w:tcPr>
            <w:tcW w:w="44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2,684,293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1,558,458</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7"/>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1,125,835</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280,077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388,519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6" w:lineRule="exact"/>
        <w:rPr>
          <w:sz w:val="20"/>
          <w:szCs w:val="20"/>
          <w:color w:val="auto"/>
        </w:rPr>
      </w:pPr>
    </w:p>
    <w:p>
      <w:pPr>
        <w:ind w:right="180" w:firstLine="434"/>
        <w:spacing w:after="0" w:line="282"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January 30, 2021</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0"/>
                <w:szCs w:val="10"/>
                <w:color w:val="auto"/>
              </w:rPr>
            </w:pPr>
          </w:p>
        </w:tc>
        <w:tc>
          <w:tcPr>
            <w:tcW w:w="1380" w:type="dxa"/>
            <w:vAlign w:val="bottom"/>
          </w:tcPr>
          <w:p>
            <w:pPr>
              <w:jc w:val="right"/>
              <w:ind w:right="139"/>
              <w:spacing w:after="0" w:line="12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0"/>
                <w:szCs w:val="10"/>
                <w:color w:val="auto"/>
              </w:rPr>
            </w:pPr>
          </w:p>
        </w:tc>
        <w:tc>
          <w:tcPr>
            <w:tcW w:w="1280" w:type="dxa"/>
            <w:vAlign w:val="bottom"/>
          </w:tcPr>
          <w:p>
            <w:pPr>
              <w:jc w:val="right"/>
              <w:ind w:right="37"/>
              <w:spacing w:after="0" w:line="125"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7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Revenue*</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rPr>
              <w:t>Industrial</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1,341,113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856,186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tcPr>
          <w:p>
            <w:pPr>
              <w:ind w:left="460"/>
              <w:spacing w:after="0"/>
              <w:rPr>
                <w:sz w:val="20"/>
                <w:szCs w:val="20"/>
                <w:color w:val="auto"/>
              </w:rPr>
            </w:pPr>
            <w:r>
              <w:rPr>
                <w:rFonts w:ascii="Arial" w:cs="Arial" w:eastAsia="Arial" w:hAnsi="Arial"/>
                <w:sz w:val="18"/>
                <w:szCs w:val="18"/>
                <w:color w:val="auto"/>
              </w:rPr>
              <w:t>Automotive</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552,671</w:t>
            </w:r>
          </w:p>
        </w:tc>
        <w:tc>
          <w:tcPr>
            <w:tcW w:w="100" w:type="dxa"/>
            <w:vAlign w:val="bottom"/>
          </w:tcPr>
          <w:p>
            <w:pPr>
              <w:spacing w:after="0"/>
              <w:rPr>
                <w:sz w:val="19"/>
                <w:szCs w:val="19"/>
                <w:color w:val="auto"/>
              </w:rPr>
            </w:pPr>
          </w:p>
        </w:tc>
        <w:tc>
          <w:tcPr>
            <w:tcW w:w="1380" w:type="dxa"/>
            <w:vAlign w:val="bottom"/>
          </w:tcPr>
          <w:p>
            <w:pPr>
              <w:jc w:val="right"/>
              <w:ind w:right="379"/>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246,504</w:t>
            </w:r>
          </w:p>
        </w:tc>
        <w:tc>
          <w:tcPr>
            <w:tcW w:w="100" w:type="dxa"/>
            <w:vAlign w:val="bottom"/>
          </w:tcPr>
          <w:p>
            <w:pPr>
              <w:spacing w:after="0"/>
              <w:rPr>
                <w:sz w:val="19"/>
                <w:szCs w:val="19"/>
                <w:color w:val="auto"/>
              </w:rPr>
            </w:pPr>
          </w:p>
        </w:tc>
        <w:tc>
          <w:tcPr>
            <w:tcW w:w="1280" w:type="dxa"/>
            <w:vAlign w:val="bottom"/>
          </w:tcPr>
          <w:p>
            <w:pPr>
              <w:jc w:val="right"/>
              <w:ind w:right="277"/>
              <w:spacing w:after="0"/>
              <w:rPr>
                <w:sz w:val="20"/>
                <w:szCs w:val="20"/>
                <w:color w:val="auto"/>
              </w:rPr>
            </w:pPr>
            <w:r>
              <w:rPr>
                <w:rFonts w:ascii="Arial" w:cs="Arial" w:eastAsia="Arial" w:hAnsi="Arial"/>
                <w:sz w:val="18"/>
                <w:szCs w:val="18"/>
                <w:color w:val="auto"/>
              </w:rPr>
              <w:t>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Communications</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281,726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378,112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tcPr>
          <w:p>
            <w:pPr>
              <w:jc w:val="right"/>
              <w:ind w:right="350"/>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174,042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740" w:type="dxa"/>
            <w:vAlign w:val="bottom"/>
            <w:tcBorders>
              <w:bottom w:val="single" w:sz="8" w:color="CCEEFF"/>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2,684,293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1,558,458</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1" w:lineRule="exact"/>
        <w:rPr>
          <w:sz w:val="20"/>
          <w:szCs w:val="20"/>
          <w:color w:val="auto"/>
        </w:rPr>
      </w:pPr>
    </w:p>
    <w:p>
      <w:pPr>
        <w:ind w:right="160" w:firstLine="434"/>
        <w:spacing w:after="0" w:line="327" w:lineRule="auto"/>
        <w:rPr>
          <w:sz w:val="20"/>
          <w:szCs w:val="20"/>
          <w:color w:val="auto"/>
        </w:rPr>
      </w:pPr>
      <w:r>
        <w:rPr>
          <w:rFonts w:ascii="Arial" w:cs="Arial" w:eastAsia="Arial" w:hAnsi="Arial"/>
          <w:sz w:val="15"/>
          <w:szCs w:val="15"/>
          <w:color w:val="auto"/>
        </w:rPr>
        <w:t>Revenue increased 72% in the three-month period ended January 29, 2022, as compared to the same period of the prior fiscal year, with the Acquisition contributing approximately 70% of that increase. From an end market perspective, revenue increased in the three-month period ended January 29, 2022, as compared to the same period of the prior fiscal year, primarily as a result of the Acquisition and higher demand for our products across all end markets.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83"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2"/>
        </w:trPr>
        <w:tc>
          <w:tcPr>
            <w:tcW w:w="35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0"/>
              </w:rPr>
              <w:t>January 29, 2022</w:t>
            </w: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0"/>
              </w:rPr>
              <w:t>January 30, 2021</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77"/>
        </w:trPr>
        <w:tc>
          <w:tcPr>
            <w:tcW w:w="3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3"/>
          </w:tcPr>
          <w:p>
            <w:pPr>
              <w:ind w:left="200"/>
              <w:spacing w:after="0"/>
              <w:rPr>
                <w:sz w:val="20"/>
                <w:szCs w:val="20"/>
                <w:color w:val="auto"/>
              </w:rPr>
            </w:pPr>
            <w:r>
              <w:rPr>
                <w:rFonts w:ascii="Arial" w:cs="Arial" w:eastAsia="Arial" w:hAnsi="Arial"/>
                <w:sz w:val="14"/>
                <w:szCs w:val="14"/>
                <w:b w:val="1"/>
                <w:bCs w:val="1"/>
                <w:color w:val="auto"/>
              </w:rPr>
              <w:t>Revenue</w:t>
            </w:r>
          </w:p>
        </w:tc>
        <w:tc>
          <w:tcPr>
            <w:tcW w:w="11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w w:val="92"/>
              </w:rPr>
              <w:t>% of Revenue*</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8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2"/>
              </w:rPr>
              <w:t>% of Revenue*</w:t>
            </w:r>
          </w:p>
        </w:tc>
        <w:tc>
          <w:tcPr>
            <w:tcW w:w="200" w:type="dxa"/>
            <w:vAlign w:val="bottom"/>
          </w:tcPr>
          <w:p>
            <w:pPr>
              <w:spacing w:after="0"/>
              <w:rPr>
                <w:sz w:val="15"/>
                <w:szCs w:val="15"/>
                <w:color w:val="auto"/>
              </w:rPr>
            </w:pPr>
          </w:p>
        </w:tc>
      </w:tr>
      <w:tr>
        <w:trPr>
          <w:trHeight w:val="204"/>
        </w:trPr>
        <w:tc>
          <w:tcPr>
            <w:tcW w:w="3540" w:type="dxa"/>
            <w:vAlign w:val="bottom"/>
            <w:tcBorders>
              <w:top w:val="single" w:sz="8" w:color="CCEEFF"/>
            </w:tcBorders>
            <w:shd w:val="clear" w:color="auto" w:fill="CCEEFF"/>
          </w:tcPr>
          <w:p>
            <w:pPr>
              <w:ind w:left="420"/>
              <w:spacing w:after="0" w:line="204" w:lineRule="exact"/>
              <w:rPr>
                <w:sz w:val="20"/>
                <w:szCs w:val="20"/>
                <w:color w:val="auto"/>
              </w:rPr>
            </w:pPr>
            <w:r>
              <w:rPr>
                <w:rFonts w:ascii="Arial" w:cs="Arial" w:eastAsia="Arial" w:hAnsi="Arial"/>
                <w:sz w:val="18"/>
                <w:szCs w:val="18"/>
                <w:color w:val="auto"/>
              </w:rPr>
              <w:t>Channel</w:t>
            </w:r>
          </w:p>
        </w:tc>
        <w:tc>
          <w:tcPr>
            <w:tcW w:w="6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r>
      <w:tr>
        <w:trPr>
          <w:trHeight w:val="223"/>
        </w:trPr>
        <w:tc>
          <w:tcPr>
            <w:tcW w:w="3540" w:type="dxa"/>
            <w:vAlign w:val="bottom"/>
          </w:tcPr>
          <w:p>
            <w:pPr>
              <w:ind w:left="540"/>
              <w:spacing w:after="0"/>
              <w:rPr>
                <w:sz w:val="20"/>
                <w:szCs w:val="20"/>
                <w:color w:val="auto"/>
              </w:rPr>
            </w:pPr>
            <w:r>
              <w:rPr>
                <w:rFonts w:ascii="Arial" w:cs="Arial" w:eastAsia="Arial" w:hAnsi="Arial"/>
                <w:sz w:val="18"/>
                <w:szCs w:val="18"/>
                <w:color w:val="auto"/>
              </w:rPr>
              <w:t>Distributors</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1,653,054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62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946,386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ind w:right="316"/>
              <w:spacing w:after="0"/>
              <w:rPr>
                <w:sz w:val="20"/>
                <w:szCs w:val="20"/>
                <w:color w:val="auto"/>
              </w:rPr>
            </w:pPr>
            <w:r>
              <w:rPr>
                <w:rFonts w:ascii="Arial" w:cs="Arial" w:eastAsia="Arial" w:hAnsi="Arial"/>
                <w:sz w:val="18"/>
                <w:szCs w:val="18"/>
                <w:color w:val="auto"/>
              </w:rPr>
              <w:t>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3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Direct customers</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589,456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35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42"/>
        </w:trPr>
        <w:tc>
          <w:tcPr>
            <w:tcW w:w="3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2,684,293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1,558,458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540" w:hanging="12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ind w:right="100" w:firstLine="434"/>
        <w:spacing w:after="0" w:line="261" w:lineRule="auto"/>
        <w:rPr>
          <w:sz w:val="20"/>
          <w:szCs w:val="20"/>
          <w:color w:val="auto"/>
        </w:rPr>
      </w:pPr>
      <w:r>
        <w:rPr>
          <w:rFonts w:ascii="Arial" w:cs="Arial" w:eastAsia="Arial" w:hAnsi="Arial"/>
          <w:sz w:val="18"/>
          <w:szCs w:val="18"/>
          <w:color w:val="auto"/>
        </w:rPr>
        <w:t>As indicated in the table above, the percentage of total revenue sold via each channel has remained relatively consistent in the periods presented, but can fluctuate from time to time based on end customer demand.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2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2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81"/>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r>
      <w:tr>
        <w:trPr>
          <w:trHeight w:val="21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1,401,997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8"/>
                <w:szCs w:val="18"/>
                <w:color w:val="auto"/>
              </w:rPr>
              <w:t>1,045,371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356,626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80"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Gross margin percentage decreased by 1,490 basis points in the three-month period ended January 29, 2022, as compared to the same period of the prior fiscal year, primarily as a result of additional cost of goods sold related to the Acquisition, including $271.4 million related to the nonrecurring fair value adjustment recorded to inventory and $214.2 million related to amortization expense of intangible assets. These increases in cost of sales as a result of the Acquisition were partially offset by favorable product mix, synergies related to the Acquisition and higher utilization of our factories due to increased customer demand.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tcPr>
          <w:p>
            <w:pPr>
              <w:spacing w:after="0"/>
              <w:rPr>
                <w:sz w:val="16"/>
                <w:szCs w:val="16"/>
                <w:color w:val="auto"/>
              </w:rPr>
            </w:pPr>
          </w:p>
        </w:tc>
      </w:tr>
      <w:tr>
        <w:trPr>
          <w:trHeight w:val="182"/>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640" w:type="dxa"/>
            <w:vAlign w:val="bottom"/>
          </w:tcPr>
          <w:p>
            <w:pPr>
              <w:jc w:val="right"/>
              <w:ind w:right="421"/>
              <w:spacing w:after="0"/>
              <w:rPr>
                <w:sz w:val="20"/>
                <w:szCs w:val="20"/>
                <w:color w:val="auto"/>
              </w:rPr>
            </w:pPr>
            <w:r>
              <w:rPr>
                <w:rFonts w:ascii="Arial" w:cs="Arial" w:eastAsia="Arial" w:hAnsi="Arial"/>
                <w:sz w:val="14"/>
                <w:szCs w:val="14"/>
                <w:b w:val="1"/>
                <w:bCs w:val="1"/>
                <w:color w:val="auto"/>
              </w:rPr>
              <w:t>% Change</w:t>
            </w:r>
          </w:p>
        </w:tc>
      </w:tr>
      <w:tr>
        <w:trPr>
          <w:trHeight w:val="217"/>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426,780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288,150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138,630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R&amp;D expenses as a % of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25"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R&amp;D expenses increased in the three-month period ended January 29, 2022, as compared to the same period of the prior fiscal year, primarily as a result of the Acquisition and to a lesser extent higher salary and benefit expenses and variable compensation expenses.</w:t>
      </w:r>
    </w:p>
    <w:p>
      <w:pPr>
        <w:spacing w:after="0" w:line="129" w:lineRule="exact"/>
        <w:rPr>
          <w:sz w:val="20"/>
          <w:szCs w:val="20"/>
          <w:color w:val="auto"/>
        </w:rPr>
      </w:pPr>
    </w:p>
    <w:p>
      <w:pPr>
        <w:ind w:right="140" w:firstLine="434"/>
        <w:spacing w:after="0" w:line="250"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tcPr>
          <w:p>
            <w:pPr>
              <w:spacing w:after="0"/>
              <w:rPr>
                <w:sz w:val="16"/>
                <w:szCs w:val="16"/>
                <w:color w:val="auto"/>
              </w:rPr>
            </w:pPr>
          </w:p>
        </w:tc>
      </w:tr>
      <w:tr>
        <w:trPr>
          <w:trHeight w:val="182"/>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640" w:type="dxa"/>
            <w:vAlign w:val="bottom"/>
          </w:tcPr>
          <w:p>
            <w:pPr>
              <w:jc w:val="right"/>
              <w:ind w:right="421"/>
              <w:spacing w:after="0"/>
              <w:rPr>
                <w:sz w:val="20"/>
                <w:szCs w:val="20"/>
                <w:color w:val="auto"/>
              </w:rPr>
            </w:pPr>
            <w:r>
              <w:rPr>
                <w:rFonts w:ascii="Arial" w:cs="Arial" w:eastAsia="Arial" w:hAnsi="Arial"/>
                <w:sz w:val="14"/>
                <w:szCs w:val="14"/>
                <w:b w:val="1"/>
                <w:bCs w:val="1"/>
                <w:color w:val="auto"/>
              </w:rPr>
              <w:t>% Change</w:t>
            </w:r>
          </w:p>
        </w:tc>
      </w:tr>
      <w:tr>
        <w:trPr>
          <w:trHeight w:val="217"/>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SMG&amp;A expenses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297,365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185,275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112,090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SMG&amp;A expenses as a % of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38" w:lineRule="exact"/>
        <w:rPr>
          <w:sz w:val="20"/>
          <w:szCs w:val="20"/>
          <w:color w:val="auto"/>
        </w:rPr>
      </w:pPr>
    </w:p>
    <w:p>
      <w:pPr>
        <w:ind w:right="280" w:firstLine="434"/>
        <w:spacing w:after="0" w:line="261" w:lineRule="auto"/>
        <w:rPr>
          <w:sz w:val="20"/>
          <w:szCs w:val="20"/>
          <w:color w:val="auto"/>
        </w:rPr>
      </w:pPr>
      <w:r>
        <w:rPr>
          <w:rFonts w:ascii="Arial" w:cs="Arial" w:eastAsia="Arial" w:hAnsi="Arial"/>
          <w:sz w:val="18"/>
          <w:szCs w:val="18"/>
          <w:color w:val="auto"/>
        </w:rPr>
        <w:t>SMG&amp;A expenses increased in the three-month period ended January 29, 2022, as compared to the same period of the prior fiscal year, primarily as a result of the Acquisition as well as higher salary and benefit expenses and variable compensation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tcBorders>
              <w:bottom w:val="single" w:sz="8" w:color="auto"/>
            </w:tcBorders>
          </w:tcPr>
          <w:p>
            <w:pPr>
              <w:spacing w:after="0"/>
              <w:rPr>
                <w:sz w:val="16"/>
                <w:szCs w:val="16"/>
                <w:color w:val="auto"/>
              </w:rPr>
            </w:pPr>
          </w:p>
        </w:tc>
      </w:tr>
      <w:tr>
        <w:trPr>
          <w:trHeight w:val="182"/>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2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421"/>
              <w:spacing w:after="0"/>
              <w:rPr>
                <w:sz w:val="20"/>
                <w:szCs w:val="20"/>
                <w:color w:val="auto"/>
              </w:rPr>
            </w:pPr>
            <w:r>
              <w:rPr>
                <w:rFonts w:ascii="Arial" w:cs="Arial" w:eastAsia="Arial" w:hAnsi="Arial"/>
                <w:sz w:val="14"/>
                <w:szCs w:val="14"/>
                <w:b w:val="1"/>
                <w:bCs w:val="1"/>
                <w:color w:val="auto"/>
              </w:rPr>
              <w:t>% Change</w:t>
            </w:r>
          </w:p>
        </w:tc>
      </w:tr>
      <w:tr>
        <w:trPr>
          <w:trHeight w:val="217"/>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253,367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8"/>
                <w:szCs w:val="18"/>
                <w:color w:val="auto"/>
              </w:rPr>
              <w:t>107,648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145,719</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Amortization expenses as a % of revenue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238"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Amortization expenses increased in the three-month period ended January 29, 2022, as compared to the same period of the prior fiscal year, primarily as a result of amortization expense of intangible assets recorded as a result of the Acquisition.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Special Charges, Net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bottom w:val="single" w:sz="8" w:color="auto"/>
            </w:tcBorders>
          </w:tcPr>
          <w:p>
            <w:pPr>
              <w:spacing w:after="0"/>
              <w:rPr>
                <w:sz w:val="16"/>
                <w:szCs w:val="16"/>
                <w:color w:val="auto"/>
              </w:rPr>
            </w:pPr>
          </w:p>
        </w:tc>
      </w:tr>
      <w:tr>
        <w:trPr>
          <w:trHeight w:val="182"/>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30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tcPr>
          <w:p>
            <w:pPr>
              <w:jc w:val="right"/>
              <w:ind w:right="421"/>
              <w:spacing w:after="0"/>
              <w:rPr>
                <w:sz w:val="20"/>
                <w:szCs w:val="20"/>
                <w:color w:val="auto"/>
              </w:rPr>
            </w:pPr>
            <w:r>
              <w:rPr>
                <w:rFonts w:ascii="Arial" w:cs="Arial" w:eastAsia="Arial" w:hAnsi="Arial"/>
                <w:sz w:val="14"/>
                <w:szCs w:val="14"/>
                <w:b w:val="1"/>
                <w:bCs w:val="1"/>
                <w:color w:val="auto"/>
              </w:rPr>
              <w:t>% Change</w:t>
            </w:r>
          </w:p>
        </w:tc>
      </w:tr>
      <w:tr>
        <w:trPr>
          <w:trHeight w:val="217"/>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charges, net</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59,728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59,290</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13,537 %</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Special charges, net as a % of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38" w:lineRule="exact"/>
        <w:rPr>
          <w:sz w:val="20"/>
          <w:szCs w:val="20"/>
          <w:color w:val="auto"/>
        </w:rPr>
      </w:pPr>
    </w:p>
    <w:p>
      <w:pPr>
        <w:ind w:right="100" w:firstLine="434"/>
        <w:spacing w:after="0" w:line="252" w:lineRule="auto"/>
        <w:rPr>
          <w:sz w:val="20"/>
          <w:szCs w:val="20"/>
          <w:color w:val="auto"/>
        </w:rPr>
      </w:pPr>
      <w:r>
        <w:rPr>
          <w:rFonts w:ascii="Arial" w:cs="Arial" w:eastAsia="Arial" w:hAnsi="Arial"/>
          <w:sz w:val="18"/>
          <w:szCs w:val="18"/>
          <w:color w:val="auto"/>
        </w:rPr>
        <w:t>Special charges, net increased in the three-month period ended January 29, 2022, as compared to the same period of the prior fiscal year, primarily as a result of severance and benefit costs as well as charges recorded from the acceleration of equity awards in connection with the termination of a limited number of employees as part of the integration of the Acquisition.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tcPr>
          <w:p>
            <w:pPr>
              <w:spacing w:after="0"/>
              <w:rPr>
                <w:sz w:val="16"/>
                <w:szCs w:val="16"/>
                <w:color w:val="auto"/>
              </w:rPr>
            </w:pPr>
          </w:p>
        </w:tc>
      </w:tr>
      <w:tr>
        <w:trPr>
          <w:trHeight w:val="182"/>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640" w:type="dxa"/>
            <w:vAlign w:val="bottom"/>
          </w:tcPr>
          <w:p>
            <w:pPr>
              <w:jc w:val="right"/>
              <w:ind w:right="421"/>
              <w:spacing w:after="0"/>
              <w:rPr>
                <w:sz w:val="20"/>
                <w:szCs w:val="20"/>
                <w:color w:val="auto"/>
              </w:rPr>
            </w:pPr>
            <w:r>
              <w:rPr>
                <w:rFonts w:ascii="Arial" w:cs="Arial" w:eastAsia="Arial" w:hAnsi="Arial"/>
                <w:sz w:val="14"/>
                <w:szCs w:val="14"/>
                <w:b w:val="1"/>
                <w:bCs w:val="1"/>
                <w:color w:val="auto"/>
              </w:rPr>
              <w:t>% Change</w:t>
            </w:r>
          </w:p>
        </w:tc>
      </w:tr>
      <w:tr>
        <w:trPr>
          <w:trHeight w:val="217"/>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364,757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463,860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(99,103)</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38" w:lineRule="exact"/>
        <w:rPr>
          <w:sz w:val="20"/>
          <w:szCs w:val="20"/>
          <w:color w:val="auto"/>
        </w:rPr>
      </w:pPr>
    </w:p>
    <w:p>
      <w:pPr>
        <w:ind w:right="140" w:firstLine="434"/>
        <w:spacing w:after="0" w:line="248" w:lineRule="auto"/>
        <w:rPr>
          <w:sz w:val="20"/>
          <w:szCs w:val="20"/>
          <w:color w:val="auto"/>
        </w:rPr>
      </w:pPr>
      <w:r>
        <w:rPr>
          <w:rFonts w:ascii="Arial" w:cs="Arial" w:eastAsia="Arial" w:hAnsi="Arial"/>
          <w:sz w:val="18"/>
          <w:szCs w:val="18"/>
          <w:color w:val="auto"/>
        </w:rPr>
        <w:t xml:space="preserve">The year-over-year decrease in operating income in the three-month period ended January 29, 2022 was primarily the result of an increase in revenue of $1,125.8 million, which contributed to an increase in gross margin of $356.6 million, offset by increases of $145.7 million in amortization expenses, $138.6 million in R&amp;D expenses, $112.1 million in SMG&amp;A expenses and $59.3 million in special charges, net, as described above under the headings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Trends by End Market, Gross Margin, Research and Development (R&amp;D), Amortization of Intangibles, Selling, Marketing, General and Administrative (SMG&amp;A) </w:t>
      </w:r>
      <w:r>
        <w:rPr>
          <w:rFonts w:ascii="Arial" w:cs="Arial" w:eastAsia="Arial" w:hAnsi="Arial"/>
          <w:sz w:val="18"/>
          <w:szCs w:val="18"/>
          <w:color w:val="auto"/>
        </w:rPr>
        <w:t>and</w:t>
      </w:r>
      <w:r>
        <w:rPr>
          <w:rFonts w:ascii="Arial" w:cs="Arial" w:eastAsia="Arial" w:hAnsi="Arial"/>
          <w:sz w:val="18"/>
          <w:szCs w:val="18"/>
          <w:i w:val="1"/>
          <w:iCs w:val="1"/>
          <w:color w:val="auto"/>
        </w:rPr>
        <w:t xml:space="preserve"> Special Charges, Net.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Three Months Ended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2"/>
        </w:trPr>
        <w:tc>
          <w:tcPr>
            <w:tcW w:w="6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29, 2022</w:t>
            </w:r>
          </w:p>
        </w:tc>
        <w:tc>
          <w:tcPr>
            <w:tcW w:w="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January 30, 2021</w:t>
            </w:r>
          </w:p>
        </w:tc>
        <w:tc>
          <w:tcPr>
            <w:tcW w:w="300" w:type="dxa"/>
            <w:vAlign w:val="bottom"/>
          </w:tcPr>
          <w:p>
            <w:pPr>
              <w:spacing w:after="0"/>
              <w:rPr>
                <w:sz w:val="15"/>
                <w:szCs w:val="15"/>
                <w:color w:val="auto"/>
              </w:rPr>
            </w:pPr>
          </w:p>
        </w:tc>
        <w:tc>
          <w:tcPr>
            <w:tcW w:w="1260" w:type="dxa"/>
            <w:vAlign w:val="bottom"/>
          </w:tcPr>
          <w:p>
            <w:pPr>
              <w:jc w:val="right"/>
              <w:ind w:right="421"/>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27,242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r>
    </w:tbl>
    <w:p>
      <w:pPr>
        <w:spacing w:after="0" w:line="238"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color w:val="auto"/>
        </w:rPr>
        <w:t>The year-over-year increase in nonoperating expense (income) in the three-month period ended January 29, 2022 was the result of higher interest expense related to our debt obligations and lower gains from other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2"/>
        </w:trPr>
        <w:tc>
          <w:tcPr>
            <w:tcW w:w="6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 2022</w:t>
            </w:r>
          </w:p>
        </w:tc>
        <w:tc>
          <w:tcPr>
            <w:tcW w:w="120" w:type="dxa"/>
            <w:vAlign w:val="bottom"/>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30, 2021</w:t>
            </w:r>
          </w:p>
        </w:tc>
        <w:tc>
          <w:tcPr>
            <w:tcW w:w="30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43,478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48,099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72"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The effective tax rates for the three-month periods ended January 29, 2022 and January 30, 2021 were below the U.S. statutory tax rate of 21% due to lower statutory tax rates applicable to our operations in the foreign jurisdictions in which we earn income. Our pretax income for the three-month periods ended January 29, 2022 and January 30, 2021 was primarily generated in Ireland at a tax rate of 12.5%.</w:t>
      </w:r>
    </w:p>
    <w:p>
      <w:pPr>
        <w:spacing w:after="0" w:line="85" w:lineRule="exact"/>
        <w:rPr>
          <w:sz w:val="20"/>
          <w:szCs w:val="20"/>
          <w:color w:val="auto"/>
        </w:rPr>
      </w:pPr>
    </w:p>
    <w:p>
      <w:pPr>
        <w:ind w:right="320" w:firstLine="434"/>
        <w:spacing w:after="0" w:line="261"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2"/>
        </w:trPr>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 2022</w:t>
            </w:r>
          </w:p>
        </w:tc>
        <w:tc>
          <w:tcPr>
            <w:tcW w:w="2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640" w:type="dxa"/>
            <w:vAlign w:val="bottom"/>
          </w:tcPr>
          <w:p>
            <w:pPr>
              <w:jc w:val="right"/>
              <w:ind w:right="421"/>
              <w:spacing w:after="0"/>
              <w:rPr>
                <w:sz w:val="20"/>
                <w:szCs w:val="20"/>
                <w:color w:val="auto"/>
              </w:rPr>
            </w:pPr>
            <w:r>
              <w:rPr>
                <w:rFonts w:ascii="Arial" w:cs="Arial" w:eastAsia="Arial" w:hAnsi="Arial"/>
                <w:sz w:val="14"/>
                <w:szCs w:val="14"/>
                <w:b w:val="1"/>
                <w:bCs w:val="1"/>
                <w:color w:val="auto"/>
              </w:rPr>
              <w:t>% Change</w:t>
            </w:r>
          </w:p>
        </w:tc>
      </w:tr>
      <w:tr>
        <w:trPr>
          <w:trHeight w:val="217"/>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280,077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388,519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(108,442)</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ind w:right="40" w:firstLine="434"/>
        <w:spacing w:after="0" w:line="252" w:lineRule="auto"/>
        <w:rPr>
          <w:sz w:val="20"/>
          <w:szCs w:val="20"/>
          <w:color w:val="auto"/>
        </w:rPr>
      </w:pPr>
      <w:r>
        <w:rPr>
          <w:rFonts w:ascii="Arial" w:cs="Arial" w:eastAsia="Arial" w:hAnsi="Arial"/>
          <w:sz w:val="18"/>
          <w:szCs w:val="18"/>
          <w:color w:val="auto"/>
        </w:rPr>
        <w:t>Net income decreased in the three-month period ended January 29, 2022, as compared to the same period of the prior fiscal year, as a result of a $99.1 million decrease in operating income and a $14.0 million increase in nonoperating expense (income), partially offset by a $4.6 million decrease in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9" w:name="page20"/>
    <w:bookmarkEnd w:id="19"/>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ind w:right="240" w:firstLine="434"/>
        <w:spacing w:after="0" w:line="282" w:lineRule="auto"/>
        <w:rPr>
          <w:sz w:val="20"/>
          <w:szCs w:val="20"/>
          <w:color w:val="auto"/>
        </w:rPr>
      </w:pPr>
      <w:r>
        <w:rPr>
          <w:rFonts w:ascii="Arial" w:cs="Arial" w:eastAsia="Arial" w:hAnsi="Arial"/>
          <w:sz w:val="16"/>
          <w:szCs w:val="16"/>
          <w:color w:val="auto"/>
        </w:rPr>
        <w:t>At January 29, 2022, our principal source of liquidity was $1,790.4 million of cash and cash equivalents, of which approximately $681.7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66"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8"/>
              </w:rPr>
              <w:t>Three Months Ended</w:t>
            </w:r>
          </w:p>
        </w:tc>
        <w:tc>
          <w:tcPr>
            <w:tcW w:w="1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82"/>
        </w:trPr>
        <w:tc>
          <w:tcPr>
            <w:tcW w:w="59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January 29, 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8"/>
              </w:rPr>
              <w:t>January 30, 2021</w:t>
            </w:r>
          </w:p>
        </w:tc>
        <w:tc>
          <w:tcPr>
            <w:tcW w:w="360" w:type="dxa"/>
            <w:vAlign w:val="bottom"/>
            <w:tcBorders>
              <w:bottom w:val="single" w:sz="8" w:color="auto"/>
            </w:tcBorders>
          </w:tcPr>
          <w:p>
            <w:pPr>
              <w:spacing w:after="0"/>
              <w:rPr>
                <w:sz w:val="15"/>
                <w:szCs w:val="15"/>
                <w:color w:val="auto"/>
              </w:rPr>
            </w:pPr>
          </w:p>
        </w:tc>
      </w:tr>
      <w:tr>
        <w:trPr>
          <w:trHeight w:val="217"/>
        </w:trPr>
        <w:tc>
          <w:tcPr>
            <w:tcW w:w="592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856,413</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427,941</w:t>
            </w:r>
          </w:p>
        </w:tc>
        <w:tc>
          <w:tcPr>
            <w:tcW w:w="360" w:type="dxa"/>
            <w:vAlign w:val="bottom"/>
            <w:shd w:val="clear" w:color="auto" w:fill="CCEEFF"/>
          </w:tcPr>
          <w:p>
            <w:pPr>
              <w:spacing w:after="0"/>
              <w:rPr>
                <w:sz w:val="18"/>
                <w:szCs w:val="18"/>
                <w:color w:val="auto"/>
              </w:rPr>
            </w:pPr>
          </w:p>
        </w:tc>
      </w:tr>
      <w:tr>
        <w:trPr>
          <w:trHeight w:val="223"/>
        </w:trPr>
        <w:tc>
          <w:tcPr>
            <w:tcW w:w="5920" w:type="dxa"/>
            <w:vAlign w:val="bottom"/>
          </w:tcPr>
          <w:p>
            <w:pPr>
              <w:ind w:left="460"/>
              <w:spacing w:after="0"/>
              <w:rPr>
                <w:sz w:val="20"/>
                <w:szCs w:val="20"/>
                <w:color w:val="auto"/>
              </w:rPr>
            </w:pPr>
            <w:r>
              <w:rPr>
                <w:rFonts w:ascii="Arial" w:cs="Arial" w:eastAsia="Arial" w:hAnsi="Arial"/>
                <w:sz w:val="18"/>
                <w:szCs w:val="18"/>
                <w:color w:val="auto"/>
              </w:rPr>
              <w:t>Net cash provided by operations as a % of revenue</w:t>
            </w:r>
          </w:p>
        </w:tc>
        <w:tc>
          <w:tcPr>
            <w:tcW w:w="760" w:type="dxa"/>
            <w:vAlign w:val="bottom"/>
          </w:tcPr>
          <w:p>
            <w:pPr>
              <w:spacing w:after="0"/>
              <w:rPr>
                <w:sz w:val="19"/>
                <w:szCs w:val="19"/>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32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jc w:val="right"/>
              <w:ind w:right="196"/>
              <w:spacing w:after="0"/>
              <w:rPr>
                <w:sz w:val="20"/>
                <w:szCs w:val="20"/>
                <w:color w:val="auto"/>
              </w:rPr>
            </w:pPr>
            <w:r>
              <w:rPr>
                <w:rFonts w:ascii="Arial" w:cs="Arial" w:eastAsia="Arial" w:hAnsi="Arial"/>
                <w:sz w:val="18"/>
                <w:szCs w:val="18"/>
                <w:color w:val="auto"/>
              </w:rPr>
              <w:t>27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for investing activities</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(103,309)</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(75,071)</w:t>
            </w:r>
          </w:p>
        </w:tc>
        <w:tc>
          <w:tcPr>
            <w:tcW w:w="360" w:type="dxa"/>
            <w:vAlign w:val="bottom"/>
            <w:shd w:val="clear" w:color="auto" w:fill="CCEEFF"/>
          </w:tcPr>
          <w:p>
            <w:pPr>
              <w:spacing w:after="0"/>
              <w:rPr>
                <w:sz w:val="19"/>
                <w:szCs w:val="19"/>
                <w:color w:val="auto"/>
              </w:rPr>
            </w:pPr>
          </w:p>
        </w:tc>
      </w:tr>
      <w:tr>
        <w:trPr>
          <w:trHeight w:val="223"/>
        </w:trPr>
        <w:tc>
          <w:tcPr>
            <w:tcW w:w="5920" w:type="dxa"/>
            <w:vAlign w:val="bottom"/>
          </w:tcPr>
          <w:p>
            <w:pPr>
              <w:ind w:left="460"/>
              <w:spacing w:after="0"/>
              <w:rPr>
                <w:sz w:val="20"/>
                <w:szCs w:val="20"/>
                <w:color w:val="auto"/>
              </w:rPr>
            </w:pPr>
            <w:r>
              <w:rPr>
                <w:rFonts w:ascii="Arial" w:cs="Arial" w:eastAsia="Arial" w:hAnsi="Arial"/>
                <w:sz w:val="18"/>
                <w:szCs w:val="18"/>
                <w:color w:val="auto"/>
              </w:rPr>
              <w:t>Net cash used for financing activities</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(937,268)</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(363,823)</w:t>
            </w:r>
          </w:p>
        </w:tc>
        <w:tc>
          <w:tcPr>
            <w:tcW w:w="360" w:type="dxa"/>
            <w:vAlign w:val="bottom"/>
          </w:tcPr>
          <w:p>
            <w:pPr>
              <w:spacing w:after="0"/>
              <w:rPr>
                <w:sz w:val="19"/>
                <w:szCs w:val="19"/>
                <w:color w:val="auto"/>
              </w:rPr>
            </w:pPr>
          </w:p>
        </w:tc>
      </w:tr>
    </w:tbl>
    <w:p>
      <w:pPr>
        <w:spacing w:after="0" w:line="186" w:lineRule="exact"/>
        <w:rPr>
          <w:sz w:val="20"/>
          <w:szCs w:val="20"/>
          <w:color w:val="auto"/>
        </w:rPr>
      </w:pPr>
    </w:p>
    <w:p>
      <w:pPr>
        <w:ind w:right="160" w:firstLine="434"/>
        <w:spacing w:after="0" w:line="261" w:lineRule="auto"/>
        <w:rPr>
          <w:sz w:val="20"/>
          <w:szCs w:val="20"/>
          <w:color w:val="auto"/>
        </w:rPr>
      </w:pPr>
      <w:r>
        <w:rPr>
          <w:rFonts w:ascii="Arial" w:cs="Arial" w:eastAsia="Arial" w:hAnsi="Arial"/>
          <w:sz w:val="18"/>
          <w:szCs w:val="18"/>
          <w:color w:val="auto"/>
        </w:rPr>
        <w:t>The following changes contributed to the net change in cash and cash equivalents in the three-month period ended January 29, 2022 as compared to the same period in fiscal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9" w:lineRule="exact"/>
        <w:rPr>
          <w:sz w:val="20"/>
          <w:szCs w:val="20"/>
          <w:color w:val="auto"/>
        </w:rPr>
      </w:pPr>
    </w:p>
    <w:p>
      <w:pPr>
        <w:ind w:right="320" w:firstLine="395"/>
        <w:spacing w:after="0" w:line="250"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operating assets and liabilities. The increase in cash provided by operating activities during the three-month period ended January 29, 2022, as compared to the same period of the prior fiscal year, was primarily the result of an increase in net income adjusted for noncash amortization of intangibles and cost of goods sold for inventory acquired, offset by changes in working capital.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9" w:lineRule="exact"/>
        <w:rPr>
          <w:sz w:val="20"/>
          <w:szCs w:val="20"/>
          <w:color w:val="auto"/>
        </w:rPr>
      </w:pPr>
    </w:p>
    <w:p>
      <w:pPr>
        <w:ind w:right="120" w:firstLine="395"/>
        <w:spacing w:after="0" w:line="252" w:lineRule="auto"/>
        <w:rPr>
          <w:sz w:val="20"/>
          <w:szCs w:val="20"/>
          <w:color w:val="auto"/>
        </w:rPr>
      </w:pPr>
      <w:r>
        <w:rPr>
          <w:rFonts w:ascii="Arial" w:cs="Arial" w:eastAsia="Arial" w:hAnsi="Arial"/>
          <w:sz w:val="18"/>
          <w:szCs w:val="18"/>
          <w:color w:val="auto"/>
        </w:rPr>
        <w:t>Investing cash flows generally consist of capital expenditures and cash used for acquisitions. The increase in cash used for investing activities during the three-month period ended January 29, 2022, as compared to the same period of the prior fiscal year, was primarily the result of an increase in cash used for capital expenditures.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9"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Financing cash flows generally consist of payments of dividends to stockholders, repurchases of common stock, issuance and repayment of debt and proceeds from the sale of shares of common stock pursuant to employee equity incentive plans. The increase in cash used for financing activities during the three-month period ended January 29, 2022, as compared to the same period of the prior fiscal year, was primarily the result of early termination of debt in the first quarter of fiscal 2022 and higher dividend payments to shareholders, partially offset by less cash used for common stock repurchases.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30, 2021</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78"/>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1,459,056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177,872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8" w:lineRule="exact"/>
        <w:rPr>
          <w:sz w:val="20"/>
          <w:szCs w:val="20"/>
          <w:color w:val="auto"/>
        </w:rPr>
      </w:pPr>
    </w:p>
    <w:p>
      <w:pPr>
        <w:ind w:left="360" w:right="20" w:hanging="315"/>
        <w:spacing w:after="0" w:line="242"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use the average of the current quarter and prior quarter ending net accounts receivable and ending inventory balance in our calculation of days sales outstanding and days cost of sales in inventory, respectively. Cost of sales amounts used in the calculation of days cost of sales in inventory include Acquisition accounting adjustments related to the sale of acquired inventory written up to fair value, amortization of developed technology intangible assets acquired and depreciation related to the write-up of fixed assets to fair value.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left="440"/>
        <w:spacing w:after="0"/>
        <w:rPr>
          <w:sz w:val="20"/>
          <w:szCs w:val="20"/>
          <w:color w:val="auto"/>
        </w:rPr>
      </w:pPr>
      <w:r>
        <w:rPr>
          <w:rFonts w:ascii="Arial" w:cs="Arial" w:eastAsia="Arial" w:hAnsi="Arial"/>
          <w:sz w:val="16"/>
          <w:szCs w:val="16"/>
          <w:color w:val="auto"/>
        </w:rPr>
        <w:t>The increase in accounts receivable in dollars was primarily the result of variations in the timing of collections and billings and increased revenue levels.</w:t>
      </w:r>
    </w:p>
    <w:p>
      <w:pPr>
        <w:spacing w:after="0" w:line="132" w:lineRule="exact"/>
        <w:rPr>
          <w:sz w:val="20"/>
          <w:szCs w:val="20"/>
          <w:color w:val="auto"/>
        </w:rPr>
      </w:pPr>
    </w:p>
    <w:p>
      <w:pPr>
        <w:jc w:val="both"/>
        <w:ind w:right="220" w:firstLine="434"/>
        <w:spacing w:after="0" w:line="299" w:lineRule="auto"/>
        <w:rPr>
          <w:sz w:val="20"/>
          <w:szCs w:val="20"/>
          <w:color w:val="auto"/>
        </w:rPr>
      </w:pPr>
      <w:r>
        <w:rPr>
          <w:rFonts w:ascii="Arial" w:cs="Arial" w:eastAsia="Arial" w:hAnsi="Arial"/>
          <w:sz w:val="16"/>
          <w:szCs w:val="16"/>
          <w:color w:val="auto"/>
        </w:rPr>
        <w:t>Inventory decreased primarily as a result of our October 30, 2021 balance including additional costs related to the Acquisition as a result of accounting for acquired inventory at fair-value. Inventory levels also fluctuate due to our efforts to balance manufacturing production, demand and inventory levels. Our inventory levels are impacted by our need to support forecasted sales demand and variations between those forecasts and actual demand.</w:t>
      </w:r>
    </w:p>
    <w:p>
      <w:pPr>
        <w:spacing w:after="0" w:line="49" w:lineRule="exact"/>
        <w:rPr>
          <w:sz w:val="20"/>
          <w:szCs w:val="20"/>
          <w:color w:val="auto"/>
        </w:rPr>
      </w:pPr>
    </w:p>
    <w:p>
      <w:pPr>
        <w:ind w:right="580" w:firstLine="434"/>
        <w:spacing w:after="0" w:line="261" w:lineRule="auto"/>
        <w:rPr>
          <w:sz w:val="20"/>
          <w:szCs w:val="20"/>
          <w:color w:val="auto"/>
        </w:rPr>
      </w:pPr>
      <w:r>
        <w:rPr>
          <w:rFonts w:ascii="Arial" w:cs="Arial" w:eastAsia="Arial" w:hAnsi="Arial"/>
          <w:sz w:val="18"/>
          <w:szCs w:val="18"/>
          <w:color w:val="auto"/>
        </w:rPr>
        <w:t>Current liabilities decreased to approximately $2,221.9 million at January 29, 2022 from approximately $2,770.3 million at the end of fiscal 2021 primarily due to early termination of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January 29, 2022, our debt obligations consisted of the following: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Principal Amount</w:t>
            </w:r>
          </w:p>
        </w:tc>
      </w:tr>
      <w:tr>
        <w:trPr>
          <w:trHeight w:val="224"/>
        </w:trPr>
        <w:tc>
          <w:tcPr>
            <w:tcW w:w="8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17"/>
        </w:trPr>
        <w:tc>
          <w:tcPr>
            <w:tcW w:w="8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2024</w:t>
            </w:r>
          </w:p>
        </w:tc>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2024</w:t>
            </w:r>
          </w:p>
        </w:tc>
        <w:tc>
          <w:tcPr>
            <w:tcW w:w="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3"/>
        </w:trPr>
        <w:tc>
          <w:tcPr>
            <w:tcW w:w="820" w:type="dxa"/>
            <w:vAlign w:val="bottom"/>
          </w:tcPr>
          <w:p>
            <w:pPr>
              <w:ind w:left="460"/>
              <w:spacing w:after="0"/>
              <w:rPr>
                <w:sz w:val="20"/>
                <w:szCs w:val="20"/>
                <w:color w:val="auto"/>
              </w:rPr>
            </w:pPr>
            <w:r>
              <w:rPr>
                <w:rFonts w:ascii="Arial" w:cs="Arial" w:eastAsia="Arial" w:hAnsi="Arial"/>
                <w:sz w:val="18"/>
                <w:szCs w:val="18"/>
                <w:color w:val="auto"/>
                <w:w w:val="84"/>
              </w:rPr>
              <w:t>2025</w:t>
            </w:r>
          </w:p>
        </w:tc>
        <w:tc>
          <w:tcPr>
            <w:tcW w:w="7860" w:type="dxa"/>
            <w:vAlign w:val="bottom"/>
          </w:tcPr>
          <w:p>
            <w:pPr>
              <w:ind w:left="40"/>
              <w:spacing w:after="0"/>
              <w:rPr>
                <w:sz w:val="20"/>
                <w:szCs w:val="20"/>
                <w:color w:val="auto"/>
              </w:rPr>
            </w:pPr>
            <w:r>
              <w:rPr>
                <w:rFonts w:ascii="Arial" w:cs="Arial" w:eastAsia="Arial" w:hAnsi="Arial"/>
                <w:sz w:val="18"/>
                <w:szCs w:val="18"/>
                <w:color w:val="auto"/>
              </w:rPr>
              <w:t>Notes, due April 2025</w:t>
            </w:r>
          </w:p>
        </w:tc>
        <w:tc>
          <w:tcPr>
            <w:tcW w:w="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24"/>
        </w:trPr>
        <w:tc>
          <w:tcPr>
            <w:tcW w:w="8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2026</w:t>
            </w:r>
          </w:p>
        </w:tc>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2026</w:t>
            </w:r>
          </w:p>
        </w:tc>
        <w:tc>
          <w:tcPr>
            <w:tcW w:w="8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23"/>
        </w:trPr>
        <w:tc>
          <w:tcPr>
            <w:tcW w:w="8680" w:type="dxa"/>
            <w:vAlign w:val="bottom"/>
            <w:gridSpan w:val="2"/>
          </w:tcPr>
          <w:p>
            <w:pPr>
              <w:ind w:left="460"/>
              <w:spacing w:after="0"/>
              <w:rPr>
                <w:sz w:val="20"/>
                <w:szCs w:val="20"/>
                <w:color w:val="auto"/>
              </w:rPr>
            </w:pPr>
            <w:r>
              <w:rPr>
                <w:rFonts w:ascii="Arial" w:cs="Arial" w:eastAsia="Arial" w:hAnsi="Arial"/>
                <w:sz w:val="18"/>
                <w:szCs w:val="18"/>
                <w:color w:val="auto"/>
              </w:rPr>
              <w:t>Maxim 2027 Notes, due June 2027</w:t>
            </w:r>
          </w:p>
        </w:tc>
        <w:tc>
          <w:tcPr>
            <w:tcW w:w="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24"/>
        </w:trPr>
        <w:tc>
          <w:tcPr>
            <w:tcW w:w="8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2028</w:t>
            </w:r>
          </w:p>
        </w:tc>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2028</w:t>
            </w:r>
          </w:p>
        </w:tc>
        <w:tc>
          <w:tcPr>
            <w:tcW w:w="8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3"/>
        </w:trPr>
        <w:tc>
          <w:tcPr>
            <w:tcW w:w="820" w:type="dxa"/>
            <w:vAlign w:val="bottom"/>
          </w:tcPr>
          <w:p>
            <w:pPr>
              <w:ind w:left="460"/>
              <w:spacing w:after="0"/>
              <w:rPr>
                <w:sz w:val="20"/>
                <w:szCs w:val="20"/>
                <w:color w:val="auto"/>
              </w:rPr>
            </w:pPr>
            <w:r>
              <w:rPr>
                <w:rFonts w:ascii="Arial" w:cs="Arial" w:eastAsia="Arial" w:hAnsi="Arial"/>
                <w:sz w:val="18"/>
                <w:szCs w:val="18"/>
                <w:color w:val="auto"/>
                <w:w w:val="84"/>
              </w:rPr>
              <w:t>2031</w:t>
            </w:r>
          </w:p>
        </w:tc>
        <w:tc>
          <w:tcPr>
            <w:tcW w:w="7860" w:type="dxa"/>
            <w:vAlign w:val="bottom"/>
          </w:tcPr>
          <w:p>
            <w:pPr>
              <w:ind w:left="40"/>
              <w:spacing w:after="0"/>
              <w:rPr>
                <w:sz w:val="20"/>
                <w:szCs w:val="20"/>
                <w:color w:val="auto"/>
              </w:rPr>
            </w:pPr>
            <w:r>
              <w:rPr>
                <w:rFonts w:ascii="Arial" w:cs="Arial" w:eastAsia="Arial" w:hAnsi="Arial"/>
                <w:sz w:val="18"/>
                <w:szCs w:val="18"/>
                <w:color w:val="auto"/>
              </w:rPr>
              <w:t>Notes, due October 2031</w:t>
            </w:r>
          </w:p>
        </w:tc>
        <w:tc>
          <w:tcPr>
            <w:tcW w:w="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4"/>
        </w:trPr>
        <w:tc>
          <w:tcPr>
            <w:tcW w:w="8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2036</w:t>
            </w:r>
          </w:p>
        </w:tc>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2036</w:t>
            </w:r>
          </w:p>
        </w:tc>
        <w:tc>
          <w:tcPr>
            <w:tcW w:w="8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144,278</w:t>
            </w:r>
          </w:p>
        </w:tc>
      </w:tr>
      <w:tr>
        <w:trPr>
          <w:trHeight w:val="223"/>
        </w:trPr>
        <w:tc>
          <w:tcPr>
            <w:tcW w:w="820" w:type="dxa"/>
            <w:vAlign w:val="bottom"/>
          </w:tcPr>
          <w:p>
            <w:pPr>
              <w:ind w:left="460"/>
              <w:spacing w:after="0"/>
              <w:rPr>
                <w:sz w:val="20"/>
                <w:szCs w:val="20"/>
                <w:color w:val="auto"/>
              </w:rPr>
            </w:pPr>
            <w:r>
              <w:rPr>
                <w:rFonts w:ascii="Arial" w:cs="Arial" w:eastAsia="Arial" w:hAnsi="Arial"/>
                <w:sz w:val="18"/>
                <w:szCs w:val="18"/>
                <w:color w:val="auto"/>
                <w:w w:val="84"/>
              </w:rPr>
              <w:t>2041</w:t>
            </w:r>
          </w:p>
        </w:tc>
        <w:tc>
          <w:tcPr>
            <w:tcW w:w="7860" w:type="dxa"/>
            <w:vAlign w:val="bottom"/>
          </w:tcPr>
          <w:p>
            <w:pPr>
              <w:ind w:left="40"/>
              <w:spacing w:after="0"/>
              <w:rPr>
                <w:sz w:val="20"/>
                <w:szCs w:val="20"/>
                <w:color w:val="auto"/>
              </w:rPr>
            </w:pPr>
            <w:r>
              <w:rPr>
                <w:rFonts w:ascii="Arial" w:cs="Arial" w:eastAsia="Arial" w:hAnsi="Arial"/>
                <w:sz w:val="18"/>
                <w:szCs w:val="18"/>
                <w:color w:val="auto"/>
              </w:rPr>
              <w:t>Notes, due October 2041</w:t>
            </w:r>
          </w:p>
        </w:tc>
        <w:tc>
          <w:tcPr>
            <w:tcW w:w="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4"/>
        </w:trPr>
        <w:tc>
          <w:tcPr>
            <w:tcW w:w="8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2045</w:t>
            </w:r>
          </w:p>
        </w:tc>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2045</w:t>
            </w:r>
          </w:p>
        </w:tc>
        <w:tc>
          <w:tcPr>
            <w:tcW w:w="8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332,587</w:t>
            </w:r>
          </w:p>
        </w:tc>
      </w:tr>
      <w:tr>
        <w:trPr>
          <w:trHeight w:val="223"/>
        </w:trPr>
        <w:tc>
          <w:tcPr>
            <w:tcW w:w="820" w:type="dxa"/>
            <w:vAlign w:val="bottom"/>
          </w:tcPr>
          <w:p>
            <w:pPr>
              <w:ind w:left="460"/>
              <w:spacing w:after="0"/>
              <w:rPr>
                <w:sz w:val="20"/>
                <w:szCs w:val="20"/>
                <w:color w:val="auto"/>
              </w:rPr>
            </w:pPr>
            <w:r>
              <w:rPr>
                <w:rFonts w:ascii="Arial" w:cs="Arial" w:eastAsia="Arial" w:hAnsi="Arial"/>
                <w:sz w:val="18"/>
                <w:szCs w:val="18"/>
                <w:color w:val="auto"/>
                <w:w w:val="84"/>
              </w:rPr>
              <w:t>2051</w:t>
            </w:r>
          </w:p>
        </w:tc>
        <w:tc>
          <w:tcPr>
            <w:tcW w:w="7860" w:type="dxa"/>
            <w:vAlign w:val="bottom"/>
          </w:tcPr>
          <w:p>
            <w:pPr>
              <w:ind w:left="40"/>
              <w:spacing w:after="0"/>
              <w:rPr>
                <w:sz w:val="20"/>
                <w:szCs w:val="20"/>
                <w:color w:val="auto"/>
              </w:rPr>
            </w:pPr>
            <w:r>
              <w:rPr>
                <w:rFonts w:ascii="Arial" w:cs="Arial" w:eastAsia="Arial" w:hAnsi="Arial"/>
                <w:sz w:val="18"/>
                <w:szCs w:val="18"/>
                <w:color w:val="auto"/>
              </w:rPr>
              <w:t>Notes, due October 2051</w:t>
            </w:r>
          </w:p>
        </w:tc>
        <w:tc>
          <w:tcPr>
            <w:tcW w:w="8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17"/>
        </w:trPr>
        <w:tc>
          <w:tcPr>
            <w:tcW w:w="8680" w:type="dxa"/>
            <w:vAlign w:val="bottom"/>
            <w:gridSpan w:val="2"/>
          </w:tcPr>
          <w:p>
            <w:pPr>
              <w:ind w:left="460"/>
              <w:spacing w:after="0"/>
              <w:rPr>
                <w:sz w:val="20"/>
                <w:szCs w:val="20"/>
                <w:color w:val="auto"/>
              </w:rPr>
            </w:pPr>
            <w:r>
              <w:rPr>
                <w:rFonts w:ascii="Arial" w:cs="Arial" w:eastAsia="Arial" w:hAnsi="Arial"/>
                <w:sz w:val="18"/>
                <w:szCs w:val="18"/>
                <w:color w:val="auto"/>
              </w:rPr>
              <w:t>Total debt</w:t>
            </w: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6,276,865</w:t>
            </w:r>
          </w:p>
        </w:tc>
      </w:tr>
      <w:tr>
        <w:trPr>
          <w:trHeight w:val="20"/>
        </w:trPr>
        <w:tc>
          <w:tcPr>
            <w:tcW w:w="8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80" w:firstLine="434"/>
        <w:spacing w:after="0" w:line="327" w:lineRule="auto"/>
        <w:rPr>
          <w:sz w:val="20"/>
          <w:szCs w:val="20"/>
          <w:color w:val="auto"/>
        </w:rPr>
      </w:pPr>
      <w:r>
        <w:rPr>
          <w:rFonts w:ascii="Arial" w:cs="Arial" w:eastAsia="Arial" w:hAnsi="Arial"/>
          <w:sz w:val="15"/>
          <w:szCs w:val="15"/>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January 29, 2022, we were in compliance with these covenants.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9"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Our Third Amended and Restated Revolving Credit Agreement, dated as of June 23, 2021, provides for a five year unsecured revolving credit facility in an aggregate principal amount not to exceed $2.5 billion (subject to certain terms and conditions).</w:t>
      </w:r>
    </w:p>
    <w:p>
      <w:pPr>
        <w:spacing w:after="0" w:line="76" w:lineRule="exact"/>
        <w:rPr>
          <w:sz w:val="20"/>
          <w:szCs w:val="20"/>
          <w:color w:val="auto"/>
        </w:rPr>
      </w:pPr>
    </w:p>
    <w:p>
      <w:pPr>
        <w:ind w:right="200" w:firstLine="434"/>
        <w:spacing w:after="0" w:line="287" w:lineRule="auto"/>
        <w:rPr>
          <w:sz w:val="20"/>
          <w:szCs w:val="20"/>
          <w:color w:val="auto"/>
        </w:rPr>
      </w:pPr>
      <w:r>
        <w:rPr>
          <w:rFonts w:ascii="Arial" w:cs="Arial" w:eastAsia="Arial" w:hAnsi="Arial"/>
          <w:sz w:val="16"/>
          <w:szCs w:val="16"/>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January 29, 2022, we were in compliance with these covenants.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Stock Repurchase Program</w:t>
      </w:r>
    </w:p>
    <w:p>
      <w:pPr>
        <w:spacing w:after="0" w:line="122" w:lineRule="exact"/>
        <w:rPr>
          <w:sz w:val="20"/>
          <w:szCs w:val="20"/>
          <w:color w:val="auto"/>
        </w:rPr>
      </w:pPr>
    </w:p>
    <w:p>
      <w:pPr>
        <w:ind w:right="40" w:firstLine="434"/>
        <w:spacing w:after="0" w:line="247" w:lineRule="auto"/>
        <w:rPr>
          <w:sz w:val="20"/>
          <w:szCs w:val="20"/>
          <w:color w:val="auto"/>
        </w:rPr>
      </w:pPr>
      <w:r>
        <w:rPr>
          <w:rFonts w:ascii="Arial" w:cs="Arial" w:eastAsia="Arial" w:hAnsi="Arial"/>
          <w:sz w:val="18"/>
          <w:szCs w:val="18"/>
          <w:color w:val="auto"/>
        </w:rPr>
        <w:t>In fiscal 2021, we entered into accelerated share repurchase agreements (ASR) with third party financial institutions, paid $2.5 billion and received an initial delivery of 12.3 million shares of common stock, which represented approximately 80% of the notional amount of the ASR. As of October 30, 2021, we recorded the remaining 20%, or $500.0 million, within Prepaid expenses and other current assets on the Consolidated Balance Sheet, which was utilized during the first quarter of fiscal 2022. During the first quarter of fiscal 2022, the ASR was completed and an additional 2.1 million shares of common stock were received as final settlement of the ASR. In total, we repurchased 14.4 million shares of our common stock under the ASR at an average price per share of $173.77.</w:t>
      </w:r>
    </w:p>
    <w:p>
      <w:pPr>
        <w:spacing w:after="0" w:line="90"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January 29, 2022, an additional $7.3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Future repurchases of common stock will be dependent upon our financial position, results of operations, outlook, liquidity, and other factors we deem relevant.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6" w:lineRule="exact"/>
        <w:rPr>
          <w:sz w:val="20"/>
          <w:szCs w:val="20"/>
          <w:color w:val="auto"/>
        </w:rPr>
      </w:pPr>
    </w:p>
    <w:p>
      <w:pPr>
        <w:ind w:firstLine="434"/>
        <w:spacing w:after="0" w:line="291" w:lineRule="auto"/>
        <w:rPr>
          <w:sz w:val="20"/>
          <w:szCs w:val="20"/>
          <w:color w:val="auto"/>
        </w:rPr>
      </w:pPr>
      <w:r>
        <w:rPr>
          <w:rFonts w:ascii="Arial" w:cs="Arial" w:eastAsia="Arial" w:hAnsi="Arial"/>
          <w:sz w:val="16"/>
          <w:szCs w:val="16"/>
          <w:color w:val="auto"/>
        </w:rPr>
        <w:t>Net additions to property, plant and equipment were $111.1 million in the first three months of fiscal 2022 and were funded with a combination of cash on hand and cash generated from operations. We expect capital expenditures for fiscal 2022 to be between 6% and 8% of revenue, which is above our historical levels primarily due to our plans to expand internal manufacturing capacity. These capital expenditures will be funded with a combination of cash on hand and cash expected to be generated from future operations, together with existing and anticipated available short- and long-term financing.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9" w:lineRule="exact"/>
        <w:rPr>
          <w:sz w:val="20"/>
          <w:szCs w:val="20"/>
          <w:color w:val="auto"/>
        </w:rPr>
      </w:pPr>
    </w:p>
    <w:p>
      <w:pPr>
        <w:ind w:right="140" w:firstLine="434"/>
        <w:spacing w:after="0" w:line="248" w:lineRule="auto"/>
        <w:rPr>
          <w:sz w:val="20"/>
          <w:szCs w:val="20"/>
          <w:color w:val="auto"/>
        </w:rPr>
      </w:pPr>
      <w:r>
        <w:rPr>
          <w:rFonts w:ascii="Arial" w:cs="Arial" w:eastAsia="Arial" w:hAnsi="Arial"/>
          <w:sz w:val="18"/>
          <w:szCs w:val="18"/>
          <w:color w:val="auto"/>
        </w:rPr>
        <w:t>On February 15, 2022, our Board of Directors declared a cash dividend of $0.76 per outstanding share of common stock. The dividend will be paid on March 8, 2022 to all shareholders of record at the close of business on February 25, 2022 and is expected to total approximately $397.7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5" w:lineRule="exact"/>
        <w:rPr>
          <w:sz w:val="20"/>
          <w:szCs w:val="20"/>
          <w:color w:val="auto"/>
        </w:rPr>
      </w:pPr>
    </w:p>
    <w:p>
      <w:pPr>
        <w:ind w:right="40" w:firstLine="395"/>
        <w:spacing w:after="0" w:line="324" w:lineRule="auto"/>
        <w:rPr>
          <w:sz w:val="20"/>
          <w:szCs w:val="20"/>
          <w:color w:val="auto"/>
        </w:rPr>
      </w:pPr>
      <w:r>
        <w:rPr>
          <w:rFonts w:ascii="Arial" w:cs="Arial" w:eastAsia="Arial" w:hAnsi="Arial"/>
          <w:sz w:val="16"/>
          <w:szCs w:val="16"/>
          <w:color w:val="auto"/>
        </w:rPr>
        <w:t xml:space="preserve">In the first quarter of fiscal 2022, we repaid approximately $500.0 million of principal on notes that were contractually due in March 2023. For additional information, see Note 11, </w:t>
      </w:r>
      <w:r>
        <w:rPr>
          <w:rFonts w:ascii="Arial" w:cs="Arial" w:eastAsia="Arial" w:hAnsi="Arial"/>
          <w:sz w:val="16"/>
          <w:szCs w:val="16"/>
          <w:i w:val="1"/>
          <w:iCs w:val="1"/>
          <w:color w:val="auto"/>
        </w:rPr>
        <w:t>Debt</w:t>
      </w:r>
      <w:r>
        <w:rPr>
          <w:rFonts w:ascii="Arial" w:cs="Arial" w:eastAsia="Arial" w:hAnsi="Arial"/>
          <w:sz w:val="16"/>
          <w:szCs w:val="16"/>
          <w:color w:val="auto"/>
        </w:rPr>
        <w:t>, in the Notes to Condensed Consolidated Financial Statements in Part I, Item 1 of this Quarterly Report on Form 10-Q.</w:t>
      </w:r>
    </w:p>
    <w:p>
      <w:pPr>
        <w:spacing w:after="0" w:line="30" w:lineRule="exact"/>
        <w:rPr>
          <w:sz w:val="20"/>
          <w:szCs w:val="20"/>
          <w:color w:val="auto"/>
        </w:rPr>
      </w:pPr>
    </w:p>
    <w:p>
      <w:pPr>
        <w:ind w:right="20" w:firstLine="395"/>
        <w:spacing w:after="0" w:line="261" w:lineRule="auto"/>
        <w:rPr>
          <w:sz w:val="20"/>
          <w:szCs w:val="20"/>
          <w:color w:val="auto"/>
        </w:rPr>
      </w:pPr>
      <w:r>
        <w:rPr>
          <w:rFonts w:ascii="Arial" w:cs="Arial" w:eastAsia="Arial" w:hAnsi="Arial"/>
          <w:sz w:val="18"/>
          <w:szCs w:val="18"/>
          <w:color w:val="auto"/>
        </w:rPr>
        <w:t>There have not been any other material changes during the three-month period ended January 29, 2022 to the amounts presented in the table summarizing our contractual obligations included in our Annual Report on Form 10-K for the fiscal year ended October 30,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5" w:lineRule="exact"/>
        <w:rPr>
          <w:sz w:val="20"/>
          <w:szCs w:val="20"/>
          <w:color w:val="auto"/>
        </w:rPr>
      </w:pPr>
    </w:p>
    <w:p>
      <w:pPr>
        <w:ind w:right="140" w:firstLine="434"/>
        <w:spacing w:after="0" w:line="287" w:lineRule="auto"/>
        <w:rPr>
          <w:sz w:val="20"/>
          <w:szCs w:val="20"/>
          <w:color w:val="auto"/>
        </w:rPr>
      </w:pPr>
      <w:r>
        <w:rPr>
          <w:rFonts w:ascii="Arial" w:cs="Arial" w:eastAsia="Arial" w:hAnsi="Arial"/>
          <w:sz w:val="16"/>
          <w:szCs w:val="16"/>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Arial" w:cs="Arial" w:eastAsia="Arial" w:hAnsi="Arial"/>
          <w:sz w:val="16"/>
          <w:szCs w:val="16"/>
          <w:i w:val="1"/>
          <w:iCs w:val="1"/>
          <w:color w:val="auto"/>
        </w:rPr>
        <w:t>New Accounting Pronouncements,</w:t>
      </w:r>
      <w:r>
        <w:rPr>
          <w:rFonts w:ascii="Arial" w:cs="Arial" w:eastAsia="Arial" w:hAnsi="Arial"/>
          <w:sz w:val="16"/>
          <w:szCs w:val="16"/>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5"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There were no material changes in the three-month period ended January 29, 2022 to the information provided under the heading “Critical Accounting Policies and Estimates” in the section entitled "Management's Discussion and Analysis of Financial Condition and Results of Operations" of our Annual Report on Form 10-K for the fiscal year ended October 30, 2021.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22" w:name="page23"/>
    <w:bookmarkEnd w:id="22"/>
    <w:p>
      <w:pPr>
        <w:ind w:left="2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7" w:lineRule="exact"/>
        <w:rPr>
          <w:sz w:val="20"/>
          <w:szCs w:val="20"/>
          <w:color w:val="auto"/>
        </w:rPr>
      </w:pPr>
    </w:p>
    <w:p>
      <w:pPr>
        <w:ind w:right="640" w:firstLine="434"/>
        <w:spacing w:after="0" w:line="296" w:lineRule="auto"/>
        <w:rPr>
          <w:sz w:val="20"/>
          <w:szCs w:val="20"/>
          <w:color w:val="auto"/>
        </w:rPr>
      </w:pPr>
      <w:r>
        <w:rPr>
          <w:rFonts w:ascii="Arial" w:cs="Arial" w:eastAsia="Arial" w:hAnsi="Arial"/>
          <w:sz w:val="16"/>
          <w:szCs w:val="16"/>
          <w:color w:val="auto"/>
        </w:rPr>
        <w:t>There were no material changes in the three-month period ended January 29, 2022 to the information provided under Item 7A. “Quantitative and Qualitative Disclosures about Market Risk,” set forth in our Annual Report on Form 10-K for the fiscal year ended October 30, 2021</w:t>
      </w:r>
      <w:r>
        <w:rPr>
          <w:rFonts w:ascii="Arial" w:cs="Arial" w:eastAsia="Arial" w:hAnsi="Arial"/>
          <w:sz w:val="16"/>
          <w:szCs w:val="16"/>
          <w:color w:val="EE2724"/>
        </w:rPr>
        <w:t>.</w:t>
      </w:r>
    </w:p>
    <w:p>
      <w:pPr>
        <w:spacing w:after="0" w:line="1"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81" w:lineRule="exact"/>
        <w:rPr>
          <w:sz w:val="20"/>
          <w:szCs w:val="20"/>
          <w:color w:val="auto"/>
        </w:rPr>
      </w:pPr>
    </w:p>
    <w:p>
      <w:pPr>
        <w:ind w:firstLine="5"/>
        <w:spacing w:after="0" w:line="279" w:lineRule="auto"/>
        <w:tabs>
          <w:tab w:leader="none" w:pos="238"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of January 29, 2022.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29, 2022, our Chief Executive Officer and Chief Financial Officer concluded that, as of such date, our disclosure controls and procedures were effective at the reasonable assurance level.</w:t>
      </w:r>
    </w:p>
    <w:p>
      <w:pPr>
        <w:spacing w:after="0" w:line="51" w:lineRule="exact"/>
        <w:rPr>
          <w:rFonts w:ascii="Arial" w:cs="Arial" w:eastAsia="Arial" w:hAnsi="Arial"/>
          <w:sz w:val="16"/>
          <w:szCs w:val="16"/>
          <w:color w:val="auto"/>
        </w:rPr>
      </w:pPr>
    </w:p>
    <w:p>
      <w:pPr>
        <w:ind w:right="140" w:firstLine="5"/>
        <w:spacing w:after="0" w:line="252" w:lineRule="auto"/>
        <w:tabs>
          <w:tab w:leader="none" w:pos="248"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January 29,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 OTHER INFORMATION</w:t>
      </w:r>
    </w:p>
    <w:p>
      <w:pPr>
        <w:spacing w:after="0" w:line="43"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0" w:lineRule="exact"/>
        <w:rPr>
          <w:sz w:val="20"/>
          <w:szCs w:val="20"/>
          <w:color w:val="auto"/>
        </w:rPr>
      </w:pPr>
    </w:p>
    <w:p>
      <w:pPr>
        <w:ind w:right="160" w:firstLine="434"/>
        <w:spacing w:after="0" w:line="248" w:lineRule="auto"/>
        <w:rPr>
          <w:sz w:val="20"/>
          <w:szCs w:val="20"/>
          <w:color w:val="auto"/>
        </w:rPr>
      </w:pPr>
      <w:r>
        <w:rPr>
          <w:rFonts w:ascii="Arial" w:cs="Arial" w:eastAsia="Arial" w:hAnsi="Arial"/>
          <w:sz w:val="18"/>
          <w:szCs w:val="18"/>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risk factors set forth below restate and supersede the risk factors set forth in Part I, Item 1A, "Risk Factors" of our Annual Report on Form 10-K for the fiscal year ended October 30,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Acquisition of Maxim Integrated Products, Inc. (Maxim)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will incur substantial expenses related to the integration of Maxim.</w:t>
      </w:r>
    </w:p>
    <w:p>
      <w:pPr>
        <w:spacing w:after="0" w:line="122" w:lineRule="exact"/>
        <w:rPr>
          <w:sz w:val="20"/>
          <w:szCs w:val="20"/>
          <w:color w:val="auto"/>
        </w:rPr>
      </w:pPr>
    </w:p>
    <w:p>
      <w:pPr>
        <w:ind w:right="80" w:firstLine="434"/>
        <w:spacing w:after="0" w:line="291" w:lineRule="auto"/>
        <w:rPr>
          <w:sz w:val="20"/>
          <w:szCs w:val="20"/>
          <w:color w:val="auto"/>
        </w:rPr>
      </w:pPr>
      <w:r>
        <w:rPr>
          <w:rFonts w:ascii="Arial" w:cs="Arial" w:eastAsia="Arial" w:hAnsi="Arial"/>
          <w:sz w:val="16"/>
          <w:szCs w:val="16"/>
          <w:color w:val="auto"/>
        </w:rPr>
        <w:t>In August 2021, we completed our acquisition of Maxim, which we refer to as the acquisition or the merger. We have incurred and expect to incur a number of non-recurring costs associated with combining the operations of the two companies. These costs and expenses include fees paid to financial, legal and accounting advisors, facilities and systems consolidation costs, severance and other potential employment-related costs, including severance payments that may be made to certain Maxim employees, filing fees, printing expenses and other related charges.</w:t>
      </w:r>
    </w:p>
    <w:p>
      <w:pPr>
        <w:spacing w:after="0" w:line="68" w:lineRule="exact"/>
        <w:rPr>
          <w:sz w:val="20"/>
          <w:szCs w:val="20"/>
          <w:color w:val="auto"/>
        </w:rPr>
      </w:pPr>
    </w:p>
    <w:p>
      <w:pPr>
        <w:ind w:firstLine="434"/>
        <w:spacing w:after="0" w:line="310" w:lineRule="auto"/>
        <w:rPr>
          <w:sz w:val="20"/>
          <w:szCs w:val="20"/>
          <w:color w:val="auto"/>
        </w:rPr>
      </w:pPr>
      <w:r>
        <w:rPr>
          <w:rFonts w:ascii="Arial" w:cs="Arial" w:eastAsia="Arial" w:hAnsi="Arial"/>
          <w:sz w:val="15"/>
          <w:szCs w:val="15"/>
          <w:color w:val="auto"/>
        </w:rPr>
        <w:t>The combined company has and will continue to incur restructuring and integration costs in connection with the merger. The costs related to restructuring are being expensed as a cost of the ongoing results of operations. There are a large number of processes, policies, procedures, operations, technologies and systems that must be integrated in connection with the merger and the integration of Maxim’s business. Although we expect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 at all.</w:t>
      </w:r>
    </w:p>
    <w:p>
      <w:pPr>
        <w:spacing w:after="0" w:line="70" w:lineRule="exact"/>
        <w:rPr>
          <w:sz w:val="20"/>
          <w:szCs w:val="20"/>
          <w:color w:val="auto"/>
        </w:rPr>
      </w:pPr>
    </w:p>
    <w:p>
      <w:pPr>
        <w:jc w:val="both"/>
        <w:ind w:right="600"/>
        <w:spacing w:after="0" w:line="252" w:lineRule="auto"/>
        <w:rPr>
          <w:sz w:val="20"/>
          <w:szCs w:val="20"/>
          <w:color w:val="auto"/>
        </w:rPr>
      </w:pPr>
      <w:r>
        <w:rPr>
          <w:rFonts w:ascii="Arial" w:cs="Arial" w:eastAsia="Arial" w:hAnsi="Arial"/>
          <w:sz w:val="18"/>
          <w:szCs w:val="18"/>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98" w:lineRule="exact"/>
        <w:rPr>
          <w:sz w:val="20"/>
          <w:szCs w:val="20"/>
          <w:color w:val="auto"/>
        </w:rPr>
      </w:pPr>
    </w:p>
    <w:p>
      <w:pPr>
        <w:ind w:right="80" w:firstLine="434"/>
        <w:spacing w:after="0" w:line="287" w:lineRule="auto"/>
        <w:rPr>
          <w:sz w:val="20"/>
          <w:szCs w:val="20"/>
          <w:color w:val="auto"/>
        </w:rPr>
      </w:pPr>
      <w:r>
        <w:rPr>
          <w:rFonts w:ascii="Arial" w:cs="Arial" w:eastAsia="Arial" w:hAnsi="Arial"/>
          <w:sz w:val="16"/>
          <w:szCs w:val="16"/>
          <w:color w:val="auto"/>
        </w:rPr>
        <w:t>The success of the merger will depend on, among other things, the ability of the two companies to combine their businesses in a manner that 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71" w:lineRule="exact"/>
        <w:rPr>
          <w:sz w:val="20"/>
          <w:szCs w:val="20"/>
          <w:color w:val="auto"/>
        </w:rPr>
      </w:pPr>
    </w:p>
    <w:p>
      <w:pPr>
        <w:ind w:right="60" w:firstLine="434"/>
        <w:spacing w:after="0" w:line="284" w:lineRule="auto"/>
        <w:rPr>
          <w:sz w:val="20"/>
          <w:szCs w:val="20"/>
          <w:color w:val="auto"/>
        </w:rPr>
      </w:pPr>
      <w:r>
        <w:rPr>
          <w:rFonts w:ascii="Arial" w:cs="Arial" w:eastAsia="Arial" w:hAnsi="Arial"/>
          <w:sz w:val="16"/>
          <w:szCs w:val="16"/>
          <w:color w:val="auto"/>
        </w:rPr>
        <w:t>The merger involves the combination of two companies which operated, until the completion of the merger, as independent public companies. There can be no assurances that the two businesses can be integrated successfully. It is possible that the integration process could result in the loss of key employees from both companies, the loss of customers, the disruption of ongoing businesses, inconsistencies in standards, controls, procedures and policies, unexpected integration issues, higher than expected integration costs and an overall integration process that takes longer than originally anticipated. Management must devote attention and resources to integrating the combined company's business practices and operations. Potential difficulties the combined company may encounter as the integration process continues include the following:</w:t>
      </w:r>
    </w:p>
    <w:p>
      <w:pPr>
        <w:spacing w:after="0" w:line="10" w:lineRule="exact"/>
        <w:rPr>
          <w:sz w:val="20"/>
          <w:szCs w:val="20"/>
          <w:color w:val="auto"/>
        </w:rPr>
      </w:pPr>
    </w:p>
    <w:p>
      <w:pPr>
        <w:ind w:left="640" w:right="60" w:hanging="319"/>
        <w:spacing w:after="0" w:line="261"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lost sales and customers as a result of certain of our and/or Maxim's customers deciding not to do business with the combined company, or deciding to decrease their amount of business in order to reduce their reliance on a single company;</w:t>
      </w:r>
    </w:p>
    <w:p>
      <w:pPr>
        <w:spacing w:after="0" w:line="23" w:lineRule="exact"/>
        <w:rPr>
          <w:rFonts w:ascii="Arial" w:cs="Arial" w:eastAsia="Arial" w:hAnsi="Arial"/>
          <w:sz w:val="18"/>
          <w:szCs w:val="18"/>
          <w:color w:val="auto"/>
        </w:rPr>
      </w:pPr>
    </w:p>
    <w:p>
      <w:pPr>
        <w:ind w:left="640" w:right="340" w:hanging="319"/>
        <w:spacing w:after="0" w:line="308" w:lineRule="auto"/>
        <w:tabs>
          <w:tab w:leader="none" w:pos="63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integrating personnel and operations from the two companies while maintaining focus on providing consistent, high-quality products and services, especially in the COVID-19 environment which has required employees to work remotely in some locations;</w:t>
      </w:r>
    </w:p>
    <w:p>
      <w:pPr>
        <w:spacing w:after="0" w:line="1" w:lineRule="exact"/>
        <w:rPr>
          <w:rFonts w:ascii="Arial" w:cs="Arial" w:eastAsia="Arial" w:hAnsi="Arial"/>
          <w:sz w:val="16"/>
          <w:szCs w:val="16"/>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unknown liabilities and unforeseen or increased costs and expenses;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shortfalls as a result of the diversion of management’s attention caused by integrating the companies’ operations.</w:t>
      </w:r>
    </w:p>
    <w:p>
      <w:pPr>
        <w:spacing w:after="0" w:line="135" w:lineRule="exact"/>
        <w:rPr>
          <w:sz w:val="20"/>
          <w:szCs w:val="20"/>
          <w:color w:val="auto"/>
        </w:rPr>
      </w:pPr>
    </w:p>
    <w:p>
      <w:pPr>
        <w:ind w:right="60" w:firstLine="434"/>
        <w:spacing w:after="0" w:line="250" w:lineRule="auto"/>
        <w:rPr>
          <w:sz w:val="20"/>
          <w:szCs w:val="20"/>
          <w:color w:val="auto"/>
        </w:rPr>
      </w:pPr>
      <w:r>
        <w:rPr>
          <w:rFonts w:ascii="Arial" w:cs="Arial" w:eastAsia="Arial" w:hAnsi="Arial"/>
          <w:sz w:val="18"/>
          <w:szCs w:val="18"/>
          <w:color w:val="auto"/>
        </w:rPr>
        <w:t>Any of these factors could result in the combined company failing to realize the anticipated benefits of the acquisition, on the expected timeline or at all. An inability to realize the full extent of the anticipated benefits of the merger,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4" w:name="page25"/>
    <w:bookmarkEnd w:id="24"/>
    <w:p>
      <w:pPr>
        <w:ind w:right="120" w:firstLine="474"/>
        <w:spacing w:after="0" w:line="327" w:lineRule="auto"/>
        <w:rPr>
          <w:sz w:val="20"/>
          <w:szCs w:val="20"/>
          <w:color w:val="auto"/>
        </w:rPr>
      </w:pPr>
      <w:r>
        <w:rPr>
          <w:rFonts w:ascii="Arial" w:cs="Arial" w:eastAsia="Arial" w:hAnsi="Arial"/>
          <w:sz w:val="15"/>
          <w:szCs w:val="15"/>
          <w:color w:val="auto"/>
        </w:rPr>
        <w:t>In addition, the actual integration may result in additional and unforeseen expenses, and the anticipated benefits of the integration plan may not be realized. Actual growth and cost savings, if achieved, may be lower than what we expect and may take longer to achieve than anticipated. If we are not able to adequately address integration challenges, we may be unable to successfully integrate the two companies or realize the anticipated benefits of the integration.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Global Operations</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The extent to which the novel strain of the coronavirus (COVID-19) pandemic will adversely affect our business, financial condition and results of operations is uncertain.</w:t>
      </w:r>
    </w:p>
    <w:p>
      <w:pPr>
        <w:spacing w:after="0" w:line="89" w:lineRule="exact"/>
        <w:rPr>
          <w:sz w:val="20"/>
          <w:szCs w:val="20"/>
          <w:color w:val="auto"/>
        </w:rPr>
      </w:pPr>
    </w:p>
    <w:p>
      <w:pPr>
        <w:ind w:right="80" w:firstLine="474"/>
        <w:spacing w:after="0" w:line="281" w:lineRule="auto"/>
        <w:rPr>
          <w:sz w:val="20"/>
          <w:szCs w:val="20"/>
          <w:color w:val="auto"/>
        </w:rPr>
      </w:pPr>
      <w:r>
        <w:rPr>
          <w:rFonts w:ascii="Arial" w:cs="Arial" w:eastAsia="Arial" w:hAnsi="Arial"/>
          <w:sz w:val="16"/>
          <w:szCs w:val="16"/>
          <w:color w:val="auto"/>
        </w:rPr>
        <w:t>The COVID-19 pandemic, and the numerous measures implemented by government authorities in response, have adversely impacted and are expected to continue to adversely impact our workforce and operations, the operations of our customers, and those of our respective vendors and suppliers. We have significant operations worldwide, including in the United States, the Philippines, Ireland, Thailand, Malaysia, China, and India. Each of these countries has been affected by the pandemic and taken measures to try to contain it, resulting in disruptions at some of our manufacturing operations and facilities, including restrictions on our access to facilities. It is uncertain what the full extent of the impact, and duration, of such measures and potential future measures may be and how such measures will affect our vendors and suppliers. Increased restrictions on or disruptions of transportation, such as reduced availability of air transport, port closures, and increased border controls or closures, could limit our capacity to meet customer demand and have a material adverse effect on our business, financial condition and results of operations.</w:t>
      </w:r>
    </w:p>
    <w:p>
      <w:pPr>
        <w:spacing w:after="0" w:line="93" w:lineRule="exact"/>
        <w:rPr>
          <w:sz w:val="20"/>
          <w:szCs w:val="20"/>
          <w:color w:val="auto"/>
        </w:rPr>
      </w:pPr>
    </w:p>
    <w:p>
      <w:pPr>
        <w:ind w:right="60" w:firstLine="474"/>
        <w:spacing w:after="0" w:line="281" w:lineRule="auto"/>
        <w:rPr>
          <w:sz w:val="20"/>
          <w:szCs w:val="20"/>
          <w:color w:val="auto"/>
        </w:rPr>
      </w:pPr>
      <w:r>
        <w:rPr>
          <w:rFonts w:ascii="Arial" w:cs="Arial" w:eastAsia="Arial" w:hAnsi="Arial"/>
          <w:sz w:val="16"/>
          <w:szCs w:val="16"/>
          <w:color w:val="auto"/>
        </w:rPr>
        <w:t>The continuing spread of COVID-19 has caused us to modify our business practices by, among other things, restricting employee travel, modifying employee work locations, and canceling physical participation in meetings, events and conferences. As a result of our changed workplace practices, many of our employees are temporarily working remotely. Any of these changes may adversely impact our business operations or customer relationships and result in further disruptions to our supply chain, manufacturing operations and facilities, and workplace. We may take further actions as may be required by government authorities or that we determine are in the best interests of our employees, customers, partners, and suppliers, which may cause even further disruption. Although these alterations to our business practices are intended to minimize the spread of COVID-19, we cannot provide assurance that such measures will be sufficient to mitigate the risks posed by COVID-19, and if a significant number of our employees or members of our board of directors become ill, our ability to perform critical functions could be harmed.</w:t>
      </w:r>
    </w:p>
    <w:p>
      <w:pPr>
        <w:spacing w:after="0" w:line="79" w:lineRule="exact"/>
        <w:rPr>
          <w:sz w:val="20"/>
          <w:szCs w:val="20"/>
          <w:color w:val="auto"/>
        </w:rPr>
      </w:pPr>
    </w:p>
    <w:p>
      <w:pPr>
        <w:ind w:right="40" w:firstLine="474"/>
        <w:spacing w:after="0" w:line="248" w:lineRule="auto"/>
        <w:rPr>
          <w:sz w:val="20"/>
          <w:szCs w:val="20"/>
          <w:color w:val="auto"/>
        </w:rPr>
      </w:pPr>
      <w:r>
        <w:rPr>
          <w:rFonts w:ascii="Arial" w:cs="Arial" w:eastAsia="Arial" w:hAnsi="Arial"/>
          <w:sz w:val="18"/>
          <w:szCs w:val="18"/>
          <w:color w:val="auto"/>
        </w:rPr>
        <w:t>The COVID-19 pandemic has significantly increased economic and demand uncertainty.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102" w:lineRule="exact"/>
        <w:rPr>
          <w:sz w:val="20"/>
          <w:szCs w:val="20"/>
          <w:color w:val="auto"/>
        </w:rPr>
      </w:pPr>
    </w:p>
    <w:p>
      <w:pPr>
        <w:ind w:firstLine="474"/>
        <w:spacing w:after="0" w:line="291" w:lineRule="auto"/>
        <w:rPr>
          <w:sz w:val="20"/>
          <w:szCs w:val="20"/>
          <w:color w:val="auto"/>
        </w:rPr>
      </w:pPr>
      <w:r>
        <w:rPr>
          <w:rFonts w:ascii="Arial" w:cs="Arial" w:eastAsia="Arial" w:hAnsi="Arial"/>
          <w:sz w:val="16"/>
          <w:szCs w:val="16"/>
          <w:color w:val="auto"/>
        </w:rPr>
        <w:t>We cannot at this time fully quantify or forecast the impact of the COVID-19 pandemic on our business. The full extent of the impact of the pandemic on our business, financial condition and results of operations will depend on future developments, which are highly uncertain, including the continued duration and severity of the pandemic, the severity and containment of certain variants of the virus, the availability, administration rates and effectiveness of vaccines, the actions to contain the virus or treat its impact, and how quickly and to what extent normal economic and operating conditions can resume.</w:t>
      </w:r>
    </w:p>
    <w:p>
      <w:pPr>
        <w:spacing w:after="0" w:line="8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89" w:lineRule="exact"/>
        <w:rPr>
          <w:sz w:val="20"/>
          <w:szCs w:val="20"/>
          <w:color w:val="auto"/>
        </w:rPr>
      </w:pPr>
    </w:p>
    <w:p>
      <w:pPr>
        <w:ind w:firstLine="474"/>
        <w:spacing w:after="0" w:line="280" w:lineRule="auto"/>
        <w:rPr>
          <w:sz w:val="20"/>
          <w:szCs w:val="20"/>
          <w:color w:val="auto"/>
        </w:rPr>
      </w:pPr>
      <w:r>
        <w:rPr>
          <w:rFonts w:ascii="Arial" w:cs="Arial" w:eastAsia="Arial" w:hAnsi="Arial"/>
          <w:sz w:val="16"/>
          <w:szCs w:val="16"/>
          <w:color w:val="auto"/>
        </w:rPr>
        <w:t>Continuing political and global macroeconomic uncertainty, including related to the COVID-19 pandemic, trade and political disputes between the United States and China, China-Taiwan relations, the United Kingdom's withdrawal from the European Union, tensions between Russia and the United States, Ukraine and European countries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25" w:name="page26"/>
    <w:bookmarkEnd w:id="25"/>
    <w:p>
      <w:pPr>
        <w:ind w:right="40"/>
        <w:spacing w:after="0" w:line="261" w:lineRule="auto"/>
        <w:rPr>
          <w:sz w:val="20"/>
          <w:szCs w:val="20"/>
          <w:color w:val="auto"/>
        </w:rPr>
      </w:pPr>
      <w:r>
        <w:rPr>
          <w:rFonts w:ascii="Arial" w:cs="Arial" w:eastAsia="Arial" w:hAnsi="Arial"/>
          <w:sz w:val="18"/>
          <w:szCs w:val="18"/>
          <w:color w:val="auto"/>
        </w:rPr>
        <w:t>record additional charges relating to restructuring costs or the impairment of assets and our business and results of operations could be materially and adversely affected.</w:t>
      </w:r>
    </w:p>
    <w:p>
      <w:pPr>
        <w:spacing w:after="0" w:line="1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89" w:lineRule="exact"/>
        <w:rPr>
          <w:sz w:val="20"/>
          <w:szCs w:val="20"/>
          <w:color w:val="auto"/>
        </w:rPr>
      </w:pPr>
    </w:p>
    <w:p>
      <w:pPr>
        <w:ind w:right="240" w:firstLine="474"/>
        <w:spacing w:after="0" w:line="297"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the Philippines, Thailand,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political, legal and economic changes, crises or instability and civil unrest in markets in which we do business, such as potential macroeconomic</w:t>
      </w:r>
    </w:p>
    <w:p>
      <w:pPr>
        <w:spacing w:after="0" w:line="66" w:lineRule="exact"/>
        <w:rPr>
          <w:rFonts w:ascii="Arial" w:cs="Arial" w:eastAsia="Arial" w:hAnsi="Arial"/>
          <w:sz w:val="16"/>
          <w:szCs w:val="16"/>
          <w:color w:val="auto"/>
        </w:rPr>
      </w:pPr>
    </w:p>
    <w:p>
      <w:pPr>
        <w:ind w:left="640" w:right="60"/>
        <w:spacing w:after="0" w:line="317" w:lineRule="auto"/>
        <w:rPr>
          <w:rFonts w:ascii="Arial" w:cs="Arial" w:eastAsia="Arial" w:hAnsi="Arial"/>
          <w:sz w:val="16"/>
          <w:szCs w:val="16"/>
          <w:color w:val="auto"/>
        </w:rPr>
      </w:pPr>
      <w:r>
        <w:rPr>
          <w:rFonts w:ascii="Arial" w:cs="Arial" w:eastAsia="Arial" w:hAnsi="Arial"/>
          <w:sz w:val="15"/>
          <w:szCs w:val="15"/>
          <w:color w:val="auto"/>
        </w:rPr>
        <w:t>weakness related to trade and political disputes between the United States and China, changes in China-Taiwan relations that may adversely affect our operations in Taiwan, our customers, and the technology industry supply chain, the United Kingdom's withdrawal from the European Union, the implementation of the United States-Mexico-Canada Agreement and tensions between Russia and the United States, Ukraine and European countries;</w:t>
      </w:r>
    </w:p>
    <w:p>
      <w:pPr>
        <w:ind w:left="640" w:right="240" w:hanging="319"/>
        <w:spacing w:after="0" w:line="261"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requirements of U.S. customs and export regulations, including the Export Administration Regulations and the International Traffic and Arms Regulations;</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currency conversion risks and exchange rate and interest rate fluctuations, including the potential impact of the transition from LIBOR;</w:t>
      </w:r>
    </w:p>
    <w:p>
      <w:pPr>
        <w:spacing w:after="0" w:line="79" w:lineRule="exact"/>
        <w:rPr>
          <w:rFonts w:ascii="Arial" w:cs="Arial" w:eastAsia="Arial" w:hAnsi="Arial"/>
          <w:sz w:val="16"/>
          <w:szCs w:val="16"/>
          <w:color w:val="auto"/>
        </w:rPr>
      </w:pPr>
    </w:p>
    <w:p>
      <w:pPr>
        <w:ind w:left="640" w:right="260" w:hanging="319"/>
        <w:spacing w:after="0" w:line="252"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32" w:lineRule="exact"/>
        <w:rPr>
          <w:rFonts w:ascii="Arial" w:cs="Arial" w:eastAsia="Arial" w:hAnsi="Arial"/>
          <w:sz w:val="18"/>
          <w:szCs w:val="18"/>
          <w:color w:val="auto"/>
        </w:rPr>
      </w:pPr>
    </w:p>
    <w:p>
      <w:pPr>
        <w:ind w:left="640" w:hanging="319"/>
        <w:spacing w:after="0" w:line="297"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1" w:lineRule="exact"/>
        <w:rPr>
          <w:rFonts w:ascii="Arial" w:cs="Arial" w:eastAsia="Arial" w:hAnsi="Arial"/>
          <w:sz w:val="16"/>
          <w:szCs w:val="16"/>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or public health emergencies, such as the current COVID-19 pandemic;</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22" w:lineRule="exact"/>
        <w:rPr>
          <w:sz w:val="20"/>
          <w:szCs w:val="20"/>
          <w:color w:val="auto"/>
        </w:rPr>
      </w:pPr>
    </w:p>
    <w:p>
      <w:pPr>
        <w:ind w:right="160" w:firstLine="434"/>
        <w:spacing w:after="0" w:line="261"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102" w:lineRule="exact"/>
        <w:rPr>
          <w:sz w:val="20"/>
          <w:szCs w:val="20"/>
          <w:color w:val="auto"/>
        </w:rPr>
      </w:pPr>
    </w:p>
    <w:p>
      <w:pPr>
        <w:ind w:right="40" w:firstLine="434"/>
        <w:spacing w:after="0" w:line="279" w:lineRule="auto"/>
        <w:rPr>
          <w:sz w:val="20"/>
          <w:szCs w:val="20"/>
          <w:color w:val="auto"/>
        </w:rPr>
      </w:pPr>
      <w:r>
        <w:rPr>
          <w:rFonts w:ascii="Arial" w:cs="Arial" w:eastAsia="Arial" w:hAnsi="Arial"/>
          <w:sz w:val="16"/>
          <w:szCs w:val="16"/>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In addition, expanded export restrictions may limit our ability to sell to certain Chinese companies and to third parties that do business with those companies. These restrictions have created and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26" w:name="page27"/>
    <w:bookmarkEnd w:id="26"/>
    <w:p>
      <w:pPr>
        <w:ind w:right="340" w:firstLine="434"/>
        <w:spacing w:after="0" w:line="252" w:lineRule="auto"/>
        <w:rPr>
          <w:sz w:val="20"/>
          <w:szCs w:val="20"/>
          <w:color w:val="auto"/>
        </w:rPr>
      </w:pPr>
      <w:r>
        <w:rPr>
          <w:rFonts w:ascii="Arial" w:cs="Arial" w:eastAsia="Arial" w:hAnsi="Arial"/>
          <w:sz w:val="18"/>
          <w:szCs w:val="18"/>
          <w:color w:val="auto"/>
        </w:rPr>
        <w:t>In addition, our success in the Chinese markets may be adversely affected by China's continuously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1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If we are not able to meet our U.S. cash requirements, it may be necessary for us to consider repatriation of foreign earnings, which could have a material adverse effect on our results of operations and financial condition.</w:t>
      </w:r>
    </w:p>
    <w:p>
      <w:pPr>
        <w:spacing w:after="0" w:line="89" w:lineRule="exact"/>
        <w:rPr>
          <w:sz w:val="20"/>
          <w:szCs w:val="20"/>
          <w:color w:val="auto"/>
        </w:rPr>
      </w:pPr>
    </w:p>
    <w:p>
      <w:pPr>
        <w:ind w:right="80" w:firstLine="474"/>
        <w:spacing w:after="0" w:line="282" w:lineRule="auto"/>
        <w:rPr>
          <w:sz w:val="20"/>
          <w:szCs w:val="20"/>
          <w:color w:val="auto"/>
        </w:rPr>
      </w:pPr>
      <w:r>
        <w:rPr>
          <w:rFonts w:ascii="Arial" w:cs="Arial" w:eastAsia="Arial" w:hAnsi="Arial"/>
          <w:sz w:val="16"/>
          <w:szCs w:val="16"/>
          <w:color w:val="auto"/>
        </w:rPr>
        <w:t>We carry outside basis differences in certain of our subsidiaries, primarily arising from acquisition accounting adjustments and certain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not able to meet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Industry and Partners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122" w:lineRule="exact"/>
        <w:rPr>
          <w:sz w:val="20"/>
          <w:szCs w:val="20"/>
          <w:color w:val="auto"/>
        </w:rPr>
      </w:pPr>
    </w:p>
    <w:p>
      <w:pPr>
        <w:ind w:right="480" w:firstLine="474"/>
        <w:spacing w:after="0" w:line="261"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37" w:lineRule="exact"/>
        <w:rPr>
          <w:sz w:val="20"/>
          <w:szCs w:val="20"/>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pandemic;</w:t>
      </w:r>
    </w:p>
    <w:p>
      <w:pPr>
        <w:spacing w:after="0" w:line="82" w:lineRule="exact"/>
        <w:rPr>
          <w:rFonts w:ascii="Arial" w:cs="Arial" w:eastAsia="Arial" w:hAnsi="Arial"/>
          <w:sz w:val="18"/>
          <w:szCs w:val="18"/>
          <w:color w:val="auto"/>
        </w:rPr>
      </w:pPr>
    </w:p>
    <w:p>
      <w:pPr>
        <w:ind w:left="640" w:right="20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 including inflationary pressures, which has or may result in increased interest rates, fuel prices, wages, and other costs;</w:t>
      </w:r>
    </w:p>
    <w:p>
      <w:pPr>
        <w:spacing w:after="0" w:line="3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demand or order patterns for our products and/or for end products that incorporate our products;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69" w:lineRule="exact"/>
        <w:rPr>
          <w:rFonts w:ascii="Arial" w:cs="Arial" w:eastAsia="Arial" w:hAnsi="Arial"/>
          <w:sz w:val="18"/>
          <w:szCs w:val="18"/>
          <w:color w:val="auto"/>
        </w:rPr>
      </w:pPr>
    </w:p>
    <w:p>
      <w:pPr>
        <w:ind w:left="640" w:hanging="319"/>
        <w:spacing w:after="0" w:line="299"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particularly with respect to China;</w:t>
      </w:r>
    </w:p>
    <w:p>
      <w:pPr>
        <w:spacing w:after="0" w:line="22" w:lineRule="exact"/>
        <w:rPr>
          <w:rFonts w:ascii="Arial" w:cs="Arial" w:eastAsia="Arial" w:hAnsi="Arial"/>
          <w:sz w:val="16"/>
          <w:szCs w:val="16"/>
          <w:color w:val="auto"/>
        </w:rPr>
      </w:pPr>
    </w:p>
    <w:p>
      <w:pPr>
        <w:ind w:left="640" w:hanging="319"/>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92" w:lineRule="exact"/>
        <w:rPr>
          <w:rFonts w:ascii="Arial" w:cs="Arial" w:eastAsia="Arial" w:hAnsi="Arial"/>
          <w:sz w:val="16"/>
          <w:szCs w:val="16"/>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manufacturing yields, adequate availability of wafers and other raw materials, and manufacturing, assembly and test capacity;</w:t>
      </w:r>
    </w:p>
    <w:p>
      <w:pPr>
        <w:spacing w:after="0" w:line="105" w:lineRule="exact"/>
        <w:rPr>
          <w:rFonts w:ascii="Arial" w:cs="Arial" w:eastAsia="Arial" w:hAnsi="Arial"/>
          <w:sz w:val="16"/>
          <w:szCs w:val="16"/>
          <w:color w:val="auto"/>
        </w:rPr>
      </w:pPr>
    </w:p>
    <w:p>
      <w:pPr>
        <w:ind w:left="640" w:right="44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3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69" w:lineRule="exact"/>
        <w:rPr>
          <w:rFonts w:ascii="Arial" w:cs="Arial" w:eastAsia="Arial" w:hAnsi="Arial"/>
          <w:sz w:val="18"/>
          <w:szCs w:val="18"/>
          <w:color w:val="auto"/>
        </w:rPr>
      </w:pPr>
    </w:p>
    <w:p>
      <w:pPr>
        <w:ind w:left="640" w:right="32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92" w:lineRule="exact"/>
        <w:rPr>
          <w:rFonts w:ascii="Arial" w:cs="Arial" w:eastAsia="Arial" w:hAnsi="Arial"/>
          <w:sz w:val="16"/>
          <w:szCs w:val="16"/>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14" w:right="359" w:bottom="1440" w:gutter="0" w:footer="0" w:header="0"/>
        </w:sectPr>
      </w:pPr>
    </w:p>
    <w:bookmarkStart w:id="27" w:name="page28"/>
    <w:bookmarkEnd w:id="27"/>
    <w:p>
      <w:pPr>
        <w:ind w:left="640" w:right="58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69" w:lineRule="exact"/>
        <w:rPr>
          <w:rFonts w:ascii="Arial" w:cs="Arial" w:eastAsia="Arial" w:hAnsi="Arial"/>
          <w:sz w:val="18"/>
          <w:szCs w:val="18"/>
          <w:color w:val="auto"/>
        </w:rPr>
      </w:pPr>
    </w:p>
    <w:p>
      <w:pPr>
        <w:ind w:left="640" w:right="38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significant litigation-related costs or product liability, warranty and/or indemnity claims, including those not covered by our suppliers or insurers;</w:t>
      </w:r>
    </w:p>
    <w:p>
      <w:pPr>
        <w:spacing w:after="0" w:line="36"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standards;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69" w:lineRule="exact"/>
        <w:rPr>
          <w:rFonts w:ascii="Arial" w:cs="Arial" w:eastAsia="Arial" w:hAnsi="Arial"/>
          <w:sz w:val="18"/>
          <w:szCs w:val="18"/>
          <w:color w:val="auto"/>
        </w:rPr>
      </w:pPr>
    </w:p>
    <w:p>
      <w:pPr>
        <w:ind w:left="640" w:right="24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public health emergencies, civil unrest, natural disasters, widespread travel disruptions, security risks, terrorist activities, international conflicts and other events beyond our control.</w:t>
      </w:r>
    </w:p>
    <w:p>
      <w:pPr>
        <w:spacing w:after="0" w:line="102" w:lineRule="exact"/>
        <w:rPr>
          <w:sz w:val="20"/>
          <w:szCs w:val="20"/>
          <w:color w:val="auto"/>
        </w:rPr>
      </w:pPr>
    </w:p>
    <w:p>
      <w:pPr>
        <w:ind w:firstLine="474"/>
        <w:spacing w:after="0" w:line="281"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135" w:lineRule="exact"/>
        <w:rPr>
          <w:sz w:val="20"/>
          <w:szCs w:val="20"/>
          <w:color w:val="auto"/>
        </w:rPr>
      </w:pPr>
    </w:p>
    <w:p>
      <w:pPr>
        <w:ind w:firstLine="434"/>
        <w:spacing w:after="0" w:line="279" w:lineRule="auto"/>
        <w:rPr>
          <w:sz w:val="20"/>
          <w:szCs w:val="20"/>
          <w:color w:val="auto"/>
        </w:rPr>
      </w:pPr>
      <w:r>
        <w:rPr>
          <w:rFonts w:ascii="Arial" w:cs="Arial" w:eastAsia="Arial" w:hAnsi="Arial"/>
          <w:sz w:val="16"/>
          <w:szCs w:val="16"/>
          <w:color w:val="auto"/>
        </w:rPr>
        <w:t>Our effective tax rate reflects the applicable tax rate in effect in the various tax jurisdictions around the world where our income is earned. Our effective tax rate for the first three months of the fiscal year ending October 29, 2022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78" w:lineRule="exact"/>
        <w:rPr>
          <w:sz w:val="20"/>
          <w:szCs w:val="20"/>
          <w:color w:val="auto"/>
        </w:rPr>
      </w:pPr>
    </w:p>
    <w:p>
      <w:pPr>
        <w:ind w:right="80" w:firstLine="474"/>
        <w:spacing w:after="0" w:line="250" w:lineRule="auto"/>
        <w:rPr>
          <w:sz w:val="20"/>
          <w:szCs w:val="20"/>
          <w:color w:val="auto"/>
        </w:rPr>
      </w:pPr>
      <w:r>
        <w:rPr>
          <w:rFonts w:ascii="Arial" w:cs="Arial" w:eastAsia="Arial" w:hAnsi="Arial"/>
          <w:sz w:val="18"/>
          <w:szCs w:val="18"/>
          <w:color w:val="auto"/>
        </w:rPr>
        <w:t>Compliance with tax legislation may require the collection of information not regularly produced by us, and therefore necessitate the use of estimates in our Consolidated Financial Statements and the exercise of significant judgment in accounting for its provisions. As regulations and guidance evolve with respect to tax legislation, and as more information is gathered and analyzed, our results may differ from previous estimates and may materially affect our Consolidated Financial Statements.</w:t>
      </w:r>
    </w:p>
    <w:p>
      <w:pPr>
        <w:spacing w:after="0" w:line="98" w:lineRule="exact"/>
        <w:rPr>
          <w:sz w:val="20"/>
          <w:szCs w:val="20"/>
          <w:color w:val="auto"/>
        </w:rPr>
      </w:pPr>
    </w:p>
    <w:p>
      <w:pPr>
        <w:ind w:right="100" w:firstLine="474"/>
        <w:spacing w:after="0" w:line="250" w:lineRule="auto"/>
        <w:rPr>
          <w:sz w:val="20"/>
          <w:szCs w:val="20"/>
          <w:color w:val="auto"/>
        </w:rPr>
      </w:pPr>
      <w:r>
        <w:rPr>
          <w:rFonts w:ascii="Arial" w:cs="Arial" w:eastAsia="Arial" w:hAnsi="Arial"/>
          <w:sz w:val="18"/>
          <w:szCs w:val="18"/>
          <w:color w:val="auto"/>
        </w:rPr>
        <w:t>We are also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11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89" w:lineRule="exact"/>
        <w:rPr>
          <w:sz w:val="20"/>
          <w:szCs w:val="20"/>
          <w:color w:val="auto"/>
        </w:rPr>
      </w:pPr>
    </w:p>
    <w:p>
      <w:pPr>
        <w:ind w:right="220" w:firstLine="474"/>
        <w:spacing w:after="0" w:line="252" w:lineRule="auto"/>
        <w:rPr>
          <w:sz w:val="20"/>
          <w:szCs w:val="20"/>
          <w:color w:val="auto"/>
        </w:rPr>
      </w:pPr>
      <w:r>
        <w:rPr>
          <w:rFonts w:ascii="Arial" w:cs="Arial" w:eastAsia="Arial" w:hAnsi="Arial"/>
          <w:sz w:val="18"/>
          <w:szCs w:val="18"/>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61" w:right="359" w:bottom="1440" w:gutter="0" w:footer="0" w:header="0"/>
        </w:sectPr>
      </w:pPr>
    </w:p>
    <w:bookmarkStart w:id="28" w:name="page29"/>
    <w:bookmarkEnd w:id="28"/>
    <w:p>
      <w:pPr>
        <w:spacing w:after="0" w:line="302" w:lineRule="auto"/>
        <w:rPr>
          <w:sz w:val="20"/>
          <w:szCs w:val="20"/>
          <w:color w:val="auto"/>
        </w:rPr>
      </w:pPr>
      <w:r>
        <w:rPr>
          <w:rFonts w:ascii="Arial" w:cs="Arial" w:eastAsia="Arial" w:hAnsi="Arial"/>
          <w:sz w:val="15"/>
          <w:szCs w:val="15"/>
          <w:color w:val="auto"/>
        </w:rPr>
        <w:t>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89" w:lineRule="exact"/>
        <w:rPr>
          <w:sz w:val="20"/>
          <w:szCs w:val="20"/>
          <w:color w:val="auto"/>
        </w:rPr>
      </w:pPr>
    </w:p>
    <w:p>
      <w:pPr>
        <w:ind w:right="20" w:firstLine="474"/>
        <w:spacing w:after="0" w:line="302" w:lineRule="auto"/>
        <w:rPr>
          <w:sz w:val="20"/>
          <w:szCs w:val="20"/>
          <w:color w:val="auto"/>
        </w:rPr>
      </w:pPr>
      <w:r>
        <w:rPr>
          <w:rFonts w:ascii="Arial" w:cs="Arial" w:eastAsia="Arial" w:hAnsi="Arial"/>
          <w:sz w:val="15"/>
          <w:szCs w:val="15"/>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66" w:lineRule="exact"/>
        <w:rPr>
          <w:sz w:val="20"/>
          <w:szCs w:val="20"/>
          <w:color w:val="auto"/>
        </w:rPr>
      </w:pPr>
    </w:p>
    <w:p>
      <w:pPr>
        <w:ind w:right="80" w:firstLine="474"/>
        <w:spacing w:after="0" w:line="247" w:lineRule="auto"/>
        <w:rPr>
          <w:sz w:val="20"/>
          <w:szCs w:val="20"/>
          <w:color w:val="auto"/>
        </w:rPr>
      </w:pPr>
      <w:r>
        <w:rPr>
          <w:rFonts w:ascii="Arial" w:cs="Arial" w:eastAsia="Arial" w:hAnsi="Arial"/>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22" w:lineRule="exact"/>
        <w:rPr>
          <w:sz w:val="20"/>
          <w:szCs w:val="20"/>
          <w:color w:val="auto"/>
        </w:rPr>
      </w:pPr>
    </w:p>
    <w:p>
      <w:pPr>
        <w:ind w:right="120" w:firstLine="474"/>
        <w:spacing w:after="0" w:line="277" w:lineRule="auto"/>
        <w:rPr>
          <w:sz w:val="20"/>
          <w:szCs w:val="20"/>
          <w:color w:val="auto"/>
        </w:rPr>
      </w:pPr>
      <w:r>
        <w:rPr>
          <w:rFonts w:ascii="Arial" w:cs="Arial" w:eastAsia="Arial" w:hAnsi="Arial"/>
          <w:sz w:val="16"/>
          <w:szCs w:val="16"/>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8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102" w:lineRule="exact"/>
        <w:rPr>
          <w:sz w:val="20"/>
          <w:szCs w:val="20"/>
          <w:color w:val="auto"/>
        </w:rPr>
      </w:pPr>
    </w:p>
    <w:p>
      <w:pPr>
        <w:ind w:right="280" w:firstLine="474"/>
        <w:spacing w:after="0" w:line="261" w:lineRule="auto"/>
        <w:rPr>
          <w:sz w:val="20"/>
          <w:szCs w:val="20"/>
          <w:color w:val="auto"/>
        </w:rPr>
      </w:pPr>
      <w:r>
        <w:rPr>
          <w:rFonts w:ascii="Arial" w:cs="Arial" w:eastAsia="Arial" w:hAnsi="Arial"/>
          <w:sz w:val="18"/>
          <w:szCs w:val="18"/>
          <w:color w:val="auto"/>
        </w:rPr>
        <w:t>We rely, and plan to continue to rely, on third-party suppliers and service providers, including raw material and components suppliers, semiconductor wafer foundries, assembly and test contractors, and freight carriers (collectively, vendors)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29" w:name="page30"/>
    <w:bookmarkEnd w:id="29"/>
    <w:p>
      <w:pPr>
        <w:ind w:right="80"/>
        <w:spacing w:after="0" w:line="299" w:lineRule="auto"/>
        <w:rPr>
          <w:sz w:val="20"/>
          <w:szCs w:val="20"/>
          <w:color w:val="auto"/>
        </w:rPr>
      </w:pPr>
      <w:r>
        <w:rPr>
          <w:rFonts w:ascii="Arial" w:cs="Arial" w:eastAsia="Arial" w:hAnsi="Arial"/>
          <w:sz w:val="15"/>
          <w:szCs w:val="15"/>
          <w:color w:val="auto"/>
        </w:rPr>
        <w:t>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With respect to TSMC in particular, geopolitical changes in China-Taiwan relations could disrupt TSMC’s operations, which would adversely affect our ability to manufacture certain products. Recently, we have experienced increased demand leading to a constrained supply environment, which we believe will continue in the near term. In addition, our manufacturing processes require availability of certain raw materials and supplies. Limited or delayed access to these items could adversely affect our results of operations.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8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89" w:lineRule="exact"/>
        <w:rPr>
          <w:sz w:val="20"/>
          <w:szCs w:val="20"/>
          <w:color w:val="auto"/>
        </w:rPr>
      </w:pPr>
    </w:p>
    <w:p>
      <w:pPr>
        <w:ind w:firstLine="474"/>
        <w:spacing w:after="0" w:line="282" w:lineRule="auto"/>
        <w:rPr>
          <w:sz w:val="20"/>
          <w:szCs w:val="20"/>
          <w:color w:val="auto"/>
        </w:rPr>
      </w:pPr>
      <w:r>
        <w:rPr>
          <w:rFonts w:ascii="Arial" w:cs="Arial" w:eastAsia="Arial" w:hAnsi="Arial"/>
          <w:sz w:val="16"/>
          <w:szCs w:val="16"/>
          <w:color w:val="auto"/>
        </w:rPr>
        <w:t>In addition to leveraging an outsourcing model for manufacturing operations, we also rely on our internal manufacturing operations located in the United States, Ireland, the Philippines, Thailand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102" w:lineRule="exact"/>
        <w:rPr>
          <w:sz w:val="20"/>
          <w:szCs w:val="20"/>
          <w:color w:val="auto"/>
        </w:rPr>
      </w:pPr>
    </w:p>
    <w:p>
      <w:pPr>
        <w:ind w:firstLine="474"/>
        <w:spacing w:after="0" w:line="280"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The demand for our products is subject to the strength of our four major end markets of Industrial, Automotive, Communications,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77"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Semiconductor products are highly complex and may contain defects that affect their quality or performance. Failures in our products and services or in</w:t>
      </w:r>
    </w:p>
    <w:p>
      <w:pPr>
        <w:spacing w:after="0" w:line="66"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 breaches</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under the terms and conditions of our sales contracts with them. In certain cases, our potential indemnification liability may be significant.</w:t>
      </w:r>
    </w:p>
    <w:p>
      <w:pPr>
        <w:spacing w:after="0" w:line="135" w:lineRule="exact"/>
        <w:rPr>
          <w:sz w:val="20"/>
          <w:szCs w:val="20"/>
          <w:color w:val="auto"/>
        </w:rPr>
      </w:pPr>
    </w:p>
    <w:p>
      <w:pPr>
        <w:ind w:right="80" w:firstLine="474"/>
        <w:spacing w:after="0" w:line="320" w:lineRule="auto"/>
        <w:rPr>
          <w:sz w:val="20"/>
          <w:szCs w:val="20"/>
          <w:color w:val="auto"/>
        </w:rPr>
      </w:pPr>
      <w:r>
        <w:rPr>
          <w:rFonts w:ascii="Arial" w:cs="Arial" w:eastAsia="Arial" w:hAnsi="Arial"/>
          <w:sz w:val="15"/>
          <w:szCs w:val="15"/>
          <w:color w:val="auto"/>
        </w:rPr>
        <w:t>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 or the</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 Furthermore, we market and sell our products through authorized third-party distributors, and from time to time our products may be diverted from our authorized distribution channels and sold on the “gray market.” There is a risk that customers purchasing our products on the gray market may use our products for purposes for which they were not intended, or may purchase counterfeit or substandard products, including products that have been altered, mishandled or damaged, or used products presented as new, which could result in damage to property or persons and cause serious reputational harm.</w:t>
      </w:r>
    </w:p>
    <w:p>
      <w:pPr>
        <w:spacing w:after="0" w:line="79" w:lineRule="exact"/>
        <w:rPr>
          <w:sz w:val="20"/>
          <w:szCs w:val="20"/>
          <w:color w:val="auto"/>
        </w:rPr>
      </w:pPr>
    </w:p>
    <w:p>
      <w:pPr>
        <w:ind w:firstLine="474"/>
        <w:spacing w:after="0" w:line="287" w:lineRule="auto"/>
        <w:rPr>
          <w:sz w:val="20"/>
          <w:szCs w:val="20"/>
          <w:color w:val="auto"/>
        </w:rPr>
      </w:pPr>
      <w:r>
        <w:rPr>
          <w:rFonts w:ascii="Arial" w:cs="Arial" w:eastAsia="Arial" w:hAnsi="Arial"/>
          <w:sz w:val="16"/>
          <w:szCs w:val="16"/>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135" w:lineRule="exact"/>
        <w:rPr>
          <w:sz w:val="20"/>
          <w:szCs w:val="20"/>
          <w:color w:val="auto"/>
        </w:rPr>
      </w:pPr>
    </w:p>
    <w:p>
      <w:pPr>
        <w:ind w:right="60" w:firstLine="474"/>
        <w:spacing w:after="0" w:line="248"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10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89" w:lineRule="exact"/>
        <w:rPr>
          <w:sz w:val="20"/>
          <w:szCs w:val="20"/>
          <w:color w:val="auto"/>
        </w:rPr>
      </w:pPr>
    </w:p>
    <w:p>
      <w:pPr>
        <w:ind w:right="120" w:firstLine="474"/>
        <w:spacing w:after="0" w:line="279"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69"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diversion of management’s attention in connection with both negotiating the transaction and integrating the acquired assets and businesses;</w:t>
      </w:r>
    </w:p>
    <w:p>
      <w:pPr>
        <w:spacing w:after="0" w:line="92" w:lineRule="exact"/>
        <w:rPr>
          <w:rFonts w:ascii="Arial" w:cs="Arial" w:eastAsia="Arial" w:hAnsi="Arial"/>
          <w:sz w:val="16"/>
          <w:szCs w:val="16"/>
          <w:color w:val="auto"/>
        </w:rPr>
      </w:pPr>
    </w:p>
    <w:p>
      <w:pPr>
        <w:ind w:left="640" w:hanging="31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difficulty or delay integrating acquired technologies, operations, systems and infrastructure, and personnel with our existing businesses;</w:t>
      </w:r>
    </w:p>
    <w:p>
      <w:pPr>
        <w:spacing w:after="0" w:line="105" w:lineRule="exact"/>
        <w:rPr>
          <w:rFonts w:ascii="Arial" w:cs="Arial" w:eastAsia="Arial" w:hAnsi="Arial"/>
          <w:sz w:val="16"/>
          <w:szCs w:val="16"/>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69" w:lineRule="exact"/>
        <w:rPr>
          <w:rFonts w:ascii="Arial" w:cs="Arial" w:eastAsia="Arial" w:hAnsi="Arial"/>
          <w:sz w:val="18"/>
          <w:szCs w:val="18"/>
          <w:color w:val="auto"/>
        </w:rPr>
      </w:pPr>
    </w:p>
    <w:p>
      <w:pPr>
        <w:ind w:left="640" w:right="600" w:hanging="319"/>
        <w:spacing w:after="0" w:line="261"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including research and development costs, employee compensation and benefits, and operating expenses, which may be significant;</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14" w:right="379" w:bottom="1440" w:gutter="0" w:footer="0" w:header="0"/>
        </w:sectPr>
      </w:pPr>
    </w:p>
    <w:bookmarkStart w:id="31" w:name="page32"/>
    <w:bookmarkEnd w:id="31"/>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servicing significant debt that may be incurred in connection with acquisitions;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 and businesses;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difficulty realizing expected cost savings, operating synergies and growth prospects of an acquisition in a timely manner or at all; and</w:t>
      </w:r>
    </w:p>
    <w:p>
      <w:pPr>
        <w:spacing w:after="0" w:line="92"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122" w:lineRule="exact"/>
        <w:rPr>
          <w:sz w:val="20"/>
          <w:szCs w:val="20"/>
          <w:color w:val="auto"/>
        </w:rPr>
      </w:pPr>
    </w:p>
    <w:p>
      <w:pPr>
        <w:ind w:right="380" w:firstLine="474"/>
        <w:spacing w:after="0" w:line="261"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results of operations could be affected by natural disasters in the locations in which we operate.</w:t>
      </w:r>
    </w:p>
    <w:p>
      <w:pPr>
        <w:spacing w:after="0" w:line="122" w:lineRule="exact"/>
        <w:rPr>
          <w:sz w:val="20"/>
          <w:szCs w:val="20"/>
          <w:color w:val="auto"/>
        </w:rPr>
      </w:pPr>
    </w:p>
    <w:p>
      <w:pPr>
        <w:ind w:firstLine="474"/>
        <w:spacing w:after="0" w:line="283" w:lineRule="auto"/>
        <w:rPr>
          <w:sz w:val="20"/>
          <w:szCs w:val="20"/>
          <w:color w:val="auto"/>
        </w:rPr>
      </w:pPr>
      <w:r>
        <w:rPr>
          <w:rFonts w:ascii="Arial" w:cs="Arial" w:eastAsia="Arial" w:hAnsi="Arial"/>
          <w:sz w:val="16"/>
          <w:szCs w:val="16"/>
          <w:color w:val="auto"/>
        </w:rPr>
        <w:t>We, like many companies in the semiconductor industry, rely on supplies, services, internal manufacturing capacity, wafer fabrication foundries and other subcontractors in locations around the world that are susceptible to natural disasters and other significant disruptions. Earthquakes, fires,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customers for affected products, which could have a material adverse effect on our results of operations and financial condition. In addition, global climate change can result in certain natural disasters occurring more frequently or with greater intensity, such as drought, wildfires, storms, sea-level rise, and flooding, and could disrupt the availability of water necessary for the operation of our fabrication facilities located in semi-arid regions. During 2021, the west coast of the U.S. experienced historic wildfires where we have operations and manufacturing facilities. The long-term effects of climate change on the global economy and the semiconductor industry in particular are unclear, but could be severe.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35" w:lineRule="exact"/>
        <w:rPr>
          <w:sz w:val="20"/>
          <w:szCs w:val="20"/>
          <w:color w:val="auto"/>
        </w:rPr>
      </w:pPr>
    </w:p>
    <w:p>
      <w:pPr>
        <w:ind w:right="60" w:firstLine="474"/>
        <w:spacing w:after="0" w:line="282" w:lineRule="auto"/>
        <w:rPr>
          <w:sz w:val="20"/>
          <w:szCs w:val="20"/>
          <w:color w:val="auto"/>
        </w:rPr>
      </w:pPr>
      <w:r>
        <w:rPr>
          <w:rFonts w:ascii="Arial" w:cs="Arial" w:eastAsia="Arial" w:hAnsi="Arial"/>
          <w:sz w:val="16"/>
          <w:szCs w:val="16"/>
          <w:color w:val="auto"/>
        </w:rPr>
        <w:t>A significant portion of our sales are through independent global and regional distributors that are not under our control.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79" w:lineRule="exact"/>
        <w:rPr>
          <w:sz w:val="20"/>
          <w:szCs w:val="20"/>
          <w:color w:val="auto"/>
        </w:rPr>
      </w:pPr>
    </w:p>
    <w:p>
      <w:pPr>
        <w:jc w:val="both"/>
        <w:ind w:right="40" w:firstLine="474"/>
        <w:spacing w:after="0" w:line="252" w:lineRule="auto"/>
        <w:rPr>
          <w:sz w:val="20"/>
          <w:szCs w:val="20"/>
          <w:color w:val="auto"/>
        </w:rPr>
      </w:pPr>
      <w:r>
        <w:rPr>
          <w:rFonts w:ascii="Arial" w:cs="Arial" w:eastAsia="Arial" w:hAnsi="Arial"/>
          <w:sz w:val="18"/>
          <w:szCs w:val="18"/>
          <w:color w:val="auto"/>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35" w:lineRule="exact"/>
        <w:rPr>
          <w:sz w:val="20"/>
          <w:szCs w:val="20"/>
          <w:color w:val="auto"/>
        </w:rPr>
      </w:pPr>
    </w:p>
    <w:p>
      <w:pPr>
        <w:ind w:right="460" w:firstLine="474"/>
        <w:spacing w:after="0" w:line="261"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9" w:lineRule="exact"/>
        <w:rPr>
          <w:sz w:val="20"/>
          <w:szCs w:val="20"/>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pandemic;</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69" w:lineRule="exact"/>
        <w:rPr>
          <w:rFonts w:ascii="Arial" w:cs="Arial" w:eastAsia="Arial" w:hAnsi="Arial"/>
          <w:sz w:val="18"/>
          <w:szCs w:val="18"/>
          <w:color w:val="auto"/>
        </w:rPr>
      </w:pPr>
    </w:p>
    <w:p>
      <w:pPr>
        <w:ind w:left="640" w:right="50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61" w:right="399" w:bottom="1440" w:gutter="0" w:footer="0" w:header="0"/>
        </w:sectPr>
      </w:pPr>
    </w:p>
    <w:bookmarkStart w:id="32" w:name="page33"/>
    <w:bookmarkEnd w:id="32"/>
    <w:p>
      <w:pPr>
        <w:ind w:left="640" w:hanging="319"/>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rumors and speculation in the press, investment community or on social media about us, our customers or other companies in our industry;</w:t>
      </w:r>
    </w:p>
    <w:p>
      <w:pPr>
        <w:spacing w:after="0" w:line="105" w:lineRule="exact"/>
        <w:rPr>
          <w:rFonts w:ascii="Arial" w:cs="Arial" w:eastAsia="Arial" w:hAnsi="Arial"/>
          <w:sz w:val="16"/>
          <w:szCs w:val="16"/>
          <w:color w:val="auto"/>
        </w:rPr>
      </w:pPr>
    </w:p>
    <w:p>
      <w:pPr>
        <w:ind w:left="640" w:right="480" w:hanging="319"/>
        <w:spacing w:after="0" w:line="317"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122" w:lineRule="exact"/>
        <w:rPr>
          <w:sz w:val="20"/>
          <w:szCs w:val="20"/>
          <w:color w:val="auto"/>
        </w:rPr>
      </w:pPr>
    </w:p>
    <w:p>
      <w:pPr>
        <w:ind w:right="180" w:firstLine="474"/>
        <w:spacing w:after="0" w:line="261"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89" w:lineRule="exact"/>
        <w:rPr>
          <w:sz w:val="20"/>
          <w:szCs w:val="20"/>
          <w:color w:val="auto"/>
        </w:rPr>
      </w:pPr>
    </w:p>
    <w:p>
      <w:pPr>
        <w:ind w:right="100" w:firstLine="474"/>
        <w:spacing w:after="0" w:line="252" w:lineRule="auto"/>
        <w:rPr>
          <w:sz w:val="20"/>
          <w:szCs w:val="20"/>
          <w:color w:val="auto"/>
        </w:rPr>
      </w:pPr>
      <w:r>
        <w:rPr>
          <w:rFonts w:ascii="Arial" w:cs="Arial" w:eastAsia="Arial" w:hAnsi="Arial"/>
          <w:sz w:val="18"/>
          <w:szCs w:val="18"/>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22"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We have substantial existing indebtedness and the ability to incur significant additional indebtedness, which could limit our operations and our use of our cash flow and negatively impact our credit ratings.</w:t>
      </w:r>
    </w:p>
    <w:p>
      <w:pPr>
        <w:spacing w:after="0" w:line="207" w:lineRule="exact"/>
        <w:rPr>
          <w:sz w:val="20"/>
          <w:szCs w:val="20"/>
          <w:color w:val="auto"/>
        </w:rPr>
      </w:pPr>
    </w:p>
    <w:p>
      <w:pPr>
        <w:ind w:right="100" w:firstLine="632"/>
        <w:spacing w:after="0" w:line="291" w:lineRule="auto"/>
        <w:rPr>
          <w:sz w:val="20"/>
          <w:szCs w:val="20"/>
          <w:color w:val="auto"/>
        </w:rPr>
      </w:pPr>
      <w:r>
        <w:rPr>
          <w:rFonts w:ascii="Arial" w:cs="Arial" w:eastAsia="Arial" w:hAnsi="Arial"/>
          <w:sz w:val="16"/>
          <w:szCs w:val="16"/>
          <w:color w:val="auto"/>
        </w:rPr>
        <w:t>As of January 29, 2022, we had approximately $6.3 billion in outstanding indebtedness. In addition, we had $2.5 billion of availability under our $2.5 billion of unsecured revolving credit facility. Our leverage could have negative consequences, including increasing our vulnerability to adverse economic and industry conditions, limiting our ability to obtain additional financing and limiting our ability to acquire new products and technologies through strategic acquisitions. We may also incur additional debt in the future, which would increase these risks.</w:t>
      </w:r>
    </w:p>
    <w:p>
      <w:pPr>
        <w:spacing w:after="0" w:line="68" w:lineRule="exact"/>
        <w:rPr>
          <w:sz w:val="20"/>
          <w:szCs w:val="20"/>
          <w:color w:val="auto"/>
        </w:rPr>
      </w:pPr>
    </w:p>
    <w:p>
      <w:pPr>
        <w:ind w:right="360" w:firstLine="632"/>
        <w:spacing w:after="0" w:line="250" w:lineRule="auto"/>
        <w:rPr>
          <w:sz w:val="20"/>
          <w:szCs w:val="20"/>
          <w:color w:val="auto"/>
        </w:rPr>
      </w:pPr>
      <w:r>
        <w:rPr>
          <w:rFonts w:ascii="Arial" w:cs="Arial" w:eastAsia="Arial" w:hAnsi="Arial"/>
          <w:sz w:val="18"/>
          <w:szCs w:val="18"/>
          <w:color w:val="auto"/>
        </w:rPr>
        <w:t>Our ability to make payments of principal and interest on our indebtedness when due depends upon our future operating performance, as well as general economic conditions, industry cycles and other factors beyond our control. If we are unable to service or refinance our debt, we may be required to divert funds that would otherwise be invested in growing our business operations, repatriate earnings as dividends from foreign locations with potential negative tax consequences, or sell selected assets.</w:t>
      </w:r>
    </w:p>
    <w:p>
      <w:pPr>
        <w:spacing w:after="0" w:line="203" w:lineRule="exact"/>
        <w:rPr>
          <w:sz w:val="20"/>
          <w:szCs w:val="20"/>
          <w:color w:val="auto"/>
        </w:rPr>
      </w:pPr>
    </w:p>
    <w:p>
      <w:pPr>
        <w:ind w:right="100" w:firstLine="474"/>
        <w:spacing w:after="0" w:line="222"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conditions in the debt capital markets. In addition, if our credit ratings are downgraded or put on watch for a potential downgrade, the applicable interest rate on borrowings under our current revolving credit facility may rise and our ability to obtain additional financing or refinance our existing debt may be negatively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and outstanding debt instruments may limit our activities.</w:t>
      </w:r>
    </w:p>
    <w:p>
      <w:pPr>
        <w:spacing w:after="0" w:line="122" w:lineRule="exact"/>
        <w:rPr>
          <w:sz w:val="20"/>
          <w:szCs w:val="20"/>
          <w:color w:val="auto"/>
        </w:rPr>
      </w:pPr>
    </w:p>
    <w:p>
      <w:pPr>
        <w:ind w:firstLine="474"/>
        <w:spacing w:after="0" w:line="281" w:lineRule="auto"/>
        <w:rPr>
          <w:sz w:val="20"/>
          <w:szCs w:val="20"/>
          <w:color w:val="auto"/>
        </w:rPr>
      </w:pPr>
      <w:r>
        <w:rPr>
          <w:rFonts w:ascii="Arial" w:cs="Arial" w:eastAsia="Arial" w:hAnsi="Arial"/>
          <w:sz w:val="16"/>
          <w:szCs w:val="16"/>
          <w:color w:val="auto"/>
        </w:rPr>
        <w:t>Our current revolving credit facility and outstanding debt instruments impose, and future debt instruments to which we may become subject may impose, restrictions that limit our ability to engage in activities that could otherwise benefit us,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requires us to maintain compliance with specified financial ratios. If we breach any of the covenants under our revolving credit facility, the indentures governing our outstanding senior unsecured notes,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Legal, Regulatory and Compliance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3" w:name="page34"/>
    <w:bookmarkEnd w:id="33"/>
    <w:p>
      <w:pPr>
        <w:ind w:firstLine="474"/>
        <w:spacing w:after="0" w:line="24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117" w:lineRule="exact"/>
        <w:rPr>
          <w:sz w:val="20"/>
          <w:szCs w:val="20"/>
          <w:color w:val="auto"/>
        </w:rPr>
      </w:pPr>
    </w:p>
    <w:p>
      <w:pPr>
        <w:ind w:right="40" w:firstLine="474"/>
        <w:spacing w:after="0" w:line="284"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75" w:lineRule="exact"/>
        <w:rPr>
          <w:sz w:val="20"/>
          <w:szCs w:val="20"/>
          <w:color w:val="auto"/>
        </w:rPr>
      </w:pPr>
    </w:p>
    <w:p>
      <w:pPr>
        <w:ind w:right="340" w:firstLine="474"/>
        <w:spacing w:after="0" w:line="248"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0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102" w:lineRule="exact"/>
        <w:rPr>
          <w:sz w:val="20"/>
          <w:szCs w:val="20"/>
          <w:color w:val="auto"/>
        </w:rPr>
      </w:pPr>
    </w:p>
    <w:p>
      <w:pPr>
        <w:ind w:right="40" w:firstLine="474"/>
        <w:spacing w:after="0" w:line="278" w:lineRule="auto"/>
        <w:rPr>
          <w:sz w:val="20"/>
          <w:szCs w:val="20"/>
          <w:color w:val="auto"/>
        </w:rPr>
      </w:pPr>
      <w:r>
        <w:rPr>
          <w:rFonts w:ascii="Arial" w:cs="Arial" w:eastAsia="Arial" w:hAnsi="Arial"/>
          <w:sz w:val="16"/>
          <w:szCs w:val="16"/>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many of our employees and directors are temporarily working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third-party service providers may not detect or prevent security breaches, defects, bugs or errors. In addition, we provide our confidential and proprietary information to our strategic partners in certain cases where doing so is necessary to conduct our business. Those third parties may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8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89" w:lineRule="exact"/>
        <w:rPr>
          <w:sz w:val="20"/>
          <w:szCs w:val="20"/>
          <w:color w:val="auto"/>
        </w:rPr>
      </w:pPr>
    </w:p>
    <w:p>
      <w:pPr>
        <w:ind w:right="40" w:firstLine="474"/>
        <w:spacing w:after="0" w:line="320" w:lineRule="auto"/>
        <w:rPr>
          <w:sz w:val="20"/>
          <w:szCs w:val="20"/>
          <w:color w:val="auto"/>
        </w:rPr>
      </w:pPr>
      <w:r>
        <w:rPr>
          <w:rFonts w:ascii="Arial" w:cs="Arial" w:eastAsia="Arial" w:hAnsi="Arial"/>
          <w:sz w:val="15"/>
          <w:szCs w:val="15"/>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14"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arbitration could have a material adverse effect on our financial position or on our operating results or cash flows in the period in which the dispute is resolved.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122" w:lineRule="exact"/>
        <w:rPr>
          <w:sz w:val="20"/>
          <w:szCs w:val="20"/>
          <w:color w:val="auto"/>
        </w:rPr>
      </w:pPr>
    </w:p>
    <w:p>
      <w:pPr>
        <w:ind w:firstLine="474"/>
        <w:spacing w:after="0" w:line="299" w:lineRule="auto"/>
        <w:rPr>
          <w:sz w:val="20"/>
          <w:szCs w:val="20"/>
          <w:color w:val="auto"/>
        </w:rPr>
      </w:pPr>
      <w:r>
        <w:rPr>
          <w:rFonts w:ascii="Arial" w:cs="Arial" w:eastAsia="Arial" w:hAnsi="Arial"/>
          <w:sz w:val="15"/>
          <w:szCs w:val="15"/>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particular, climate change concerns and the potential resulting environmental impact may result in new or more stringent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18" w:lineRule="exact"/>
        <w:rPr>
          <w:sz w:val="20"/>
          <w:szCs w:val="20"/>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135" w:lineRule="exact"/>
        <w:rPr>
          <w:sz w:val="20"/>
          <w:szCs w:val="20"/>
          <w:color w:val="auto"/>
        </w:rPr>
      </w:pPr>
    </w:p>
    <w:p>
      <w:pPr>
        <w:ind w:firstLine="474"/>
        <w:spacing w:after="0" w:line="284" w:lineRule="auto"/>
        <w:rPr>
          <w:sz w:val="20"/>
          <w:szCs w:val="20"/>
          <w:color w:val="auto"/>
        </w:rPr>
      </w:pPr>
      <w:r>
        <w:rPr>
          <w:rFonts w:ascii="Arial" w:cs="Arial" w:eastAsia="Arial" w:hAnsi="Arial"/>
          <w:sz w:val="16"/>
          <w:szCs w:val="16"/>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75" w:lineRule="exact"/>
        <w:rPr>
          <w:sz w:val="20"/>
          <w:szCs w:val="20"/>
          <w:color w:val="auto"/>
        </w:rPr>
      </w:pPr>
    </w:p>
    <w:p>
      <w:pPr>
        <w:ind w:right="80" w:firstLine="474"/>
        <w:spacing w:after="0" w:line="287" w:lineRule="auto"/>
        <w:rPr>
          <w:sz w:val="20"/>
          <w:szCs w:val="20"/>
          <w:color w:val="auto"/>
        </w:rPr>
      </w:pPr>
      <w:r>
        <w:rPr>
          <w:rFonts w:ascii="Arial" w:cs="Arial" w:eastAsia="Arial" w:hAnsi="Arial"/>
          <w:sz w:val="16"/>
          <w:szCs w:val="16"/>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71" w:lineRule="exact"/>
        <w:rPr>
          <w:sz w:val="20"/>
          <w:szCs w:val="20"/>
          <w:color w:val="auto"/>
        </w:rPr>
      </w:pPr>
    </w:p>
    <w:p>
      <w:pPr>
        <w:ind w:right="200" w:firstLine="474"/>
        <w:spacing w:after="0" w:line="250"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14"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5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Unregistered Sales of Equity Securities and Use of Proceeds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center"/>
              <w:ind w:right="123"/>
              <w:spacing w:after="0"/>
              <w:rPr>
                <w:sz w:val="20"/>
                <w:szCs w:val="20"/>
                <w:color w:val="auto"/>
              </w:rPr>
            </w:pPr>
            <w:r>
              <w:rPr>
                <w:rFonts w:ascii="Arial" w:cs="Arial" w:eastAsia="Arial" w:hAnsi="Arial"/>
                <w:sz w:val="14"/>
                <w:szCs w:val="14"/>
                <w:b w:val="1"/>
                <w:bCs w:val="1"/>
                <w:color w:val="auto"/>
                <w:w w:val="92"/>
              </w:rPr>
              <w:t>Approximate Dollar</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23"/>
              <w:spacing w:after="0" w:line="132" w:lineRule="exact"/>
              <w:rPr>
                <w:sz w:val="20"/>
                <w:szCs w:val="20"/>
                <w:color w:val="auto"/>
              </w:rPr>
            </w:pPr>
            <w:r>
              <w:rPr>
                <w:rFonts w:ascii="Arial" w:cs="Arial" w:eastAsia="Arial" w:hAnsi="Arial"/>
                <w:sz w:val="14"/>
                <w:szCs w:val="14"/>
                <w:b w:val="1"/>
                <w:bCs w:val="1"/>
                <w:color w:val="auto"/>
                <w:w w:val="89"/>
              </w:rPr>
              <w:t>Value of Shares that</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Shares Purchased as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23"/>
              <w:spacing w:after="0" w:line="132"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2"/>
              </w:rPr>
              <w:t>Part of Publicly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23"/>
              <w:spacing w:after="0" w:line="132" w:lineRule="exact"/>
              <w:rPr>
                <w:sz w:val="20"/>
                <w:szCs w:val="20"/>
                <w:color w:val="auto"/>
              </w:rPr>
            </w:pPr>
            <w:r>
              <w:rPr>
                <w:rFonts w:ascii="Arial" w:cs="Arial" w:eastAsia="Arial" w:hAnsi="Arial"/>
                <w:sz w:val="14"/>
                <w:szCs w:val="14"/>
                <w:b w:val="1"/>
                <w:bCs w:val="1"/>
                <w:color w:val="auto"/>
                <w:w w:val="89"/>
              </w:rPr>
              <w:t>Purchased Under</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50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Period</w:t>
            </w:r>
          </w:p>
        </w:tc>
        <w:tc>
          <w:tcPr>
            <w:tcW w:w="15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Shares Purchased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Announced Plans 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23"/>
              <w:spacing w:after="0" w:line="132"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84"/>
        </w:trPr>
        <w:tc>
          <w:tcPr>
            <w:tcW w:w="96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 (d)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9"/>
              </w:rPr>
              <w:t>Paid Per Share (b)</w:t>
            </w:r>
          </w:p>
        </w:tc>
        <w:tc>
          <w:tcPr>
            <w:tcW w:w="12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Programs (c) (d)</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31, 2021 through November 27,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184.97</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7,386,077,264</w:t>
            </w:r>
          </w:p>
        </w:tc>
        <w:tc>
          <w:tcPr>
            <w:tcW w:w="0" w:type="dxa"/>
            <w:vAlign w:val="bottom"/>
          </w:tcPr>
          <w:p>
            <w:pPr>
              <w:spacing w:after="0"/>
              <w:rPr>
                <w:sz w:val="1"/>
                <w:szCs w:val="1"/>
                <w:color w:val="auto"/>
              </w:rPr>
            </w:pPr>
          </w:p>
        </w:tc>
      </w:tr>
      <w:tr>
        <w:trPr>
          <w:trHeight w:val="22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November 28, 2021 through December 25, 2021</w:t>
            </w:r>
          </w:p>
        </w:tc>
        <w:tc>
          <w:tcPr>
            <w:tcW w:w="1580" w:type="dxa"/>
            <w:vAlign w:val="bottom"/>
          </w:tcPr>
          <w:p>
            <w:pPr>
              <w:jc w:val="right"/>
              <w:spacing w:after="0"/>
              <w:rPr>
                <w:sz w:val="20"/>
                <w:szCs w:val="20"/>
                <w:color w:val="auto"/>
              </w:rPr>
            </w:pPr>
            <w:r>
              <w:rPr>
                <w:rFonts w:ascii="Arial" w:cs="Arial" w:eastAsia="Arial" w:hAnsi="Arial"/>
                <w:sz w:val="18"/>
                <w:szCs w:val="18"/>
                <w:color w:val="auto"/>
              </w:rPr>
              <w:t>8,177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180.37</w:t>
            </w:r>
          </w:p>
        </w:tc>
        <w:tc>
          <w:tcPr>
            <w:tcW w:w="120" w:type="dxa"/>
            <w:vAlign w:val="bottom"/>
          </w:tcPr>
          <w:p>
            <w:pPr>
              <w:spacing w:after="0"/>
              <w:rPr>
                <w:sz w:val="19"/>
                <w:szCs w:val="19"/>
                <w:color w:val="auto"/>
              </w:rPr>
            </w:pPr>
          </w:p>
        </w:tc>
        <w:tc>
          <w:tcPr>
            <w:tcW w:w="17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7,386,077,264</w:t>
            </w:r>
          </w:p>
        </w:tc>
        <w:tc>
          <w:tcPr>
            <w:tcW w:w="0" w:type="dxa"/>
            <w:vAlign w:val="bottom"/>
          </w:tcPr>
          <w:p>
            <w:pPr>
              <w:spacing w:after="0"/>
              <w:rPr>
                <w:sz w:val="1"/>
                <w:szCs w:val="1"/>
                <w:color w:val="auto"/>
              </w:rPr>
            </w:pPr>
          </w:p>
        </w:tc>
      </w:tr>
      <w:tr>
        <w:trPr>
          <w:trHeight w:val="224"/>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26, 2021 through January 29,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2,512,222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2,435,354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7,338,078,742</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3500" w:type="dxa"/>
            <w:vAlign w:val="bottom"/>
          </w:tcPr>
          <w:p>
            <w:pPr>
              <w:ind w:left="1100"/>
              <w:spacing w:after="0" w:line="203" w:lineRule="exact"/>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172.41</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2,435,354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7,338,078,742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40" w:right="240" w:hanging="319"/>
        <w:spacing w:after="0" w:line="250" w:lineRule="auto"/>
        <w:tabs>
          <w:tab w:leader="none" w:pos="6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159,673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40" w:right="60" w:hanging="319"/>
        <w:spacing w:after="0" w:line="244" w:lineRule="auto"/>
        <w:tabs>
          <w:tab w:leader="none" w:pos="6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40" w:right="120" w:hanging="319"/>
        <w:spacing w:after="0" w:line="274" w:lineRule="auto"/>
        <w:tabs>
          <w:tab w:leader="none" w:pos="6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in an aggregate amount of up to $16.7 billion. Unless terminated earlier by resolution of our Board of Directors, the repurchase program will expire when we have repurchased all shares authorized for repurchase under the repurchase program.</w:t>
      </w:r>
    </w:p>
    <w:p>
      <w:pPr>
        <w:spacing w:after="0" w:line="1" w:lineRule="exact"/>
        <w:rPr>
          <w:rFonts w:ascii="Arial" w:cs="Arial" w:eastAsia="Arial" w:hAnsi="Arial"/>
          <w:sz w:val="16"/>
          <w:szCs w:val="16"/>
          <w:color w:val="auto"/>
        </w:rPr>
      </w:pPr>
    </w:p>
    <w:p>
      <w:pPr>
        <w:ind w:left="640" w:right="120" w:hanging="319"/>
        <w:spacing w:after="0" w:line="248" w:lineRule="auto"/>
        <w:tabs>
          <w:tab w:leader="none" w:pos="6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2.1 million shares delivered as final settlement under our accelerated share repurchase agreements in January 2022, which were funded by a $500.0 million advance payment during fiscal 2021.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9" w:right="37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14"/>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43"/>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24"/>
                <w:szCs w:val="24"/>
                <w:color w:val="auto"/>
              </w:rPr>
            </w:pPr>
          </w:p>
        </w:tc>
        <w:tc>
          <w:tcPr>
            <w:tcW w:w="964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1040" w:type="dxa"/>
            <w:vAlign w:val="bottom"/>
            <w:gridSpan w:val="2"/>
          </w:tcPr>
          <w:p>
            <w:pPr>
              <w:jc w:val="center"/>
              <w:spacing w:after="0" w:line="204" w:lineRule="exact"/>
              <w:rPr>
                <w:sz w:val="20"/>
                <w:szCs w:val="20"/>
                <w:color w:val="auto"/>
              </w:rPr>
            </w:pPr>
            <w:r>
              <w:rPr>
                <w:rFonts w:ascii="Arial" w:cs="Arial" w:eastAsia="Arial" w:hAnsi="Arial"/>
                <w:sz w:val="18"/>
                <w:szCs w:val="18"/>
                <w:color w:val="auto"/>
                <w:w w:val="87"/>
              </w:rPr>
              <w:t>10.1†#</w:t>
            </w:r>
          </w:p>
        </w:tc>
        <w:tc>
          <w:tcPr>
            <w:tcW w:w="500" w:type="dxa"/>
            <w:vAlign w:val="bottom"/>
          </w:tcPr>
          <w:p>
            <w:pPr>
              <w:spacing w:after="0"/>
              <w:rPr>
                <w:sz w:val="17"/>
                <w:szCs w:val="17"/>
                <w:color w:val="auto"/>
              </w:rPr>
            </w:pPr>
          </w:p>
        </w:tc>
        <w:tc>
          <w:tcPr>
            <w:tcW w:w="9640" w:type="dxa"/>
            <w:vAlign w:val="bottom"/>
            <w:gridSpan w:val="13"/>
          </w:tcPr>
          <w:p>
            <w:pPr>
              <w:spacing w:after="0" w:line="204"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Form of Restricted Stock Unit Agreement for Non-Employee Directors for usage under the Company’s 2020 Equity Incentive Plan</w:t>
              </w:r>
            </w:hyperlink>
          </w:p>
        </w:tc>
      </w:tr>
      <w:tr>
        <w:trPr>
          <w:trHeight w:val="191"/>
        </w:trPr>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0" w:type="dxa"/>
            <w:vAlign w:val="bottom"/>
            <w:tcBorders>
              <w:top w:val="single" w:sz="8" w:color="0000FF"/>
            </w:tcBorders>
            <w:gridSpan w:val="10"/>
          </w:tcPr>
          <w:p>
            <w:pPr>
              <w:spacing w:after="0" w:line="191" w:lineRule="exact"/>
              <w:rPr>
                <w:sz w:val="20"/>
                <w:szCs w:val="20"/>
                <w:color w:val="auto"/>
              </w:rPr>
            </w:pPr>
            <w:r>
              <w:rPr>
                <w:rFonts w:ascii="Arial" w:cs="Arial" w:eastAsia="Arial" w:hAnsi="Arial"/>
                <w:sz w:val="18"/>
                <w:szCs w:val="18"/>
                <w:color w:val="auto"/>
              </w:rPr>
              <w:t>adopted December 7, 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040" w:type="dxa"/>
            <w:vAlign w:val="bottom"/>
            <w:gridSpan w:val="2"/>
          </w:tcPr>
          <w:p>
            <w:pPr>
              <w:jc w:val="center"/>
              <w:spacing w:after="0" w:line="183" w:lineRule="exact"/>
              <w:rPr>
                <w:sz w:val="20"/>
                <w:szCs w:val="20"/>
                <w:color w:val="auto"/>
              </w:rPr>
            </w:pPr>
            <w:r>
              <w:rPr>
                <w:rFonts w:ascii="Arial" w:cs="Arial" w:eastAsia="Arial" w:hAnsi="Arial"/>
                <w:sz w:val="18"/>
                <w:szCs w:val="18"/>
                <w:color w:val="auto"/>
                <w:w w:val="87"/>
              </w:rPr>
              <w:t>10.2†#</w:t>
            </w:r>
          </w:p>
        </w:tc>
        <w:tc>
          <w:tcPr>
            <w:tcW w:w="500" w:type="dxa"/>
            <w:vAlign w:val="bottom"/>
          </w:tcPr>
          <w:p>
            <w:pPr>
              <w:spacing w:after="0"/>
              <w:rPr>
                <w:sz w:val="15"/>
                <w:szCs w:val="15"/>
                <w:color w:val="auto"/>
              </w:rPr>
            </w:pPr>
          </w:p>
        </w:tc>
        <w:tc>
          <w:tcPr>
            <w:tcW w:w="9640" w:type="dxa"/>
            <w:vAlign w:val="bottom"/>
            <w:gridSpan w:val="13"/>
          </w:tcPr>
          <w:p>
            <w:pPr>
              <w:spacing w:after="0" w:line="183"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 xml:space="preserve">Form of Global Restricted Stock Unit Agreement for Employees for usage under the Company’s 2020 Equity Incentive Plan </w:t>
              </w:r>
            </w:hyperlink>
            <w:r>
              <w:rPr>
                <w:rFonts w:ascii="Arial" w:cs="Arial" w:eastAsia="Arial" w:hAnsi="Arial"/>
                <w:sz w:val="18"/>
                <w:szCs w:val="18"/>
                <w:color w:val="000000"/>
                <w:w w:val="91"/>
              </w:rPr>
              <w:t>adopted</w:t>
            </w:r>
          </w:p>
        </w:tc>
      </w:tr>
      <w:tr>
        <w:trPr>
          <w:trHeight w:val="191"/>
        </w:trPr>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740" w:type="dxa"/>
            <w:vAlign w:val="bottom"/>
            <w:tcBorders>
              <w:top w:val="single" w:sz="8" w:color="0000FF"/>
            </w:tcBorders>
            <w:gridSpan w:val="8"/>
          </w:tcPr>
          <w:p>
            <w:pPr>
              <w:spacing w:after="0" w:line="191" w:lineRule="exact"/>
              <w:rPr>
                <w:sz w:val="20"/>
                <w:szCs w:val="20"/>
                <w:color w:val="auto"/>
              </w:rPr>
            </w:pPr>
            <w:r>
              <w:rPr>
                <w:rFonts w:ascii="Arial" w:cs="Arial" w:eastAsia="Arial" w:hAnsi="Arial"/>
                <w:sz w:val="18"/>
                <w:szCs w:val="18"/>
                <w:color w:val="auto"/>
              </w:rPr>
              <w:t>December 7, 2021.</w:t>
            </w:r>
          </w:p>
        </w:tc>
        <w:tc>
          <w:tcPr>
            <w:tcW w:w="3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040" w:type="dxa"/>
            <w:vAlign w:val="bottom"/>
            <w:gridSpan w:val="2"/>
          </w:tcPr>
          <w:p>
            <w:pPr>
              <w:jc w:val="center"/>
              <w:spacing w:after="0" w:line="183" w:lineRule="exact"/>
              <w:rPr>
                <w:sz w:val="20"/>
                <w:szCs w:val="20"/>
                <w:color w:val="auto"/>
              </w:rPr>
            </w:pPr>
            <w:r>
              <w:rPr>
                <w:rFonts w:ascii="Arial" w:cs="Arial" w:eastAsia="Arial" w:hAnsi="Arial"/>
                <w:sz w:val="18"/>
                <w:szCs w:val="18"/>
                <w:color w:val="auto"/>
                <w:w w:val="87"/>
              </w:rPr>
              <w:t>10.3†#</w:t>
            </w:r>
          </w:p>
        </w:tc>
        <w:tc>
          <w:tcPr>
            <w:tcW w:w="500" w:type="dxa"/>
            <w:vAlign w:val="bottom"/>
          </w:tcPr>
          <w:p>
            <w:pPr>
              <w:spacing w:after="0"/>
              <w:rPr>
                <w:sz w:val="15"/>
                <w:szCs w:val="15"/>
                <w:color w:val="auto"/>
              </w:rPr>
            </w:pPr>
          </w:p>
        </w:tc>
        <w:tc>
          <w:tcPr>
            <w:tcW w:w="9640" w:type="dxa"/>
            <w:vAlign w:val="bottom"/>
            <w:gridSpan w:val="13"/>
          </w:tcPr>
          <w:p>
            <w:pPr>
              <w:spacing w:after="0" w:line="183" w:lineRule="exact"/>
              <w:rPr>
                <w:rFonts w:ascii="Arial" w:cs="Arial" w:eastAsia="Arial" w:hAnsi="Arial"/>
                <w:sz w:val="18"/>
                <w:szCs w:val="18"/>
                <w:color w:val="0000FF"/>
                <w:w w:val="92"/>
              </w:rPr>
            </w:pPr>
            <w:hyperlink w:anchor="page83">
              <w:r>
                <w:rPr>
                  <w:rFonts w:ascii="Arial" w:cs="Arial" w:eastAsia="Arial" w:hAnsi="Arial"/>
                  <w:sz w:val="18"/>
                  <w:szCs w:val="18"/>
                  <w:color w:val="0000FF"/>
                  <w:w w:val="92"/>
                </w:rPr>
                <w:t xml:space="preserve">Form of Global Restricted Stock Unit Agreement for Employees for usage under the Company’s 1996 Stock Incentive Plan </w:t>
              </w:r>
            </w:hyperlink>
            <w:r>
              <w:rPr>
                <w:rFonts w:ascii="Arial" w:cs="Arial" w:eastAsia="Arial" w:hAnsi="Arial"/>
                <w:sz w:val="18"/>
                <w:szCs w:val="18"/>
                <w:color w:val="000000"/>
                <w:w w:val="92"/>
              </w:rPr>
              <w:t>adopted</w:t>
            </w:r>
          </w:p>
        </w:tc>
      </w:tr>
      <w:tr>
        <w:trPr>
          <w:trHeight w:val="191"/>
        </w:trPr>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60" w:type="dxa"/>
            <w:vAlign w:val="bottom"/>
            <w:tcBorders>
              <w:top w:val="single" w:sz="8" w:color="0000FF"/>
            </w:tcBorders>
            <w:gridSpan w:val="7"/>
          </w:tcPr>
          <w:p>
            <w:pPr>
              <w:spacing w:after="0" w:line="191" w:lineRule="exact"/>
              <w:rPr>
                <w:sz w:val="20"/>
                <w:szCs w:val="20"/>
                <w:color w:val="auto"/>
              </w:rPr>
            </w:pPr>
            <w:r>
              <w:rPr>
                <w:rFonts w:ascii="Arial" w:cs="Arial" w:eastAsia="Arial" w:hAnsi="Arial"/>
                <w:sz w:val="18"/>
                <w:szCs w:val="18"/>
                <w:color w:val="auto"/>
              </w:rPr>
              <w:t>December 7, 2021.</w:t>
            </w:r>
          </w:p>
        </w:tc>
        <w:tc>
          <w:tcPr>
            <w:tcW w:w="460" w:type="dxa"/>
            <w:vAlign w:val="bottom"/>
            <w:gridSpan w:val="2"/>
          </w:tcPr>
          <w:p>
            <w:pPr>
              <w:spacing w:after="0"/>
              <w:rPr>
                <w:sz w:val="16"/>
                <w:szCs w:val="16"/>
                <w:color w:val="auto"/>
              </w:rPr>
            </w:pPr>
          </w:p>
        </w:tc>
        <w:tc>
          <w:tcPr>
            <w:tcW w:w="18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040" w:type="dxa"/>
            <w:vAlign w:val="bottom"/>
            <w:gridSpan w:val="2"/>
          </w:tcPr>
          <w:p>
            <w:pPr>
              <w:jc w:val="center"/>
              <w:spacing w:after="0" w:line="183" w:lineRule="exact"/>
              <w:rPr>
                <w:sz w:val="20"/>
                <w:szCs w:val="20"/>
                <w:color w:val="auto"/>
              </w:rPr>
            </w:pPr>
            <w:r>
              <w:rPr>
                <w:rFonts w:ascii="Arial" w:cs="Arial" w:eastAsia="Arial" w:hAnsi="Arial"/>
                <w:sz w:val="18"/>
                <w:szCs w:val="18"/>
                <w:color w:val="auto"/>
                <w:w w:val="87"/>
              </w:rPr>
              <w:t>10.4†#</w:t>
            </w:r>
          </w:p>
        </w:tc>
        <w:tc>
          <w:tcPr>
            <w:tcW w:w="500" w:type="dxa"/>
            <w:vAlign w:val="bottom"/>
          </w:tcPr>
          <w:p>
            <w:pPr>
              <w:spacing w:after="0"/>
              <w:rPr>
                <w:sz w:val="15"/>
                <w:szCs w:val="15"/>
                <w:color w:val="auto"/>
              </w:rPr>
            </w:pPr>
          </w:p>
        </w:tc>
        <w:tc>
          <w:tcPr>
            <w:tcW w:w="9640" w:type="dxa"/>
            <w:vAlign w:val="bottom"/>
            <w:gridSpan w:val="13"/>
          </w:tcPr>
          <w:p>
            <w:pPr>
              <w:spacing w:after="0" w:line="183" w:lineRule="exact"/>
              <w:rPr>
                <w:rFonts w:ascii="Arial" w:cs="Arial" w:eastAsia="Arial" w:hAnsi="Arial"/>
                <w:sz w:val="18"/>
                <w:szCs w:val="18"/>
                <w:color w:val="0000FF"/>
                <w:w w:val="88"/>
              </w:rPr>
            </w:pPr>
            <w:hyperlink w:anchor="page116">
              <w:r>
                <w:rPr>
                  <w:rFonts w:ascii="Arial" w:cs="Arial" w:eastAsia="Arial" w:hAnsi="Arial"/>
                  <w:sz w:val="18"/>
                  <w:szCs w:val="18"/>
                  <w:color w:val="0000FF"/>
                  <w:w w:val="88"/>
                </w:rPr>
                <w:t>Form of Relative Total Shareholder Return Performance Restricted Stock Unit Agreement for Employees for usage under the Company's</w:t>
              </w:r>
            </w:hyperlink>
          </w:p>
        </w:tc>
      </w:tr>
      <w:tr>
        <w:trPr>
          <w:trHeight w:val="151"/>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2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w:anchor="page116">
              <w:r>
                <w:rPr>
                  <w:rFonts w:ascii="Arial" w:cs="Arial" w:eastAsia="Arial" w:hAnsi="Arial"/>
                  <w:sz w:val="16"/>
                  <w:szCs w:val="16"/>
                  <w:color w:val="0000FF"/>
                </w:rPr>
                <w:t xml:space="preserve">2020 Equity Incentive Plan </w:t>
              </w:r>
              <w:r>
                <w:rPr>
                  <w:rFonts w:ascii="Arial" w:cs="Arial" w:eastAsia="Arial" w:hAnsi="Arial"/>
                  <w:sz w:val="16"/>
                  <w:szCs w:val="16"/>
                  <w:color w:val="000000"/>
                </w:rPr>
                <w:t>adopted December 7, 2021.</w:t>
              </w:r>
            </w:hyperlink>
          </w:p>
        </w:tc>
        <w:tc>
          <w:tcPr>
            <w:tcW w:w="20" w:type="dxa"/>
            <w:vAlign w:val="bottom"/>
          </w:tcPr>
          <w:p>
            <w:pPr>
              <w:spacing w:after="0"/>
              <w:rPr>
                <w:sz w:val="13"/>
                <w:szCs w:val="13"/>
                <w:color w:val="auto"/>
              </w:rPr>
            </w:pPr>
          </w:p>
        </w:tc>
      </w:tr>
      <w:tr>
        <w:trPr>
          <w:trHeight w:val="20"/>
        </w:trPr>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04"/>
        </w:trPr>
        <w:tc>
          <w:tcPr>
            <w:tcW w:w="1040" w:type="dxa"/>
            <w:vAlign w:val="bottom"/>
            <w:gridSpan w:val="2"/>
          </w:tcPr>
          <w:p>
            <w:pPr>
              <w:jc w:val="center"/>
              <w:spacing w:after="0" w:line="204" w:lineRule="exact"/>
              <w:rPr>
                <w:sz w:val="20"/>
                <w:szCs w:val="20"/>
                <w:color w:val="auto"/>
              </w:rPr>
            </w:pPr>
            <w:r>
              <w:rPr>
                <w:rFonts w:ascii="Arial" w:cs="Arial" w:eastAsia="Arial" w:hAnsi="Arial"/>
                <w:sz w:val="18"/>
                <w:szCs w:val="18"/>
                <w:color w:val="auto"/>
                <w:w w:val="87"/>
              </w:rPr>
              <w:t>10.5†#</w:t>
            </w:r>
          </w:p>
        </w:tc>
        <w:tc>
          <w:tcPr>
            <w:tcW w:w="500" w:type="dxa"/>
            <w:vAlign w:val="bottom"/>
          </w:tcPr>
          <w:p>
            <w:pPr>
              <w:spacing w:after="0"/>
              <w:rPr>
                <w:sz w:val="17"/>
                <w:szCs w:val="17"/>
                <w:color w:val="auto"/>
              </w:rPr>
            </w:pPr>
          </w:p>
        </w:tc>
        <w:tc>
          <w:tcPr>
            <w:tcW w:w="9640" w:type="dxa"/>
            <w:vAlign w:val="bottom"/>
            <w:gridSpan w:val="13"/>
          </w:tcPr>
          <w:p>
            <w:pPr>
              <w:spacing w:after="0" w:line="204" w:lineRule="exact"/>
              <w:rPr>
                <w:rFonts w:ascii="Arial" w:cs="Arial" w:eastAsia="Arial" w:hAnsi="Arial"/>
                <w:sz w:val="18"/>
                <w:szCs w:val="18"/>
                <w:color w:val="0000FF"/>
                <w:w w:val="92"/>
              </w:rPr>
            </w:pPr>
            <w:hyperlink w:anchor="page126">
              <w:r>
                <w:rPr>
                  <w:rFonts w:ascii="Arial" w:cs="Arial" w:eastAsia="Arial" w:hAnsi="Arial"/>
                  <w:sz w:val="18"/>
                  <w:szCs w:val="18"/>
                  <w:color w:val="0000FF"/>
                  <w:w w:val="92"/>
                </w:rPr>
                <w:t>Form of Financial Metric Performance Restricted Stock Unit Agreement for Employees for usage under the Company's 2020 Equity</w:t>
              </w:r>
            </w:hyperlink>
          </w:p>
        </w:tc>
      </w:tr>
      <w:tr>
        <w:trPr>
          <w:trHeight w:val="151"/>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0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w:anchor="page126">
              <w:r>
                <w:rPr>
                  <w:rFonts w:ascii="Arial" w:cs="Arial" w:eastAsia="Arial" w:hAnsi="Arial"/>
                  <w:sz w:val="16"/>
                  <w:szCs w:val="16"/>
                  <w:color w:val="0000FF"/>
                </w:rPr>
                <w:t xml:space="preserve">Incentive Plan </w:t>
              </w:r>
              <w:r>
                <w:rPr>
                  <w:rFonts w:ascii="Arial" w:cs="Arial" w:eastAsia="Arial" w:hAnsi="Arial"/>
                  <w:sz w:val="16"/>
                  <w:szCs w:val="16"/>
                  <w:color w:val="000000"/>
                </w:rPr>
                <w:t>adopted December 7, 2021.</w:t>
              </w:r>
            </w:hyperlink>
          </w:p>
        </w:tc>
        <w:tc>
          <w:tcPr>
            <w:tcW w:w="340" w:type="dxa"/>
            <w:vAlign w:val="bottom"/>
            <w:gridSpan w:val="2"/>
          </w:tcPr>
          <w:p>
            <w:pPr>
              <w:spacing w:after="0"/>
              <w:rPr>
                <w:sz w:val="13"/>
                <w:szCs w:val="13"/>
                <w:color w:val="auto"/>
              </w:rPr>
            </w:pPr>
          </w:p>
        </w:tc>
      </w:tr>
      <w:tr>
        <w:trPr>
          <w:trHeight w:val="20"/>
        </w:trPr>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04"/>
        </w:trPr>
        <w:tc>
          <w:tcPr>
            <w:tcW w:w="1040" w:type="dxa"/>
            <w:vAlign w:val="bottom"/>
            <w:gridSpan w:val="2"/>
          </w:tcPr>
          <w:p>
            <w:pPr>
              <w:jc w:val="center"/>
              <w:spacing w:after="0" w:line="204" w:lineRule="exact"/>
              <w:rPr>
                <w:sz w:val="20"/>
                <w:szCs w:val="20"/>
                <w:color w:val="auto"/>
              </w:rPr>
            </w:pPr>
            <w:r>
              <w:rPr>
                <w:rFonts w:ascii="Arial" w:cs="Arial" w:eastAsia="Arial" w:hAnsi="Arial"/>
                <w:sz w:val="18"/>
                <w:szCs w:val="18"/>
                <w:color w:val="auto"/>
                <w:w w:val="84"/>
              </w:rPr>
              <w:t>31.1†</w:t>
            </w:r>
          </w:p>
        </w:tc>
        <w:tc>
          <w:tcPr>
            <w:tcW w:w="500" w:type="dxa"/>
            <w:vAlign w:val="bottom"/>
          </w:tcPr>
          <w:p>
            <w:pPr>
              <w:spacing w:after="0"/>
              <w:rPr>
                <w:sz w:val="17"/>
                <w:szCs w:val="17"/>
                <w:color w:val="auto"/>
              </w:rPr>
            </w:pPr>
          </w:p>
        </w:tc>
        <w:tc>
          <w:tcPr>
            <w:tcW w:w="9640" w:type="dxa"/>
            <w:vAlign w:val="bottom"/>
            <w:gridSpan w:val="13"/>
          </w:tcPr>
          <w:p>
            <w:pPr>
              <w:spacing w:after="0" w:line="204" w:lineRule="exact"/>
              <w:rPr>
                <w:rFonts w:ascii="Arial" w:cs="Arial" w:eastAsia="Arial" w:hAnsi="Arial"/>
                <w:sz w:val="18"/>
                <w:szCs w:val="18"/>
                <w:color w:val="0000FF"/>
                <w:w w:val="93"/>
              </w:rPr>
            </w:pPr>
            <w:hyperlink w:anchor="page164">
              <w:r>
                <w:rPr>
                  <w:rFonts w:ascii="Arial" w:cs="Arial" w:eastAsia="Arial" w:hAnsi="Arial"/>
                  <w:sz w:val="18"/>
                  <w:szCs w:val="18"/>
                  <w:color w:val="0000FF"/>
                  <w:w w:val="93"/>
                </w:rPr>
                <w:t>Certification Pursuant to Rule 13a-14(a) and 15d-14(a) of the Securities Exchange Act, as Adopted Pursuant to Section 302 of the</w:t>
              </w:r>
            </w:hyperlink>
          </w:p>
        </w:tc>
      </w:tr>
      <w:tr>
        <w:trPr>
          <w:trHeight w:val="151"/>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rPr>
            </w:pPr>
            <w:hyperlink w:anchor="page164">
              <w:r>
                <w:rPr>
                  <w:rFonts w:ascii="Arial" w:cs="Arial" w:eastAsia="Arial" w:hAnsi="Arial"/>
                  <w:sz w:val="16"/>
                  <w:szCs w:val="16"/>
                  <w:color w:val="0000FF"/>
                </w:rPr>
                <w:t>Sarbanes-Oxley Act of 2002 (Chief Executive Officer).</w:t>
              </w:r>
            </w:hyperlink>
          </w:p>
        </w:tc>
        <w:tc>
          <w:tcPr>
            <w:tcW w:w="5220" w:type="dxa"/>
            <w:vAlign w:val="bottom"/>
            <w:tcBorders>
              <w:top w:val="single" w:sz="8" w:color="0000FF"/>
            </w:tcBorders>
            <w:gridSpan w:val="5"/>
          </w:tcPr>
          <w:p>
            <w:pPr>
              <w:spacing w:after="0"/>
              <w:rPr>
                <w:sz w:val="13"/>
                <w:szCs w:val="13"/>
                <w:color w:val="auto"/>
              </w:rPr>
            </w:pPr>
          </w:p>
        </w:tc>
        <w:tc>
          <w:tcPr>
            <w:tcW w:w="520" w:type="dxa"/>
            <w:vAlign w:val="bottom"/>
            <w:gridSpan w:val="4"/>
          </w:tcPr>
          <w:p>
            <w:pPr>
              <w:spacing w:after="0"/>
              <w:rPr>
                <w:sz w:val="13"/>
                <w:szCs w:val="13"/>
                <w:color w:val="auto"/>
              </w:rPr>
            </w:pPr>
          </w:p>
        </w:tc>
      </w:tr>
      <w:tr>
        <w:trPr>
          <w:trHeight w:val="204"/>
        </w:trPr>
        <w:tc>
          <w:tcPr>
            <w:tcW w:w="1040" w:type="dxa"/>
            <w:vAlign w:val="bottom"/>
            <w:gridSpan w:val="2"/>
          </w:tcPr>
          <w:p>
            <w:pPr>
              <w:jc w:val="center"/>
              <w:spacing w:after="0" w:line="204" w:lineRule="exact"/>
              <w:rPr>
                <w:sz w:val="20"/>
                <w:szCs w:val="20"/>
                <w:color w:val="auto"/>
              </w:rPr>
            </w:pPr>
            <w:r>
              <w:rPr>
                <w:rFonts w:ascii="Arial" w:cs="Arial" w:eastAsia="Arial" w:hAnsi="Arial"/>
                <w:sz w:val="18"/>
                <w:szCs w:val="18"/>
                <w:color w:val="auto"/>
                <w:w w:val="84"/>
              </w:rPr>
              <w:t>31.2†</w:t>
            </w:r>
          </w:p>
        </w:tc>
        <w:tc>
          <w:tcPr>
            <w:tcW w:w="500" w:type="dxa"/>
            <w:vAlign w:val="bottom"/>
          </w:tcPr>
          <w:p>
            <w:pPr>
              <w:spacing w:after="0"/>
              <w:rPr>
                <w:sz w:val="17"/>
                <w:szCs w:val="17"/>
                <w:color w:val="auto"/>
              </w:rPr>
            </w:pPr>
          </w:p>
        </w:tc>
        <w:tc>
          <w:tcPr>
            <w:tcW w:w="9640" w:type="dxa"/>
            <w:vAlign w:val="bottom"/>
            <w:gridSpan w:val="13"/>
          </w:tcPr>
          <w:p>
            <w:pPr>
              <w:spacing w:after="0" w:line="204" w:lineRule="exact"/>
              <w:rPr>
                <w:rFonts w:ascii="Arial" w:cs="Arial" w:eastAsia="Arial" w:hAnsi="Arial"/>
                <w:sz w:val="18"/>
                <w:szCs w:val="18"/>
                <w:color w:val="0000FF"/>
                <w:w w:val="93"/>
              </w:rPr>
            </w:pPr>
            <w:hyperlink w:anchor="page165">
              <w:r>
                <w:rPr>
                  <w:rFonts w:ascii="Arial" w:cs="Arial" w:eastAsia="Arial" w:hAnsi="Arial"/>
                  <w:sz w:val="18"/>
                  <w:szCs w:val="18"/>
                  <w:color w:val="0000FF"/>
                  <w:w w:val="93"/>
                </w:rPr>
                <w:t>Certification Pursuant to Rule 13a-14(a) and 15d-14(a) of the Securities Exchange Act, as Adopted Pursuant to Section 302 of the</w:t>
              </w:r>
            </w:hyperlink>
          </w:p>
        </w:tc>
      </w:tr>
      <w:tr>
        <w:trPr>
          <w:trHeight w:val="151"/>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20" w:type="dxa"/>
            <w:vAlign w:val="bottom"/>
            <w:tcBorders>
              <w:top w:val="single" w:sz="8" w:color="0000FF"/>
            </w:tcBorders>
            <w:gridSpan w:val="9"/>
          </w:tcPr>
          <w:p>
            <w:pPr>
              <w:spacing w:after="0" w:line="152" w:lineRule="exact"/>
              <w:rPr>
                <w:rFonts w:ascii="Arial" w:cs="Arial" w:eastAsia="Arial" w:hAnsi="Arial"/>
                <w:sz w:val="16"/>
                <w:szCs w:val="16"/>
                <w:color w:val="0000FF"/>
              </w:rPr>
            </w:pPr>
            <w:hyperlink w:anchor="page165">
              <w:r>
                <w:rPr>
                  <w:rFonts w:ascii="Arial" w:cs="Arial" w:eastAsia="Arial" w:hAnsi="Arial"/>
                  <w:sz w:val="16"/>
                  <w:szCs w:val="16"/>
                  <w:color w:val="0000FF"/>
                </w:rPr>
                <w:t>Sarbanes-Oxley Act of 2002 (Chief Financial Officer).</w:t>
              </w:r>
            </w:hyperlink>
          </w:p>
        </w:tc>
        <w:tc>
          <w:tcPr>
            <w:tcW w:w="520" w:type="dxa"/>
            <w:vAlign w:val="bottom"/>
            <w:gridSpan w:val="4"/>
          </w:tcPr>
          <w:p>
            <w:pPr>
              <w:spacing w:after="0"/>
              <w:rPr>
                <w:sz w:val="13"/>
                <w:szCs w:val="13"/>
                <w:color w:val="auto"/>
              </w:rPr>
            </w:pPr>
          </w:p>
        </w:tc>
      </w:tr>
      <w:tr>
        <w:trPr>
          <w:trHeight w:val="20"/>
        </w:trPr>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r>
      <w:tr>
        <w:trPr>
          <w:trHeight w:val="204"/>
        </w:trPr>
        <w:tc>
          <w:tcPr>
            <w:tcW w:w="1040" w:type="dxa"/>
            <w:vAlign w:val="bottom"/>
            <w:gridSpan w:val="2"/>
          </w:tcPr>
          <w:p>
            <w:pPr>
              <w:jc w:val="center"/>
              <w:spacing w:after="0" w:line="204" w:lineRule="exact"/>
              <w:rPr>
                <w:sz w:val="20"/>
                <w:szCs w:val="20"/>
                <w:color w:val="auto"/>
              </w:rPr>
            </w:pPr>
            <w:r>
              <w:rPr>
                <w:rFonts w:ascii="Arial" w:cs="Arial" w:eastAsia="Arial" w:hAnsi="Arial"/>
                <w:sz w:val="18"/>
                <w:szCs w:val="18"/>
                <w:color w:val="auto"/>
                <w:w w:val="92"/>
              </w:rPr>
              <w:t>32.1†*</w:t>
            </w:r>
          </w:p>
        </w:tc>
        <w:tc>
          <w:tcPr>
            <w:tcW w:w="500" w:type="dxa"/>
            <w:vAlign w:val="bottom"/>
          </w:tcPr>
          <w:p>
            <w:pPr>
              <w:spacing w:after="0"/>
              <w:rPr>
                <w:sz w:val="17"/>
                <w:szCs w:val="17"/>
                <w:color w:val="auto"/>
              </w:rPr>
            </w:pPr>
          </w:p>
        </w:tc>
        <w:tc>
          <w:tcPr>
            <w:tcW w:w="5320" w:type="dxa"/>
            <w:vAlign w:val="bottom"/>
            <w:tcBorders>
              <w:bottom w:val="single" w:sz="8" w:color="0000FF"/>
            </w:tcBorders>
            <w:gridSpan w:val="6"/>
          </w:tcPr>
          <w:p>
            <w:pPr>
              <w:spacing w:after="0" w:line="204" w:lineRule="exact"/>
              <w:rPr>
                <w:rFonts w:ascii="Arial" w:cs="Arial" w:eastAsia="Arial" w:hAnsi="Arial"/>
                <w:sz w:val="18"/>
                <w:szCs w:val="18"/>
                <w:color w:val="0000FF"/>
                <w:w w:val="89"/>
              </w:rPr>
            </w:pPr>
            <w:hyperlink w:anchor="page166">
              <w:r>
                <w:rPr>
                  <w:rFonts w:ascii="Arial" w:cs="Arial" w:eastAsia="Arial" w:hAnsi="Arial"/>
                  <w:sz w:val="18"/>
                  <w:szCs w:val="18"/>
                  <w:color w:val="0000FF"/>
                  <w:w w:val="89"/>
                </w:rPr>
                <w:t>Certification Pursuant to 18 U.S.C. Section 1350 (Chief Executive Officer).</w:t>
              </w:r>
            </w:hyperlink>
          </w:p>
        </w:tc>
        <w:tc>
          <w:tcPr>
            <w:tcW w:w="4320" w:type="dxa"/>
            <w:vAlign w:val="bottom"/>
            <w:gridSpan w:val="7"/>
          </w:tcPr>
          <w:p>
            <w:pPr>
              <w:spacing w:after="0"/>
              <w:rPr>
                <w:sz w:val="17"/>
                <w:szCs w:val="17"/>
                <w:color w:val="auto"/>
              </w:rPr>
            </w:pPr>
          </w:p>
        </w:tc>
      </w:tr>
      <w:tr>
        <w:trPr>
          <w:trHeight w:val="204"/>
        </w:trPr>
        <w:tc>
          <w:tcPr>
            <w:tcW w:w="1040" w:type="dxa"/>
            <w:vAlign w:val="bottom"/>
            <w:gridSpan w:val="2"/>
          </w:tcPr>
          <w:p>
            <w:pPr>
              <w:jc w:val="center"/>
              <w:spacing w:after="0" w:line="204" w:lineRule="exact"/>
              <w:rPr>
                <w:sz w:val="20"/>
                <w:szCs w:val="20"/>
                <w:color w:val="auto"/>
              </w:rPr>
            </w:pPr>
            <w:r>
              <w:rPr>
                <w:rFonts w:ascii="Arial" w:cs="Arial" w:eastAsia="Arial" w:hAnsi="Arial"/>
                <w:sz w:val="18"/>
                <w:szCs w:val="18"/>
                <w:color w:val="auto"/>
                <w:w w:val="92"/>
              </w:rPr>
              <w:t>32.2†*</w:t>
            </w:r>
          </w:p>
        </w:tc>
        <w:tc>
          <w:tcPr>
            <w:tcW w:w="500" w:type="dxa"/>
            <w:vAlign w:val="bottom"/>
          </w:tcPr>
          <w:p>
            <w:pPr>
              <w:spacing w:after="0"/>
              <w:rPr>
                <w:sz w:val="17"/>
                <w:szCs w:val="17"/>
                <w:color w:val="auto"/>
              </w:rPr>
            </w:pPr>
          </w:p>
        </w:tc>
        <w:tc>
          <w:tcPr>
            <w:tcW w:w="9640" w:type="dxa"/>
            <w:vAlign w:val="bottom"/>
            <w:gridSpan w:val="13"/>
          </w:tcPr>
          <w:p>
            <w:pPr>
              <w:spacing w:after="0" w:line="204" w:lineRule="exact"/>
              <w:rPr>
                <w:rFonts w:ascii="Arial" w:cs="Arial" w:eastAsia="Arial" w:hAnsi="Arial"/>
                <w:sz w:val="18"/>
                <w:szCs w:val="18"/>
                <w:color w:val="0000FF"/>
              </w:rPr>
            </w:pPr>
            <w:hyperlink w:anchor="page167">
              <w:r>
                <w:rPr>
                  <w:rFonts w:ascii="Arial" w:cs="Arial" w:eastAsia="Arial" w:hAnsi="Arial"/>
                  <w:sz w:val="18"/>
                  <w:szCs w:val="18"/>
                  <w:color w:val="0000FF"/>
                </w:rPr>
                <w:t>Certification Pursuant to 18 U.S.C. Section 1350 (Chief Financial Officer).</w:t>
              </w:r>
            </w:hyperlink>
          </w:p>
        </w:tc>
      </w:tr>
      <w:tr>
        <w:trPr>
          <w:trHeight w:val="20"/>
        </w:trPr>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r>
      <w:tr>
        <w:trPr>
          <w:trHeight w:val="191"/>
        </w:trPr>
        <w:tc>
          <w:tcPr>
            <w:tcW w:w="1040" w:type="dxa"/>
            <w:vAlign w:val="bottom"/>
            <w:gridSpan w:val="2"/>
          </w:tcPr>
          <w:p>
            <w:pPr>
              <w:jc w:val="center"/>
              <w:spacing w:after="0" w:line="191" w:lineRule="exact"/>
              <w:rPr>
                <w:sz w:val="20"/>
                <w:szCs w:val="20"/>
                <w:color w:val="auto"/>
              </w:rPr>
            </w:pPr>
            <w:r>
              <w:rPr>
                <w:rFonts w:ascii="Arial" w:cs="Arial" w:eastAsia="Arial" w:hAnsi="Arial"/>
                <w:sz w:val="18"/>
                <w:szCs w:val="18"/>
                <w:color w:val="auto"/>
                <w:w w:val="89"/>
              </w:rPr>
              <w:t>101.INS</w:t>
            </w:r>
          </w:p>
        </w:tc>
        <w:tc>
          <w:tcPr>
            <w:tcW w:w="500" w:type="dxa"/>
            <w:vAlign w:val="bottom"/>
          </w:tcPr>
          <w:p>
            <w:pPr>
              <w:spacing w:after="0"/>
              <w:rPr>
                <w:sz w:val="16"/>
                <w:szCs w:val="16"/>
                <w:color w:val="auto"/>
              </w:rPr>
            </w:pPr>
          </w:p>
        </w:tc>
        <w:tc>
          <w:tcPr>
            <w:tcW w:w="9640" w:type="dxa"/>
            <w:vAlign w:val="bottom"/>
            <w:gridSpan w:val="13"/>
          </w:tcPr>
          <w:p>
            <w:pPr>
              <w:spacing w:after="0" w:line="191" w:lineRule="exact"/>
              <w:rPr>
                <w:sz w:val="20"/>
                <w:szCs w:val="20"/>
                <w:color w:val="auto"/>
              </w:rPr>
            </w:pPr>
            <w:r>
              <w:rPr>
                <w:rFonts w:ascii="Arial" w:cs="Arial" w:eastAsia="Arial" w:hAnsi="Arial"/>
                <w:sz w:val="18"/>
                <w:szCs w:val="18"/>
                <w:color w:val="auto"/>
                <w:w w:val="93"/>
              </w:rPr>
              <w:t>The instance document does not appear in the Interactive Data File because its XBRL tags are embedded within the inline XBRL</w:t>
            </w:r>
          </w:p>
        </w:tc>
      </w:tr>
      <w:tr>
        <w:trPr>
          <w:trHeight w:val="222"/>
        </w:trPr>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24"/>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500" w:type="dxa"/>
            <w:vAlign w:val="bottom"/>
          </w:tcPr>
          <w:p>
            <w:pPr>
              <w:spacing w:after="0"/>
              <w:rPr>
                <w:sz w:val="19"/>
                <w:szCs w:val="19"/>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rPr>
              <w:t>Inline XBRL Schema Document.**</w:t>
            </w:r>
          </w:p>
        </w:tc>
      </w:tr>
      <w:tr>
        <w:trPr>
          <w:trHeight w:val="224"/>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4"/>
              </w:rPr>
              <w:t>101.CAL</w:t>
            </w:r>
          </w:p>
        </w:tc>
        <w:tc>
          <w:tcPr>
            <w:tcW w:w="500" w:type="dxa"/>
            <w:vAlign w:val="bottom"/>
          </w:tcPr>
          <w:p>
            <w:pPr>
              <w:spacing w:after="0"/>
              <w:rPr>
                <w:sz w:val="19"/>
                <w:szCs w:val="19"/>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4"/>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5"/>
              </w:rPr>
              <w:t>101.LAB</w:t>
            </w:r>
          </w:p>
        </w:tc>
        <w:tc>
          <w:tcPr>
            <w:tcW w:w="500" w:type="dxa"/>
            <w:vAlign w:val="bottom"/>
          </w:tcPr>
          <w:p>
            <w:pPr>
              <w:spacing w:after="0"/>
              <w:rPr>
                <w:sz w:val="19"/>
                <w:szCs w:val="19"/>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rPr>
              <w:t>Inline XBRL Labels Linkbase Document.**</w:t>
            </w:r>
          </w:p>
        </w:tc>
      </w:tr>
      <w:tr>
        <w:trPr>
          <w:trHeight w:val="224"/>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5"/>
              </w:rPr>
              <w:t>101.PRE</w:t>
            </w:r>
          </w:p>
        </w:tc>
        <w:tc>
          <w:tcPr>
            <w:tcW w:w="500" w:type="dxa"/>
            <w:vAlign w:val="bottom"/>
          </w:tcPr>
          <w:p>
            <w:pPr>
              <w:spacing w:after="0"/>
              <w:rPr>
                <w:sz w:val="19"/>
                <w:szCs w:val="19"/>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24"/>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101.DEF</w:t>
            </w:r>
          </w:p>
        </w:tc>
        <w:tc>
          <w:tcPr>
            <w:tcW w:w="500" w:type="dxa"/>
            <w:vAlign w:val="bottom"/>
          </w:tcPr>
          <w:p>
            <w:pPr>
              <w:spacing w:after="0"/>
              <w:rPr>
                <w:sz w:val="19"/>
                <w:szCs w:val="19"/>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rPr>
              <w:t>Inline XBRL Definition Linkbase Document.**</w:t>
            </w:r>
          </w:p>
        </w:tc>
      </w:tr>
      <w:tr>
        <w:trPr>
          <w:trHeight w:val="224"/>
        </w:trPr>
        <w:tc>
          <w:tcPr>
            <w:tcW w:w="680" w:type="dxa"/>
            <w:vAlign w:val="bottom"/>
          </w:tcPr>
          <w:p>
            <w:pPr>
              <w:jc w:val="center"/>
              <w:ind w:left="293"/>
              <w:spacing w:after="0"/>
              <w:rPr>
                <w:sz w:val="20"/>
                <w:szCs w:val="20"/>
                <w:color w:val="auto"/>
              </w:rPr>
            </w:pPr>
            <w:r>
              <w:rPr>
                <w:rFonts w:ascii="Arial" w:cs="Arial" w:eastAsia="Arial" w:hAnsi="Arial"/>
                <w:sz w:val="18"/>
                <w:szCs w:val="18"/>
                <w:color w:val="auto"/>
                <w:w w:val="86"/>
              </w:rPr>
              <w:t>104</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40" w:type="dxa"/>
            <w:vAlign w:val="bottom"/>
            <w:gridSpan w:val="13"/>
          </w:tcPr>
          <w:p>
            <w:pPr>
              <w:spacing w:after="0"/>
              <w:rPr>
                <w:sz w:val="20"/>
                <w:szCs w:val="20"/>
                <w:color w:val="auto"/>
              </w:rPr>
            </w:pPr>
            <w:r>
              <w:rPr>
                <w:rFonts w:ascii="Arial" w:cs="Arial" w:eastAsia="Arial" w:hAnsi="Arial"/>
                <w:sz w:val="18"/>
                <w:szCs w:val="18"/>
                <w:color w:val="auto"/>
                <w:w w:val="90"/>
              </w:rPr>
              <w:t>Cover page Interactive Data File (formatted as inline XBRL with applicable taxonomy extension information contained in Exhibits 101).</w:t>
            </w:r>
          </w:p>
        </w:tc>
      </w:tr>
    </w:tbl>
    <w:p>
      <w:pPr>
        <w:spacing w:after="0" w:line="1" w:lineRule="exact"/>
        <w:rPr>
          <w:sz w:val="20"/>
          <w:szCs w:val="20"/>
          <w:color w:val="auto"/>
        </w:rPr>
      </w:pPr>
    </w:p>
    <w:p>
      <w:pPr>
        <w:ind w:left="1560" w:hanging="1052"/>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17" w:lineRule="exact"/>
        <w:rPr>
          <w:sz w:val="20"/>
          <w:szCs w:val="20"/>
          <w:color w:val="auto"/>
        </w:rPr>
      </w:pPr>
    </w:p>
    <w:p>
      <w:pPr>
        <w:ind w:left="1560" w:hanging="1052"/>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17" w:lineRule="exact"/>
        <w:rPr>
          <w:sz w:val="20"/>
          <w:szCs w:val="20"/>
          <w:color w:val="auto"/>
        </w:rPr>
      </w:pPr>
    </w:p>
    <w:p>
      <w:pPr>
        <w:ind w:left="1560" w:right="200" w:hanging="1052"/>
        <w:spacing w:after="0" w:line="236" w:lineRule="auto"/>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 w:lineRule="exact"/>
        <w:rPr>
          <w:sz w:val="20"/>
          <w:szCs w:val="20"/>
          <w:color w:val="auto"/>
        </w:rPr>
      </w:pPr>
    </w:p>
    <w:p>
      <w:pPr>
        <w:ind w:left="1560" w:hanging="1096"/>
        <w:spacing w:after="0"/>
        <w:tabs>
          <w:tab w:leader="none" w:pos="1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54" w:lineRule="exact"/>
        <w:rPr>
          <w:sz w:val="20"/>
          <w:szCs w:val="20"/>
          <w:color w:val="auto"/>
        </w:rPr>
      </w:pPr>
    </w:p>
    <w:p>
      <w:pPr>
        <w:ind w:right="180"/>
        <w:spacing w:after="0" w:line="298" w:lineRule="auto"/>
        <w:rPr>
          <w:sz w:val="20"/>
          <w:szCs w:val="20"/>
          <w:color w:val="auto"/>
        </w:rPr>
      </w:pPr>
      <w:r>
        <w:rPr>
          <w:rFonts w:ascii="Arial" w:cs="Arial" w:eastAsia="Arial" w:hAnsi="Arial"/>
          <w:sz w:val="15"/>
          <w:szCs w:val="15"/>
          <w:color w:val="auto"/>
        </w:rPr>
        <w:t>Attached as Exhibit 101 to this report are the following formatted in iXBRL (Inline Extensible Business Reporting Language): (i) Condensed Consolidated Statements of Income for the three months ended January 29, 2022 and January 30, 2021, (ii) Condensed Consolidated Statements of Comprehensive Income for the three months ended January 29, 2022 and January 30, 2021, (iii) Condensed Consolidated Balance Sheets at January 29, 2022 and October 30, 2021,</w:t>
      </w:r>
    </w:p>
    <w:p>
      <w:pPr>
        <w:spacing w:after="0" w:line="1" w:lineRule="exact"/>
        <w:rPr>
          <w:sz w:val="20"/>
          <w:szCs w:val="20"/>
          <w:color w:val="auto"/>
        </w:rPr>
      </w:pPr>
    </w:p>
    <w:p>
      <w:pPr>
        <w:ind w:firstLine="5"/>
        <w:spacing w:after="0" w:line="246" w:lineRule="auto"/>
        <w:tabs>
          <w:tab w:leader="none" w:pos="2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Condensed Consolidated Statements of Shareholders' Equity for the three months ended January 29, 2022 and January 30, 2021, (v) Condensed Consolidated Statements of Cash Flows for the three months ended January 29, 2022 and January 30, 2021 and (vi) Notes to Condensed Consolidated Financial Statements for the three months ended January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7" w:name="page38"/>
    <w:bookmarkEnd w:id="37"/>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right="460"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3200" w:type="dxa"/>
            <w:vAlign w:val="bottom"/>
          </w:tcPr>
          <w:p>
            <w:pPr>
              <w:spacing w:after="0"/>
              <w:rPr>
                <w:sz w:val="19"/>
                <w:szCs w:val="19"/>
                <w:color w:val="auto"/>
              </w:rPr>
            </w:pPr>
          </w:p>
        </w:tc>
        <w:tc>
          <w:tcPr>
            <w:tcW w:w="7660" w:type="dxa"/>
            <w:vAlign w:val="bottom"/>
            <w:gridSpan w:val="2"/>
          </w:tcPr>
          <w:p>
            <w:pPr>
              <w:ind w:left="1500"/>
              <w:spacing w:after="0"/>
              <w:rPr>
                <w:sz w:val="20"/>
                <w:szCs w:val="20"/>
                <w:color w:val="auto"/>
              </w:rPr>
            </w:pPr>
            <w:r>
              <w:rPr>
                <w:rFonts w:ascii="Arial" w:cs="Arial" w:eastAsia="Arial" w:hAnsi="Arial"/>
                <w:sz w:val="18"/>
                <w:szCs w:val="18"/>
                <w:color w:val="auto"/>
              </w:rPr>
              <w:t>ANALOG DEVICES, INC.</w:t>
            </w:r>
          </w:p>
        </w:tc>
      </w:tr>
      <w:tr>
        <w:trPr>
          <w:trHeight w:val="487"/>
        </w:trPr>
        <w:tc>
          <w:tcPr>
            <w:tcW w:w="3200" w:type="dxa"/>
            <w:vAlign w:val="bottom"/>
          </w:tcPr>
          <w:p>
            <w:pPr>
              <w:spacing w:after="0"/>
              <w:rPr>
                <w:sz w:val="20"/>
                <w:szCs w:val="20"/>
                <w:color w:val="auto"/>
              </w:rPr>
            </w:pPr>
            <w:r>
              <w:rPr>
                <w:rFonts w:ascii="Arial" w:cs="Arial" w:eastAsia="Arial" w:hAnsi="Arial"/>
                <w:sz w:val="18"/>
                <w:szCs w:val="18"/>
                <w:color w:val="auto"/>
              </w:rPr>
              <w:t>Date: February 16, 2022</w:t>
            </w:r>
          </w:p>
        </w:tc>
        <w:tc>
          <w:tcPr>
            <w:tcW w:w="2040" w:type="dxa"/>
            <w:vAlign w:val="bottom"/>
          </w:tcPr>
          <w:p>
            <w:pPr>
              <w:ind w:left="150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Vincent Roche</w:t>
            </w:r>
          </w:p>
        </w:tc>
      </w:tr>
      <w:tr>
        <w:trPr>
          <w:trHeight w:val="217"/>
        </w:trPr>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Vincent Roche</w:t>
            </w:r>
          </w:p>
        </w:tc>
      </w:tr>
      <w:tr>
        <w:trPr>
          <w:trHeight w:val="224"/>
        </w:trPr>
        <w:tc>
          <w:tcPr>
            <w:tcW w:w="3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3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87"/>
        </w:trPr>
        <w:tc>
          <w:tcPr>
            <w:tcW w:w="3200" w:type="dxa"/>
            <w:vAlign w:val="bottom"/>
          </w:tcPr>
          <w:p>
            <w:pPr>
              <w:spacing w:after="0"/>
              <w:rPr>
                <w:sz w:val="20"/>
                <w:szCs w:val="20"/>
                <w:color w:val="auto"/>
              </w:rPr>
            </w:pPr>
            <w:r>
              <w:rPr>
                <w:rFonts w:ascii="Arial" w:cs="Arial" w:eastAsia="Arial" w:hAnsi="Arial"/>
                <w:sz w:val="18"/>
                <w:szCs w:val="18"/>
                <w:color w:val="auto"/>
              </w:rPr>
              <w:t>Date: February 16, 2022</w:t>
            </w:r>
          </w:p>
        </w:tc>
        <w:tc>
          <w:tcPr>
            <w:tcW w:w="2040" w:type="dxa"/>
            <w:vAlign w:val="bottom"/>
          </w:tcPr>
          <w:p>
            <w:pPr>
              <w:ind w:left="150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Prashanth Mahendra-Rajah</w:t>
            </w:r>
          </w:p>
        </w:tc>
      </w:tr>
      <w:tr>
        <w:trPr>
          <w:trHeight w:val="217"/>
        </w:trPr>
        <w:tc>
          <w:tcPr>
            <w:tcW w:w="3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Prashanth Mahendra-Rajah</w:t>
            </w:r>
          </w:p>
        </w:tc>
      </w:tr>
      <w:tr>
        <w:trPr>
          <w:trHeight w:val="224"/>
        </w:trPr>
        <w:tc>
          <w:tcPr>
            <w:tcW w:w="3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24"/>
        </w:trPr>
        <w:tc>
          <w:tcPr>
            <w:tcW w:w="3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320" w:top="990" w:right="659" w:bottom="1440" w:gutter="0" w:footer="0" w:header="0"/>
        </w:sectPr>
      </w:pPr>
    </w:p>
    <w:bookmarkStart w:id="38" w:name="page39"/>
    <w:bookmarkEnd w:id="38"/>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9"/>
          <w:szCs w:val="19"/>
          <w:b w:val="1"/>
          <w:bCs w:val="1"/>
          <w:color w:val="auto"/>
        </w:rPr>
        <w:t>Exhibit 10.1</w:t>
      </w:r>
    </w:p>
    <w:p>
      <w:pPr>
        <w:spacing w:after="0" w:line="19" w:lineRule="exact"/>
        <w:rPr>
          <w:sz w:val="20"/>
          <w:szCs w:val="20"/>
          <w:color w:val="auto"/>
        </w:rPr>
      </w:pPr>
    </w:p>
    <w:p>
      <w:pPr>
        <w:ind w:left="4160"/>
        <w:spacing w:after="0"/>
        <w:rPr>
          <w:sz w:val="20"/>
          <w:szCs w:val="20"/>
          <w:color w:val="auto"/>
        </w:rPr>
      </w:pPr>
      <w:r>
        <w:rPr>
          <w:rFonts w:ascii="Arial" w:cs="Arial" w:eastAsia="Arial" w:hAnsi="Arial"/>
          <w:sz w:val="19"/>
          <w:szCs w:val="19"/>
          <w:b w:val="1"/>
          <w:bCs w:val="1"/>
          <w:color w:val="auto"/>
        </w:rPr>
        <w:t>2020 EQUITY INCENTIVE PLAN</w:t>
      </w:r>
    </w:p>
    <w:p>
      <w:pPr>
        <w:ind w:left="3720"/>
        <w:spacing w:after="0" w:line="222" w:lineRule="auto"/>
        <w:rPr>
          <w:sz w:val="20"/>
          <w:szCs w:val="20"/>
          <w:color w:val="auto"/>
        </w:rPr>
      </w:pPr>
      <w:r>
        <w:rPr>
          <w:rFonts w:ascii="Arial" w:cs="Arial" w:eastAsia="Arial" w:hAnsi="Arial"/>
          <w:sz w:val="19"/>
          <w:szCs w:val="19"/>
          <w:b w:val="1"/>
          <w:bCs w:val="1"/>
          <w:color w:val="auto"/>
        </w:rPr>
        <w:t>RESTRICTED STOCK UNIT AGREEMENT</w:t>
      </w:r>
    </w:p>
    <w:p>
      <w:pPr>
        <w:jc w:val="center"/>
        <w:spacing w:after="0"/>
        <w:rPr>
          <w:sz w:val="20"/>
          <w:szCs w:val="20"/>
          <w:color w:val="auto"/>
        </w:rPr>
      </w:pPr>
      <w:r>
        <w:rPr>
          <w:rFonts w:ascii="Arial" w:cs="Arial" w:eastAsia="Arial" w:hAnsi="Arial"/>
          <w:sz w:val="19"/>
          <w:szCs w:val="19"/>
          <w:b w:val="1"/>
          <w:bCs w:val="1"/>
          <w:color w:val="auto"/>
        </w:rPr>
        <w:t>Private &amp; Confidential (Addressee Only)</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Participant Name</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Grant ID: Client Grant ID</w:t>
      </w:r>
    </w:p>
    <w:p>
      <w:pPr>
        <w:spacing w:after="0" w:line="203" w:lineRule="exact"/>
        <w:rPr>
          <w:sz w:val="20"/>
          <w:szCs w:val="20"/>
          <w:color w:val="auto"/>
        </w:rPr>
      </w:pPr>
    </w:p>
    <w:p>
      <w:pPr>
        <w:jc w:val="both"/>
        <w:spacing w:after="0" w:line="312" w:lineRule="auto"/>
        <w:rPr>
          <w:sz w:val="20"/>
          <w:szCs w:val="20"/>
          <w:color w:val="auto"/>
        </w:rPr>
      </w:pPr>
      <w:r>
        <w:rPr>
          <w:rFonts w:ascii="Arial" w:cs="Arial" w:eastAsia="Arial" w:hAnsi="Arial"/>
          <w:sz w:val="18"/>
          <w:szCs w:val="18"/>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All terms not defined herein shall have the meanings assigned to such terms in the Analog Devices, Inc. 2020 Equity Incentive Plan (the “Plan”).</w:t>
      </w:r>
    </w:p>
    <w:p>
      <w:pPr>
        <w:spacing w:after="0" w:line="239" w:lineRule="exact"/>
        <w:rPr>
          <w:sz w:val="20"/>
          <w:szCs w:val="20"/>
          <w:color w:val="auto"/>
        </w:rPr>
      </w:pPr>
    </w:p>
    <w:p>
      <w:pPr>
        <w:ind w:left="320" w:hanging="315"/>
        <w:spacing w:after="0"/>
        <w:tabs>
          <w:tab w:leader="none" w:pos="32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Restricted Stock Unit</w:t>
      </w:r>
      <w:r>
        <w:rPr>
          <w:rFonts w:ascii="Arial" w:cs="Arial" w:eastAsia="Arial" w:hAnsi="Arial"/>
          <w:sz w:val="19"/>
          <w:szCs w:val="19"/>
          <w:color w:val="auto"/>
        </w:rPr>
        <w:t>.</w:t>
      </w:r>
    </w:p>
    <w:p>
      <w:pPr>
        <w:spacing w:after="0" w:line="203" w:lineRule="exact"/>
        <w:rPr>
          <w:sz w:val="20"/>
          <w:szCs w:val="20"/>
          <w:color w:val="auto"/>
        </w:rPr>
      </w:pPr>
    </w:p>
    <w:p>
      <w:pPr>
        <w:ind w:left="320"/>
        <w:spacing w:after="0" w:line="304" w:lineRule="auto"/>
        <w:rPr>
          <w:sz w:val="20"/>
          <w:szCs w:val="20"/>
          <w:color w:val="auto"/>
        </w:rPr>
      </w:pPr>
      <w:r>
        <w:rPr>
          <w:rFonts w:ascii="Arial" w:cs="Arial" w:eastAsia="Arial" w:hAnsi="Arial"/>
          <w:sz w:val="19"/>
          <w:szCs w:val="19"/>
          <w:color w:val="auto"/>
        </w:rPr>
        <w:t>This Restricted Stock Unit Agreement (the “Agreement”) confirms that, subject to the terms and conditions of the Plan, the Company has granted to the Participant, effective on the Date of Grant set forth below, that number of RSUs set forth below:</w:t>
      </w:r>
    </w:p>
    <w:p>
      <w:pPr>
        <w:sectPr>
          <w:pgSz w:w="11900" w:h="16838" w:orient="portrait"/>
          <w:cols w:equalWidth="0" w:num="1">
            <w:col w:w="11240"/>
          </w:cols>
          <w:pgMar w:left="320" w:top="1440" w:right="339" w:bottom="1440" w:gutter="0" w:footer="0" w:header="0"/>
        </w:sectPr>
      </w:pPr>
    </w:p>
    <w:p>
      <w:pPr>
        <w:spacing w:after="0" w:line="7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Date of Grant:</w:t>
      </w:r>
    </w:p>
    <w:p>
      <w:pPr>
        <w:ind w:left="640"/>
        <w:spacing w:after="0"/>
        <w:rPr>
          <w:sz w:val="20"/>
          <w:szCs w:val="20"/>
          <w:color w:val="auto"/>
        </w:rPr>
      </w:pPr>
      <w:r>
        <w:rPr>
          <w:rFonts w:ascii="Arial" w:cs="Arial" w:eastAsia="Arial" w:hAnsi="Arial"/>
          <w:sz w:val="17"/>
          <w:szCs w:val="17"/>
          <w:color w:val="auto"/>
        </w:rPr>
        <w:t>Number of RSUs Granted: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ind w:left="760"/>
        <w:spacing w:after="0"/>
        <w:rPr>
          <w:sz w:val="20"/>
          <w:szCs w:val="20"/>
          <w:color w:val="auto"/>
        </w:rPr>
      </w:pPr>
      <w:r>
        <w:rPr>
          <w:rFonts w:ascii="Arial" w:cs="Arial" w:eastAsia="Arial" w:hAnsi="Arial"/>
          <w:sz w:val="17"/>
          <w:szCs w:val="17"/>
          <w:color w:val="auto"/>
        </w:rPr>
        <w:t>Number of Awards Granted</w:t>
      </w:r>
    </w:p>
    <w:p>
      <w:pPr>
        <w:spacing w:after="0" w:line="200" w:lineRule="exact"/>
        <w:rPr>
          <w:sz w:val="20"/>
          <w:szCs w:val="20"/>
          <w:color w:val="auto"/>
        </w:rPr>
      </w:pPr>
    </w:p>
    <w:p>
      <w:pPr>
        <w:sectPr>
          <w:pgSz w:w="11900" w:h="16838" w:orient="portrait"/>
          <w:cols w:equalWidth="0" w:num="2">
            <w:col w:w="2700" w:space="200"/>
            <w:col w:w="8340"/>
          </w:cols>
          <w:pgMar w:left="320" w:top="1440" w:right="339" w:bottom="1440" w:gutter="0" w:footer="0" w:header="0"/>
          <w:type w:val="continuous"/>
        </w:sectPr>
      </w:pPr>
    </w:p>
    <w:p>
      <w:pPr>
        <w:spacing w:after="0" w:line="10" w:lineRule="exact"/>
        <w:rPr>
          <w:sz w:val="20"/>
          <w:szCs w:val="20"/>
          <w:color w:val="auto"/>
        </w:rPr>
      </w:pPr>
    </w:p>
    <w:p>
      <w:pPr>
        <w:ind w:left="2220" w:hanging="1894"/>
        <w:spacing w:after="0" w:line="258" w:lineRule="auto"/>
        <w:tabs>
          <w:tab w:leader="none" w:pos="2200" w:val="left"/>
        </w:tabs>
        <w:rPr>
          <w:sz w:val="20"/>
          <w:szCs w:val="20"/>
          <w:color w:val="auto"/>
        </w:rPr>
      </w:pPr>
      <w:r>
        <w:rPr>
          <w:rFonts w:ascii="Arial" w:cs="Arial" w:eastAsia="Arial" w:hAnsi="Arial"/>
          <w:sz w:val="19"/>
          <w:szCs w:val="19"/>
          <w:color w:val="auto"/>
        </w:rPr>
        <w:t>Vesting Schedule:</w:t>
      </w:r>
      <w:r>
        <w:rPr>
          <w:sz w:val="20"/>
          <w:szCs w:val="20"/>
          <w:color w:val="auto"/>
        </w:rPr>
        <w:tab/>
      </w:r>
      <w:r>
        <w:rPr>
          <w:rFonts w:ascii="Arial" w:cs="Arial" w:eastAsia="Arial" w:hAnsi="Arial"/>
          <w:sz w:val="18"/>
          <w:szCs w:val="18"/>
          <w:color w:val="auto"/>
        </w:rPr>
        <w:t>The RSUs shall vest on the earlier of one year from Grant Date or the date of the Company’s next annual meeting of shareholders, subject to the Participant’s continued service as a member of the Board (a “Director”).</w:t>
      </w:r>
    </w:p>
    <w:p>
      <w:pPr>
        <w:spacing w:after="0" w:line="187" w:lineRule="exact"/>
        <w:rPr>
          <w:sz w:val="20"/>
          <w:szCs w:val="20"/>
          <w:color w:val="auto"/>
        </w:rPr>
      </w:pPr>
    </w:p>
    <w:p>
      <w:pPr>
        <w:jc w:val="both"/>
        <w:ind w:left="320"/>
        <w:spacing w:after="0" w:line="289" w:lineRule="auto"/>
        <w:rPr>
          <w:sz w:val="20"/>
          <w:szCs w:val="20"/>
          <w:color w:val="auto"/>
        </w:rPr>
      </w:pPr>
      <w:r>
        <w:rPr>
          <w:rFonts w:ascii="Arial" w:cs="Arial" w:eastAsia="Arial" w:hAnsi="Arial"/>
          <w:sz w:val="19"/>
          <w:szCs w:val="19"/>
          <w:color w:val="auto"/>
        </w:rPr>
        <w:t>Each one (1) RSU shall, if and when it vests in accordance with this Award,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45" w:lineRule="exact"/>
        <w:rPr>
          <w:sz w:val="20"/>
          <w:szCs w:val="20"/>
          <w:color w:val="auto"/>
        </w:rPr>
      </w:pPr>
    </w:p>
    <w:p>
      <w:pPr>
        <w:ind w:left="320" w:hanging="315"/>
        <w:spacing w:after="0"/>
        <w:tabs>
          <w:tab w:leader="none" w:pos="32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Vesting and Conversion</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ind w:left="800" w:hanging="479"/>
        <w:spacing w:after="0"/>
        <w:tabs>
          <w:tab w:leader="none" w:pos="8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Subject to the terms of the Plan and this Award, the RSUs shall vest and be settled in accordance with the schedule set forth in Section</w:t>
      </w:r>
    </w:p>
    <w:p>
      <w:pPr>
        <w:spacing w:after="0" w:line="54" w:lineRule="exact"/>
        <w:rPr>
          <w:rFonts w:ascii="Arial" w:cs="Arial" w:eastAsia="Arial" w:hAnsi="Arial"/>
          <w:sz w:val="17"/>
          <w:szCs w:val="17"/>
          <w:color w:val="auto"/>
        </w:rPr>
      </w:pPr>
    </w:p>
    <w:p>
      <w:pPr>
        <w:jc w:val="both"/>
        <w:ind w:left="640" w:hanging="3"/>
        <w:spacing w:after="0" w:line="315" w:lineRule="auto"/>
        <w:tabs>
          <w:tab w:leader="none" w:pos="837" w:val="left"/>
        </w:tabs>
        <w:numPr>
          <w:ilvl w:val="2"/>
          <w:numId w:val="24"/>
        </w:numPr>
        <w:rPr>
          <w:rFonts w:ascii="Arial" w:cs="Arial" w:eastAsia="Arial" w:hAnsi="Arial"/>
          <w:sz w:val="17"/>
          <w:szCs w:val="17"/>
          <w:color w:val="auto"/>
        </w:rPr>
      </w:pPr>
      <w:r>
        <w:rPr>
          <w:rFonts w:ascii="Arial" w:cs="Arial" w:eastAsia="Arial" w:hAnsi="Arial"/>
          <w:sz w:val="17"/>
          <w:szCs w:val="17"/>
          <w:color w:val="auto"/>
        </w:rPr>
        <w:t>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9"/>
          <w:szCs w:val="19"/>
          <w:color w:val="auto"/>
        </w:rPr>
        <w:t>securities laws and the requirements of any stock exchange upon which shares of Common Stock may then be listed.</w:t>
      </w:r>
    </w:p>
    <w:p>
      <w:pPr>
        <w:spacing w:after="0" w:line="216" w:lineRule="exact"/>
        <w:rPr>
          <w:sz w:val="20"/>
          <w:szCs w:val="20"/>
          <w:color w:val="auto"/>
        </w:rPr>
      </w:pPr>
    </w:p>
    <w:p>
      <w:pPr>
        <w:jc w:val="both"/>
        <w:ind w:left="640" w:hanging="319"/>
        <w:spacing w:after="0" w:line="312" w:lineRule="auto"/>
        <w:tabs>
          <w:tab w:leader="none" w:pos="8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3" w:lineRule="exact"/>
        <w:rPr>
          <w:rFonts w:ascii="Arial" w:cs="Arial" w:eastAsia="Arial" w:hAnsi="Arial"/>
          <w:sz w:val="18"/>
          <w:szCs w:val="18"/>
          <w:color w:val="auto"/>
        </w:rPr>
      </w:pPr>
    </w:p>
    <w:p>
      <w:pPr>
        <w:ind w:left="780" w:hanging="459"/>
        <w:spacing w:after="0"/>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In the event the Participant </w:t>
      </w:r>
      <w:r>
        <w:rPr>
          <w:rFonts w:ascii="Arial" w:cs="Arial" w:eastAsia="Arial" w:hAnsi="Arial"/>
          <w:sz w:val="18"/>
          <w:szCs w:val="18"/>
          <w:u w:val="single" w:color="auto"/>
          <w:color w:val="auto"/>
        </w:rPr>
        <w:t>dies</w:t>
      </w:r>
      <w:r>
        <w:rPr>
          <w:rFonts w:ascii="Arial" w:cs="Arial" w:eastAsia="Arial" w:hAnsi="Arial"/>
          <w:sz w:val="18"/>
          <w:szCs w:val="18"/>
          <w:color w:val="auto"/>
        </w:rPr>
        <w:t xml:space="preserve"> while a Director, all Unvested RSUs shall vest in full as of the date of the Participant’s death.</w:t>
      </w:r>
    </w:p>
    <w:p>
      <w:pPr>
        <w:spacing w:after="0" w:line="214" w:lineRule="exact"/>
        <w:rPr>
          <w:rFonts w:ascii="Arial" w:cs="Arial" w:eastAsia="Arial" w:hAnsi="Arial"/>
          <w:sz w:val="18"/>
          <w:szCs w:val="18"/>
          <w:color w:val="auto"/>
        </w:rPr>
      </w:pPr>
    </w:p>
    <w:p>
      <w:pPr>
        <w:jc w:val="both"/>
        <w:ind w:left="640" w:hanging="319"/>
        <w:spacing w:after="0" w:line="289" w:lineRule="auto"/>
        <w:tabs>
          <w:tab w:leader="none" w:pos="797"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In the event the Participant ceases to be a Director by reason of a </w:t>
      </w:r>
      <w:r>
        <w:rPr>
          <w:rFonts w:ascii="Arial" w:cs="Arial" w:eastAsia="Arial" w:hAnsi="Arial"/>
          <w:sz w:val="19"/>
          <w:szCs w:val="19"/>
          <w:u w:val="single" w:color="auto"/>
          <w:color w:val="auto"/>
        </w:rPr>
        <w:t>Disability</w:t>
      </w:r>
      <w:r>
        <w:rPr>
          <w:rFonts w:ascii="Arial" w:cs="Arial" w:eastAsia="Arial" w:hAnsi="Arial"/>
          <w:sz w:val="19"/>
          <w:szCs w:val="19"/>
          <w:color w:val="auto"/>
        </w:rPr>
        <w:t>, the Unvested RSUs as of the date of the Participant ceases to be a Director shall vest in full as of such date. “Disability” with respect to the Participant shall have the meaning set forth in Section 409(a)(2)(C) of the Code.</w:t>
      </w:r>
    </w:p>
    <w:p>
      <w:pPr>
        <w:spacing w:after="0" w:line="144" w:lineRule="exact"/>
        <w:rPr>
          <w:rFonts w:ascii="Arial" w:cs="Arial" w:eastAsia="Arial" w:hAnsi="Arial"/>
          <w:sz w:val="19"/>
          <w:szCs w:val="19"/>
          <w:color w:val="auto"/>
        </w:rPr>
      </w:pPr>
    </w:p>
    <w:p>
      <w:pPr>
        <w:jc w:val="both"/>
        <w:ind w:left="640" w:hanging="319"/>
        <w:spacing w:after="0" w:line="289" w:lineRule="auto"/>
        <w:tabs>
          <w:tab w:leader="none" w:pos="793"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If the Participant becomes an </w:t>
      </w: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31" w:lineRule="exact"/>
        <w:rPr>
          <w:rFonts w:ascii="Arial" w:cs="Arial" w:eastAsia="Arial" w:hAnsi="Arial"/>
          <w:sz w:val="19"/>
          <w:szCs w:val="19"/>
          <w:color w:val="auto"/>
        </w:rPr>
      </w:pPr>
    </w:p>
    <w:p>
      <w:pPr>
        <w:ind w:left="640" w:hanging="319"/>
        <w:spacing w:after="0" w:line="304" w:lineRule="auto"/>
        <w:tabs>
          <w:tab w:leader="none" w:pos="776" w:val="left"/>
        </w:tabs>
        <w:numPr>
          <w:ilvl w:val="1"/>
          <w:numId w:val="25"/>
        </w:numPr>
        <w:rPr>
          <w:rFonts w:ascii="Arial" w:cs="Arial" w:eastAsia="Arial" w:hAnsi="Arial"/>
          <w:sz w:val="19"/>
          <w:szCs w:val="19"/>
          <w:color w:val="auto"/>
        </w:rPr>
      </w:pPr>
      <w:r>
        <w:rPr>
          <w:rFonts w:ascii="Arial" w:cs="Arial" w:eastAsia="Arial" w:hAnsi="Arial"/>
          <w:sz w:val="19"/>
          <w:szCs w:val="19"/>
          <w:color w:val="auto"/>
        </w:rPr>
        <w:t>Notwithstanding anything in the Plan or herein, all Unvested RSUs shall vest in full as of a Change in Control Event (as defined in the Plan).</w:t>
      </w:r>
    </w:p>
    <w:p>
      <w:pPr>
        <w:spacing w:after="0" w:line="117" w:lineRule="exact"/>
        <w:rPr>
          <w:rFonts w:ascii="Arial" w:cs="Arial" w:eastAsia="Arial" w:hAnsi="Arial"/>
          <w:sz w:val="19"/>
          <w:szCs w:val="19"/>
          <w:color w:val="auto"/>
        </w:rPr>
      </w:pPr>
    </w:p>
    <w:p>
      <w:pPr>
        <w:ind w:left="640" w:hanging="319"/>
        <w:spacing w:after="0" w:line="334" w:lineRule="auto"/>
        <w:tabs>
          <w:tab w:leader="none" w:pos="8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108" w:lineRule="exact"/>
        <w:rPr>
          <w:rFonts w:ascii="Arial" w:cs="Arial" w:eastAsia="Arial" w:hAnsi="Arial"/>
          <w:sz w:val="18"/>
          <w:szCs w:val="18"/>
          <w:color w:val="auto"/>
        </w:rPr>
      </w:pPr>
    </w:p>
    <w:p>
      <w:pPr>
        <w:ind w:left="320" w:hanging="315"/>
        <w:spacing w:after="0"/>
        <w:tabs>
          <w:tab w:leader="none" w:pos="32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Restrictions on Transfer</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ind w:left="780" w:hanging="459"/>
        <w:spacing w:after="0"/>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Participant shall not sell, assign, transfer, pledge or otherwise encumber any RSUs, either voluntarily or by operation of law.</w:t>
      </w:r>
    </w:p>
    <w:p>
      <w:pPr>
        <w:spacing w:after="0" w:line="214" w:lineRule="exact"/>
        <w:rPr>
          <w:rFonts w:ascii="Arial" w:cs="Arial" w:eastAsia="Arial" w:hAnsi="Arial"/>
          <w:sz w:val="18"/>
          <w:szCs w:val="18"/>
          <w:color w:val="auto"/>
        </w:rPr>
      </w:pPr>
    </w:p>
    <w:p>
      <w:pPr>
        <w:jc w:val="both"/>
        <w:ind w:left="640" w:hanging="319"/>
        <w:spacing w:after="0" w:line="289" w:lineRule="auto"/>
        <w:tabs>
          <w:tab w:leader="none" w:pos="815"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4" w:lineRule="exact"/>
        <w:rPr>
          <w:rFonts w:ascii="Arial" w:cs="Arial" w:eastAsia="Arial" w:hAnsi="Arial"/>
          <w:sz w:val="19"/>
          <w:szCs w:val="19"/>
          <w:color w:val="auto"/>
        </w:rPr>
      </w:pPr>
    </w:p>
    <w:p>
      <w:pPr>
        <w:jc w:val="both"/>
        <w:ind w:left="320" w:hanging="315"/>
        <w:spacing w:after="0" w:line="282" w:lineRule="auto"/>
        <w:tabs>
          <w:tab w:leader="none" w:pos="32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Not a Shareholder</w:t>
      </w:r>
      <w:r>
        <w:rPr>
          <w:rFonts w:ascii="Arial" w:cs="Arial" w:eastAsia="Arial" w:hAnsi="Arial"/>
          <w:sz w:val="19"/>
          <w:szCs w:val="19"/>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37" w:lineRule="exact"/>
        <w:rPr>
          <w:rFonts w:ascii="Arial" w:cs="Arial" w:eastAsia="Arial" w:hAnsi="Arial"/>
          <w:sz w:val="19"/>
          <w:szCs w:val="19"/>
          <w:color w:val="auto"/>
        </w:rPr>
      </w:pPr>
    </w:p>
    <w:p>
      <w:pPr>
        <w:ind w:left="320" w:hanging="315"/>
        <w:spacing w:after="0"/>
        <w:tabs>
          <w:tab w:leader="none" w:pos="32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Provisions of the Plan</w:t>
      </w:r>
      <w:r>
        <w:rPr>
          <w:rFonts w:ascii="Arial" w:cs="Arial" w:eastAsia="Arial" w:hAnsi="Arial"/>
          <w:sz w:val="19"/>
          <w:szCs w:val="19"/>
          <w:color w:val="auto"/>
        </w:rPr>
        <w:t>. The RSUs and Shares, including the grant and issuance thereof, are subject to the provisions of the Plan.</w:t>
      </w:r>
    </w:p>
    <w:p>
      <w:pPr>
        <w:spacing w:after="0" w:line="202" w:lineRule="exact"/>
        <w:rPr>
          <w:rFonts w:ascii="Arial" w:cs="Arial" w:eastAsia="Arial" w:hAnsi="Arial"/>
          <w:sz w:val="19"/>
          <w:szCs w:val="19"/>
          <w:color w:val="auto"/>
        </w:rPr>
      </w:pPr>
    </w:p>
    <w:p>
      <w:pPr>
        <w:ind w:left="320" w:hanging="315"/>
        <w:spacing w:after="0" w:line="304" w:lineRule="auto"/>
        <w:tabs>
          <w:tab w:leader="none" w:pos="32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Any Shares that are issued and any cash payment that is delivered, in either case upon settlement of the RSUs pursuant to this Award, will be in consideration of the Participant’s service as 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9"/>
          <w:szCs w:val="19"/>
          <w:color w:val="auto"/>
        </w:rPr>
        <w:t>member of the Board and/or the Participant’s continued employment with the Company, which consideration is deemed sufficient.</w:t>
      </w:r>
    </w:p>
    <w:p>
      <w:pPr>
        <w:spacing w:after="0" w:line="216" w:lineRule="exact"/>
        <w:rPr>
          <w:sz w:val="20"/>
          <w:szCs w:val="20"/>
          <w:color w:val="auto"/>
        </w:rPr>
      </w:pPr>
    </w:p>
    <w:p>
      <w:pPr>
        <w:ind w:left="320" w:hanging="315"/>
        <w:spacing w:after="0"/>
        <w:tabs>
          <w:tab w:leader="none" w:pos="32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w:t>
      </w:r>
    </w:p>
    <w:p>
      <w:pPr>
        <w:spacing w:after="0" w:line="268" w:lineRule="exact"/>
        <w:rPr>
          <w:rFonts w:ascii="Arial" w:cs="Arial" w:eastAsia="Arial" w:hAnsi="Arial"/>
          <w:sz w:val="19"/>
          <w:szCs w:val="19"/>
          <w:color w:val="auto"/>
        </w:rPr>
      </w:pPr>
    </w:p>
    <w:p>
      <w:pPr>
        <w:jc w:val="both"/>
        <w:ind w:left="640" w:hanging="319"/>
        <w:spacing w:after="0" w:line="297" w:lineRule="auto"/>
        <w:tabs>
          <w:tab w:leader="none" w:pos="811"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that the Company (i) makes no representations or undertakings regarding the treatment of any Tax-Related Items in connection with any aspect of the RSUs, including the grant or vesting of the RSUs, the subsequent sale of any Shares acquired pursuant to the RSUs and the receipt of any dividends; and (ii) does not commit to structure the terms of the grant or any aspect of the RSUs to reduce or eliminate the Participant’s liability for Tax-Related Items.</w:t>
      </w:r>
    </w:p>
    <w:p>
      <w:pPr>
        <w:spacing w:after="0" w:line="128" w:lineRule="exact"/>
        <w:rPr>
          <w:rFonts w:ascii="Arial" w:cs="Arial" w:eastAsia="Arial" w:hAnsi="Arial"/>
          <w:sz w:val="18"/>
          <w:szCs w:val="18"/>
          <w:color w:val="auto"/>
        </w:rPr>
      </w:pPr>
    </w:p>
    <w:p>
      <w:pPr>
        <w:jc w:val="both"/>
        <w:ind w:left="640" w:hanging="319"/>
        <w:spacing w:after="0" w:line="289" w:lineRule="auto"/>
        <w:tabs>
          <w:tab w:leader="none" w:pos="872" w:val="left"/>
        </w:tabs>
        <w:numPr>
          <w:ilvl w:val="1"/>
          <w:numId w:val="27"/>
        </w:numPr>
        <w:rPr>
          <w:rFonts w:ascii="Arial" w:cs="Arial" w:eastAsia="Arial" w:hAnsi="Arial"/>
          <w:sz w:val="19"/>
          <w:szCs w:val="19"/>
          <w:color w:val="auto"/>
        </w:rPr>
      </w:pPr>
      <w:r>
        <w:rPr>
          <w:rFonts w:ascii="Arial" w:cs="Arial" w:eastAsia="Arial" w:hAnsi="Arial"/>
          <w:sz w:val="19"/>
          <w:szCs w:val="19"/>
          <w:color w:val="auto"/>
        </w:rPr>
        <w:t>In connection with the delivery of Shares upon vesting of the RSUs, if any taxing jurisdiction requires withholding of Tax-Related Items, the Participant authorizes the Company to satisfy the obligations with regard to all Tax-Related Items, if any, by one or a combination of methods set forth below:</w:t>
      </w:r>
    </w:p>
    <w:p>
      <w:pPr>
        <w:spacing w:after="0" w:line="131" w:lineRule="exact"/>
        <w:rPr>
          <w:rFonts w:ascii="Arial" w:cs="Arial" w:eastAsia="Arial" w:hAnsi="Arial"/>
          <w:sz w:val="19"/>
          <w:szCs w:val="19"/>
          <w:color w:val="auto"/>
        </w:rPr>
      </w:pPr>
    </w:p>
    <w:p>
      <w:pPr>
        <w:jc w:val="both"/>
        <w:ind w:left="1260" w:hanging="307"/>
        <w:spacing w:after="0" w:line="301" w:lineRule="auto"/>
        <w:tabs>
          <w:tab w:leader="none" w:pos="1257"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Company may withhold a number of whole Shares otherwise issuable upon vesting of the RSUs that have an aggregate Fair Market Value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No fractional Shares will be withheld or issued pursuant to the grant of the RSUs and the issuance of Shares hereunder.</w:t>
      </w:r>
    </w:p>
    <w:p>
      <w:pPr>
        <w:spacing w:after="0" w:line="136" w:lineRule="exact"/>
        <w:rPr>
          <w:rFonts w:ascii="Arial" w:cs="Arial" w:eastAsia="Arial" w:hAnsi="Arial"/>
          <w:sz w:val="18"/>
          <w:szCs w:val="18"/>
          <w:color w:val="auto"/>
        </w:rPr>
      </w:pPr>
    </w:p>
    <w:p>
      <w:pPr>
        <w:ind w:left="1260" w:hanging="307"/>
        <w:spacing w:after="0" w:line="304" w:lineRule="auto"/>
        <w:tabs>
          <w:tab w:leader="none" w:pos="1257" w:val="left"/>
        </w:tabs>
        <w:numPr>
          <w:ilvl w:val="2"/>
          <w:numId w:val="27"/>
        </w:numPr>
        <w:rPr>
          <w:rFonts w:ascii="Arial" w:cs="Arial" w:eastAsia="Arial" w:hAnsi="Arial"/>
          <w:sz w:val="19"/>
          <w:szCs w:val="19"/>
          <w:color w:val="auto"/>
        </w:rPr>
      </w:pPr>
      <w:r>
        <w:rPr>
          <w:rFonts w:ascii="Arial" w:cs="Arial" w:eastAsia="Arial" w:hAnsi="Arial"/>
          <w:sz w:val="19"/>
          <w:szCs w:val="19"/>
          <w:color w:val="auto"/>
        </w:rPr>
        <w:t>the Company may, in its discretion, withhold any amount necessary to pay the Tax-Related Items from the Participant’s salary or other amounts payable to the Participant.</w:t>
      </w:r>
    </w:p>
    <w:p>
      <w:pPr>
        <w:spacing w:after="0" w:line="117" w:lineRule="exact"/>
        <w:rPr>
          <w:rFonts w:ascii="Arial" w:cs="Arial" w:eastAsia="Arial" w:hAnsi="Arial"/>
          <w:sz w:val="19"/>
          <w:szCs w:val="19"/>
          <w:color w:val="auto"/>
        </w:rPr>
      </w:pPr>
    </w:p>
    <w:p>
      <w:pPr>
        <w:ind w:left="1260" w:hanging="307"/>
        <w:spacing w:after="0" w:line="304" w:lineRule="auto"/>
        <w:tabs>
          <w:tab w:leader="none" w:pos="1258" w:val="left"/>
        </w:tabs>
        <w:numPr>
          <w:ilvl w:val="2"/>
          <w:numId w:val="27"/>
        </w:numPr>
        <w:rPr>
          <w:rFonts w:ascii="Arial" w:cs="Arial" w:eastAsia="Arial" w:hAnsi="Arial"/>
          <w:sz w:val="19"/>
          <w:szCs w:val="19"/>
          <w:color w:val="auto"/>
        </w:rPr>
      </w:pPr>
      <w:r>
        <w:rPr>
          <w:rFonts w:ascii="Arial" w:cs="Arial" w:eastAsia="Arial" w:hAnsi="Arial"/>
          <w:sz w:val="19"/>
          <w:szCs w:val="19"/>
          <w:color w:val="auto"/>
        </w:rPr>
        <w:t>the Company may withhold from proceeds of the sale of Shares either through a voluntary sale or through a mandatory sale arranged by the Company (on the Participant’s behalf pursuant to this authorization).</w:t>
      </w:r>
    </w:p>
    <w:p>
      <w:pPr>
        <w:spacing w:after="0" w:line="117" w:lineRule="exact"/>
        <w:rPr>
          <w:rFonts w:ascii="Arial" w:cs="Arial" w:eastAsia="Arial" w:hAnsi="Arial"/>
          <w:sz w:val="19"/>
          <w:szCs w:val="19"/>
          <w:color w:val="auto"/>
        </w:rPr>
      </w:pPr>
    </w:p>
    <w:p>
      <w:pPr>
        <w:ind w:left="1240" w:hanging="287"/>
        <w:spacing w:after="0"/>
        <w:tabs>
          <w:tab w:leader="none" w:pos="1240" w:val="left"/>
        </w:tabs>
        <w:numPr>
          <w:ilvl w:val="2"/>
          <w:numId w:val="27"/>
        </w:numPr>
        <w:rPr>
          <w:rFonts w:ascii="Arial" w:cs="Arial" w:eastAsia="Arial" w:hAnsi="Arial"/>
          <w:sz w:val="19"/>
          <w:szCs w:val="19"/>
          <w:color w:val="auto"/>
        </w:rPr>
      </w:pPr>
      <w:r>
        <w:rPr>
          <w:rFonts w:ascii="Arial" w:cs="Arial" w:eastAsia="Arial" w:hAnsi="Arial"/>
          <w:sz w:val="19"/>
          <w:szCs w:val="19"/>
          <w:color w:val="auto"/>
        </w:rPr>
        <w:t>any other method determined by the Company, to the extent permitted under the Plan and applicable laws.</w:t>
      </w:r>
    </w:p>
    <w:p>
      <w:pPr>
        <w:spacing w:after="0" w:line="216" w:lineRule="exact"/>
        <w:rPr>
          <w:sz w:val="20"/>
          <w:szCs w:val="20"/>
          <w:color w:val="auto"/>
        </w:rPr>
      </w:pPr>
    </w:p>
    <w:p>
      <w:pPr>
        <w:jc w:val="both"/>
        <w:ind w:left="1260"/>
        <w:spacing w:after="0" w:line="297" w:lineRule="auto"/>
        <w:rPr>
          <w:sz w:val="20"/>
          <w:szCs w:val="20"/>
          <w:color w:val="auto"/>
        </w:rPr>
      </w:pPr>
      <w:r>
        <w:rPr>
          <w:rFonts w:ascii="Arial" w:cs="Arial" w:eastAsia="Arial" w:hAnsi="Arial"/>
          <w:sz w:val="18"/>
          <w:szCs w:val="18"/>
          <w:color w:val="auto"/>
        </w:rPr>
        <w:t>The Company may withhold or account for Tax-Related Items by considering statutory withholding amounts or other applicable withholding rates, including maximum applicable rates in the Participant’s jurisdiction(s). If the Company withholds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withholds less than the amount necessary to satisfy the liability for Tax-Related Items, the Participant may be required to pay additional Tax-Related Items directly to the applicable tax authorities or to the Company. If the obligation for Tax-Related Items is satisfied by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1260"/>
        <w:spacing w:after="0" w:line="289" w:lineRule="auto"/>
        <w:rPr>
          <w:sz w:val="20"/>
          <w:szCs w:val="20"/>
          <w:color w:val="auto"/>
        </w:rPr>
      </w:pPr>
      <w:r>
        <w:rPr>
          <w:rFonts w:ascii="Arial" w:cs="Arial" w:eastAsia="Arial" w:hAnsi="Arial"/>
          <w:sz w:val="19"/>
          <w:szCs w:val="19"/>
          <w:color w:val="auto"/>
        </w:rPr>
        <w:t>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45" w:lineRule="exact"/>
        <w:rPr>
          <w:sz w:val="20"/>
          <w:szCs w:val="20"/>
          <w:color w:val="auto"/>
        </w:rPr>
      </w:pPr>
    </w:p>
    <w:p>
      <w:pPr>
        <w:jc w:val="both"/>
        <w:ind w:left="1260"/>
        <w:spacing w:after="0" w:line="297" w:lineRule="auto"/>
        <w:rPr>
          <w:sz w:val="20"/>
          <w:szCs w:val="20"/>
          <w:color w:val="auto"/>
        </w:rPr>
      </w:pPr>
      <w:r>
        <w:rPr>
          <w:rFonts w:ascii="Arial" w:cs="Arial" w:eastAsia="Arial" w:hAnsi="Arial"/>
          <w:sz w:val="18"/>
          <w:szCs w:val="18"/>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28" w:lineRule="exact"/>
        <w:rPr>
          <w:sz w:val="20"/>
          <w:szCs w:val="20"/>
          <w:color w:val="auto"/>
        </w:rPr>
      </w:pPr>
    </w:p>
    <w:p>
      <w:pPr>
        <w:jc w:val="both"/>
        <w:ind w:left="320" w:hanging="315"/>
        <w:spacing w:after="0" w:line="319" w:lineRule="auto"/>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Option of Company to Deliver Cash</w:t>
      </w:r>
      <w:r>
        <w:rPr>
          <w:rFonts w:ascii="Arial" w:cs="Arial" w:eastAsia="Arial" w:hAnsi="Arial"/>
          <w:sz w:val="17"/>
          <w:szCs w:val="17"/>
          <w:color w:val="auto"/>
        </w:rPr>
        <w:t>. Notwithstanding any of the other provisions of this Award,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12" w:lineRule="exact"/>
        <w:rPr>
          <w:rFonts w:ascii="Arial" w:cs="Arial" w:eastAsia="Arial" w:hAnsi="Arial"/>
          <w:sz w:val="17"/>
          <w:szCs w:val="17"/>
          <w:color w:val="auto"/>
        </w:rPr>
      </w:pPr>
    </w:p>
    <w:p>
      <w:pPr>
        <w:jc w:val="both"/>
        <w:ind w:left="320" w:hanging="315"/>
        <w:spacing w:after="0" w:line="284" w:lineRule="auto"/>
        <w:tabs>
          <w:tab w:leader="none" w:pos="32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Participant’s participation in the Plan, or the Participant’s acquisition or sale of the underlying Shares. The Participant is encouraged to consult with his or her own personal tax, legal and financial advisors regarding his or her participation in the Plan before taking any action related to the Plan.</w:t>
      </w:r>
    </w:p>
    <w:p>
      <w:pPr>
        <w:spacing w:after="0" w:line="150" w:lineRule="exact"/>
        <w:rPr>
          <w:rFonts w:ascii="Arial" w:cs="Arial" w:eastAsia="Arial" w:hAnsi="Arial"/>
          <w:sz w:val="19"/>
          <w:szCs w:val="19"/>
          <w:color w:val="auto"/>
        </w:rPr>
      </w:pPr>
    </w:p>
    <w:p>
      <w:pPr>
        <w:ind w:left="320" w:hanging="315"/>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Privacy Information and Consent (applicable only if the Participant resides outside the United States)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The Company is located at</w:t>
      </w:r>
    </w:p>
    <w:p>
      <w:pPr>
        <w:spacing w:after="0" w:line="54" w:lineRule="exact"/>
        <w:rPr>
          <w:rFonts w:ascii="Arial" w:cs="Arial" w:eastAsia="Arial" w:hAnsi="Arial"/>
          <w:sz w:val="17"/>
          <w:szCs w:val="17"/>
          <w:color w:val="auto"/>
        </w:rPr>
      </w:pPr>
    </w:p>
    <w:p>
      <w:pPr>
        <w:jc w:val="both"/>
        <w:ind w:left="320"/>
        <w:spacing w:after="0" w:line="289" w:lineRule="auto"/>
        <w:rPr>
          <w:rFonts w:ascii="Arial" w:cs="Arial" w:eastAsia="Arial" w:hAnsi="Arial"/>
          <w:sz w:val="17"/>
          <w:szCs w:val="17"/>
          <w:color w:val="auto"/>
        </w:rPr>
      </w:pPr>
      <w:r>
        <w:rPr>
          <w:rFonts w:ascii="Arial" w:cs="Arial" w:eastAsia="Arial" w:hAnsi="Arial"/>
          <w:sz w:val="19"/>
          <w:szCs w:val="19"/>
          <w:b w:val="1"/>
          <w:bCs w:val="1"/>
          <w:i w:val="1"/>
          <w:iCs w:val="1"/>
          <w:color w:val="auto"/>
        </w:rPr>
        <w:t>One Analog Way, Wilmington, Massachusetts, 01887 U.S.A. and grants directors of the Company RSUs, at the Company’s sole discretion. If the Participant would like to participate in the Plan, please review the following information about the Company’s data processing practices and declare the Participant’s consent.</w:t>
      </w:r>
    </w:p>
    <w:p>
      <w:pPr>
        <w:spacing w:after="0" w:line="131" w:lineRule="exact"/>
        <w:rPr>
          <w:rFonts w:ascii="Arial" w:cs="Arial" w:eastAsia="Arial" w:hAnsi="Arial"/>
          <w:sz w:val="17"/>
          <w:szCs w:val="17"/>
          <w:color w:val="auto"/>
        </w:rPr>
      </w:pPr>
    </w:p>
    <w:p>
      <w:pPr>
        <w:jc w:val="both"/>
        <w:ind w:left="640" w:hanging="319"/>
        <w:spacing w:after="0" w:line="342" w:lineRule="auto"/>
        <w:tabs>
          <w:tab w:leader="none" w:pos="630" w:val="left"/>
        </w:tabs>
        <w:numPr>
          <w:ilvl w:val="1"/>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98" w:lineRule="exact"/>
        <w:rPr>
          <w:rFonts w:ascii="Arial" w:cs="Arial" w:eastAsia="Arial" w:hAnsi="Arial"/>
          <w:sz w:val="16"/>
          <w:szCs w:val="16"/>
          <w:b w:val="1"/>
          <w:bCs w:val="1"/>
          <w:i w:val="1"/>
          <w:iCs w:val="1"/>
          <w:color w:val="auto"/>
        </w:rPr>
      </w:pPr>
    </w:p>
    <w:p>
      <w:pPr>
        <w:ind w:left="640" w:hanging="319"/>
        <w:spacing w:after="0" w:line="304" w:lineRule="auto"/>
        <w:tabs>
          <w:tab w:leader="none" w:pos="630" w:val="left"/>
        </w:tabs>
        <w:numPr>
          <w:ilvl w:val="1"/>
          <w:numId w:val="2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The Company transfers participant data to Fidelity Stock Plan Services LLC, an independent service provider based in the United States, which assists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320"/>
        <w:spacing w:after="0" w:line="282" w:lineRule="auto"/>
        <w:rPr>
          <w:sz w:val="20"/>
          <w:szCs w:val="20"/>
          <w:color w:val="auto"/>
        </w:rPr>
      </w:pPr>
      <w:r>
        <w:rPr>
          <w:rFonts w:ascii="Arial" w:cs="Arial" w:eastAsia="Arial" w:hAnsi="Arial"/>
          <w:sz w:val="19"/>
          <w:szCs w:val="19"/>
          <w:b w:val="1"/>
          <w:bCs w:val="1"/>
          <w:i w:val="1"/>
          <w:iCs w:val="1"/>
          <w:color w:val="auto"/>
        </w:rPr>
        <w:t>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51" w:lineRule="exact"/>
        <w:rPr>
          <w:sz w:val="20"/>
          <w:szCs w:val="20"/>
          <w:color w:val="auto"/>
        </w:rPr>
      </w:pPr>
    </w:p>
    <w:p>
      <w:pPr>
        <w:jc w:val="both"/>
        <w:ind w:left="320" w:hanging="319"/>
        <w:spacing w:after="0" w:line="314" w:lineRule="auto"/>
        <w:tabs>
          <w:tab w:leader="none" w:pos="312"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International Data Transfers</w:t>
      </w:r>
      <w:r>
        <w:rPr>
          <w:rFonts w:ascii="Arial" w:cs="Arial" w:eastAsia="Arial" w:hAnsi="Arial"/>
          <w:sz w:val="17"/>
          <w:szCs w:val="17"/>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9" w:lineRule="exact"/>
        <w:rPr>
          <w:rFonts w:ascii="Arial" w:cs="Arial" w:eastAsia="Arial" w:hAnsi="Arial"/>
          <w:sz w:val="17"/>
          <w:szCs w:val="17"/>
          <w:b w:val="1"/>
          <w:bCs w:val="1"/>
          <w:i w:val="1"/>
          <w:iCs w:val="1"/>
          <w:color w:val="auto"/>
        </w:rPr>
      </w:pPr>
    </w:p>
    <w:p>
      <w:pPr>
        <w:jc w:val="both"/>
        <w:ind w:left="320" w:hanging="319"/>
        <w:spacing w:after="0" w:line="282" w:lineRule="auto"/>
        <w:tabs>
          <w:tab w:leader="none" w:pos="310" w:val="left"/>
        </w:tabs>
        <w:numPr>
          <w:ilvl w:val="0"/>
          <w:numId w:val="29"/>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service as a director. If the Company keeps data longer, it would be to satisfy legal or regulatory obligations and the Company’s legal basis would be relevant laws or regulations.</w:t>
      </w:r>
    </w:p>
    <w:p>
      <w:pPr>
        <w:spacing w:after="0" w:line="137" w:lineRule="exact"/>
        <w:rPr>
          <w:rFonts w:ascii="Arial" w:cs="Arial" w:eastAsia="Arial" w:hAnsi="Arial"/>
          <w:sz w:val="19"/>
          <w:szCs w:val="19"/>
          <w:b w:val="1"/>
          <w:bCs w:val="1"/>
          <w:i w:val="1"/>
          <w:iCs w:val="1"/>
          <w:color w:val="auto"/>
        </w:rPr>
      </w:pPr>
    </w:p>
    <w:p>
      <w:pPr>
        <w:jc w:val="both"/>
        <w:ind w:left="320" w:hanging="319"/>
        <w:spacing w:after="0" w:line="327" w:lineRule="auto"/>
        <w:tabs>
          <w:tab w:leader="none" w:pos="312"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Voluntariness and Consequences of Consent Denial or Withdrawal</w:t>
      </w:r>
      <w:r>
        <w:rPr>
          <w:rFonts w:ascii="Arial" w:cs="Arial" w:eastAsia="Arial" w:hAnsi="Arial"/>
          <w:sz w:val="17"/>
          <w:szCs w:val="17"/>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relationship with the Company; the Participant would merely forfeit the opportunities associated with the Plan.</w:t>
      </w:r>
    </w:p>
    <w:p>
      <w:pPr>
        <w:spacing w:after="0" w:line="118" w:lineRule="exact"/>
        <w:rPr>
          <w:rFonts w:ascii="Arial" w:cs="Arial" w:eastAsia="Arial" w:hAnsi="Arial"/>
          <w:sz w:val="17"/>
          <w:szCs w:val="17"/>
          <w:b w:val="1"/>
          <w:bCs w:val="1"/>
          <w:i w:val="1"/>
          <w:iCs w:val="1"/>
          <w:color w:val="auto"/>
        </w:rPr>
      </w:pPr>
    </w:p>
    <w:p>
      <w:pPr>
        <w:jc w:val="both"/>
        <w:ind w:left="320" w:hanging="319"/>
        <w:spacing w:after="0" w:line="297" w:lineRule="auto"/>
        <w:tabs>
          <w:tab w:leader="none" w:pos="317"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920"/>
          </w:cols>
          <w:pgMar w:left="640" w:top="1440" w:right="339" w:bottom="1440" w:gutter="0" w:footer="0" w:header="0"/>
        </w:sectPr>
      </w:pPr>
    </w:p>
    <w:bookmarkStart w:id="43" w:name="page44"/>
    <w:bookmarkEnd w:id="43"/>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320" w:hanging="315"/>
        <w:spacing w:after="0" w:line="297" w:lineRule="auto"/>
        <w:tabs>
          <w:tab w:leader="none" w:pos="30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Repatriation: Compliance with Laws</w:t>
      </w:r>
      <w:r>
        <w:rPr>
          <w:rFonts w:ascii="Arial" w:cs="Arial" w:eastAsia="Arial" w:hAnsi="Arial"/>
          <w:sz w:val="18"/>
          <w:szCs w:val="18"/>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41" w:lineRule="exact"/>
        <w:rPr>
          <w:rFonts w:ascii="Arial" w:cs="Arial" w:eastAsia="Arial" w:hAnsi="Arial"/>
          <w:sz w:val="18"/>
          <w:szCs w:val="18"/>
          <w:color w:val="auto"/>
        </w:rPr>
      </w:pPr>
    </w:p>
    <w:p>
      <w:pPr>
        <w:ind w:left="320" w:hanging="315"/>
        <w:spacing w:after="0"/>
        <w:tabs>
          <w:tab w:leader="none" w:pos="32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jc w:val="both"/>
        <w:ind w:left="640" w:hanging="319"/>
        <w:spacing w:after="0" w:line="322" w:lineRule="auto"/>
        <w:tabs>
          <w:tab w:leader="none" w:pos="779"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No Rights to Board Service</w:t>
      </w:r>
      <w:r>
        <w:rPr>
          <w:rFonts w:ascii="Arial" w:cs="Arial" w:eastAsia="Arial" w:hAnsi="Arial"/>
          <w:sz w:val="17"/>
          <w:szCs w:val="17"/>
          <w:color w:val="auto"/>
        </w:rPr>
        <w:t>. The grant of the RSUs shall not confer upon the Participant any right to continue to serve on the Board or, if applicable, as an employee of the Company or its subsidiaries, nor limit in any way the terms of the Participant’s service on the Board, including for removal therefrom. Except in the event of a termination of employment due to death or Disability, the vesting of the RSUs pursuant to Section 2 hereof is earned only by satisfaction of the performance conditions, if any, and continuing service on the Board or as otherwise set forth in Section 2 (not through the act of being elected, hired or engaged or being granted the RSUs hereunder).</w:t>
      </w:r>
    </w:p>
    <w:p>
      <w:pPr>
        <w:spacing w:after="0" w:line="109" w:lineRule="exact"/>
        <w:rPr>
          <w:rFonts w:ascii="Arial" w:cs="Arial" w:eastAsia="Arial" w:hAnsi="Arial"/>
          <w:sz w:val="17"/>
          <w:szCs w:val="17"/>
          <w:color w:val="auto"/>
        </w:rPr>
      </w:pPr>
    </w:p>
    <w:p>
      <w:pPr>
        <w:jc w:val="both"/>
        <w:ind w:left="640" w:hanging="319"/>
        <w:spacing w:after="0" w:line="319" w:lineRule="auto"/>
        <w:tabs>
          <w:tab w:leader="none" w:pos="79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Discretionary Nature</w:t>
      </w:r>
      <w:r>
        <w:rPr>
          <w:rFonts w:ascii="Arial" w:cs="Arial" w:eastAsia="Arial" w:hAnsi="Arial"/>
          <w:sz w:val="17"/>
          <w:szCs w:val="17"/>
          <w:color w:val="auto"/>
        </w:rPr>
        <w:t>. The Participant acknowledges and agrees that the Plan is discretionary in nature and may be amended, cancelled, or terminated by the Company at any time, to the extent permitted under the Plan.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service with the Company.</w:t>
      </w:r>
    </w:p>
    <w:p>
      <w:pPr>
        <w:spacing w:after="0" w:line="125" w:lineRule="exact"/>
        <w:rPr>
          <w:rFonts w:ascii="Arial" w:cs="Arial" w:eastAsia="Arial" w:hAnsi="Arial"/>
          <w:sz w:val="17"/>
          <w:szCs w:val="17"/>
          <w:color w:val="auto"/>
        </w:rPr>
      </w:pPr>
    </w:p>
    <w:p>
      <w:pPr>
        <w:jc w:val="both"/>
        <w:ind w:left="640" w:hanging="319"/>
        <w:spacing w:after="0" w:line="280" w:lineRule="auto"/>
        <w:tabs>
          <w:tab w:leader="none" w:pos="819"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Exclusion from Termination Indemnities and Other Benefits</w:t>
      </w:r>
      <w:r>
        <w:rPr>
          <w:rFonts w:ascii="Arial" w:cs="Arial" w:eastAsia="Arial" w:hAnsi="Arial"/>
          <w:sz w:val="19"/>
          <w:szCs w:val="19"/>
          <w:color w:val="auto"/>
        </w:rPr>
        <w:t>. The Participant’s participation in the Plan is voluntary. The value of the RSUs and any other awards granted under the Plan is an extraordinary item of compensation outside the scope of the Participant’s service on the Board. Any grant under the Plan, including the grant of the RSUs and the income and value of same, is not part of normal or expected compensation for purposes of calculating any severance, resignation, redundancy, end of service payments, bonuses, long-service awards, pension, or retirement benefits or similar payments. The grant of RSUs should in no event be considered as compensation for, or in any way related to, past services for the Company.</w:t>
      </w:r>
    </w:p>
    <w:p>
      <w:pPr>
        <w:spacing w:after="0" w:line="141" w:lineRule="exact"/>
        <w:rPr>
          <w:rFonts w:ascii="Arial" w:cs="Arial" w:eastAsia="Arial" w:hAnsi="Arial"/>
          <w:sz w:val="19"/>
          <w:szCs w:val="19"/>
          <w:color w:val="auto"/>
        </w:rPr>
      </w:pPr>
    </w:p>
    <w:p>
      <w:pPr>
        <w:ind w:left="640" w:hanging="319"/>
        <w:spacing w:after="0" w:line="368" w:lineRule="auto"/>
        <w:tabs>
          <w:tab w:leader="none" w:pos="869"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71" w:lineRule="exact"/>
        <w:rPr>
          <w:rFonts w:ascii="Arial" w:cs="Arial" w:eastAsia="Arial" w:hAnsi="Arial"/>
          <w:sz w:val="17"/>
          <w:szCs w:val="17"/>
          <w:color w:val="auto"/>
        </w:rPr>
      </w:pPr>
    </w:p>
    <w:p>
      <w:pPr>
        <w:jc w:val="both"/>
        <w:ind w:left="640" w:hanging="319"/>
        <w:spacing w:after="0" w:line="289" w:lineRule="auto"/>
        <w:tabs>
          <w:tab w:leader="none" w:pos="779"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440" w:right="339" w:bottom="1440" w:gutter="0" w:footer="0" w:header="0"/>
        </w:sectPr>
      </w:pPr>
    </w:p>
    <w:bookmarkStart w:id="44" w:name="page45"/>
    <w:bookmarkEnd w:id="44"/>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320" w:hanging="319"/>
        <w:spacing w:after="0" w:line="301"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36" w:lineRule="exact"/>
        <w:rPr>
          <w:rFonts w:ascii="Arial" w:cs="Arial" w:eastAsia="Arial" w:hAnsi="Arial"/>
          <w:sz w:val="18"/>
          <w:szCs w:val="18"/>
          <w:color w:val="auto"/>
        </w:rPr>
      </w:pPr>
    </w:p>
    <w:p>
      <w:pPr>
        <w:ind w:left="320" w:hanging="319"/>
        <w:spacing w:after="0" w:line="304" w:lineRule="auto"/>
        <w:tabs>
          <w:tab w:leader="none" w:pos="47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Pronouns</w:t>
      </w:r>
      <w:r>
        <w:rPr>
          <w:rFonts w:ascii="Arial" w:cs="Arial" w:eastAsia="Arial" w:hAnsi="Arial"/>
          <w:sz w:val="19"/>
          <w:szCs w:val="19"/>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17" w:lineRule="exact"/>
        <w:rPr>
          <w:rFonts w:ascii="Arial" w:cs="Arial" w:eastAsia="Arial" w:hAnsi="Arial"/>
          <w:sz w:val="19"/>
          <w:szCs w:val="19"/>
          <w:color w:val="auto"/>
        </w:rPr>
      </w:pPr>
    </w:p>
    <w:p>
      <w:pPr>
        <w:ind w:left="320" w:hanging="319"/>
        <w:spacing w:after="0" w:line="304" w:lineRule="auto"/>
        <w:tabs>
          <w:tab w:leader="none" w:pos="48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Award and the Plan constitute the entire understanding between the parties, and supersede all prior agreements and understandings, relating to the subject matter of these documents.</w:t>
      </w:r>
    </w:p>
    <w:p>
      <w:pPr>
        <w:spacing w:after="0" w:line="117" w:lineRule="exact"/>
        <w:rPr>
          <w:rFonts w:ascii="Arial" w:cs="Arial" w:eastAsia="Arial" w:hAnsi="Arial"/>
          <w:sz w:val="19"/>
          <w:szCs w:val="19"/>
          <w:color w:val="auto"/>
        </w:rPr>
      </w:pPr>
    </w:p>
    <w:p>
      <w:pPr>
        <w:ind w:left="320" w:hanging="319"/>
        <w:spacing w:after="0" w:line="304" w:lineRule="auto"/>
        <w:tabs>
          <w:tab w:leader="none" w:pos="427"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Award shall be construed, interpreted and enforced in accordance with the internal laws of the Commonwealth of Massachusetts without regard to any applicable conflicts of laws.</w:t>
      </w:r>
    </w:p>
    <w:p>
      <w:pPr>
        <w:spacing w:after="0" w:line="130" w:lineRule="exact"/>
        <w:rPr>
          <w:rFonts w:ascii="Arial" w:cs="Arial" w:eastAsia="Arial" w:hAnsi="Arial"/>
          <w:sz w:val="19"/>
          <w:szCs w:val="19"/>
          <w:color w:val="auto"/>
        </w:rPr>
      </w:pPr>
    </w:p>
    <w:p>
      <w:pPr>
        <w:ind w:left="320" w:hanging="319"/>
        <w:spacing w:after="0" w:line="304" w:lineRule="auto"/>
        <w:tabs>
          <w:tab w:leader="none" w:pos="467"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interpretation and construction of any terms or conditions of this Award or the Plan, or other matters related to the Plan, by the Compensation Committee of the Board of the Company shall be final and conclusive.</w:t>
      </w:r>
    </w:p>
    <w:p>
      <w:pPr>
        <w:spacing w:after="0" w:line="117" w:lineRule="exact"/>
        <w:rPr>
          <w:rFonts w:ascii="Arial" w:cs="Arial" w:eastAsia="Arial" w:hAnsi="Arial"/>
          <w:sz w:val="19"/>
          <w:szCs w:val="19"/>
          <w:color w:val="auto"/>
        </w:rPr>
      </w:pPr>
    </w:p>
    <w:p>
      <w:pPr>
        <w:jc w:val="both"/>
        <w:ind w:left="320" w:hanging="319"/>
        <w:spacing w:after="0" w:line="284" w:lineRule="auto"/>
        <w:tabs>
          <w:tab w:leader="none" w:pos="602"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Participant’s Acceptance</w:t>
      </w:r>
      <w:r>
        <w:rPr>
          <w:rFonts w:ascii="Arial" w:cs="Arial" w:eastAsia="Arial" w:hAnsi="Arial"/>
          <w:sz w:val="19"/>
          <w:szCs w:val="19"/>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36" w:lineRule="exact"/>
        <w:rPr>
          <w:rFonts w:ascii="Arial" w:cs="Arial" w:eastAsia="Arial" w:hAnsi="Arial"/>
          <w:sz w:val="19"/>
          <w:szCs w:val="19"/>
          <w:color w:val="auto"/>
        </w:rPr>
      </w:pPr>
    </w:p>
    <w:p>
      <w:pPr>
        <w:jc w:val="both"/>
        <w:ind w:left="320" w:hanging="319"/>
        <w:spacing w:after="0" w:line="284" w:lineRule="auto"/>
        <w:tabs>
          <w:tab w:leader="none" w:pos="445"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0" w:lineRule="exact"/>
        <w:rPr>
          <w:rFonts w:ascii="Arial" w:cs="Arial" w:eastAsia="Arial" w:hAnsi="Arial"/>
          <w:sz w:val="19"/>
          <w:szCs w:val="19"/>
          <w:color w:val="auto"/>
        </w:rPr>
      </w:pPr>
    </w:p>
    <w:p>
      <w:pPr>
        <w:jc w:val="both"/>
        <w:ind w:left="320" w:hanging="319"/>
        <w:spacing w:after="0" w:line="304" w:lineRule="auto"/>
        <w:tabs>
          <w:tab w:leader="none" w:pos="52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22" w:lineRule="exact"/>
        <w:rPr>
          <w:rFonts w:ascii="Arial" w:cs="Arial" w:eastAsia="Arial" w:hAnsi="Arial"/>
          <w:sz w:val="18"/>
          <w:szCs w:val="18"/>
          <w:color w:val="auto"/>
        </w:rPr>
      </w:pPr>
    </w:p>
    <w:p>
      <w:pPr>
        <w:jc w:val="both"/>
        <w:ind w:left="320" w:hanging="319"/>
        <w:spacing w:after="0" w:line="304" w:lineRule="auto"/>
        <w:tabs>
          <w:tab w:leader="none" w:pos="56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regulatory filings in the United States in connection with the stock incentive plan under which this Award was granted.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920"/>
          </w:cols>
          <w:pgMar w:left="640" w:top="1440" w:right="339" w:bottom="1440" w:gutter="0" w:footer="0" w:header="0"/>
        </w:sectPr>
      </w:pPr>
    </w:p>
    <w:bookmarkStart w:id="45" w:name="page46"/>
    <w:bookmarkEnd w:id="45"/>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560" w:hanging="319"/>
        <w:spacing w:after="0" w:line="284" w:lineRule="auto"/>
        <w:tabs>
          <w:tab w:leader="none" w:pos="75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Changes in Capitalization</w:t>
      </w:r>
      <w:r>
        <w:rPr>
          <w:rFonts w:ascii="Arial" w:cs="Arial" w:eastAsia="Arial" w:hAnsi="Arial"/>
          <w:sz w:val="19"/>
          <w:szCs w:val="19"/>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w:t>
      </w:r>
    </w:p>
    <w:p>
      <w:pPr>
        <w:spacing w:after="0" w:line="150" w:lineRule="exact"/>
        <w:rPr>
          <w:rFonts w:ascii="Arial" w:cs="Arial" w:eastAsia="Arial" w:hAnsi="Arial"/>
          <w:sz w:val="19"/>
          <w:szCs w:val="19"/>
          <w:color w:val="auto"/>
        </w:rPr>
      </w:pPr>
    </w:p>
    <w:p>
      <w:pPr>
        <w:ind w:left="560" w:hanging="319"/>
        <w:spacing w:after="0" w:line="304" w:lineRule="auto"/>
        <w:tabs>
          <w:tab w:leader="none" w:pos="89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Award may be amended or modified only by a written instrument executed by both the Company and the Participant.</w:t>
      </w:r>
    </w:p>
    <w:p>
      <w:pPr>
        <w:spacing w:after="0" w:line="117" w:lineRule="exact"/>
        <w:rPr>
          <w:rFonts w:ascii="Arial" w:cs="Arial" w:eastAsia="Arial" w:hAnsi="Arial"/>
          <w:sz w:val="19"/>
          <w:szCs w:val="19"/>
          <w:color w:val="auto"/>
        </w:rPr>
      </w:pPr>
    </w:p>
    <w:p>
      <w:pPr>
        <w:jc w:val="both"/>
        <w:ind w:left="560" w:hanging="319"/>
        <w:spacing w:after="0" w:line="289" w:lineRule="auto"/>
        <w:tabs>
          <w:tab w:leader="none" w:pos="71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31" w:lineRule="exact"/>
        <w:rPr>
          <w:rFonts w:ascii="Arial" w:cs="Arial" w:eastAsia="Arial" w:hAnsi="Arial"/>
          <w:sz w:val="19"/>
          <w:szCs w:val="19"/>
          <w:color w:val="auto"/>
        </w:rPr>
      </w:pPr>
    </w:p>
    <w:p>
      <w:pPr>
        <w:jc w:val="both"/>
        <w:ind w:left="560" w:hanging="319"/>
        <w:spacing w:after="0" w:line="294" w:lineRule="auto"/>
        <w:tabs>
          <w:tab w:leader="none" w:pos="69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The Participant may be subject to insider trading restrictions and/or market abuse laws, which may affect the Participant’s ability to accept, acquire,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RSUs)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48" w:lineRule="exact"/>
        <w:rPr>
          <w:rFonts w:ascii="Arial" w:cs="Arial" w:eastAsia="Arial" w:hAnsi="Arial"/>
          <w:sz w:val="18"/>
          <w:szCs w:val="18"/>
          <w:color w:val="auto"/>
        </w:rPr>
      </w:pPr>
    </w:p>
    <w:p>
      <w:pPr>
        <w:jc w:val="both"/>
        <w:ind w:left="560" w:hanging="319"/>
        <w:spacing w:after="0" w:line="322" w:lineRule="auto"/>
        <w:tabs>
          <w:tab w:leader="none" w:pos="65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84" w:lineRule="exact"/>
        <w:rPr>
          <w:sz w:val="20"/>
          <w:szCs w:val="20"/>
          <w:color w:val="auto"/>
        </w:rPr>
      </w:pPr>
    </w:p>
    <w:p>
      <w:pPr>
        <w:jc w:val="both"/>
        <w:ind w:right="320"/>
        <w:spacing w:after="0" w:line="231" w:lineRule="auto"/>
        <w:rPr>
          <w:sz w:val="20"/>
          <w:szCs w:val="20"/>
          <w:color w:val="auto"/>
        </w:rPr>
      </w:pPr>
      <w:r>
        <w:rPr>
          <w:rFonts w:ascii="Arial" w:cs="Arial" w:eastAsia="Arial" w:hAnsi="Arial"/>
          <w:sz w:val="18"/>
          <w:szCs w:val="18"/>
          <w:color w:val="auto"/>
        </w:rPr>
        <w:t>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Ray Stata</w:t>
            </w:r>
          </w:p>
        </w:tc>
        <w:tc>
          <w:tcPr>
            <w:tcW w:w="1860" w:type="dxa"/>
            <w:vAlign w:val="bottom"/>
          </w:tcPr>
          <w:p>
            <w:pPr>
              <w:ind w:left="1360"/>
              <w:spacing w:after="0"/>
              <w:rPr>
                <w:sz w:val="20"/>
                <w:szCs w:val="20"/>
                <w:color w:val="auto"/>
              </w:rPr>
            </w:pPr>
            <w:r>
              <w:rPr>
                <w:rFonts w:ascii="Arial" w:cs="Arial" w:eastAsia="Arial" w:hAnsi="Arial"/>
                <w:sz w:val="16"/>
                <w:szCs w:val="16"/>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Vincent Roche</w:t>
            </w:r>
          </w:p>
        </w:tc>
      </w:tr>
      <w:tr>
        <w:trPr>
          <w:trHeight w:val="200"/>
        </w:trPr>
        <w:tc>
          <w:tcPr>
            <w:tcW w:w="5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Ray Stata, Chairman of the Board of Directors</w:t>
            </w:r>
          </w:p>
        </w:tc>
        <w:tc>
          <w:tcPr>
            <w:tcW w:w="186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Arial" w:cs="Arial" w:eastAsia="Arial" w:hAnsi="Arial"/>
                <w:sz w:val="16"/>
                <w:szCs w:val="16"/>
                <w:color w:val="auto"/>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160"/>
          </w:cols>
          <w:pgMar w:left="400" w:top="1440"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10.2</w:t>
      </w:r>
    </w:p>
    <w:p>
      <w:pPr>
        <w:jc w:val="center"/>
        <w:ind w:right="160"/>
        <w:spacing w:after="0" w:line="229" w:lineRule="auto"/>
        <w:rPr>
          <w:sz w:val="20"/>
          <w:szCs w:val="20"/>
          <w:color w:val="auto"/>
        </w:rPr>
      </w:pPr>
      <w:r>
        <w:rPr>
          <w:rFonts w:ascii="Arial" w:cs="Arial" w:eastAsia="Arial" w:hAnsi="Arial"/>
          <w:sz w:val="16"/>
          <w:szCs w:val="16"/>
          <w:b w:val="1"/>
          <w:bCs w:val="1"/>
          <w:color w:val="auto"/>
        </w:rPr>
        <w:t>2020 EQUITY INCENTIVE PLAN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Participant Name</w:t>
      </w:r>
    </w:p>
    <w:p>
      <w:pPr>
        <w:ind w:left="160"/>
        <w:spacing w:after="0" w:line="205" w:lineRule="auto"/>
        <w:rPr>
          <w:sz w:val="20"/>
          <w:szCs w:val="20"/>
          <w:color w:val="auto"/>
        </w:rPr>
      </w:pPr>
      <w:r>
        <w:rPr>
          <w:rFonts w:ascii="Arial" w:cs="Arial" w:eastAsia="Arial" w:hAnsi="Arial"/>
          <w:sz w:val="16"/>
          <w:szCs w:val="16"/>
          <w:color w:val="auto"/>
        </w:rPr>
        <w:t>Employee ID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Grant ID: Client Grant ID</w:t>
      </w:r>
    </w:p>
    <w:p>
      <w:pPr>
        <w:spacing w:after="0" w:line="197" w:lineRule="exact"/>
        <w:rPr>
          <w:sz w:val="20"/>
          <w:szCs w:val="20"/>
          <w:color w:val="auto"/>
        </w:rPr>
      </w:pPr>
    </w:p>
    <w:p>
      <w:pPr>
        <w:jc w:val="both"/>
        <w:ind w:left="160" w:right="320"/>
        <w:spacing w:after="0" w:line="250" w:lineRule="auto"/>
        <w:rPr>
          <w:sz w:val="20"/>
          <w:szCs w:val="20"/>
          <w:color w:val="auto"/>
        </w:rPr>
      </w:pPr>
      <w:r>
        <w:rPr>
          <w:rFonts w:ascii="Arial" w:cs="Arial" w:eastAsia="Arial" w:hAnsi="Arial"/>
          <w:sz w:val="14"/>
          <w:szCs w:val="14"/>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2020 Stock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09" w:lineRule="exact"/>
        <w:rPr>
          <w:sz w:val="20"/>
          <w:szCs w:val="20"/>
          <w:color w:val="auto"/>
        </w:rPr>
      </w:pPr>
    </w:p>
    <w:p>
      <w:pPr>
        <w:ind w:left="480" w:hanging="319"/>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480" w:right="320"/>
        <w:spacing w:after="0" w:line="233" w:lineRule="auto"/>
        <w:rPr>
          <w:rFonts w:ascii="Arial" w:cs="Arial" w:eastAsia="Arial" w:hAnsi="Arial"/>
          <w:sz w:val="16"/>
          <w:szCs w:val="16"/>
          <w:color w:val="auto"/>
        </w:rPr>
      </w:pPr>
      <w:r>
        <w:rPr>
          <w:rFonts w:ascii="Arial" w:cs="Arial" w:eastAsia="Arial" w:hAnsi="Arial"/>
          <w:sz w:val="16"/>
          <w:szCs w:val="16"/>
          <w:color w:val="auto"/>
        </w:rPr>
        <w:t>Subject to the terms and conditions of the Plan and this Agreement, the Company has granted to the Participant that number of RSUs (the “Award”) effective on the Date of Grant set forth below:</w:t>
      </w:r>
    </w:p>
    <w:p>
      <w:pPr>
        <w:spacing w:after="0" w:line="104"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b w:val="1"/>
          <w:bCs w:val="1"/>
          <w:color w:val="0000CC"/>
        </w:rPr>
        <w:t>Date of Grant:  Grant Date</w:t>
      </w:r>
    </w:p>
    <w:p>
      <w:pPr>
        <w:ind w:left="480"/>
        <w:spacing w:after="0" w:line="205" w:lineRule="auto"/>
        <w:rPr>
          <w:rFonts w:ascii="Arial" w:cs="Arial" w:eastAsia="Arial" w:hAnsi="Arial"/>
          <w:sz w:val="16"/>
          <w:szCs w:val="16"/>
          <w:color w:val="auto"/>
        </w:rPr>
      </w:pPr>
      <w:r>
        <w:rPr>
          <w:rFonts w:ascii="Arial" w:cs="Arial" w:eastAsia="Arial" w:hAnsi="Arial"/>
          <w:sz w:val="16"/>
          <w:szCs w:val="16"/>
          <w:b w:val="1"/>
          <w:bCs w:val="1"/>
          <w:color w:val="0000CC"/>
        </w:rPr>
        <w:t>Number of RSUs:  Number of Awards Granted</w:t>
      </w:r>
    </w:p>
    <w:p>
      <w:pPr>
        <w:ind w:left="480"/>
        <w:spacing w:after="0"/>
        <w:rPr>
          <w:rFonts w:ascii="Arial" w:cs="Arial" w:eastAsia="Arial" w:hAnsi="Arial"/>
          <w:sz w:val="16"/>
          <w:szCs w:val="16"/>
          <w:color w:val="auto"/>
        </w:rPr>
      </w:pPr>
      <w:r>
        <w:rPr>
          <w:rFonts w:ascii="Arial" w:cs="Arial" w:eastAsia="Arial" w:hAnsi="Arial"/>
          <w:sz w:val="16"/>
          <w:szCs w:val="16"/>
          <w:b w:val="1"/>
          <w:bCs w:val="1"/>
          <w:color w:val="0000CC"/>
        </w:rPr>
        <w:t>Vesting Dates:  Vesting Schedule</w:t>
      </w:r>
    </w:p>
    <w:p>
      <w:pPr>
        <w:spacing w:after="0" w:line="170" w:lineRule="exact"/>
        <w:rPr>
          <w:rFonts w:ascii="Arial" w:cs="Arial" w:eastAsia="Arial" w:hAnsi="Arial"/>
          <w:sz w:val="16"/>
          <w:szCs w:val="16"/>
          <w:color w:val="auto"/>
        </w:rPr>
      </w:pPr>
    </w:p>
    <w:p>
      <w:pPr>
        <w:jc w:val="both"/>
        <w:ind w:left="480" w:right="320"/>
        <w:spacing w:after="0" w:line="255" w:lineRule="auto"/>
        <w:rPr>
          <w:rFonts w:ascii="Arial" w:cs="Arial" w:eastAsia="Arial" w:hAnsi="Arial"/>
          <w:sz w:val="16"/>
          <w:szCs w:val="16"/>
          <w:color w:val="auto"/>
        </w:rPr>
      </w:pPr>
      <w:r>
        <w:rPr>
          <w:rFonts w:ascii="Arial" w:cs="Arial" w:eastAsia="Arial" w:hAnsi="Arial"/>
          <w:sz w:val="14"/>
          <w:szCs w:val="14"/>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Arial" w:cs="Arial" w:eastAsia="Arial" w:hAnsi="Arial"/>
          <w:sz w:val="14"/>
          <w:szCs w:val="14"/>
          <w:b w:val="1"/>
          <w:bCs w:val="1"/>
          <w:i w:val="1"/>
          <w:iCs w:val="1"/>
          <w:color w:val="auto"/>
        </w:rPr>
        <w:t>must accept</w:t>
      </w:r>
      <w:r>
        <w:rPr>
          <w:rFonts w:ascii="Arial" w:cs="Arial" w:eastAsia="Arial" w:hAnsi="Arial"/>
          <w:sz w:val="14"/>
          <w:szCs w:val="14"/>
          <w:color w:val="auto"/>
        </w:rPr>
        <w:t xml:space="preserve"> this Agreement no later than Grant Custom 4 or </w:t>
      </w:r>
      <w:r>
        <w:rPr>
          <w:rFonts w:ascii="Arial" w:cs="Arial" w:eastAsia="Arial" w:hAnsi="Arial"/>
          <w:sz w:val="14"/>
          <w:szCs w:val="14"/>
          <w:b w:val="1"/>
          <w:bCs w:val="1"/>
          <w:i w:val="1"/>
          <w:iCs w:val="1"/>
          <w:color w:val="auto"/>
        </w:rPr>
        <w:t>this Award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shall terminate and will become null and void</w:t>
      </w:r>
      <w:r>
        <w:rPr>
          <w:rFonts w:ascii="Arial" w:cs="Arial" w:eastAsia="Arial" w:hAnsi="Arial"/>
          <w:sz w:val="14"/>
          <w:szCs w:val="14"/>
          <w:color w:val="auto"/>
        </w:rPr>
        <w:t>. For purposes of this Agreement, the Participant is deemed to reside in the country where his or her Employer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located. In addition, if the Participant resides in Israel, written consent may be required by Grant Custom 3, the Participant should refer to Appendix A for details.</w:t>
      </w:r>
    </w:p>
    <w:p>
      <w:pPr>
        <w:spacing w:after="0" w:line="157" w:lineRule="exact"/>
        <w:rPr>
          <w:rFonts w:ascii="Arial" w:cs="Arial" w:eastAsia="Arial" w:hAnsi="Arial"/>
          <w:sz w:val="16"/>
          <w:szCs w:val="16"/>
          <w:color w:val="auto"/>
        </w:rPr>
      </w:pPr>
    </w:p>
    <w:p>
      <w:pPr>
        <w:jc w:val="both"/>
        <w:ind w:left="480" w:right="320"/>
        <w:spacing w:after="0" w:line="239" w:lineRule="auto"/>
        <w:rPr>
          <w:rFonts w:ascii="Arial" w:cs="Arial" w:eastAsia="Arial" w:hAnsi="Arial"/>
          <w:sz w:val="16"/>
          <w:szCs w:val="16"/>
          <w:color w:val="auto"/>
        </w:rPr>
      </w:pPr>
      <w:r>
        <w:rPr>
          <w:rFonts w:ascii="Arial" w:cs="Arial" w:eastAsia="Arial" w:hAnsi="Arial"/>
          <w:sz w:val="15"/>
          <w:szCs w:val="15"/>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8" w:lineRule="exact"/>
        <w:rPr>
          <w:rFonts w:ascii="Arial" w:cs="Arial" w:eastAsia="Arial" w:hAnsi="Arial"/>
          <w:sz w:val="16"/>
          <w:szCs w:val="16"/>
          <w:color w:val="auto"/>
        </w:rPr>
      </w:pPr>
    </w:p>
    <w:p>
      <w:pPr>
        <w:jc w:val="both"/>
        <w:ind w:left="480" w:right="320"/>
        <w:spacing w:after="0" w:line="264" w:lineRule="auto"/>
        <w:rPr>
          <w:rFonts w:ascii="Arial" w:cs="Arial" w:eastAsia="Arial" w:hAnsi="Arial"/>
          <w:sz w:val="16"/>
          <w:szCs w:val="16"/>
          <w:color w:val="auto"/>
        </w:rPr>
      </w:pPr>
      <w:r>
        <w:rPr>
          <w:rFonts w:ascii="Arial" w:cs="Arial" w:eastAsia="Arial" w:hAnsi="Arial"/>
          <w:sz w:val="14"/>
          <w:szCs w:val="14"/>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00" w:lineRule="exact"/>
        <w:rPr>
          <w:rFonts w:ascii="Arial" w:cs="Arial" w:eastAsia="Arial" w:hAnsi="Arial"/>
          <w:sz w:val="16"/>
          <w:szCs w:val="16"/>
          <w:color w:val="auto"/>
        </w:rPr>
      </w:pPr>
    </w:p>
    <w:p>
      <w:pPr>
        <w:ind w:left="480" w:hanging="319"/>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800" w:right="320" w:hanging="323"/>
        <w:spacing w:after="0" w:line="242" w:lineRule="auto"/>
        <w:tabs>
          <w:tab w:leader="none" w:pos="791" w:val="left"/>
        </w:tabs>
        <w:numPr>
          <w:ilvl w:val="1"/>
          <w:numId w:val="33"/>
        </w:numPr>
        <w:rPr>
          <w:rFonts w:ascii="Arial" w:cs="Arial" w:eastAsia="Arial" w:hAnsi="Arial"/>
          <w:sz w:val="14"/>
          <w:szCs w:val="14"/>
          <w:color w:val="auto"/>
        </w:rPr>
      </w:pPr>
      <w:r>
        <w:rPr>
          <w:rFonts w:ascii="Arial" w:cs="Arial" w:eastAsia="Arial" w:hAnsi="Arial"/>
          <w:sz w:val="14"/>
          <w:szCs w:val="14"/>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8" w:lineRule="exact"/>
        <w:rPr>
          <w:rFonts w:ascii="Arial" w:cs="Arial" w:eastAsia="Arial" w:hAnsi="Arial"/>
          <w:sz w:val="14"/>
          <w:szCs w:val="14"/>
          <w:color w:val="auto"/>
        </w:rPr>
      </w:pPr>
    </w:p>
    <w:p>
      <w:pPr>
        <w:jc w:val="both"/>
        <w:ind w:left="800" w:right="320" w:hanging="323"/>
        <w:spacing w:after="0" w:line="219" w:lineRule="auto"/>
        <w:tabs>
          <w:tab w:leader="none" w:pos="8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7" w:lineRule="exact"/>
        <w:rPr>
          <w:rFonts w:ascii="Arial" w:cs="Arial" w:eastAsia="Arial" w:hAnsi="Arial"/>
          <w:sz w:val="16"/>
          <w:szCs w:val="16"/>
          <w:color w:val="auto"/>
        </w:rPr>
      </w:pPr>
    </w:p>
    <w:p>
      <w:pPr>
        <w:ind w:left="800" w:right="320" w:hanging="323"/>
        <w:spacing w:after="0" w:line="233" w:lineRule="auto"/>
        <w:tabs>
          <w:tab w:leader="none" w:pos="7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In the event the Participant’s employment with the Company or the Employer is terminated by reason of the Participant’s </w:t>
      </w:r>
      <w:r>
        <w:rPr>
          <w:rFonts w:ascii="Arial" w:cs="Arial" w:eastAsia="Arial" w:hAnsi="Arial"/>
          <w:sz w:val="16"/>
          <w:szCs w:val="16"/>
          <w:u w:val="single" w:color="auto"/>
          <w:color w:val="auto"/>
        </w:rPr>
        <w:t>death</w:t>
      </w:r>
      <w:r>
        <w:rPr>
          <w:rFonts w:ascii="Arial" w:cs="Arial" w:eastAsia="Arial" w:hAnsi="Arial"/>
          <w:sz w:val="16"/>
          <w:szCs w:val="16"/>
          <w:color w:val="auto"/>
        </w:rPr>
        <w:t>, all Unvested RSUs shall vest in full as of the date of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80"/>
          </w:cols>
          <w:pgMar w:left="480" w:top="1440" w:right="339" w:bottom="1440" w:gutter="0" w:footer="0" w:header="0"/>
        </w:sectPr>
      </w:pPr>
    </w:p>
    <w:bookmarkStart w:id="48" w:name="page49"/>
    <w:bookmarkEnd w:id="48"/>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800" w:hanging="323"/>
        <w:spacing w:after="0" w:line="224" w:lineRule="auto"/>
        <w:tabs>
          <w:tab w:leader="none" w:pos="8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In the event the Participant becomes </w:t>
      </w:r>
      <w:r>
        <w:rPr>
          <w:rFonts w:ascii="Arial" w:cs="Arial" w:eastAsia="Arial" w:hAnsi="Arial"/>
          <w:sz w:val="16"/>
          <w:szCs w:val="16"/>
          <w:u w:val="single" w:color="auto"/>
          <w:color w:val="auto"/>
        </w:rPr>
        <w:t>Disabled</w:t>
      </w:r>
      <w:r>
        <w:rPr>
          <w:rFonts w:ascii="Arial" w:cs="Arial" w:eastAsia="Arial" w:hAnsi="Arial"/>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shall have the meaning set forth in Section 409A(a)(2)(C) of the Code.</w:t>
      </w:r>
    </w:p>
    <w:p>
      <w:pPr>
        <w:spacing w:after="0" w:line="116" w:lineRule="exact"/>
        <w:rPr>
          <w:rFonts w:ascii="Arial" w:cs="Arial" w:eastAsia="Arial" w:hAnsi="Arial"/>
          <w:sz w:val="16"/>
          <w:szCs w:val="16"/>
          <w:color w:val="auto"/>
        </w:rPr>
      </w:pPr>
    </w:p>
    <w:p>
      <w:pPr>
        <w:jc w:val="both"/>
        <w:ind w:left="800" w:hanging="323"/>
        <w:spacing w:after="0" w:line="231" w:lineRule="auto"/>
        <w:tabs>
          <w:tab w:leader="none" w:pos="791" w:val="left"/>
        </w:tabs>
        <w:numPr>
          <w:ilvl w:val="1"/>
          <w:numId w:val="34"/>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Arial" w:cs="Arial" w:eastAsia="Arial" w:hAnsi="Arial"/>
          <w:sz w:val="15"/>
          <w:szCs w:val="15"/>
          <w:color w:val="auto"/>
        </w:rPr>
      </w:pPr>
    </w:p>
    <w:p>
      <w:pPr>
        <w:ind w:left="800" w:hanging="323"/>
        <w:spacing w:after="0" w:line="233" w:lineRule="auto"/>
        <w:tabs>
          <w:tab w:leader="none" w:pos="8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For the avoidance of doubt, the RSUs granted to the Participant under this Agreement are expressly excluded from any Equity Award Policy for Acceleration of Vesting in the Event of a Change in Control that was previously adopted by Maxim Integrated Products, Inc.</w:t>
      </w:r>
    </w:p>
    <w:p>
      <w:pPr>
        <w:spacing w:after="0" w:line="116" w:lineRule="exact"/>
        <w:rPr>
          <w:rFonts w:ascii="Arial" w:cs="Arial" w:eastAsia="Arial" w:hAnsi="Arial"/>
          <w:sz w:val="16"/>
          <w:szCs w:val="16"/>
          <w:color w:val="auto"/>
        </w:rPr>
      </w:pPr>
    </w:p>
    <w:p>
      <w:pPr>
        <w:ind w:left="480" w:hanging="319"/>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780" w:hanging="303"/>
        <w:spacing w:after="0"/>
        <w:tabs>
          <w:tab w:leader="none" w:pos="7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Participant shall not sell, assign, transfer, pledge or otherwise encumber any RSUs, either voluntarily or by operation of law.</w:t>
      </w:r>
    </w:p>
    <w:p>
      <w:pPr>
        <w:spacing w:after="0" w:line="131" w:lineRule="exact"/>
        <w:rPr>
          <w:rFonts w:ascii="Arial" w:cs="Arial" w:eastAsia="Arial" w:hAnsi="Arial"/>
          <w:sz w:val="16"/>
          <w:szCs w:val="16"/>
          <w:color w:val="auto"/>
        </w:rPr>
      </w:pPr>
    </w:p>
    <w:p>
      <w:pPr>
        <w:jc w:val="both"/>
        <w:ind w:left="800" w:hanging="323"/>
        <w:spacing w:after="0" w:line="224" w:lineRule="auto"/>
        <w:tabs>
          <w:tab w:leader="none" w:pos="8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16" w:lineRule="exact"/>
        <w:rPr>
          <w:rFonts w:ascii="Arial" w:cs="Arial" w:eastAsia="Arial" w:hAnsi="Arial"/>
          <w:sz w:val="16"/>
          <w:szCs w:val="16"/>
          <w:color w:val="auto"/>
        </w:rPr>
      </w:pPr>
    </w:p>
    <w:p>
      <w:pPr>
        <w:jc w:val="both"/>
        <w:ind w:left="480" w:hanging="319"/>
        <w:spacing w:after="0" w:line="234" w:lineRule="auto"/>
        <w:tabs>
          <w:tab w:leader="none" w:pos="480"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Not a Shareholder</w:t>
      </w:r>
      <w:r>
        <w:rPr>
          <w:rFonts w:ascii="Arial" w:cs="Arial" w:eastAsia="Arial" w:hAnsi="Arial"/>
          <w:sz w:val="15"/>
          <w:szCs w:val="15"/>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6" w:lineRule="exact"/>
        <w:rPr>
          <w:rFonts w:ascii="Arial" w:cs="Arial" w:eastAsia="Arial" w:hAnsi="Arial"/>
          <w:sz w:val="15"/>
          <w:szCs w:val="15"/>
          <w:color w:val="auto"/>
        </w:rPr>
      </w:pPr>
    </w:p>
    <w:p>
      <w:pPr>
        <w:jc w:val="both"/>
        <w:ind w:left="480" w:hanging="319"/>
        <w:spacing w:after="0" w:line="234" w:lineRule="auto"/>
        <w:tabs>
          <w:tab w:leader="none" w:pos="480"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 The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16" w:lineRule="exact"/>
        <w:rPr>
          <w:rFonts w:ascii="Arial" w:cs="Arial" w:eastAsia="Arial" w:hAnsi="Arial"/>
          <w:sz w:val="15"/>
          <w:szCs w:val="15"/>
          <w:color w:val="auto"/>
        </w:rPr>
      </w:pPr>
    </w:p>
    <w:p>
      <w:pPr>
        <w:ind w:left="480" w:hanging="319"/>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800" w:hanging="323"/>
        <w:spacing w:after="0" w:line="241" w:lineRule="auto"/>
        <w:tabs>
          <w:tab w:leader="none" w:pos="791" w:val="left"/>
        </w:tabs>
        <w:numPr>
          <w:ilvl w:val="1"/>
          <w:numId w:val="35"/>
        </w:numPr>
        <w:rPr>
          <w:rFonts w:ascii="Arial" w:cs="Arial" w:eastAsia="Arial" w:hAnsi="Arial"/>
          <w:sz w:val="14"/>
          <w:szCs w:val="14"/>
          <w:color w:val="auto"/>
        </w:rPr>
      </w:pPr>
      <w:r>
        <w:rPr>
          <w:rFonts w:ascii="Arial" w:cs="Arial" w:eastAsia="Arial" w:hAnsi="Arial"/>
          <w:sz w:val="14"/>
          <w:szCs w:val="14"/>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20" w:lineRule="exact"/>
        <w:rPr>
          <w:rFonts w:ascii="Arial" w:cs="Arial" w:eastAsia="Arial" w:hAnsi="Arial"/>
          <w:sz w:val="14"/>
          <w:szCs w:val="14"/>
          <w:color w:val="auto"/>
        </w:rPr>
      </w:pPr>
    </w:p>
    <w:p>
      <w:pPr>
        <w:jc w:val="both"/>
        <w:ind w:left="800" w:hanging="323"/>
        <w:spacing w:after="0" w:line="239" w:lineRule="auto"/>
        <w:tabs>
          <w:tab w:leader="none" w:pos="800" w:val="left"/>
        </w:tabs>
        <w:numPr>
          <w:ilvl w:val="1"/>
          <w:numId w:val="35"/>
        </w:numPr>
        <w:rPr>
          <w:rFonts w:ascii="Arial" w:cs="Arial" w:eastAsia="Arial" w:hAnsi="Arial"/>
          <w:sz w:val="15"/>
          <w:szCs w:val="15"/>
          <w:color w:val="auto"/>
        </w:rPr>
      </w:pPr>
      <w:r>
        <w:rPr>
          <w:rFonts w:ascii="Arial" w:cs="Arial" w:eastAsia="Arial" w:hAnsi="Arial"/>
          <w:sz w:val="15"/>
          <w:szCs w:val="15"/>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6" w:lineRule="exact"/>
        <w:rPr>
          <w:rFonts w:ascii="Arial" w:cs="Arial" w:eastAsia="Arial" w:hAnsi="Arial"/>
          <w:sz w:val="15"/>
          <w:szCs w:val="15"/>
          <w:color w:val="auto"/>
        </w:rPr>
      </w:pPr>
    </w:p>
    <w:p>
      <w:pPr>
        <w:jc w:val="both"/>
        <w:ind w:left="1100" w:hanging="307"/>
        <w:spacing w:after="0" w:line="234" w:lineRule="auto"/>
        <w:tabs>
          <w:tab w:leader="none" w:pos="1091" w:val="left"/>
        </w:tabs>
        <w:numPr>
          <w:ilvl w:val="2"/>
          <w:numId w:val="35"/>
        </w:numPr>
        <w:rPr>
          <w:rFonts w:ascii="Arial" w:cs="Arial" w:eastAsia="Arial" w:hAnsi="Arial"/>
          <w:sz w:val="15"/>
          <w:szCs w:val="15"/>
          <w:color w:val="auto"/>
        </w:rPr>
      </w:pPr>
      <w:r>
        <w:rPr>
          <w:rFonts w:ascii="Arial" w:cs="Arial" w:eastAsia="Arial" w:hAnsi="Arial"/>
          <w:sz w:val="15"/>
          <w:szCs w:val="15"/>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6" w:lineRule="exact"/>
        <w:rPr>
          <w:rFonts w:ascii="Arial" w:cs="Arial" w:eastAsia="Arial" w:hAnsi="Arial"/>
          <w:sz w:val="15"/>
          <w:szCs w:val="15"/>
          <w:color w:val="auto"/>
        </w:rPr>
      </w:pPr>
    </w:p>
    <w:p>
      <w:pPr>
        <w:ind w:left="1100" w:hanging="307"/>
        <w:spacing w:after="0" w:line="233" w:lineRule="auto"/>
        <w:tabs>
          <w:tab w:leader="none" w:pos="1096" w:val="left"/>
        </w:tabs>
        <w:numPr>
          <w:ilvl w:val="2"/>
          <w:numId w:val="35"/>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6" w:lineRule="exact"/>
        <w:rPr>
          <w:rFonts w:ascii="Arial" w:cs="Arial" w:eastAsia="Arial" w:hAnsi="Arial"/>
          <w:sz w:val="16"/>
          <w:szCs w:val="16"/>
          <w:color w:val="auto"/>
        </w:rPr>
      </w:pPr>
    </w:p>
    <w:p>
      <w:pPr>
        <w:ind w:left="1100" w:hanging="307"/>
        <w:spacing w:after="0" w:line="233" w:lineRule="auto"/>
        <w:tabs>
          <w:tab w:leader="none" w:pos="1100" w:val="left"/>
        </w:tabs>
        <w:numPr>
          <w:ilvl w:val="2"/>
          <w:numId w:val="35"/>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60"/>
          </w:cols>
          <w:pgMar w:left="480" w:top="1440" w:right="659" w:bottom="1440" w:gutter="0" w:footer="0" w:header="0"/>
        </w:sectPr>
      </w:pPr>
    </w:p>
    <w:bookmarkStart w:id="49" w:name="page50"/>
    <w:bookmarkEnd w:id="49"/>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1100"/>
        <w:spacing w:after="0" w:line="219" w:lineRule="auto"/>
        <w:rPr>
          <w:sz w:val="20"/>
          <w:szCs w:val="20"/>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8" w:lineRule="exact"/>
        <w:rPr>
          <w:sz w:val="20"/>
          <w:szCs w:val="20"/>
          <w:color w:val="auto"/>
        </w:rPr>
      </w:pPr>
    </w:p>
    <w:p>
      <w:pPr>
        <w:ind w:left="1100" w:hanging="307"/>
        <w:spacing w:after="0"/>
        <w:tabs>
          <w:tab w:leader="none" w:pos="1100" w:val="left"/>
        </w:tabs>
        <w:numPr>
          <w:ilvl w:val="2"/>
          <w:numId w:val="36"/>
        </w:numPr>
        <w:rPr>
          <w:rFonts w:ascii="Arial" w:cs="Arial" w:eastAsia="Arial" w:hAnsi="Arial"/>
          <w:sz w:val="16"/>
          <w:szCs w:val="16"/>
          <w:color w:val="auto"/>
        </w:rPr>
      </w:pPr>
      <w:r>
        <w:rPr>
          <w:rFonts w:ascii="Arial" w:cs="Arial" w:eastAsia="Arial" w:hAnsi="Arial"/>
          <w:sz w:val="16"/>
          <w:szCs w:val="16"/>
          <w:color w:val="auto"/>
        </w:rPr>
        <w:t>any other method determined by the Company, to the extent permitted under the Plan and applicable laws.</w:t>
      </w:r>
    </w:p>
    <w:p>
      <w:pPr>
        <w:spacing w:after="0" w:line="131" w:lineRule="exact"/>
        <w:rPr>
          <w:rFonts w:ascii="Arial" w:cs="Arial" w:eastAsia="Arial" w:hAnsi="Arial"/>
          <w:sz w:val="16"/>
          <w:szCs w:val="16"/>
          <w:color w:val="auto"/>
        </w:rPr>
      </w:pPr>
    </w:p>
    <w:p>
      <w:pPr>
        <w:jc w:val="both"/>
        <w:ind w:left="1100"/>
        <w:spacing w:after="0" w:line="243" w:lineRule="auto"/>
        <w:rPr>
          <w:rFonts w:ascii="Arial" w:cs="Arial" w:eastAsia="Arial" w:hAnsi="Arial"/>
          <w:sz w:val="16"/>
          <w:szCs w:val="16"/>
          <w:color w:val="auto"/>
        </w:rPr>
      </w:pPr>
      <w:r>
        <w:rPr>
          <w:rFonts w:ascii="Arial" w:cs="Arial" w:eastAsia="Arial" w:hAnsi="Arial"/>
          <w:sz w:val="14"/>
          <w:szCs w:val="14"/>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17" w:lineRule="exact"/>
        <w:rPr>
          <w:rFonts w:ascii="Arial" w:cs="Arial" w:eastAsia="Arial" w:hAnsi="Arial"/>
          <w:sz w:val="16"/>
          <w:szCs w:val="16"/>
          <w:color w:val="auto"/>
        </w:rPr>
      </w:pPr>
    </w:p>
    <w:p>
      <w:pPr>
        <w:jc w:val="both"/>
        <w:ind w:left="1100"/>
        <w:spacing w:after="0" w:line="228" w:lineRule="auto"/>
        <w:rPr>
          <w:rFonts w:ascii="Arial" w:cs="Arial" w:eastAsia="Arial" w:hAnsi="Arial"/>
          <w:sz w:val="16"/>
          <w:szCs w:val="16"/>
          <w:color w:val="auto"/>
        </w:rPr>
      </w:pPr>
      <w:r>
        <w:rPr>
          <w:rFonts w:ascii="Arial" w:cs="Arial" w:eastAsia="Arial" w:hAnsi="Arial"/>
          <w:sz w:val="15"/>
          <w:szCs w:val="15"/>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6" w:lineRule="exact"/>
        <w:rPr>
          <w:rFonts w:ascii="Arial" w:cs="Arial" w:eastAsia="Arial" w:hAnsi="Arial"/>
          <w:sz w:val="16"/>
          <w:szCs w:val="16"/>
          <w:color w:val="auto"/>
        </w:rPr>
      </w:pPr>
    </w:p>
    <w:p>
      <w:pPr>
        <w:jc w:val="both"/>
        <w:ind w:left="480" w:hanging="319"/>
        <w:spacing w:after="0" w:line="229" w:lineRule="auto"/>
        <w:tabs>
          <w:tab w:leader="none" w:pos="480"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A,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Arial" w:cs="Arial" w:eastAsia="Arial" w:hAnsi="Arial"/>
          <w:sz w:val="15"/>
          <w:szCs w:val="15"/>
          <w:color w:val="auto"/>
        </w:rPr>
      </w:pPr>
    </w:p>
    <w:p>
      <w:pPr>
        <w:jc w:val="both"/>
        <w:ind w:left="480" w:hanging="319"/>
        <w:spacing w:after="0" w:line="247" w:lineRule="auto"/>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u w:val="single" w:color="auto"/>
          <w:color w:val="auto"/>
        </w:rPr>
        <w:t>Repatriation and Other Legal Requirements</w:t>
      </w:r>
      <w:r>
        <w:rPr>
          <w:rFonts w:ascii="Arial" w:cs="Arial" w:eastAsia="Arial" w:hAnsi="Arial"/>
          <w:sz w:val="14"/>
          <w:szCs w:val="14"/>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1" w:lineRule="exact"/>
        <w:rPr>
          <w:rFonts w:ascii="Arial" w:cs="Arial" w:eastAsia="Arial" w:hAnsi="Arial"/>
          <w:sz w:val="14"/>
          <w:szCs w:val="14"/>
          <w:color w:val="auto"/>
        </w:rPr>
      </w:pPr>
    </w:p>
    <w:p>
      <w:pPr>
        <w:ind w:left="480" w:hanging="319"/>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800" w:hanging="323"/>
        <w:spacing w:after="0" w:line="217" w:lineRule="auto"/>
        <w:tabs>
          <w:tab w:leader="none" w:pos="79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15" w:lineRule="exact"/>
        <w:rPr>
          <w:rFonts w:ascii="Arial" w:cs="Arial" w:eastAsia="Arial" w:hAnsi="Arial"/>
          <w:sz w:val="16"/>
          <w:szCs w:val="16"/>
          <w:color w:val="auto"/>
        </w:rPr>
      </w:pPr>
    </w:p>
    <w:p>
      <w:pPr>
        <w:jc w:val="both"/>
        <w:ind w:left="800" w:hanging="323"/>
        <w:spacing w:after="0" w:line="226" w:lineRule="auto"/>
        <w:tabs>
          <w:tab w:leader="none" w:pos="800"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Discretionary Nature</w:t>
      </w:r>
      <w:r>
        <w:rPr>
          <w:rFonts w:ascii="Arial" w:cs="Arial" w:eastAsia="Arial" w:hAnsi="Arial"/>
          <w:sz w:val="15"/>
          <w:szCs w:val="15"/>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760"/>
          </w:cols>
          <w:pgMar w:left="480" w:top="1440" w:right="659" w:bottom="1440" w:gutter="0" w:footer="0" w:header="0"/>
        </w:sectPr>
      </w:pPr>
    </w:p>
    <w:bookmarkStart w:id="50" w:name="page51"/>
    <w:bookmarkEnd w:id="50"/>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800" w:hanging="323"/>
        <w:spacing w:after="0" w:line="217" w:lineRule="auto"/>
        <w:tabs>
          <w:tab w:leader="none" w:pos="79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15" w:lineRule="exact"/>
        <w:rPr>
          <w:rFonts w:ascii="Arial" w:cs="Arial" w:eastAsia="Arial" w:hAnsi="Arial"/>
          <w:sz w:val="16"/>
          <w:szCs w:val="16"/>
          <w:color w:val="auto"/>
        </w:rPr>
      </w:pPr>
    </w:p>
    <w:p>
      <w:pPr>
        <w:jc w:val="both"/>
        <w:ind w:left="800" w:hanging="323"/>
        <w:spacing w:after="0" w:line="247" w:lineRule="auto"/>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No Entitlement</w:t>
      </w:r>
      <w:r>
        <w:rPr>
          <w:rFonts w:ascii="Arial" w:cs="Arial" w:eastAsia="Arial" w:hAnsi="Arial"/>
          <w:sz w:val="14"/>
          <w:szCs w:val="14"/>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1" w:lineRule="exact"/>
        <w:rPr>
          <w:rFonts w:ascii="Arial" w:cs="Arial" w:eastAsia="Arial" w:hAnsi="Arial"/>
          <w:sz w:val="14"/>
          <w:szCs w:val="14"/>
          <w:color w:val="auto"/>
        </w:rPr>
      </w:pPr>
    </w:p>
    <w:p>
      <w:pPr>
        <w:jc w:val="both"/>
        <w:ind w:left="800" w:hanging="323"/>
        <w:spacing w:after="0" w:line="264" w:lineRule="auto"/>
        <w:tabs>
          <w:tab w:leader="none" w:pos="791"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Exchange Rates</w:t>
      </w:r>
      <w:r>
        <w:rPr>
          <w:rFonts w:ascii="Arial" w:cs="Arial" w:eastAsia="Arial" w:hAnsi="Arial"/>
          <w:sz w:val="14"/>
          <w:szCs w:val="14"/>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00" w:lineRule="exact"/>
        <w:rPr>
          <w:rFonts w:ascii="Arial" w:cs="Arial" w:eastAsia="Arial" w:hAnsi="Arial"/>
          <w:sz w:val="14"/>
          <w:szCs w:val="14"/>
          <w:color w:val="auto"/>
        </w:rPr>
      </w:pPr>
    </w:p>
    <w:p>
      <w:pPr>
        <w:ind w:left="800" w:hanging="323"/>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31" w:lineRule="exact"/>
        <w:rPr>
          <w:rFonts w:ascii="Arial" w:cs="Arial" w:eastAsia="Arial" w:hAnsi="Arial"/>
          <w:sz w:val="16"/>
          <w:szCs w:val="16"/>
          <w:color w:val="auto"/>
        </w:rPr>
      </w:pPr>
    </w:p>
    <w:p>
      <w:pPr>
        <w:ind w:left="800" w:hanging="323"/>
        <w:spacing w:after="0" w:line="233"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6" w:lineRule="exact"/>
        <w:rPr>
          <w:rFonts w:ascii="Arial" w:cs="Arial" w:eastAsia="Arial" w:hAnsi="Arial"/>
          <w:sz w:val="16"/>
          <w:szCs w:val="16"/>
          <w:color w:val="auto"/>
        </w:rPr>
      </w:pPr>
    </w:p>
    <w:p>
      <w:pPr>
        <w:ind w:left="800" w:hanging="323"/>
        <w:spacing w:after="0" w:line="294" w:lineRule="auto"/>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9" w:lineRule="exact"/>
        <w:rPr>
          <w:rFonts w:ascii="Arial" w:cs="Arial" w:eastAsia="Arial" w:hAnsi="Arial"/>
          <w:sz w:val="14"/>
          <w:szCs w:val="14"/>
          <w:color w:val="auto"/>
        </w:rPr>
      </w:pPr>
    </w:p>
    <w:p>
      <w:pPr>
        <w:jc w:val="both"/>
        <w:ind w:left="800" w:hanging="323"/>
        <w:spacing w:after="0" w:line="217" w:lineRule="auto"/>
        <w:tabs>
          <w:tab w:leader="none" w:pos="79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15" w:lineRule="exact"/>
        <w:rPr>
          <w:rFonts w:ascii="Arial" w:cs="Arial" w:eastAsia="Arial" w:hAnsi="Arial"/>
          <w:sz w:val="16"/>
          <w:szCs w:val="16"/>
          <w:color w:val="auto"/>
        </w:rPr>
      </w:pPr>
    </w:p>
    <w:p>
      <w:pPr>
        <w:ind w:left="800" w:hanging="323"/>
        <w:spacing w:after="0" w:line="233" w:lineRule="auto"/>
        <w:tabs>
          <w:tab w:leader="none" w:pos="79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6" w:lineRule="exact"/>
        <w:rPr>
          <w:rFonts w:ascii="Arial" w:cs="Arial" w:eastAsia="Arial" w:hAnsi="Arial"/>
          <w:sz w:val="16"/>
          <w:szCs w:val="16"/>
          <w:color w:val="auto"/>
        </w:rPr>
      </w:pPr>
    </w:p>
    <w:p>
      <w:pPr>
        <w:ind w:left="800" w:hanging="323"/>
        <w:spacing w:after="0" w:line="233"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6" w:lineRule="exact"/>
        <w:rPr>
          <w:rFonts w:ascii="Arial" w:cs="Arial" w:eastAsia="Arial" w:hAnsi="Arial"/>
          <w:sz w:val="16"/>
          <w:szCs w:val="16"/>
          <w:color w:val="auto"/>
        </w:rPr>
      </w:pPr>
    </w:p>
    <w:p>
      <w:pPr>
        <w:ind w:left="800" w:hanging="323"/>
        <w:spacing w:after="0" w:line="233" w:lineRule="auto"/>
        <w:tabs>
          <w:tab w:leader="none" w:pos="79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6" w:lineRule="exact"/>
        <w:rPr>
          <w:rFonts w:ascii="Arial" w:cs="Arial" w:eastAsia="Arial" w:hAnsi="Arial"/>
          <w:sz w:val="16"/>
          <w:szCs w:val="16"/>
          <w:color w:val="auto"/>
        </w:rPr>
      </w:pPr>
    </w:p>
    <w:p>
      <w:pPr>
        <w:jc w:val="both"/>
        <w:ind w:left="800" w:hanging="323"/>
        <w:spacing w:after="0" w:line="224" w:lineRule="auto"/>
        <w:tabs>
          <w:tab w:leader="none" w:pos="791"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0" w:lineRule="exact"/>
        <w:rPr>
          <w:rFonts w:ascii="Arial" w:cs="Arial" w:eastAsia="Arial" w:hAnsi="Arial"/>
          <w:sz w:val="15"/>
          <w:szCs w:val="15"/>
          <w:color w:val="auto"/>
        </w:rPr>
      </w:pPr>
    </w:p>
    <w:p>
      <w:pPr>
        <w:ind w:left="800" w:hanging="323"/>
        <w:spacing w:after="0" w:line="233"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6" w:lineRule="exact"/>
        <w:rPr>
          <w:rFonts w:ascii="Arial" w:cs="Arial" w:eastAsia="Arial" w:hAnsi="Arial"/>
          <w:sz w:val="16"/>
          <w:szCs w:val="16"/>
          <w:color w:val="auto"/>
        </w:rPr>
      </w:pPr>
    </w:p>
    <w:p>
      <w:pPr>
        <w:ind w:left="800" w:hanging="323"/>
        <w:spacing w:after="0" w:line="233"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Participant’s Acceptance</w:t>
      </w:r>
      <w:r>
        <w:rPr>
          <w:rFonts w:ascii="Arial" w:cs="Arial" w:eastAsia="Arial" w:hAnsi="Arial"/>
          <w:sz w:val="16"/>
          <w:szCs w:val="16"/>
          <w:color w:val="auto"/>
        </w:rPr>
        <w:t>. The Participant is urged to read this Agreement carefully and to consult with his or her own legal counsel regarding the terms and consequences of this Agreement and the legal and binding effect of this Agreement.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60"/>
          </w:cols>
          <w:pgMar w:left="480" w:top="1440" w:right="659" w:bottom="1440" w:gutter="0" w:footer="0" w:header="0"/>
        </w:sectPr>
      </w:pPr>
    </w:p>
    <w:bookmarkStart w:id="51" w:name="page52"/>
    <w:bookmarkEnd w:id="51"/>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ind w:left="800"/>
        <w:spacing w:after="0" w:line="233" w:lineRule="auto"/>
        <w:rPr>
          <w:sz w:val="20"/>
          <w:szCs w:val="20"/>
          <w:color w:val="auto"/>
        </w:rPr>
      </w:pPr>
      <w:r>
        <w:rPr>
          <w:rFonts w:ascii="Arial" w:cs="Arial" w:eastAsia="Arial" w:hAnsi="Arial"/>
          <w:sz w:val="16"/>
          <w:szCs w:val="16"/>
          <w:color w:val="auto"/>
        </w:rPr>
        <w:t>virtue of his or her acceptance of this Award, the Participant is deemed to have accepted and agreed to all of the terms and conditions of this Agreement and the provisions of the Plan.</w:t>
      </w:r>
    </w:p>
    <w:p>
      <w:pPr>
        <w:spacing w:after="0" w:line="116" w:lineRule="exact"/>
        <w:rPr>
          <w:sz w:val="20"/>
          <w:szCs w:val="20"/>
          <w:color w:val="auto"/>
        </w:rPr>
      </w:pPr>
    </w:p>
    <w:p>
      <w:pPr>
        <w:jc w:val="both"/>
        <w:ind w:left="800" w:hanging="323"/>
        <w:spacing w:after="0" w:line="264" w:lineRule="auto"/>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00" w:lineRule="exact"/>
        <w:rPr>
          <w:rFonts w:ascii="Arial" w:cs="Arial" w:eastAsia="Arial" w:hAnsi="Arial"/>
          <w:sz w:val="14"/>
          <w:szCs w:val="14"/>
          <w:color w:val="auto"/>
        </w:rPr>
      </w:pPr>
    </w:p>
    <w:p>
      <w:pPr>
        <w:jc w:val="both"/>
        <w:ind w:left="800" w:hanging="323"/>
        <w:spacing w:after="0" w:line="219"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17" w:lineRule="exact"/>
        <w:rPr>
          <w:rFonts w:ascii="Arial" w:cs="Arial" w:eastAsia="Arial" w:hAnsi="Arial"/>
          <w:sz w:val="16"/>
          <w:szCs w:val="16"/>
          <w:color w:val="auto"/>
        </w:rPr>
      </w:pPr>
    </w:p>
    <w:p>
      <w:pPr>
        <w:jc w:val="both"/>
        <w:ind w:left="800" w:hanging="323"/>
        <w:spacing w:after="0" w:line="231" w:lineRule="auto"/>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Appendix A</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17" w:lineRule="exact"/>
        <w:rPr>
          <w:rFonts w:ascii="Arial" w:cs="Arial" w:eastAsia="Arial" w:hAnsi="Arial"/>
          <w:sz w:val="15"/>
          <w:szCs w:val="15"/>
          <w:color w:val="auto"/>
        </w:rPr>
      </w:pPr>
    </w:p>
    <w:p>
      <w:pPr>
        <w:jc w:val="both"/>
        <w:ind w:left="800" w:hanging="323"/>
        <w:spacing w:after="0" w:line="219" w:lineRule="auto"/>
        <w:tabs>
          <w:tab w:leader="none" w:pos="79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7" w:lineRule="exact"/>
        <w:rPr>
          <w:rFonts w:ascii="Arial" w:cs="Arial" w:eastAsia="Arial" w:hAnsi="Arial"/>
          <w:sz w:val="16"/>
          <w:szCs w:val="16"/>
          <w:color w:val="auto"/>
        </w:rPr>
      </w:pPr>
    </w:p>
    <w:p>
      <w:pPr>
        <w:jc w:val="both"/>
        <w:ind w:left="800" w:hanging="323"/>
        <w:spacing w:after="0" w:line="219" w:lineRule="auto"/>
        <w:tabs>
          <w:tab w:leader="none" w:pos="79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Award was granted.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7" w:lineRule="exact"/>
        <w:rPr>
          <w:rFonts w:ascii="Arial" w:cs="Arial" w:eastAsia="Arial" w:hAnsi="Arial"/>
          <w:sz w:val="16"/>
          <w:szCs w:val="16"/>
          <w:color w:val="auto"/>
        </w:rPr>
      </w:pPr>
    </w:p>
    <w:p>
      <w:pPr>
        <w:jc w:val="both"/>
        <w:ind w:left="800" w:hanging="323"/>
        <w:spacing w:after="0" w:line="219"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17" w:lineRule="exact"/>
        <w:rPr>
          <w:rFonts w:ascii="Arial" w:cs="Arial" w:eastAsia="Arial" w:hAnsi="Arial"/>
          <w:sz w:val="16"/>
          <w:szCs w:val="16"/>
          <w:color w:val="auto"/>
        </w:rPr>
      </w:pPr>
    </w:p>
    <w:p>
      <w:pPr>
        <w:jc w:val="both"/>
        <w:ind w:left="800" w:hanging="323"/>
        <w:spacing w:after="0" w:line="239" w:lineRule="auto"/>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6" w:lineRule="exact"/>
        <w:rPr>
          <w:rFonts w:ascii="Arial" w:cs="Arial" w:eastAsia="Arial" w:hAnsi="Arial"/>
          <w:sz w:val="15"/>
          <w:szCs w:val="15"/>
          <w:color w:val="auto"/>
        </w:rPr>
      </w:pPr>
    </w:p>
    <w:p>
      <w:pPr>
        <w:jc w:val="both"/>
        <w:ind w:left="800" w:hanging="323"/>
        <w:spacing w:after="0" w:line="226" w:lineRule="auto"/>
        <w:tabs>
          <w:tab w:leader="none" w:pos="796"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Insider Trading Restrictions/Market Abuse Laws</w:t>
      </w:r>
      <w:r>
        <w:rPr>
          <w:rFonts w:ascii="Arial" w:cs="Arial" w:eastAsia="Arial" w:hAnsi="Arial"/>
          <w:sz w:val="15"/>
          <w:szCs w:val="15"/>
          <w:color w:val="auto"/>
        </w:rPr>
        <w:t>. The Participant may be subject to insider trading restrictions and/or market abuse laws which may affect the Participant’s ability to accept, acquire, sell, or otherwise dispose of Common Stock, rights to Common Stock (</w:t>
      </w:r>
      <w:r>
        <w:rPr>
          <w:rFonts w:ascii="Arial" w:cs="Arial" w:eastAsia="Arial" w:hAnsi="Arial"/>
          <w:sz w:val="15"/>
          <w:szCs w:val="15"/>
          <w:i w:val="1"/>
          <w:iCs w:val="1"/>
          <w:color w:val="auto"/>
        </w:rPr>
        <w:t>e.g.</w:t>
      </w:r>
      <w:r>
        <w:rPr>
          <w:rFonts w:ascii="Arial" w:cs="Arial" w:eastAsia="Arial" w:hAnsi="Arial"/>
          <w:sz w:val="15"/>
          <w:szCs w:val="15"/>
          <w:color w:val="auto"/>
        </w:rPr>
        <w:t>, RSUs) or rights linked to the value of Common Stock (</w:t>
      </w:r>
      <w:r>
        <w:rPr>
          <w:rFonts w:ascii="Arial" w:cs="Arial" w:eastAsia="Arial" w:hAnsi="Arial"/>
          <w:sz w:val="15"/>
          <w:szCs w:val="15"/>
          <w:i w:val="1"/>
          <w:iCs w:val="1"/>
          <w:color w:val="auto"/>
        </w:rPr>
        <w:t>e.g.</w:t>
      </w:r>
      <w:r>
        <w:rPr>
          <w:rFonts w:ascii="Arial" w:cs="Arial" w:eastAsia="Arial" w:hAnsi="Arial"/>
          <w:sz w:val="15"/>
          <w:szCs w:val="15"/>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7" w:lineRule="exact"/>
        <w:rPr>
          <w:rFonts w:ascii="Arial" w:cs="Arial" w:eastAsia="Arial" w:hAnsi="Arial"/>
          <w:sz w:val="15"/>
          <w:szCs w:val="15"/>
          <w:color w:val="auto"/>
        </w:rPr>
      </w:pPr>
    </w:p>
    <w:p>
      <w:pPr>
        <w:jc w:val="both"/>
        <w:ind w:left="800" w:hanging="323"/>
        <w:spacing w:after="0" w:line="227" w:lineRule="auto"/>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60"/>
          </w:cols>
          <w:pgMar w:left="480" w:top="1440" w:right="659" w:bottom="1440" w:gutter="0" w:footer="0" w:header="0"/>
        </w:sectPr>
      </w:pPr>
    </w:p>
    <w:bookmarkStart w:id="52" w:name="page53"/>
    <w:bookmarkEnd w:id="52"/>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ind w:left="800" w:hanging="323"/>
        <w:spacing w:after="0" w:line="233"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6" w:lineRule="exact"/>
        <w:rPr>
          <w:rFonts w:ascii="Arial" w:cs="Arial" w:eastAsia="Arial" w:hAnsi="Arial"/>
          <w:sz w:val="16"/>
          <w:szCs w:val="16"/>
          <w:color w:val="auto"/>
        </w:rPr>
      </w:pPr>
    </w:p>
    <w:p>
      <w:pPr>
        <w:jc w:val="both"/>
        <w:ind w:left="800" w:hanging="323"/>
        <w:spacing w:after="0" w:line="217" w:lineRule="auto"/>
        <w:tabs>
          <w:tab w:leader="none" w:pos="79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63" w:lineRule="exact"/>
        <w:rPr>
          <w:sz w:val="20"/>
          <w:szCs w:val="20"/>
          <w:color w:val="auto"/>
        </w:rPr>
      </w:pPr>
    </w:p>
    <w:tbl>
      <w:tblPr>
        <w:tblLayout w:type="fixed"/>
        <w:tblInd w:w="1320" w:type="dxa"/>
        <w:tblCellMar>
          <w:top w:w="0" w:type="dxa"/>
          <w:left w:w="0" w:type="dxa"/>
          <w:bottom w:w="0" w:type="dxa"/>
          <w:right w:w="0" w:type="dxa"/>
        </w:tblCellMar>
      </w:tblPr>
      <w:tr>
        <w:trPr>
          <w:trHeight w:val="204"/>
        </w:trPr>
        <w:tc>
          <w:tcPr>
            <w:tcW w:w="460" w:type="dxa"/>
            <w:vAlign w:val="bottom"/>
          </w:tcPr>
          <w:p>
            <w:pPr>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Ray Stata</w:t>
            </w:r>
          </w:p>
        </w:tc>
        <w:tc>
          <w:tcPr>
            <w:tcW w:w="1740" w:type="dxa"/>
            <w:vAlign w:val="bottom"/>
          </w:tcPr>
          <w:p>
            <w:pPr>
              <w:ind w:left="126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Vincent Roche</w:t>
            </w:r>
          </w:p>
        </w:tc>
      </w:tr>
      <w:tr>
        <w:trPr>
          <w:trHeight w:val="200"/>
        </w:trPr>
        <w:tc>
          <w:tcPr>
            <w:tcW w:w="46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rPr>
              <w:t>Ray Stata, Chairman of the Board of Directors</w:t>
            </w:r>
          </w:p>
        </w:tc>
        <w:tc>
          <w:tcPr>
            <w:tcW w:w="174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w w:val="98"/>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760"/>
          </w:cols>
          <w:pgMar w:left="480" w:top="1440" w:right="659" w:bottom="1440" w:gutter="0" w:footer="0" w:header="0"/>
        </w:sectPr>
      </w:pPr>
    </w:p>
    <w:bookmarkStart w:id="53" w:name="page54"/>
    <w:bookmarkEnd w:id="53"/>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09" w:lineRule="exact"/>
        <w:rPr>
          <w:sz w:val="20"/>
          <w:szCs w:val="20"/>
          <w:color w:val="auto"/>
        </w:rPr>
      </w:pPr>
    </w:p>
    <w:p>
      <w:pPr>
        <w:jc w:val="both"/>
        <w:ind w:left="160" w:right="320"/>
        <w:spacing w:after="0" w:line="255" w:lineRule="auto"/>
        <w:rPr>
          <w:sz w:val="20"/>
          <w:szCs w:val="20"/>
          <w:color w:val="auto"/>
        </w:rPr>
      </w:pPr>
      <w:r>
        <w:rPr>
          <w:rFonts w:ascii="Arial" w:cs="Arial" w:eastAsia="Arial" w:hAnsi="Arial"/>
          <w:sz w:val="14"/>
          <w:szCs w:val="14"/>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November 2021.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197"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95" w:lineRule="exact"/>
        <w:rPr>
          <w:sz w:val="20"/>
          <w:szCs w:val="20"/>
          <w:color w:val="auto"/>
        </w:rPr>
      </w:pPr>
    </w:p>
    <w:p>
      <w:pPr>
        <w:jc w:val="both"/>
        <w:ind w:left="160" w:right="320"/>
        <w:spacing w:after="0" w:line="264" w:lineRule="auto"/>
        <w:rPr>
          <w:sz w:val="20"/>
          <w:szCs w:val="20"/>
          <w:color w:val="auto"/>
        </w:rPr>
      </w:pPr>
      <w:r>
        <w:rPr>
          <w:rFonts w:ascii="Arial" w:cs="Arial" w:eastAsia="Arial" w:hAnsi="Arial"/>
          <w:sz w:val="14"/>
          <w:szCs w:val="14"/>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28"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6" w:lineRule="exact"/>
        <w:rPr>
          <w:sz w:val="20"/>
          <w:szCs w:val="20"/>
          <w:color w:val="auto"/>
        </w:rPr>
      </w:pPr>
    </w:p>
    <w:p>
      <w:pPr>
        <w:jc w:val="both"/>
        <w:ind w:left="480" w:hanging="319"/>
        <w:spacing w:after="0" w:line="301" w:lineRule="auto"/>
        <w:tabs>
          <w:tab w:leader="none" w:pos="471" w:val="left"/>
        </w:tabs>
        <w:numPr>
          <w:ilvl w:val="0"/>
          <w:numId w:val="41"/>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Data Collection and Usage</w:t>
      </w:r>
      <w:r>
        <w:rPr>
          <w:rFonts w:ascii="Arial" w:cs="Arial" w:eastAsia="Arial" w:hAnsi="Arial"/>
          <w:sz w:val="12"/>
          <w:szCs w:val="12"/>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82" w:lineRule="exact"/>
        <w:rPr>
          <w:rFonts w:ascii="Arial" w:cs="Arial" w:eastAsia="Arial" w:hAnsi="Arial"/>
          <w:sz w:val="12"/>
          <w:szCs w:val="12"/>
          <w:color w:val="auto"/>
        </w:rPr>
      </w:pPr>
    </w:p>
    <w:p>
      <w:pPr>
        <w:jc w:val="both"/>
        <w:ind w:left="480" w:hanging="319"/>
        <w:spacing w:after="0" w:line="250" w:lineRule="auto"/>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08" w:lineRule="exact"/>
        <w:rPr>
          <w:rFonts w:ascii="Arial" w:cs="Arial" w:eastAsia="Arial" w:hAnsi="Arial"/>
          <w:sz w:val="14"/>
          <w:szCs w:val="14"/>
          <w:color w:val="auto"/>
        </w:rPr>
      </w:pPr>
    </w:p>
    <w:p>
      <w:pPr>
        <w:jc w:val="both"/>
        <w:ind w:left="480" w:hanging="319"/>
        <w:spacing w:after="0" w:line="227" w:lineRule="auto"/>
        <w:tabs>
          <w:tab w:leader="none" w:pos="471" w:val="left"/>
        </w:tabs>
        <w:numPr>
          <w:ilvl w:val="0"/>
          <w:numId w:val="41"/>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6" w:lineRule="exact"/>
        <w:rPr>
          <w:rFonts w:ascii="Arial" w:cs="Arial" w:eastAsia="Arial" w:hAnsi="Arial"/>
          <w:sz w:val="15"/>
          <w:szCs w:val="15"/>
          <w:color w:val="auto"/>
        </w:rPr>
      </w:pPr>
    </w:p>
    <w:p>
      <w:pPr>
        <w:jc w:val="both"/>
        <w:ind w:left="480" w:hanging="319"/>
        <w:spacing w:after="0" w:line="264" w:lineRule="auto"/>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0" w:lineRule="exact"/>
        <w:rPr>
          <w:rFonts w:ascii="Arial" w:cs="Arial" w:eastAsia="Arial" w:hAnsi="Arial"/>
          <w:sz w:val="14"/>
          <w:szCs w:val="14"/>
          <w:color w:val="auto"/>
        </w:rPr>
      </w:pPr>
    </w:p>
    <w:p>
      <w:pPr>
        <w:jc w:val="both"/>
        <w:ind w:left="480" w:hanging="319"/>
        <w:spacing w:after="0" w:line="219" w:lineRule="auto"/>
        <w:tabs>
          <w:tab w:leader="none" w:pos="471"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17" w:lineRule="exact"/>
        <w:rPr>
          <w:rFonts w:ascii="Arial" w:cs="Arial" w:eastAsia="Arial" w:hAnsi="Arial"/>
          <w:sz w:val="16"/>
          <w:szCs w:val="16"/>
          <w:color w:val="auto"/>
        </w:rPr>
      </w:pPr>
    </w:p>
    <w:p>
      <w:pPr>
        <w:jc w:val="both"/>
        <w:ind w:left="480" w:hanging="319"/>
        <w:spacing w:after="0" w:line="224" w:lineRule="auto"/>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080"/>
          </w:cols>
          <w:pgMar w:left="480" w:top="994" w:right="339" w:bottom="1440" w:gutter="0" w:footer="0" w:header="0"/>
        </w:sectPr>
      </w:pPr>
    </w:p>
    <w:bookmarkStart w:id="54" w:name="page55"/>
    <w:bookmarkEnd w:id="54"/>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80"/>
        <w:spacing w:after="0" w:line="239" w:lineRule="auto"/>
        <w:rPr>
          <w:sz w:val="20"/>
          <w:szCs w:val="20"/>
          <w:color w:val="auto"/>
        </w:rPr>
      </w:pPr>
      <w:r>
        <w:rPr>
          <w:rFonts w:ascii="Arial" w:cs="Arial" w:eastAsia="Arial" w:hAnsi="Arial"/>
          <w:sz w:val="15"/>
          <w:szCs w:val="15"/>
          <w:b w:val="1"/>
          <w:bCs w:val="1"/>
          <w:i w:val="1"/>
          <w:iCs w:val="1"/>
          <w:color w:val="auto"/>
        </w:rPr>
        <w:t>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6"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160" w:right="320"/>
        <w:spacing w:after="0" w:line="233" w:lineRule="auto"/>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AUSTRALIA</w:t>
      </w:r>
    </w:p>
    <w:p>
      <w:pPr>
        <w:spacing w:after="0" w:line="215"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u w:val="single" w:color="auto"/>
          <w:color w:val="auto"/>
        </w:rPr>
        <w:t>Australian Offer Documen</w:t>
      </w:r>
      <w:r>
        <w:rPr>
          <w:rFonts w:ascii="Arial" w:cs="Arial" w:eastAsia="Arial" w:hAnsi="Arial"/>
          <w:sz w:val="16"/>
          <w:szCs w:val="16"/>
          <w:color w:val="auto"/>
        </w:rPr>
        <w:t>t. This offer of RSUs is intended to comply with the provisions of the Corporations Act 2001, ASIC Regulatory Guide 49 and ASIC Class Order CO 14/1000. Additional details are set forth in the Offer Document for the offer of Restricted Stock Units to Australian resident employees, which is attached hereto as Appendix B.</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Tax Information</w:t>
      </w:r>
      <w:r>
        <w:rPr>
          <w:rFonts w:ascii="Arial" w:cs="Arial" w:eastAsia="Arial" w:hAnsi="Arial"/>
          <w:sz w:val="16"/>
          <w:szCs w:val="16"/>
          <w:color w:val="auto"/>
        </w:rPr>
        <w:t>. The Plan is a plan to which Subdivision 83A-C of the Income Tax Assessment Act (Cth) applies (subject to the conditions in the Act).</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AUSTRIA</w:t>
      </w:r>
    </w:p>
    <w:p>
      <w:pPr>
        <w:spacing w:after="0" w:line="228" w:lineRule="exact"/>
        <w:rPr>
          <w:sz w:val="20"/>
          <w:szCs w:val="20"/>
          <w:color w:val="auto"/>
        </w:rPr>
      </w:pPr>
    </w:p>
    <w:p>
      <w:pPr>
        <w:jc w:val="both"/>
        <w:ind w:left="160" w:right="320"/>
        <w:spacing w:after="0" w:line="234"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5"/>
          <w:szCs w:val="15"/>
          <w:i w:val="1"/>
          <w:iCs w:val="1"/>
          <w:color w:val="auto"/>
        </w:rPr>
        <w:t>Standmeldung/Wertpapiere</w:t>
      </w:r>
      <w:r>
        <w:rPr>
          <w:rFonts w:ascii="Arial" w:cs="Arial" w:eastAsia="Arial" w:hAnsi="Arial"/>
          <w:sz w:val="15"/>
          <w:szCs w:val="15"/>
          <w:color w:val="auto"/>
        </w:rPr>
        <w:t>.” An exemption applies if the value of the securities held outside Austria as of December 31 does not exceed certain thresholds. These thresholds may be subject to change effective January 2022. If applicable, the deadline for filing the annual report is January 31 of the following year.</w:t>
      </w:r>
    </w:p>
    <w:p>
      <w:pPr>
        <w:spacing w:after="0" w:line="209"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6"/>
          <w:szCs w:val="16"/>
          <w:i w:val="1"/>
          <w:iCs w:val="1"/>
          <w:color w:val="auto"/>
        </w:rPr>
        <w:t>Meldungen SI-Forderungen</w:t>
      </w:r>
      <w:r>
        <w:rPr>
          <w:rFonts w:ascii="Arial" w:cs="Arial" w:eastAsia="Arial" w:hAnsi="Arial"/>
          <w:sz w:val="16"/>
          <w:szCs w:val="16"/>
          <w:color w:val="auto"/>
        </w:rPr>
        <w:t xml:space="preserve"> </w:t>
      </w:r>
      <w:r>
        <w:rPr>
          <w:rFonts w:ascii="Arial" w:cs="Arial" w:eastAsia="Arial" w:hAnsi="Arial"/>
          <w:sz w:val="16"/>
          <w:szCs w:val="16"/>
          <w:i w:val="1"/>
          <w:iCs w:val="1"/>
          <w:color w:val="auto"/>
        </w:rPr>
        <w:t>und/oder SI-Verpflichtungen</w:t>
      </w:r>
      <w:r>
        <w:rPr>
          <w:rFonts w:ascii="Arial" w:cs="Arial" w:eastAsia="Arial" w:hAnsi="Arial"/>
          <w:sz w:val="16"/>
          <w:szCs w:val="16"/>
          <w:color w:val="auto"/>
        </w:rPr>
        <w:t>.”</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BELGIUM</w:t>
      </w:r>
    </w:p>
    <w:p>
      <w:pPr>
        <w:spacing w:after="0" w:line="228" w:lineRule="exact"/>
        <w:rPr>
          <w:sz w:val="20"/>
          <w:szCs w:val="20"/>
          <w:color w:val="auto"/>
        </w:rPr>
      </w:pPr>
    </w:p>
    <w:p>
      <w:pPr>
        <w:jc w:val="both"/>
        <w:ind w:left="160" w:right="32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10"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u w:val="single" w:color="auto"/>
          <w:color w:val="auto"/>
        </w:rPr>
        <w:t>Stock Exchange Tax</w:t>
      </w:r>
      <w:r>
        <w:rPr>
          <w:rFonts w:ascii="Arial" w:cs="Arial" w:eastAsia="Arial" w:hAnsi="Arial"/>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08" w:lineRule="exact"/>
        <w:rPr>
          <w:sz w:val="20"/>
          <w:szCs w:val="20"/>
          <w:color w:val="auto"/>
        </w:rPr>
      </w:pPr>
    </w:p>
    <w:p>
      <w:pPr>
        <w:jc w:val="both"/>
        <w:ind w:left="160" w:right="320"/>
        <w:spacing w:after="0" w:line="219" w:lineRule="auto"/>
        <w:rPr>
          <w:sz w:val="20"/>
          <w:szCs w:val="20"/>
          <w:color w:val="auto"/>
        </w:rPr>
      </w:pPr>
      <w:r>
        <w:rPr>
          <w:rFonts w:ascii="Arial" w:cs="Arial" w:eastAsia="Arial" w:hAnsi="Arial"/>
          <w:sz w:val="16"/>
          <w:szCs w:val="16"/>
          <w:u w:val="single" w:color="auto"/>
          <w:color w:val="auto"/>
        </w:rPr>
        <w:t>Annual Securities Accounts Tax</w:t>
      </w:r>
      <w:r>
        <w:rPr>
          <w:rFonts w:ascii="Arial" w:cs="Arial" w:eastAsia="Arial" w:hAnsi="Arial"/>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CANADA</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This provision supplements Section 2 of the Agreement:</w:t>
      </w:r>
    </w:p>
    <w:p>
      <w:pPr>
        <w:spacing w:after="0" w:line="224" w:lineRule="exact"/>
        <w:rPr>
          <w:sz w:val="20"/>
          <w:szCs w:val="20"/>
          <w:color w:val="auto"/>
        </w:rPr>
      </w:pPr>
    </w:p>
    <w:p>
      <w:pPr>
        <w:jc w:val="both"/>
        <w:ind w:left="160" w:right="32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209" w:lineRule="exact"/>
        <w:rPr>
          <w:sz w:val="20"/>
          <w:szCs w:val="20"/>
          <w:color w:val="auto"/>
        </w:rPr>
      </w:pPr>
    </w:p>
    <w:p>
      <w:pPr>
        <w:jc w:val="both"/>
        <w:ind w:left="160" w:right="32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1080"/>
          </w:cols>
          <w:pgMar w:left="480" w:top="994" w:right="339" w:bottom="1440" w:gutter="0" w:footer="0" w:header="0"/>
        </w:sectPr>
      </w:pPr>
    </w:p>
    <w:bookmarkStart w:id="55" w:name="page56"/>
    <w:bookmarkEnd w:id="55"/>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outside Canada through the facilities of a stock exchange on which the Shares are listed. The Shares are currently listed on the Nasdaq Global Select Market.</w:t>
      </w:r>
    </w:p>
    <w:p>
      <w:pPr>
        <w:spacing w:after="0" w:line="23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following supplements Section 2 of the Agreement (except Section 2(d) regarding disability) as well as any other section required to give effect to the same:</w:t>
      </w:r>
    </w:p>
    <w:p>
      <w:pPr>
        <w:spacing w:after="0" w:line="209"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196"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10" w:lineRule="exact"/>
        <w:rPr>
          <w:sz w:val="20"/>
          <w:szCs w:val="20"/>
          <w:color w:val="auto"/>
        </w:rPr>
      </w:pPr>
    </w:p>
    <w:p>
      <w:pPr>
        <w:jc w:val="both"/>
        <w:ind w:left="160"/>
        <w:spacing w:after="0" w:line="213"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The following terms and conditions apply if the Participant is in Quebec:</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the Data Privacy Information and Consent provision in the Terms and Conditions for Participants Outside the U.S. set forth above:</w:t>
      </w:r>
    </w:p>
    <w:p>
      <w:pPr>
        <w:spacing w:after="0" w:line="209"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French Language Acknowledgment</w:t>
      </w:r>
      <w:r>
        <w:rPr>
          <w:rFonts w:ascii="Arial" w:cs="Arial" w:eastAsia="Arial" w:hAnsi="Arial"/>
          <w:sz w:val="16"/>
          <w:szCs w:val="16"/>
          <w:color w:val="auto"/>
        </w:rPr>
        <w:t>. This provision supplements Section 9(q)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CHINA</w:t>
      </w:r>
    </w:p>
    <w:p>
      <w:pPr>
        <w:spacing w:after="0" w:line="215"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71" w:lineRule="exact"/>
        <w:rPr>
          <w:sz w:val="20"/>
          <w:szCs w:val="20"/>
          <w:color w:val="auto"/>
        </w:rPr>
      </w:pPr>
    </w:p>
    <w:p>
      <w:pPr>
        <w:jc w:val="both"/>
        <w:ind w:left="160"/>
        <w:spacing w:after="0" w:line="229" w:lineRule="auto"/>
        <w:rPr>
          <w:sz w:val="20"/>
          <w:szCs w:val="20"/>
          <w:color w:val="auto"/>
        </w:rPr>
      </w:pPr>
      <w:r>
        <w:rPr>
          <w:rFonts w:ascii="Arial" w:cs="Arial" w:eastAsia="Arial" w:hAnsi="Arial"/>
          <w:sz w:val="15"/>
          <w:szCs w:val="15"/>
          <w:u w:val="single" w:color="auto"/>
          <w:color w:val="auto"/>
        </w:rPr>
        <w:t>Vesting</w:t>
      </w:r>
      <w:r>
        <w:rPr>
          <w:rFonts w:ascii="Arial" w:cs="Arial" w:eastAsia="Arial" w:hAnsi="Arial"/>
          <w:sz w:val="15"/>
          <w:szCs w:val="15"/>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subsidiary or affiliate of the Company.</w:t>
      </w:r>
    </w:p>
    <w:p>
      <w:pPr>
        <w:spacing w:after="0" w:line="210"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APPENDIX A - 3</w:t>
      </w:r>
    </w:p>
    <w:p>
      <w:pPr>
        <w:sectPr>
          <w:pgSz w:w="11900" w:h="16838" w:orient="portrait"/>
          <w:cols w:equalWidth="0" w:num="1">
            <w:col w:w="10760"/>
          </w:cols>
          <w:pgMar w:left="480" w:top="994" w:right="659" w:bottom="1440" w:gutter="0" w:footer="0" w:header="0"/>
        </w:sectPr>
      </w:pPr>
    </w:p>
    <w:bookmarkStart w:id="56" w:name="page57"/>
    <w:bookmarkEnd w:id="56"/>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color w:val="auto"/>
        </w:rPr>
        <w:t>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8"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08"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DENMARK</w:t>
      </w:r>
    </w:p>
    <w:p>
      <w:pPr>
        <w:spacing w:after="0" w:line="228"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u w:val="single" w:color="auto"/>
          <w:color w:val="auto"/>
        </w:rPr>
        <w:t>Danish Stock Option Act</w:t>
      </w:r>
      <w:r>
        <w:rPr>
          <w:rFonts w:ascii="Arial" w:cs="Arial" w:eastAsia="Arial" w:hAnsi="Arial"/>
          <w:sz w:val="15"/>
          <w:szCs w:val="15"/>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in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EGYPT</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If the Participant transfers funds into Egypt in connection with the sale of Shares, the Participant is required to transfer the funds through a registered bank in Egypt.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ESTONIA</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224" w:lineRule="exact"/>
        <w:rPr>
          <w:sz w:val="20"/>
          <w:szCs w:val="20"/>
          <w:color w:val="auto"/>
        </w:rPr>
      </w:pPr>
    </w:p>
    <w:p>
      <w:pPr>
        <w:jc w:val="both"/>
        <w:ind w:left="160"/>
        <w:spacing w:after="0" w:line="243" w:lineRule="auto"/>
        <w:rPr>
          <w:sz w:val="20"/>
          <w:szCs w:val="20"/>
          <w:color w:val="auto"/>
        </w:rPr>
      </w:pPr>
      <w:r>
        <w:rPr>
          <w:rFonts w:ascii="Arial" w:cs="Arial" w:eastAsia="Arial" w:hAnsi="Arial"/>
          <w:sz w:val="14"/>
          <w:szCs w:val="14"/>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09"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xml:space="preserve">. </w:t>
      </w:r>
      <w:r>
        <w:rPr>
          <w:rFonts w:ascii="Arial" w:cs="Arial" w:eastAsia="Arial" w:hAnsi="Arial"/>
          <w:sz w:val="16"/>
          <w:szCs w:val="16"/>
          <w:i w:val="1"/>
          <w:iCs w:val="1"/>
          <w:color w:val="auto"/>
        </w:rPr>
        <w:t>Võttes vastu piiratud aktsiaühikute (RSUs) pakkumise, kinnitab Osaleja, et ta on ingliskeelsena esitatud pakkumisega seotud dokumendid</w:t>
      </w:r>
      <w:r>
        <w:rPr>
          <w:rFonts w:ascii="Arial" w:cs="Arial" w:eastAsia="Arial" w:hAnsi="Arial"/>
          <w:sz w:val="16"/>
          <w:szCs w:val="16"/>
          <w:color w:val="auto"/>
        </w:rPr>
        <w:t xml:space="preserve"> </w:t>
      </w:r>
      <w:r>
        <w:rPr>
          <w:rFonts w:ascii="Arial" w:cs="Arial" w:eastAsia="Arial" w:hAnsi="Arial"/>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6"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FINLAND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APPENDIX A - 4</w:t>
      </w:r>
    </w:p>
    <w:p>
      <w:pPr>
        <w:sectPr>
          <w:pgSz w:w="11900" w:h="16838" w:orient="portrait"/>
          <w:cols w:equalWidth="0" w:num="1">
            <w:col w:w="10760"/>
          </w:cols>
          <w:pgMar w:left="480" w:top="994" w:right="659" w:bottom="1440" w:gutter="0" w:footer="0" w:header="0"/>
        </w:sectPr>
      </w:pPr>
    </w:p>
    <w:bookmarkStart w:id="57" w:name="page58"/>
    <w:bookmarkEnd w:id="57"/>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FRANCE</w:t>
      </w:r>
    </w:p>
    <w:p>
      <w:pPr>
        <w:spacing w:after="0" w:line="215"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u w:val="single" w:color="auto"/>
          <w:color w:val="auto"/>
        </w:rPr>
        <w:t>French-Qualified RSUs</w:t>
      </w:r>
      <w:r>
        <w:rPr>
          <w:rFonts w:ascii="Arial" w:cs="Arial" w:eastAsia="Arial" w:hAnsi="Arial"/>
          <w:sz w:val="15"/>
          <w:szCs w:val="15"/>
          <w:color w:val="auto"/>
        </w:rPr>
        <w:t>. The RSUs are intended to qualify for the favorable tax and social security regime in France under Sections L. 225-197-1 to L. 225-197-5 and Sections L. 22-10-59 and L. 22-10-60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209"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Plan Terms</w:t>
      </w:r>
      <w:r>
        <w:rPr>
          <w:rFonts w:ascii="Arial" w:cs="Arial" w:eastAsia="Arial" w:hAnsi="Arial"/>
          <w:sz w:val="16"/>
          <w:szCs w:val="16"/>
          <w:color w:val="auto"/>
        </w:rPr>
        <w:t>. The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RSUs, the definitions in the French Sub-plan shall prevail.</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 in the Agreement:</w:t>
      </w:r>
    </w:p>
    <w:p>
      <w:pPr>
        <w:spacing w:after="0" w:line="211"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RSUs under Section L. 225-197-1 of the French Commercial Code, as amended, or relevant Sections of the French Tax Code or the French Social Security Code, as amended.</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This provision supplements Section 2(d) in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In the event the Participant becomes Disabled (as defined in the French Sub-plan), the Unvested RSUs as of the date of the Participant’s termination shall vest in full as of the date of the termination.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Restriction on Transfer and Sale of Shares</w:t>
      </w:r>
      <w:r>
        <w:rPr>
          <w:rFonts w:ascii="Arial" w:cs="Arial" w:eastAsia="Arial" w:hAnsi="Arial"/>
          <w:sz w:val="16"/>
          <w:szCs w:val="16"/>
          <w:color w:val="auto"/>
        </w:rPr>
        <w:t>. This provision supplements Section 3 in the Agreement:</w:t>
      </w:r>
    </w:p>
    <w:p>
      <w:pPr>
        <w:spacing w:after="0" w:line="224" w:lineRule="exact"/>
        <w:rPr>
          <w:sz w:val="20"/>
          <w:szCs w:val="20"/>
          <w:color w:val="auto"/>
        </w:rPr>
      </w:pPr>
    </w:p>
    <w:p>
      <w:pPr>
        <w:jc w:val="both"/>
        <w:ind w:left="160"/>
        <w:spacing w:after="0" w:line="212" w:lineRule="auto"/>
        <w:rPr>
          <w:sz w:val="20"/>
          <w:szCs w:val="20"/>
          <w:color w:val="auto"/>
        </w:rPr>
      </w:pPr>
      <w:r>
        <w:rPr>
          <w:rFonts w:ascii="Arial" w:cs="Arial" w:eastAsia="Arial" w:hAnsi="Arial"/>
          <w:sz w:val="16"/>
          <w:szCs w:val="16"/>
          <w:color w:val="auto"/>
        </w:rPr>
        <w:t>The Participant may not sell or transfer the Shares issued at vesting of the RSUs prior to the second anniversary of each of the respective vesting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0"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color w:val="auto"/>
        </w:rPr>
        <w:t>Further, as long as the RSUs and the Shares acquired at vesting of the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This provision supplements Section 9(u) in the Agreement:</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Certain adjustments may disqualify the RSUs, in which case they may no longer benefit from favorable tax and social security treatment in France.</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9"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i w:val="1"/>
          <w:iCs w:val="1"/>
          <w:u w:val="single" w:color="auto"/>
          <w:color w:val="auto"/>
        </w:rPr>
        <w:t>Consentement a la Langue</w:t>
      </w:r>
      <w:r>
        <w:rPr>
          <w:rFonts w:ascii="Arial" w:cs="Arial" w:eastAsia="Arial" w:hAnsi="Arial"/>
          <w:sz w:val="15"/>
          <w:szCs w:val="15"/>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9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APPENDIX A - 5</w:t>
      </w:r>
    </w:p>
    <w:p>
      <w:pPr>
        <w:sectPr>
          <w:pgSz w:w="11900" w:h="16838" w:orient="portrait"/>
          <w:cols w:equalWidth="0" w:num="1">
            <w:col w:w="10760"/>
          </w:cols>
          <w:pgMar w:left="480" w:top="994" w:right="659" w:bottom="1440" w:gutter="0" w:footer="0" w:header="0"/>
          <w:type w:val="continuous"/>
        </w:sectPr>
      </w:pPr>
    </w:p>
    <w:bookmarkStart w:id="58" w:name="page59"/>
    <w:bookmarkEnd w:id="58"/>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GERMANY</w:t>
      </w:r>
    </w:p>
    <w:p>
      <w:pPr>
        <w:spacing w:after="0" w:line="22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can be accessed via the Bundesbank’s website (www.bundesbank.de) and is available in both German and English. It is the Participant’s responsibility to comply with this reporting obligation and the Participant should consult with his or her personal tax advisor in this regard.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HONG KONG</w:t>
      </w:r>
    </w:p>
    <w:p>
      <w:pPr>
        <w:spacing w:after="0" w:line="21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In the event the RSUs vest within six months of the Date of Grant, the Participant agrees not to sell any Shares acquired upon vesting of the RSUs prior to the six-month anniversary of the Date of Grant.</w:t>
      </w:r>
    </w:p>
    <w:p>
      <w:pPr>
        <w:spacing w:after="0" w:line="156"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Securities Law Notice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WARNING</w:t>
      </w:r>
      <w:r>
        <w:rPr>
          <w:rFonts w:ascii="Arial" w:cs="Arial" w:eastAsia="Arial" w:hAnsi="Arial"/>
          <w:sz w:val="14"/>
          <w:szCs w:val="14"/>
          <w:i w:val="1"/>
          <w:iCs w:val="1"/>
          <w:color w:val="auto"/>
        </w:rPr>
        <w:t>: The contents of this document have not been reviewed by any regulatory authority in Hong Kong. The Participant should exercise</w:t>
      </w:r>
      <w:r>
        <w:rPr>
          <w:rFonts w:ascii="Arial" w:cs="Arial" w:eastAsia="Arial" w:hAnsi="Arial"/>
          <w:sz w:val="14"/>
          <w:szCs w:val="14"/>
          <w:color w:val="auto"/>
        </w:rPr>
        <w:t xml:space="preserve"> </w:t>
      </w:r>
      <w:r>
        <w:rPr>
          <w:rFonts w:ascii="Arial" w:cs="Arial" w:eastAsia="Arial" w:hAnsi="Arial"/>
          <w:sz w:val="14"/>
          <w:szCs w:val="14"/>
          <w:i w:val="1"/>
          <w:iCs w:val="1"/>
          <w:color w:val="auto"/>
        </w:rPr>
        <w:t>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HUNGARY</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INDIA</w:t>
      </w:r>
    </w:p>
    <w:p>
      <w:pPr>
        <w:spacing w:after="0" w:line="215" w:lineRule="exact"/>
        <w:rPr>
          <w:sz w:val="20"/>
          <w:szCs w:val="20"/>
          <w:color w:val="auto"/>
        </w:rPr>
      </w:pPr>
    </w:p>
    <w:p>
      <w:pPr>
        <w:jc w:val="both"/>
        <w:ind w:left="160"/>
        <w:spacing w:after="0" w:line="255" w:lineRule="auto"/>
        <w:rPr>
          <w:sz w:val="20"/>
          <w:szCs w:val="20"/>
          <w:color w:val="auto"/>
        </w:rPr>
      </w:pPr>
      <w:r>
        <w:rPr>
          <w:rFonts w:ascii="Arial" w:cs="Arial" w:eastAsia="Arial" w:hAnsi="Arial"/>
          <w:sz w:val="14"/>
          <w:szCs w:val="14"/>
          <w:u w:val="single" w:color="auto"/>
          <w:color w:val="auto"/>
        </w:rPr>
        <w:t>Exchange Control Notification</w:t>
      </w:r>
      <w:r>
        <w:rPr>
          <w:rFonts w:ascii="Arial" w:cs="Arial" w:eastAsia="Arial" w:hAnsi="Arial"/>
          <w:sz w:val="14"/>
          <w:szCs w:val="14"/>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97"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IRELAND</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of the Agreement:</w:t>
      </w:r>
    </w:p>
    <w:p>
      <w:pPr>
        <w:spacing w:after="0" w:line="132"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the RSUs, the Participant acknowledges, understands, and agrees that the benefits received under the Plan will not be taken into account for any redundancy or unfair dismissal claim.</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ISRAEL</w:t>
      </w:r>
    </w:p>
    <w:p>
      <w:pPr>
        <w:spacing w:after="0" w:line="228"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Trust Arrangement</w:t>
      </w:r>
      <w:r>
        <w:rPr>
          <w:rFonts w:ascii="Arial" w:cs="Arial" w:eastAsia="Arial" w:hAnsi="Arial"/>
          <w:sz w:val="16"/>
          <w:szCs w:val="16"/>
          <w:color w:val="auto"/>
        </w:rPr>
        <w:t>. The Participant hereby understands and agrees that the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Israeli Sub-Plan will govern the RSUs granted to the Participant in Israel.</w:t>
      </w:r>
    </w:p>
    <w:p>
      <w:pPr>
        <w:spacing w:after="0" w:line="197"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D within 45 days to: Stock Plan Administrator, Analog Devices, Inc., One Analog Way, Wilmington, Massachusetts, 01887 U.S.A. If Analog Devices, (Israel) Ltd. or Analog Devices, Inc. does not receive the signed Israeli Appendix within 45 days, the RSUs shall terminate and will become null and void.</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2(a) in the Agreement:</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APPENDIX A - 6</w:t>
      </w:r>
    </w:p>
    <w:p>
      <w:pPr>
        <w:sectPr>
          <w:pgSz w:w="11900" w:h="16838" w:orient="portrait"/>
          <w:cols w:equalWidth="0" w:num="1">
            <w:col w:w="10760"/>
          </w:cols>
          <w:pgMar w:left="480" w:top="994" w:right="659" w:bottom="1440" w:gutter="0" w:footer="0" w:header="0"/>
          <w:type w:val="continuous"/>
        </w:sectPr>
      </w:pPr>
    </w:p>
    <w:bookmarkStart w:id="59" w:name="page60"/>
    <w:bookmarkEnd w:id="59"/>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64" w:lineRule="auto"/>
        <w:rPr>
          <w:sz w:val="20"/>
          <w:szCs w:val="20"/>
          <w:color w:val="auto"/>
        </w:rPr>
      </w:pPr>
      <w:r>
        <w:rPr>
          <w:rFonts w:ascii="Arial" w:cs="Arial" w:eastAsia="Arial" w:hAnsi="Arial"/>
          <w:sz w:val="14"/>
          <w:szCs w:val="14"/>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This provision supplements Section 3(a) in the Agreement:</w:t>
      </w:r>
    </w:p>
    <w:p>
      <w:pPr>
        <w:spacing w:after="0" w:line="224"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The Trustee shall not alienate, sell,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This grant does not constitute a public offering under the Securities Law, 1968.</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ITALY</w:t>
      </w:r>
    </w:p>
    <w:p>
      <w:pPr>
        <w:spacing w:after="0" w:line="215"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By accepting the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9" w:lineRule="exact"/>
        <w:rPr>
          <w:sz w:val="20"/>
          <w:szCs w:val="20"/>
          <w:color w:val="auto"/>
        </w:rPr>
      </w:pPr>
    </w:p>
    <w:p>
      <w:pPr>
        <w:jc w:val="both"/>
        <w:ind w:left="160"/>
        <w:spacing w:after="0" w:line="264" w:lineRule="auto"/>
        <w:rPr>
          <w:sz w:val="20"/>
          <w:szCs w:val="20"/>
          <w:color w:val="auto"/>
        </w:rPr>
      </w:pPr>
      <w:r>
        <w:rPr>
          <w:rFonts w:ascii="Arial" w:cs="Arial" w:eastAsia="Arial" w:hAnsi="Arial"/>
          <w:sz w:val="14"/>
          <w:szCs w:val="14"/>
          <w:u w:val="single" w:color="auto"/>
          <w:color w:val="auto"/>
        </w:rPr>
        <w:t>Foreign Asset Tax</w:t>
      </w:r>
      <w:r>
        <w:rPr>
          <w:rFonts w:ascii="Arial" w:cs="Arial" w:eastAsia="Arial" w:hAnsi="Arial"/>
          <w:sz w:val="14"/>
          <w:szCs w:val="14"/>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192"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JAPAN</w:t>
      </w:r>
    </w:p>
    <w:p>
      <w:pPr>
        <w:spacing w:after="0" w:line="215"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KOREA</w:t>
      </w:r>
    </w:p>
    <w:p>
      <w:pPr>
        <w:spacing w:after="0" w:line="228"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MALAYSIA</w:t>
      </w:r>
    </w:p>
    <w:p>
      <w:pPr>
        <w:spacing w:after="0" w:line="215"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APPENDIX A - 7</w:t>
      </w:r>
    </w:p>
    <w:p>
      <w:pPr>
        <w:sectPr>
          <w:pgSz w:w="11900" w:h="16838" w:orient="portrait"/>
          <w:cols w:equalWidth="0" w:num="1">
            <w:col w:w="10760"/>
          </w:cols>
          <w:pgMar w:left="480" w:top="994" w:right="659" w:bottom="1440" w:gutter="0" w:footer="0" w:header="0"/>
        </w:sectPr>
      </w:pPr>
    </w:p>
    <w:bookmarkStart w:id="60" w:name="page61"/>
    <w:bookmarkEnd w:id="60"/>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line="233"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6686550</wp:posOffset>
            </wp:positionH>
            <wp:positionV relativeFrom="paragraph">
              <wp:posOffset>71755</wp:posOffset>
            </wp:positionV>
            <wp:extent cx="825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71755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71755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71755</wp:posOffset>
            </wp:positionV>
            <wp:extent cx="825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71755</wp:posOffset>
            </wp:positionV>
            <wp:extent cx="825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4700" w:type="dxa"/>
            <w:vAlign w:val="bottom"/>
            <w:tcBorders>
              <w:top w:val="single" w:sz="8" w:color="auto"/>
            </w:tcBorders>
          </w:tcPr>
          <w:p>
            <w:pPr>
              <w:ind w:left="80"/>
              <w:spacing w:after="0" w:line="175" w:lineRule="exact"/>
              <w:rPr>
                <w:sz w:val="20"/>
                <w:szCs w:val="20"/>
                <w:color w:val="auto"/>
              </w:rPr>
            </w:pPr>
            <w:r>
              <w:rPr>
                <w:rFonts w:ascii="Arial" w:cs="Arial" w:eastAsia="Arial" w:hAnsi="Arial"/>
                <w:sz w:val="16"/>
                <w:szCs w:val="16"/>
                <w:b w:val="1"/>
                <w:bCs w:val="1"/>
                <w:i w:val="1"/>
                <w:iCs w:val="1"/>
                <w:color w:val="auto"/>
                <w:w w:val="87"/>
              </w:rPr>
              <w:t>The Participant hereby explicitly and unambiguously consents to the</w:t>
            </w:r>
          </w:p>
        </w:tc>
        <w:tc>
          <w:tcPr>
            <w:tcW w:w="100" w:type="dxa"/>
            <w:vAlign w:val="bottom"/>
          </w:tcPr>
          <w:p>
            <w:pPr>
              <w:spacing w:after="0"/>
              <w:rPr>
                <w:sz w:val="15"/>
                <w:szCs w:val="15"/>
                <w:color w:val="auto"/>
              </w:rPr>
            </w:pPr>
          </w:p>
        </w:tc>
        <w:tc>
          <w:tcPr>
            <w:tcW w:w="55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i w:val="1"/>
                <w:iCs w:val="1"/>
                <w:color w:val="auto"/>
                <w:w w:val="88"/>
              </w:rPr>
              <w:t>Peserta dengan ini secara eksplicit, secara sukarela dan tanpa sebarang keraguan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collection, use and transfer, in electronic or other form, of his or her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mengizinkan  pengumpulan,  penggunaan  dan  pemindahan,  dalam  bentuk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personal data as described in this document by and among, as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8"/>
              </w:rPr>
              <w:t>elektronik atau lain-lain, data peribadinya seperti yang dinyatakan dalam dokumen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applicable, the Employer, and the Company and its subsidiaries for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ini, oleh dan di antara, sebagaimana yang berkenaan, Majikan, Syarikat, dan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the exclusive purpose of implementing, administering and managing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mana-mana  anak  Syarikatnya  bagi  tujuan  ekslusif  untuk  membantu  dalam</w:t>
            </w:r>
          </w:p>
        </w:tc>
      </w:tr>
      <w:tr>
        <w:trPr>
          <w:trHeight w:val="201"/>
        </w:trPr>
        <w:tc>
          <w:tcPr>
            <w:tcW w:w="18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the Participant’s participation in the Plan.</w:t>
            </w:r>
          </w:p>
        </w:tc>
        <w:tc>
          <w:tcPr>
            <w:tcW w:w="10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b w:val="1"/>
                <w:bCs w:val="1"/>
                <w:i w:val="1"/>
                <w:iCs w:val="1"/>
                <w:color w:val="auto"/>
                <w:w w:val="95"/>
              </w:rPr>
              <w:t>pelaksanaan, pentadbiran dan pengurusan penyertaan Peserta dalam Pelan.</w:t>
            </w:r>
          </w:p>
        </w:tc>
      </w:tr>
      <w:tr>
        <w:trPr>
          <w:trHeight w:val="349"/>
        </w:trPr>
        <w:tc>
          <w:tcPr>
            <w:tcW w:w="18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w w:val="86"/>
              </w:rPr>
              <w:t>The Participant understands that the Company and the Employer may</w:t>
            </w:r>
          </w:p>
        </w:tc>
        <w:tc>
          <w:tcPr>
            <w:tcW w:w="10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6"/>
                <w:szCs w:val="16"/>
                <w:b w:val="1"/>
                <w:bCs w:val="1"/>
                <w:i w:val="1"/>
                <w:iCs w:val="1"/>
                <w:color w:val="auto"/>
                <w:w w:val="90"/>
              </w:rPr>
              <w:t>Peserta memahami bahawa Syarikat dan Majikan mungkin memegang maklumat</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hold certain personal information about the Participant, including,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peribadi tertentu tentang Peserta, termasuk, tetapi tidak terhad kepada, namanya,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but not limited to, his or her name, home address and telephone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alamat rumah dan nombor telefon, tarikh lahir, nombor insurans sosial atau</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number, date of birth, social insurance number or other identification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nombor pengenalan lain, gaji, kewarganegaraan, jawatan, apa-apa syer dalam</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number,  salary,  nationality,  job  title,  any  shares  of  stock  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saham atau jawatan pengarah yang dipegang dalam Syarikat, butir-butir semua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0"/>
              </w:rPr>
              <w:t>directorships held in the Company, details of all RSUs or any other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7"/>
              </w:rPr>
              <w:t>RSUs atau apa-apa hak lain untuk syer dalam saham yang dianugerahkan,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entitlement to shares of stock awarded, canceled, exercised, vested,</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dibatalkan, dilaksanakan, terletak hak, tidak diletak hak ataupun yang belum</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unvested or outstanding in the Participant’s favor, for the purpose of</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dijelaskan  bagi  faedah  Peserta,  untuk  tujuan  eksklusif  bagi  melaksanakan,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implementing, administering and managing the Plan (“Data”).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7"/>
              </w:rPr>
              <w:t>mentadbir dan menguruskan Pelan (“Data”). Sumber Data adalah daripada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9"/>
              </w:rPr>
              <w:t>source of the Data is the Employer as well as information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7"/>
              </w:rPr>
              <w:t>Majikan dan juga daripada maklumat yang dibekalkan oleh Peserta kepada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Participant  is  providing  to  the  Company  and  the  Employer  in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4"/>
              </w:rPr>
              <w:t>Syarikat  dan  Majikan  berkenaan  dengan  RSUs.  Penerima  Anugerah  juga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connection with the RSUs. The Participant understands that Data</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memahami bahawa Data mungkin dipindahkan kepada Fidelity atau mana-mana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may be transferred to Fidelity or any other third parties as may be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7"/>
              </w:rPr>
              <w:t xml:space="preserve">pihak ketiga yang mungkin dipilih oleh Syarikat pada masa depan, </w:t>
            </w:r>
            <w:r>
              <w:rPr>
                <w:rFonts w:ascii="Arial" w:cs="Arial" w:eastAsia="Arial" w:hAnsi="Arial"/>
                <w:sz w:val="16"/>
                <w:szCs w:val="16"/>
                <w:b w:val="1"/>
                <w:bCs w:val="1"/>
                <w:i w:val="1"/>
                <w:iCs w:val="1"/>
                <w:color w:val="222222"/>
                <w:w w:val="87"/>
              </w:rPr>
              <w:t>yang membantu</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3"/>
              </w:rPr>
              <w:t>selected by the Company in the future, which are assisting in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dalam  pelaksanaan,  pentadbiran  dan  pengurusan  Pelan,  bahawa  penerima-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implementation, administration and management of the Plan, that</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penerima ini mungkin berada di negara Peserta atau di tempat lain, dan bahawa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3"/>
              </w:rPr>
              <w:t>these recipients may  be  located in  the Participant’s  country 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2"/>
              </w:rPr>
              <w:t>negara penerima (contohnya, Amerika Syarikat) mungkin mempunyai undang-</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elsewhere and that the recipients’ country (e.g., the United States)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3"/>
              </w:rPr>
              <w:t>undang privasi data dan perlindungan yang berbeza daripada negara 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may have  different  data  privacy laws  and  protections  than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Peserta memahami bahawa dia boleh meminta senarai nama dan alamat mana-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Participant’s country. The Participant understands that he or she may</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0"/>
              </w:rPr>
              <w:t>mana penerima Data dengan menghubungi wakil sumber manusia tempatannya.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5"/>
              </w:rPr>
              <w:t>request a list with the names and addresses of any potential recipients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0"/>
              </w:rPr>
              <w:t>Peserta memberi kuasa kepada Syarikat, Fidelity, dan mana-mana penerima lain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3"/>
              </w:rPr>
              <w:t>of  the  Data  by  contacting  his  or  her  local  human  resources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yang mungkin membantu Syarikat (masa sekarang atau pada masa depan) untuk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representative. The Participant authorizes the Company, Fidelity and</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melaksanakan, mentadbir dan menguruskan penyertaan Peserta dalam Pelan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4"/>
              </w:rPr>
              <w:t>any other possible recipients which may assist the Company (presently</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0"/>
              </w:rPr>
              <w:t>untuk menerima, memiliki, menggunakan, mengekalkan dan memindahkan Data,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or in the future) with implementing, administering and managing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dalam  bentuk  elektronik  atau  lain-lain,  semata-mata  dengan  tujuan  untuk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0"/>
              </w:rPr>
              <w:t>Plan  to  receive,  possess,  use,  retain  and  transfer  the  Data,  in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melaksanakan, mentadbir dan menguruskan penyertaan Peserta dalam Pelan,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electronic or other form, for the sole purpose of implementing,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termasuk apa-apa pemindahan Data yang diperlukan kepada broker atau pihak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administering and managing his or her participation in the Plan,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ketiga dengan siapa Peserta mungkin pilih untuk mendepositkan apa-apa Saham</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including any requisite transfer of such Data as may be required to a</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 xml:space="preserve">yang diperolehi di atas penyelesaian Anugerah. </w:t>
            </w:r>
            <w:r>
              <w:rPr>
                <w:rFonts w:ascii="Arial" w:cs="Arial" w:eastAsia="Arial" w:hAnsi="Arial"/>
                <w:sz w:val="16"/>
                <w:szCs w:val="16"/>
                <w:b w:val="1"/>
                <w:bCs w:val="1"/>
                <w:i w:val="1"/>
                <w:iCs w:val="1"/>
                <w:color w:val="222222"/>
                <w:w w:val="89"/>
              </w:rPr>
              <w:t>Peserta memahami bahawa Data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broker or other third party with whom the Participant may elect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akan  dipegang  hanya  untuk  tempoh  yang  diperlukan  untuk  melaksanakan,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deposit any Shares acquired upon settlement of the Award.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 xml:space="preserve">mentadbir  dan  menguruskan  penyertaannya  dalam  </w:t>
            </w:r>
            <w:r>
              <w:rPr>
                <w:rFonts w:ascii="Arial" w:cs="Arial" w:eastAsia="Arial" w:hAnsi="Arial"/>
                <w:sz w:val="16"/>
                <w:szCs w:val="16"/>
                <w:b w:val="1"/>
                <w:bCs w:val="1"/>
                <w:i w:val="1"/>
                <w:iCs w:val="1"/>
                <w:color w:val="000000"/>
                <w:w w:val="91"/>
              </w:rPr>
              <w:t>Pelan  tersebut</w:t>
            </w:r>
            <w:r>
              <w:rPr>
                <w:rFonts w:ascii="Arial" w:cs="Arial" w:eastAsia="Arial" w:hAnsi="Arial"/>
                <w:sz w:val="16"/>
                <w:szCs w:val="16"/>
                <w:b w:val="1"/>
                <w:bCs w:val="1"/>
                <w:i w:val="1"/>
                <w:iCs w:val="1"/>
                <w:color w:val="222222"/>
                <w:w w:val="91"/>
              </w:rPr>
              <w:t xml:space="preserve">.  </w:t>
            </w:r>
            <w:r>
              <w:rPr>
                <w:rFonts w:ascii="Arial" w:cs="Arial" w:eastAsia="Arial" w:hAnsi="Arial"/>
                <w:sz w:val="16"/>
                <w:szCs w:val="16"/>
                <w:b w:val="1"/>
                <w:bCs w:val="1"/>
                <w:i w:val="1"/>
                <w:iCs w:val="1"/>
                <w:color w:val="000000"/>
                <w:w w:val="91"/>
              </w:rPr>
              <w:t>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Participant understands that Data will be held only as long as is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 xml:space="preserve">memahami  bahawa  dia  boleh,  pada  bila-bila  masa,  </w:t>
            </w:r>
            <w:r>
              <w:rPr>
                <w:rFonts w:ascii="Arial" w:cs="Arial" w:eastAsia="Arial" w:hAnsi="Arial"/>
                <w:sz w:val="16"/>
                <w:szCs w:val="16"/>
                <w:b w:val="1"/>
                <w:bCs w:val="1"/>
                <w:i w:val="1"/>
                <w:iCs w:val="1"/>
                <w:color w:val="222222"/>
                <w:w w:val="92"/>
              </w:rPr>
              <w:t>melihat  data,  meminta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necessary to implement, administer and manage the Participant’s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2"/>
              </w:rPr>
              <w:t>maklumat tambahan mengenai penyimpanan dan pemprosesan Data, meminta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participation in the Plan. The Participant understands that he or she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bahawa pindaan-pindaan dilaksanakan ke atas Data atau menolak atau menarik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may, at any time, view Data, request additional information about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6"/>
              </w:rPr>
              <w:t>balik  persetujuan  dalam  ini,  dalam  mana-mana  kes,  tanpa  kos,  dengan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5"/>
              </w:rPr>
              <w:t>storage and processing of Data, require any necessary amendments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2"/>
              </w:rPr>
              <w:t>menghubungi  secara  bertulis  wakil  sumber  manusia  tempatannya.  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Data or refuse or withdraw the consents herein, in any case without</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 xml:space="preserve">memahami  </w:t>
            </w:r>
            <w:r>
              <w:rPr>
                <w:rFonts w:ascii="Arial" w:cs="Arial" w:eastAsia="Arial" w:hAnsi="Arial"/>
                <w:sz w:val="16"/>
                <w:szCs w:val="16"/>
                <w:b w:val="1"/>
                <w:bCs w:val="1"/>
                <w:i w:val="1"/>
                <w:iCs w:val="1"/>
                <w:color w:val="222222"/>
                <w:w w:val="91"/>
              </w:rPr>
              <w:t>bahawa  keengganan  atau  penarikan  balik  persetujuannya  boleh</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cost, by contacting in writing his or her local human resources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 xml:space="preserve">menjejaskan  keupayaannya  untuk  mengambil  bahagian  dalam  </w:t>
            </w:r>
            <w:r>
              <w:rPr>
                <w:rFonts w:ascii="Arial" w:cs="Arial" w:eastAsia="Arial" w:hAnsi="Arial"/>
                <w:sz w:val="16"/>
                <w:szCs w:val="16"/>
                <w:b w:val="1"/>
                <w:bCs w:val="1"/>
                <w:i w:val="1"/>
                <w:iCs w:val="1"/>
                <w:color w:val="000000"/>
                <w:w w:val="91"/>
              </w:rPr>
              <w:t>Pelan</w:t>
            </w:r>
            <w:r>
              <w:rPr>
                <w:rFonts w:ascii="Arial" w:cs="Arial" w:eastAsia="Arial" w:hAnsi="Arial"/>
                <w:sz w:val="16"/>
                <w:szCs w:val="16"/>
                <w:b w:val="1"/>
                <w:bCs w:val="1"/>
                <w:i w:val="1"/>
                <w:iCs w:val="1"/>
                <w:color w:val="222222"/>
                <w:w w:val="91"/>
              </w:rPr>
              <w:t>.  Untuk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representative. The Participant understands, however, that refusing 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87"/>
              </w:rPr>
              <w:t>maklumat lanjut mengenai akibat keengganan</w:t>
            </w:r>
            <w:r>
              <w:rPr>
                <w:rFonts w:ascii="Arial" w:cs="Arial" w:eastAsia="Arial" w:hAnsi="Arial"/>
                <w:sz w:val="16"/>
                <w:szCs w:val="16"/>
                <w:b w:val="1"/>
                <w:bCs w:val="1"/>
                <w:i w:val="1"/>
                <w:iCs w:val="1"/>
                <w:color w:val="000000"/>
                <w:w w:val="87"/>
              </w:rPr>
              <w:t>nya</w:t>
            </w:r>
            <w:r>
              <w:rPr>
                <w:rFonts w:ascii="Arial" w:cs="Arial" w:eastAsia="Arial" w:hAnsi="Arial"/>
                <w:sz w:val="16"/>
                <w:szCs w:val="16"/>
                <w:b w:val="1"/>
                <w:bCs w:val="1"/>
                <w:i w:val="1"/>
                <w:iCs w:val="1"/>
                <w:color w:val="222222"/>
                <w:w w:val="87"/>
              </w:rPr>
              <w:t xml:space="preserve"> untuk memberikan keizinan atau</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withdrawing his or her consent may affect the Participant’s ability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3"/>
              </w:rPr>
              <w:t>penarikan  balik  keizinan,  Peserta  fahami  bahawa  dia  boleh  menghubungi</w:t>
            </w:r>
          </w:p>
        </w:tc>
      </w:tr>
      <w:tr>
        <w:trPr>
          <w:trHeight w:val="161"/>
        </w:trPr>
        <w:tc>
          <w:tcPr>
            <w:tcW w:w="180" w:type="dxa"/>
            <w:vAlign w:val="bottom"/>
          </w:tcPr>
          <w:p>
            <w:pPr>
              <w:spacing w:after="0"/>
              <w:rPr>
                <w:sz w:val="14"/>
                <w:szCs w:val="14"/>
                <w:color w:val="auto"/>
              </w:rPr>
            </w:pPr>
          </w:p>
        </w:tc>
        <w:tc>
          <w:tcPr>
            <w:tcW w:w="4700" w:type="dxa"/>
            <w:vAlign w:val="bottom"/>
          </w:tcPr>
          <w:p>
            <w:pPr>
              <w:ind w:left="80"/>
              <w:spacing w:after="0" w:line="161" w:lineRule="exact"/>
              <w:rPr>
                <w:sz w:val="20"/>
                <w:szCs w:val="20"/>
                <w:color w:val="auto"/>
              </w:rPr>
            </w:pPr>
            <w:r>
              <w:rPr>
                <w:rFonts w:ascii="Arial" w:cs="Arial" w:eastAsia="Arial" w:hAnsi="Arial"/>
                <w:sz w:val="16"/>
                <w:szCs w:val="16"/>
                <w:b w:val="1"/>
                <w:bCs w:val="1"/>
                <w:i w:val="1"/>
                <w:iCs w:val="1"/>
                <w:color w:val="auto"/>
                <w:w w:val="87"/>
              </w:rPr>
              <w:t>participate in the Plan. For more information on the consequences of</w:t>
            </w:r>
          </w:p>
        </w:tc>
        <w:tc>
          <w:tcPr>
            <w:tcW w:w="100" w:type="dxa"/>
            <w:vAlign w:val="bottom"/>
          </w:tcPr>
          <w:p>
            <w:pPr>
              <w:spacing w:after="0"/>
              <w:rPr>
                <w:sz w:val="14"/>
                <w:szCs w:val="14"/>
                <w:color w:val="auto"/>
              </w:rPr>
            </w:pPr>
          </w:p>
        </w:tc>
        <w:tc>
          <w:tcPr>
            <w:tcW w:w="5540" w:type="dxa"/>
            <w:vAlign w:val="bottom"/>
          </w:tcPr>
          <w:p>
            <w:pPr>
              <w:spacing w:after="0" w:line="161" w:lineRule="exact"/>
              <w:rPr>
                <w:sz w:val="20"/>
                <w:szCs w:val="20"/>
                <w:color w:val="auto"/>
              </w:rPr>
            </w:pPr>
            <w:r>
              <w:rPr>
                <w:rFonts w:ascii="Arial" w:cs="Arial" w:eastAsia="Arial" w:hAnsi="Arial"/>
                <w:sz w:val="16"/>
                <w:szCs w:val="16"/>
                <w:b w:val="1"/>
                <w:bCs w:val="1"/>
                <w:i w:val="1"/>
                <w:iCs w:val="1"/>
                <w:color w:val="222222"/>
              </w:rPr>
              <w:t xml:space="preserve">pentadbir pelan saham serantau di </w:t>
            </w:r>
            <w:r>
              <w:rPr>
                <w:rFonts w:ascii="Arial" w:cs="Arial" w:eastAsia="Arial" w:hAnsi="Arial"/>
                <w:sz w:val="16"/>
                <w:szCs w:val="16"/>
                <w:b w:val="1"/>
                <w:bCs w:val="1"/>
                <w:i w:val="1"/>
                <w:iCs w:val="1"/>
                <w:color w:val="000000"/>
              </w:rPr>
              <w:t>Stock_Plan_Admin@Analog.com</w:t>
            </w:r>
            <w:r>
              <w:rPr>
                <w:rFonts w:ascii="Arial" w:cs="Arial" w:eastAsia="Arial" w:hAnsi="Arial"/>
                <w:sz w:val="16"/>
                <w:szCs w:val="16"/>
                <w:b w:val="1"/>
                <w:bCs w:val="1"/>
                <w:i w:val="1"/>
                <w:iCs w:val="1"/>
                <w:color w:val="222222"/>
              </w:rPr>
              <w:t>.</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a  refusal  to  consent  or  withdrawal  of  consent,  the  Participant</w:t>
            </w: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understands that he or she may contact his or her regional stock plan</w:t>
            </w: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201"/>
        </w:trPr>
        <w:tc>
          <w:tcPr>
            <w:tcW w:w="18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administrator at Stock_Plan_Admin@Analog.com.</w:t>
            </w:r>
          </w:p>
        </w:tc>
        <w:tc>
          <w:tcPr>
            <w:tcW w:w="10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803"/>
        </w:trPr>
        <w:tc>
          <w:tcPr>
            <w:tcW w:w="4880" w:type="dxa"/>
            <w:vAlign w:val="bottom"/>
            <w:gridSpan w:val="2"/>
          </w:tcPr>
          <w:p>
            <w:pPr>
              <w:spacing w:after="0"/>
              <w:rPr>
                <w:sz w:val="20"/>
                <w:szCs w:val="20"/>
                <w:color w:val="auto"/>
              </w:rPr>
            </w:pPr>
            <w:r>
              <w:rPr>
                <w:rFonts w:ascii="Arial" w:cs="Arial" w:eastAsia="Arial" w:hAnsi="Arial"/>
                <w:sz w:val="16"/>
                <w:szCs w:val="16"/>
                <w:color w:val="auto"/>
              </w:rPr>
              <w:t>APPENDIX A - 8</w:t>
            </w:r>
          </w:p>
        </w:tc>
        <w:tc>
          <w:tcPr>
            <w:tcW w:w="100" w:type="dxa"/>
            <w:vAlign w:val="bottom"/>
          </w:tcPr>
          <w:p>
            <w:pPr>
              <w:spacing w:after="0"/>
              <w:rPr>
                <w:sz w:val="24"/>
                <w:szCs w:val="24"/>
                <w:color w:val="auto"/>
              </w:rPr>
            </w:pPr>
          </w:p>
        </w:tc>
        <w:tc>
          <w:tcPr>
            <w:tcW w:w="5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-504825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-504825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-504825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-504825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-504825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-504825</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-504825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-504825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-504825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-504825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-504825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-504825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-504825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-504825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-504825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-504825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3394710</wp:posOffset>
            </wp:positionH>
            <wp:positionV relativeFrom="paragraph">
              <wp:posOffset>-504825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-504825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-504825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-504825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-504825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-504825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-504825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-504825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-504825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-504825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-504825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-504825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-504825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-504825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-504825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-504825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-504825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-504825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-504825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-504825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-504825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-504825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-504825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-504825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-504825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-504825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-504825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-504825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-504825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-504825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-504825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-504825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-504825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-504825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-504825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-504825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-504825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-504825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-504825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-504825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-504825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-504825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-504825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-504825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-504825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-504825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-504825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-504825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-504825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-504825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-504825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-504825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-504825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-504825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-504825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-504825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-504825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-504825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4363720</wp:posOffset>
            </wp:positionH>
            <wp:positionV relativeFrom="paragraph">
              <wp:posOffset>-504825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-504825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-504825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-504825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-504825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-504825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-504825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-504825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-504825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-504825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-504825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-504825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-504825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-504825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-504825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-504825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-504825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-504825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-504825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-504825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-504825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-504825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-504825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-504825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-504825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-504825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-504825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-504825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-504825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-504825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-504825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-504825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-504825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-504825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-504825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-504825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4965065</wp:posOffset>
            </wp:positionH>
            <wp:positionV relativeFrom="paragraph">
              <wp:posOffset>-504825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4982210</wp:posOffset>
            </wp:positionH>
            <wp:positionV relativeFrom="paragraph">
              <wp:posOffset>-504825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-504825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-504825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-504825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-504825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-504825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-504825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-504825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-504825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-504825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-504825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-504825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-504825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-504825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-504825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-504825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-504825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-504825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5282565</wp:posOffset>
            </wp:positionH>
            <wp:positionV relativeFrom="paragraph">
              <wp:posOffset>-504825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-504825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-504825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-504825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-504825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-504825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-504825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5400040</wp:posOffset>
            </wp:positionH>
            <wp:positionV relativeFrom="paragraph">
              <wp:posOffset>-504825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-504825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-504825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-504825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-504825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-504825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-504825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-504825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-504825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5549900</wp:posOffset>
            </wp:positionH>
            <wp:positionV relativeFrom="paragraph">
              <wp:posOffset>-504825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-504825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-504825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-504825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5617210</wp:posOffset>
            </wp:positionH>
            <wp:positionV relativeFrom="paragraph">
              <wp:posOffset>-504825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-504825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-504825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-504825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-504825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-504825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-504825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-504825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-504825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-504825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-504825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-504825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-504825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-504825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-504825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-504825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-504825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-504825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-504825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-504825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5951220</wp:posOffset>
            </wp:positionH>
            <wp:positionV relativeFrom="paragraph">
              <wp:posOffset>-504825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-504825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-504825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-504825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-504825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-504825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-504825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-504825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-504825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-504825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-504825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-504825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-504825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-504825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-504825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6202045</wp:posOffset>
            </wp:positionH>
            <wp:positionV relativeFrom="paragraph">
              <wp:posOffset>-504825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6218555</wp:posOffset>
            </wp:positionH>
            <wp:positionV relativeFrom="paragraph">
              <wp:posOffset>-504825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-504825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-504825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-504825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-504825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-504825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6318885</wp:posOffset>
            </wp:positionH>
            <wp:positionV relativeFrom="paragraph">
              <wp:posOffset>-504825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-504825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-504825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-504825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-504825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-504825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-504825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6435725</wp:posOffset>
            </wp:positionH>
            <wp:positionV relativeFrom="paragraph">
              <wp:posOffset>-504825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-504825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-504825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-504825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-504825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-504825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6536055</wp:posOffset>
            </wp:positionH>
            <wp:positionV relativeFrom="paragraph">
              <wp:posOffset>-504825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-504825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-504825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-504825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6602730</wp:posOffset>
            </wp:positionH>
            <wp:positionV relativeFrom="paragraph">
              <wp:posOffset>-504825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-504825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-504825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-504825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6670040</wp:posOffset>
            </wp:positionH>
            <wp:positionV relativeFrom="paragraph">
              <wp:posOffset>-504825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-5584825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-5568315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-5551805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-5535295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-5518150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-5501640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-5485130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-5467985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-5451475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-5434965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-5417820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-5401310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-5384800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-5367655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-5351145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-5334635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-5317490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-5300980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-5284470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-5267325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-5250815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-5234305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-5217795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-5200650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-5184140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-5167630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-5150485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-5133975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-5117465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-5100320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-5083810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-5067300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-5050155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-5033645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-5017135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-4999990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-4983480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-4966970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-4949825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-4933315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-4916805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-4899660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-4883150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-4866640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-4850130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-4832985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-4816475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-4799965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-4782820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-4766310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-4749800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-4732655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-4716145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-4699635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-4682490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-4665980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-4649470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-4632325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-4615815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-4599305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-4582160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-4565650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-4549140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-4531995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-4515485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-4498975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-4482465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-4465320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-4448810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-4432300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-4415155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-4398645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-4382135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-4364990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-4348480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-4331970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-4314825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-4298315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-4281805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-4264660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-4248150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-4231640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-4214495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-4197985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-4181475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-4164965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-4147820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-4131310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-4114800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-4097655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-4081145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-4064635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-4047490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-4030980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-4014470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-3997325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-3980815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-3964305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-3947160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-3930650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-3914140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-3896995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-3880485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-3863975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-3846830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-3830320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-3813810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-3797300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-3780155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-3763645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-3747135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-3729990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-3713480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-3696970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-3679825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-3663315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-3646805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-3629660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-3613150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-3596640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-3579495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-3562985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-3546475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-3529330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-3512820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-3496310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-3479800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-3462655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-3446145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-3429635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-3412490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-3395980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-3379470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-3362325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-3345815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-3329305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-3312160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-3295650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-3279140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-3261995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-3245485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-3228975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-3211830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-3195320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-3178810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-3161665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-3145155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-3128645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-3112135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-3094990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-3078480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-3061970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-3044825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-3028315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-3011805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-2994660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-2978150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-2961640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-2944495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-2927985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-2911475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-2894330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-2877820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-2861310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-2844165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-2827655</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-2811145</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-2794635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-2777490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-2760980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-2744470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-2727325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-2710815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-2694305</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-2677160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-2660650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-2644140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-2626995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-2610485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-2593975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-2576830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-2560320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-2543810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-2526665</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-2510155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-2493645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-2476500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-2459990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-2443480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-2426970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-2409825</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-2393315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-2376805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-2359660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-2343150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-2326640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-2309495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-2292985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-2276475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-2259330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-2242820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-2226310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-2209165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-2192655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-2176145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-2159000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-2142490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-2125980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-2108835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-2092325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-2075815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-2059305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-2042160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-2025650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-2009140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-1991995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-1975485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-1958975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-1941830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-1925320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-1908810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-1891665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-1875155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-1858645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-1841500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-1824990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-1808480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-1791335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-1774825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-1758315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-1741805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-1724660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-1708150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-1691640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-1674495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-1657985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-1641475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-1624330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-1607820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-1591310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-1574165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-1557655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-1541145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-1524000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-1507490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-1490980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-1473835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-1457325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-1440815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-1423670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-1407160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-1390650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-1374140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-1356995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-1340485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-1323975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-1306830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-1290320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-1273810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-1256665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-1240155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-1223645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-1206500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-1189990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-1173480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-1156335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-1139825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-1123315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-1106170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-1089660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-1073150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-1056640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-1039495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-1022985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-1006475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-989330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-972820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-956310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-939165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-922655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-906145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-889000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-872490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-855980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-838835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-822325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-805815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-788670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-772160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-755650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-738505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-721995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-705485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-688975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-671830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-655320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-638810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-621665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-605155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-588645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-571500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-554990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-538480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-521335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-504825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-5584825</wp:posOffset>
            </wp:positionV>
            <wp:extent cx="3007995" cy="508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007995" cy="5088890"/>
                    </a:xfrm>
                    <a:prstGeom prst="rect">
                      <a:avLst/>
                    </a:prstGeom>
                    <a:noFill/>
                  </pic:spPr>
                </pic:pic>
              </a:graphicData>
            </a:graphic>
          </wp:anchor>
        </w:drawing>
      </w:r>
    </w:p>
    <w:p>
      <w:pPr>
        <w:sectPr>
          <w:pgSz w:w="11900" w:h="16838" w:orient="portrait"/>
          <w:cols w:equalWidth="0" w:num="1">
            <w:col w:w="10760"/>
          </w:cols>
          <w:pgMar w:left="480" w:top="994" w:right="659" w:bottom="1440" w:gutter="0" w:footer="0" w:header="0"/>
        </w:sectPr>
      </w:pPr>
    </w:p>
    <w:bookmarkStart w:id="61" w:name="page62"/>
    <w:bookmarkEnd w:id="61"/>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MEXICO</w:t>
      </w:r>
    </w:p>
    <w:p>
      <w:pPr>
        <w:spacing w:after="0" w:line="228"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u w:val="single" w:color="auto"/>
          <w:color w:val="auto"/>
        </w:rPr>
        <w:t>Acknowledgment of the Agreement</w:t>
      </w:r>
      <w:r>
        <w:rPr>
          <w:rFonts w:ascii="Arial" w:cs="Arial" w:eastAsia="Arial" w:hAnsi="Arial"/>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3"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Labor Law Policy and Acknowledgment</w:t>
      </w:r>
      <w:r>
        <w:rPr>
          <w:rFonts w:ascii="Arial" w:cs="Arial" w:eastAsia="Arial" w:hAnsi="Arial"/>
          <w:sz w:val="14"/>
          <w:szCs w:val="14"/>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1"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29"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6" w:lineRule="exact"/>
        <w:rPr>
          <w:sz w:val="20"/>
          <w:szCs w:val="20"/>
          <w:color w:val="auto"/>
        </w:rPr>
      </w:pPr>
    </w:p>
    <w:p>
      <w:pPr>
        <w:jc w:val="both"/>
        <w:ind w:left="160"/>
        <w:spacing w:after="0" w:line="250" w:lineRule="auto"/>
        <w:rPr>
          <w:sz w:val="20"/>
          <w:szCs w:val="20"/>
          <w:color w:val="auto"/>
        </w:rPr>
      </w:pPr>
      <w:r>
        <w:rPr>
          <w:rFonts w:ascii="Arial" w:cs="Arial" w:eastAsia="Arial" w:hAnsi="Arial"/>
          <w:sz w:val="14"/>
          <w:szCs w:val="14"/>
          <w:i w:val="1"/>
          <w:iCs w:val="1"/>
          <w:u w:val="single" w:color="auto"/>
          <w:color w:val="auto"/>
        </w:rPr>
        <w:t>Reconocimiento del Contrato</w:t>
      </w:r>
      <w:r>
        <w:rPr>
          <w:rFonts w:ascii="Arial" w:cs="Arial" w:eastAsia="Arial" w:hAnsi="Arial"/>
          <w:sz w:val="14"/>
          <w:szCs w:val="14"/>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48" w:lineRule="exact"/>
        <w:rPr>
          <w:sz w:val="20"/>
          <w:szCs w:val="20"/>
          <w:color w:val="auto"/>
        </w:rPr>
      </w:pPr>
    </w:p>
    <w:p>
      <w:pPr>
        <w:jc w:val="both"/>
        <w:ind w:left="160"/>
        <w:spacing w:after="0" w:line="229" w:lineRule="auto"/>
        <w:rPr>
          <w:sz w:val="20"/>
          <w:szCs w:val="20"/>
          <w:color w:val="auto"/>
        </w:rPr>
      </w:pPr>
      <w:r>
        <w:rPr>
          <w:rFonts w:ascii="Arial" w:cs="Arial" w:eastAsia="Arial" w:hAnsi="Arial"/>
          <w:sz w:val="15"/>
          <w:szCs w:val="15"/>
          <w:i w:val="1"/>
          <w:iCs w:val="1"/>
          <w:u w:val="single" w:color="auto"/>
          <w:color w:val="auto"/>
        </w:rPr>
        <w:t>Política de Legislación Laboral y Reconocimiento</w:t>
      </w:r>
      <w:r>
        <w:rPr>
          <w:rFonts w:ascii="Arial" w:cs="Arial" w:eastAsia="Arial" w:hAnsi="Arial"/>
          <w:sz w:val="15"/>
          <w:szCs w:val="15"/>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4"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2"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NETHERLANDS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APPENDIX A - 9</w:t>
      </w:r>
    </w:p>
    <w:p>
      <w:pPr>
        <w:sectPr>
          <w:pgSz w:w="11900" w:h="16838" w:orient="portrait"/>
          <w:cols w:equalWidth="0" w:num="1">
            <w:col w:w="10760"/>
          </w:cols>
          <w:pgMar w:left="480" w:top="994" w:right="659" w:bottom="1440" w:gutter="0" w:footer="0" w:header="0"/>
        </w:sectPr>
      </w:pPr>
    </w:p>
    <w:bookmarkStart w:id="62" w:name="page63"/>
    <w:bookmarkEnd w:id="62"/>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NORWAY</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PHILIPPINES</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securities being offered or sold herein have not been registered with the Philippines Securities and Exchange Commission (“PSEC”) under its Securities Regulation Code (the “SRC”).</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grant of RSUs is being made pursuant to an exemption from registration under Section 10.2 of the SRC that has been approved by the PSEC.</w:t>
      </w:r>
    </w:p>
    <w:p>
      <w:pPr>
        <w:spacing w:after="0" w:line="224" w:lineRule="exact"/>
        <w:rPr>
          <w:sz w:val="20"/>
          <w:szCs w:val="20"/>
          <w:color w:val="auto"/>
        </w:rPr>
      </w:pPr>
    </w:p>
    <w:p>
      <w:pPr>
        <w:jc w:val="both"/>
        <w:ind w:left="160"/>
        <w:spacing w:after="0" w:line="250" w:lineRule="auto"/>
        <w:rPr>
          <w:sz w:val="20"/>
          <w:szCs w:val="20"/>
          <w:color w:val="auto"/>
        </w:rPr>
      </w:pPr>
      <w:r>
        <w:rPr>
          <w:rFonts w:ascii="Arial" w:cs="Arial" w:eastAsia="Arial" w:hAnsi="Arial"/>
          <w:sz w:val="14"/>
          <w:szCs w:val="14"/>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201"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Arial" w:cs="Arial" w:eastAsia="Arial" w:hAnsi="Arial"/>
          <w:sz w:val="16"/>
          <w:szCs w:val="16"/>
          <w:i w:val="1"/>
          <w:iCs w:val="1"/>
          <w:color w:val="auto"/>
        </w:rPr>
        <w:t>If the</w:t>
      </w:r>
      <w:r>
        <w:rPr>
          <w:rFonts w:ascii="Arial" w:cs="Arial" w:eastAsia="Arial" w:hAnsi="Arial"/>
          <w:sz w:val="16"/>
          <w:szCs w:val="16"/>
          <w:color w:val="auto"/>
        </w:rPr>
        <w:t xml:space="preserve"> </w:t>
      </w:r>
      <w:r>
        <w:rPr>
          <w:rFonts w:ascii="Arial" w:cs="Arial" w:eastAsia="Arial" w:hAnsi="Arial"/>
          <w:sz w:val="16"/>
          <w:szCs w:val="16"/>
          <w:i w:val="1"/>
          <w:iCs w:val="1"/>
          <w:color w:val="auto"/>
        </w:rPr>
        <w:t>Participant has questions with regard to the application of Philippines securities laws to the disposal or sale of Shares acquired under the Plan the Participant should consult with his or her legal advisor.</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POLAND</w:t>
      </w:r>
    </w:p>
    <w:p>
      <w:pPr>
        <w:spacing w:after="0" w:line="215"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ROMANIA</w:t>
      </w:r>
    </w:p>
    <w:p>
      <w:pPr>
        <w:spacing w:after="0" w:line="228"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SERBIA</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RSUs and the issuance of any Shares are not subject to the regulations concerning public offers and private placements under the Law on Capital Markets.</w:t>
      </w:r>
    </w:p>
    <w:p>
      <w:pPr>
        <w:spacing w:after="0" w:line="143"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APPENDIX A - 10</w:t>
      </w:r>
    </w:p>
    <w:p>
      <w:pPr>
        <w:sectPr>
          <w:pgSz w:w="11900" w:h="16838" w:orient="portrait"/>
          <w:cols w:equalWidth="0" w:num="1">
            <w:col w:w="10760"/>
          </w:cols>
          <w:pgMar w:left="480" w:top="994" w:right="659" w:bottom="1440" w:gutter="0" w:footer="0" w:header="0"/>
        </w:sectPr>
      </w:pPr>
    </w:p>
    <w:bookmarkStart w:id="63" w:name="page64"/>
    <w:bookmarkEnd w:id="63"/>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SINGAPORE</w:t>
      </w:r>
    </w:p>
    <w:p>
      <w:pPr>
        <w:spacing w:after="0" w:line="228" w:lineRule="exact"/>
        <w:rPr>
          <w:sz w:val="20"/>
          <w:szCs w:val="20"/>
          <w:color w:val="auto"/>
        </w:rPr>
      </w:pPr>
    </w:p>
    <w:p>
      <w:pPr>
        <w:jc w:val="both"/>
        <w:ind w:left="160"/>
        <w:spacing w:after="0" w:line="25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01" w:lineRule="exact"/>
        <w:rPr>
          <w:sz w:val="20"/>
          <w:szCs w:val="20"/>
          <w:color w:val="auto"/>
        </w:rPr>
      </w:pPr>
    </w:p>
    <w:p>
      <w:pPr>
        <w:jc w:val="both"/>
        <w:ind w:left="160"/>
        <w:spacing w:after="0" w:line="226"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5"/>
          <w:szCs w:val="15"/>
          <w:i w:val="1"/>
          <w:iCs w:val="1"/>
          <w:color w:val="auto"/>
        </w:rPr>
        <w:t>e.g.</w:t>
      </w:r>
      <w:r>
        <w:rPr>
          <w:rFonts w:ascii="Arial" w:cs="Arial" w:eastAsia="Arial" w:hAnsi="Arial"/>
          <w:sz w:val="15"/>
          <w:szCs w:val="15"/>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SPAIN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32" w:lineRule="exact"/>
        <w:rPr>
          <w:sz w:val="20"/>
          <w:szCs w:val="20"/>
          <w:color w:val="auto"/>
        </w:rPr>
      </w:pPr>
    </w:p>
    <w:p>
      <w:pPr>
        <w:jc w:val="both"/>
        <w:ind w:left="160"/>
        <w:spacing w:after="0" w:line="226" w:lineRule="auto"/>
        <w:rPr>
          <w:sz w:val="20"/>
          <w:szCs w:val="20"/>
          <w:color w:val="auto"/>
        </w:rPr>
      </w:pPr>
      <w:r>
        <w:rPr>
          <w:rFonts w:ascii="Arial" w:cs="Arial" w:eastAsia="Arial" w:hAnsi="Arial"/>
          <w:sz w:val="15"/>
          <w:szCs w:val="15"/>
          <w:color w:val="auto"/>
        </w:rPr>
        <w:t>By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209" w:lineRule="exact"/>
        <w:rPr>
          <w:sz w:val="20"/>
          <w:szCs w:val="20"/>
          <w:color w:val="auto"/>
        </w:rPr>
      </w:pPr>
    </w:p>
    <w:p>
      <w:pPr>
        <w:jc w:val="both"/>
        <w:ind w:left="160"/>
        <w:spacing w:after="0" w:line="241" w:lineRule="auto"/>
        <w:rPr>
          <w:sz w:val="20"/>
          <w:szCs w:val="20"/>
          <w:color w:val="auto"/>
        </w:rPr>
      </w:pPr>
      <w:r>
        <w:rPr>
          <w:rFonts w:ascii="Arial" w:cs="Arial" w:eastAsia="Arial" w:hAnsi="Arial"/>
          <w:sz w:val="14"/>
          <w:szCs w:val="14"/>
          <w:color w:val="auto"/>
        </w:rPr>
        <w:t>Further, and except as provided in Section 2(d) of the Agreement in the event the Participant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Arial" w:cs="Arial" w:eastAsia="Arial" w:hAnsi="Arial"/>
          <w:sz w:val="14"/>
          <w:szCs w:val="14"/>
          <w:i w:val="1"/>
          <w:iCs w:val="1"/>
          <w:color w:val="auto"/>
        </w:rPr>
        <w:t>despido improcedente</w:t>
      </w:r>
      <w:r>
        <w:rPr>
          <w:rFonts w:ascii="Arial" w:cs="Arial" w:eastAsia="Arial" w:hAnsi="Arial"/>
          <w:sz w:val="14"/>
          <w:szCs w:val="14"/>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Participant acknowledges that he or she has read and specifically accepts the conditions referred to in Section 2 of the Agreement.</w:t>
      </w:r>
    </w:p>
    <w:p>
      <w:pPr>
        <w:spacing w:after="0" w:line="224"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210"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xml:space="preserve">. The Participant acknowledges that he or she must declare any Shares that are acquired under the Plan to the </w:t>
      </w:r>
      <w:r>
        <w:rPr>
          <w:rFonts w:ascii="Arial" w:cs="Arial" w:eastAsia="Arial" w:hAnsi="Arial"/>
          <w:sz w:val="16"/>
          <w:szCs w:val="16"/>
          <w:i w:val="1"/>
          <w:iCs w:val="1"/>
          <w:color w:val="auto"/>
        </w:rPr>
        <w:t>Dirección General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Comercio e Inversiones </w:t>
      </w:r>
      <w:r>
        <w:rPr>
          <w:rFonts w:ascii="Arial" w:cs="Arial" w:eastAsia="Arial" w:hAnsi="Arial"/>
          <w:sz w:val="16"/>
          <w:szCs w:val="16"/>
          <w:color w:val="auto"/>
        </w:rPr>
        <w:t>of the Ministry of Economy and Competitiveness (the “DGCI”). After the initial declaration, the declaration must be filed with the DGCI on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each January while the shares are owned; however, if the value of the Shares or the sale proceeds exceed a certain amount, a declaration must be filed within one month of the acquisition or sale, as applicable.</w:t>
      </w:r>
    </w:p>
    <w:p>
      <w:pPr>
        <w:spacing w:after="0" w:line="210"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To the extent that the Participant holds assets (e.g., cash or Shares held in a bank or brokerage account) outside Spain with a value in excess of €50,000 per type of asset (e.g., Shares, cash, and so on) as of December 31 each</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APPENDIX A - 11</w:t>
      </w:r>
    </w:p>
    <w:p>
      <w:pPr>
        <w:sectPr>
          <w:pgSz w:w="11900" w:h="16838" w:orient="portrait"/>
          <w:cols w:equalWidth="0" w:num="1">
            <w:col w:w="10760"/>
          </w:cols>
          <w:pgMar w:left="480" w:top="994" w:right="659" w:bottom="1440" w:gutter="0" w:footer="0" w:header="0"/>
        </w:sectPr>
      </w:pPr>
    </w:p>
    <w:bookmarkStart w:id="64" w:name="page65"/>
    <w:bookmarkEnd w:id="64"/>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55" w:lineRule="auto"/>
        <w:rPr>
          <w:sz w:val="20"/>
          <w:szCs w:val="20"/>
          <w:color w:val="auto"/>
        </w:rPr>
      </w:pPr>
      <w:r>
        <w:rPr>
          <w:rFonts w:ascii="Arial" w:cs="Arial" w:eastAsia="Arial" w:hAnsi="Arial"/>
          <w:sz w:val="14"/>
          <w:szCs w:val="14"/>
          <w:color w:val="auto"/>
        </w:rPr>
        <w:t>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197"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SWEDEN</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Authorization to Withhold</w:t>
      </w:r>
      <w:r>
        <w:rPr>
          <w:rFonts w:ascii="Arial" w:cs="Arial" w:eastAsia="Arial" w:hAnsi="Arial"/>
          <w:sz w:val="16"/>
          <w:szCs w:val="16"/>
          <w:color w:val="auto"/>
        </w:rPr>
        <w:t>. This provision supplements Section 6 of the Agreement:</w:t>
      </w:r>
    </w:p>
    <w:p>
      <w:pPr>
        <w:spacing w:after="0" w:line="224" w:lineRule="exact"/>
        <w:rPr>
          <w:sz w:val="20"/>
          <w:szCs w:val="20"/>
          <w:color w:val="auto"/>
        </w:rPr>
      </w:pPr>
    </w:p>
    <w:p>
      <w:pPr>
        <w:jc w:val="both"/>
        <w:ind w:left="160"/>
        <w:spacing w:after="0" w:line="264" w:lineRule="auto"/>
        <w:rPr>
          <w:sz w:val="20"/>
          <w:szCs w:val="20"/>
          <w:color w:val="auto"/>
        </w:rPr>
      </w:pPr>
      <w:r>
        <w:rPr>
          <w:rFonts w:ascii="Arial" w:cs="Arial" w:eastAsia="Arial" w:hAnsi="Arial"/>
          <w:sz w:val="14"/>
          <w:szCs w:val="14"/>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SWITZERLAND</w:t>
      </w:r>
    </w:p>
    <w:p>
      <w:pPr>
        <w:spacing w:after="0" w:line="22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TAIWAN</w:t>
      </w:r>
    </w:p>
    <w:p>
      <w:pPr>
        <w:spacing w:after="0" w:line="215"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RSUs and participation in the Plan is made available only to employees of the Company and its subsidiaries. It is not a public offer of securities by a Taiwanese company. Therefore, it is exempt from registration in Taiwan.</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Individuals may acquire foreign currency (including proceeds from the sale of Shares) into Taiwan up to US$5,000,000 per year without justification.</w:t>
      </w:r>
    </w:p>
    <w:p>
      <w:pPr>
        <w:spacing w:after="0" w:line="209"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THAILAND</w:t>
      </w:r>
    </w:p>
    <w:p>
      <w:pPr>
        <w:spacing w:after="0" w:line="228"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TURKEY</w:t>
      </w:r>
    </w:p>
    <w:p>
      <w:pPr>
        <w:spacing w:after="0" w:line="21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auto"/>
        </w:rPr>
        <w:t>APPENDIX A - 12</w:t>
      </w:r>
    </w:p>
    <w:p>
      <w:pPr>
        <w:sectPr>
          <w:pgSz w:w="11900" w:h="16838" w:orient="portrait"/>
          <w:cols w:equalWidth="0" w:num="1">
            <w:col w:w="10760"/>
          </w:cols>
          <w:pgMar w:left="480" w:top="994" w:right="659" w:bottom="1440" w:gutter="0" w:footer="0" w:header="0"/>
          <w:type w:val="continuous"/>
        </w:sectPr>
      </w:pPr>
    </w:p>
    <w:bookmarkStart w:id="65" w:name="page66"/>
    <w:bookmarkEnd w:id="65"/>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2020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171" w:lineRule="exact"/>
        <w:rPr>
          <w:sz w:val="20"/>
          <w:szCs w:val="20"/>
          <w:color w:val="auto"/>
        </w:rPr>
      </w:pPr>
    </w:p>
    <w:p>
      <w:pPr>
        <w:jc w:val="both"/>
        <w:ind w:left="160"/>
        <w:spacing w:after="0" w:line="255" w:lineRule="auto"/>
        <w:rPr>
          <w:sz w:val="20"/>
          <w:szCs w:val="20"/>
          <w:color w:val="auto"/>
        </w:rPr>
      </w:pPr>
      <w:r>
        <w:rPr>
          <w:rFonts w:ascii="Arial" w:cs="Arial" w:eastAsia="Arial" w:hAnsi="Arial"/>
          <w:sz w:val="14"/>
          <w:szCs w:val="14"/>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45" w:lineRule="exact"/>
        <w:rPr>
          <w:sz w:val="20"/>
          <w:szCs w:val="20"/>
          <w:color w:val="auto"/>
        </w:rPr>
      </w:pPr>
    </w:p>
    <w:p>
      <w:pPr>
        <w:jc w:val="both"/>
        <w:ind w:left="160"/>
        <w:spacing w:after="0" w:line="213" w:lineRule="auto"/>
        <w:rPr>
          <w:sz w:val="20"/>
          <w:szCs w:val="20"/>
          <w:color w:val="auto"/>
        </w:rPr>
      </w:pPr>
      <w:r>
        <w:rPr>
          <w:rFonts w:ascii="Arial" w:cs="Arial" w:eastAsia="Arial" w:hAnsi="Arial"/>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209"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09"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95"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i w:val="1"/>
          <w:iCs w:val="1"/>
          <w:color w:val="auto"/>
        </w:rPr>
        <w:t>The Joint Election is attached hereto as Appendix E.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APPENDIX A - 13</w:t>
      </w:r>
    </w:p>
    <w:p>
      <w:pPr>
        <w:sectPr>
          <w:pgSz w:w="11900" w:h="16838" w:orient="portrait"/>
          <w:cols w:equalWidth="0" w:num="1">
            <w:col w:w="10760"/>
          </w:cols>
          <w:pgMar w:left="480" w:top="994" w:right="659" w:bottom="1440" w:gutter="0" w:footer="0" w:header="0"/>
        </w:sectPr>
      </w:pPr>
    </w:p>
    <w:bookmarkStart w:id="66" w:name="page67"/>
    <w:bookmarkEnd w:id="6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9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1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16"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We are pleased to provide you with this offer to participate in the Analog Devices, Inc. 2020 Equity Incentive Plan (the “Plan”). This Offer Document sets out information regarding the grant of restricted stock units (“Restricted Stock Units”) over shares of common stock (“Shares”) of Analog Devices, Inc. (the “Company”) to Australian resident employees and directors of the Company and its Australian Subsidiary.</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Any capitalized term used but not defined herein shall have the meaning ascribed to such term in the Plan.</w:t>
      </w:r>
    </w:p>
    <w:p>
      <w:pPr>
        <w:spacing w:after="0" w:line="180" w:lineRule="exact"/>
        <w:rPr>
          <w:sz w:val="20"/>
          <w:szCs w:val="20"/>
          <w:color w:val="auto"/>
        </w:rPr>
      </w:pPr>
    </w:p>
    <w:p>
      <w:pPr>
        <w:ind w:left="280" w:hanging="275"/>
        <w:spacing w:after="0"/>
        <w:tabs>
          <w:tab w:leader="none" w:pos="2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OFFER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This is an Offer of Restricted Stock Units, as may be granted from time to time by the Company, to certain eligible employees in accordance with the Plan.</w:t>
      </w:r>
    </w:p>
    <w:p>
      <w:pPr>
        <w:spacing w:after="0" w:line="18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5"/>
          <w:szCs w:val="15"/>
          <w:b w:val="1"/>
          <w:bCs w:val="1"/>
          <w:color w:val="auto"/>
        </w:rPr>
        <w:t>TERMS OF GRANT</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terms of the grant of Restricted Stock Units incorporate the rules of the Plan, this Offer Document and the Global Restricted Stock Unit Agreement, and Appendix A thereto (the “Agreement”). By accepting a grant of Restricted Stock Units, you will be bound by the rules of the Plan, this Offer Document and the Agreement.</w:t>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tab/>
        <w:t>ADDITIONAL DOCUMENTS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information set out in this Offer Document, attached are copies of the following documents:</w:t>
      </w:r>
    </w:p>
    <w:p>
      <w:pPr>
        <w:spacing w:after="0" w:line="184" w:lineRule="exact"/>
        <w:rPr>
          <w:sz w:val="20"/>
          <w:szCs w:val="20"/>
          <w:color w:val="auto"/>
        </w:rPr>
      </w:pPr>
    </w:p>
    <w:p>
      <w:pPr>
        <w:ind w:left="660" w:hanging="655"/>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Plan;</w:t>
      </w:r>
    </w:p>
    <w:p>
      <w:pPr>
        <w:spacing w:after="0" w:line="184" w:lineRule="exact"/>
        <w:rPr>
          <w:rFonts w:ascii="Arial" w:cs="Arial" w:eastAsia="Arial" w:hAnsi="Arial"/>
          <w:sz w:val="16"/>
          <w:szCs w:val="16"/>
          <w:color w:val="auto"/>
        </w:rPr>
      </w:pPr>
    </w:p>
    <w:p>
      <w:pPr>
        <w:ind w:left="660" w:hanging="655"/>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Plan Prospectus; and</w:t>
      </w:r>
    </w:p>
    <w:p>
      <w:pPr>
        <w:spacing w:after="0" w:line="184" w:lineRule="exact"/>
        <w:rPr>
          <w:rFonts w:ascii="Arial" w:cs="Arial" w:eastAsia="Arial" w:hAnsi="Arial"/>
          <w:sz w:val="16"/>
          <w:szCs w:val="16"/>
          <w:color w:val="auto"/>
        </w:rPr>
      </w:pPr>
    </w:p>
    <w:p>
      <w:pPr>
        <w:ind w:left="660" w:hanging="655"/>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“Additional Documents”).</w:t>
      </w:r>
    </w:p>
    <w:p>
      <w:pPr>
        <w:spacing w:after="0" w:line="18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Agreement sets out, among other details, the vesting conditions applicable to your Restricted Stock Units, information on the settlement of your Restricted Stock Units and the consequences of a change in the nature or status of your employment.</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Arial" w:cs="Arial" w:eastAsia="Arial" w:hAnsi="Arial"/>
          <w:sz w:val="16"/>
          <w:szCs w:val="16"/>
          <w:i w:val="1"/>
          <w:iCs w:val="1"/>
          <w:color w:val="auto"/>
        </w:rPr>
        <w:t>Corporations Act</w:t>
      </w:r>
      <w:r>
        <w:rPr>
          <w:rFonts w:ascii="Arial" w:cs="Arial" w:eastAsia="Arial" w:hAnsi="Arial"/>
          <w:sz w:val="16"/>
          <w:szCs w:val="16"/>
          <w:color w:val="auto"/>
        </w:rPr>
        <w:t>.</w:t>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- 1</w:t>
      </w:r>
    </w:p>
    <w:p>
      <w:pPr>
        <w:sectPr>
          <w:pgSz w:w="11900" w:h="16838" w:orient="portrait"/>
          <w:cols w:equalWidth="0" w:num="1">
            <w:col w:w="11240"/>
          </w:cols>
          <w:pgMar w:left="320" w:top="994" w:right="339" w:bottom="1440" w:gutter="0" w:footer="0" w:header="0"/>
        </w:sectPr>
      </w:pPr>
    </w:p>
    <w:bookmarkStart w:id="67" w:name="page68"/>
    <w:bookmarkEnd w:id="6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hanging="275"/>
        <w:spacing w:after="0"/>
        <w:tabs>
          <w:tab w:leader="none" w:pos="28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RELIANCE ON STATEMENTS</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5"/>
          <w:szCs w:val="15"/>
          <w:b w:val="1"/>
          <w:bCs w:val="1"/>
          <w:color w:val="auto"/>
        </w:rPr>
        <w:t>WHO IS ELIGIBLE TO PARTICIPATE?</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5" w:lineRule="exact"/>
        <w:rPr>
          <w:sz w:val="20"/>
          <w:szCs w:val="20"/>
          <w:color w:val="auto"/>
        </w:rPr>
      </w:pPr>
    </w:p>
    <w:p>
      <w:pPr>
        <w:ind w:left="280" w:hanging="275"/>
        <w:spacing w:after="0"/>
        <w:tabs>
          <w:tab w:leader="none" w:pos="28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ACCEPTING AN AWARD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Agreement sets out additional terms and conditions of your Restricted Stock Unit award. You are required to affirmatively accept your Restricted Stock Unit award.</w:t>
      </w:r>
    </w:p>
    <w:p>
      <w:pPr>
        <w:spacing w:after="0" w:line="192" w:lineRule="exact"/>
        <w:rPr>
          <w:sz w:val="20"/>
          <w:szCs w:val="20"/>
          <w:color w:val="auto"/>
        </w:rPr>
      </w:pPr>
    </w:p>
    <w:p>
      <w:pPr>
        <w:ind w:left="280" w:hanging="275"/>
        <w:spacing w:after="0"/>
        <w:tabs>
          <w:tab w:leader="none" w:pos="28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MATERIAL TERMS OF THE RESTRICTED STOCK UNITS?</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are Restricted Stock Units?</w:t>
      </w:r>
    </w:p>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Restricted Stock Units represent the right to receive Shares upon fulfilment of the vesting conditions set out in your Agreement. The Restricted Stock Units are considered “restricted” because they are subject to forfeiture and restrictions on transfer until they vest. The restrictions are set forth in your Agreement. When your Restricted Stock Units vest, you will be issued Shares at no monetary cost (other than applicable taxes) to you. Notwithstanding anything to the contrary in the Plan, the Agreement, or any related document, your Restricted Stock Units will be settled in Shares.</w:t>
      </w:r>
    </w:p>
    <w:p>
      <w:pPr>
        <w:spacing w:after="0" w:line="167" w:lineRule="exact"/>
        <w:rPr>
          <w:sz w:val="20"/>
          <w:szCs w:val="20"/>
          <w:color w:val="auto"/>
        </w:rPr>
      </w:pPr>
    </w:p>
    <w:p>
      <w:pPr>
        <w:ind w:left="360" w:hanging="355"/>
        <w:spacing w:after="0"/>
        <w:tabs>
          <w:tab w:leader="none" w:pos="3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Do I have to pay any money to receive the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 You pay no monetary consideration to receive the Restricted Stock Units, nor do you pay anything to receive the Shares upon vesting (other than applicable taxes).</w:t>
      </w:r>
    </w:p>
    <w:p>
      <w:pPr>
        <w:spacing w:after="0" w:line="19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How many Shares will I receive upon vesting of my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your Restricted Stock Units and the number of Shares subject to the award are set out in the Agreement.</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When do I become a stockholder?</w:t>
      </w:r>
    </w:p>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You are not a stockholder merely as a result of holding Restricted Stock Units. The Restricted Stock Units will not entitle you to any shareholder rights, including the right to vote the Shares or receive dividends, notices of meetings, proxy statements and other materials provided to stockholders, until the restrictions lapse at vesting and the Restricted Stock Units are paid out in Shares. In this regard, you are not recorded as the owner of the Shares prior to vesting. You should refer to your Agreement for details of the consequences of a change in the nature of your employment.</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4"/>
          <w:szCs w:val="14"/>
          <w:b w:val="1"/>
          <w:bCs w:val="1"/>
          <w:color w:val="auto"/>
        </w:rPr>
        <w:t>Can I transfer the Restricted Stock Units to someone else?</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No. The Restricted Stock Units are generally non-transferable, unless otherwise provided in your Agreement; however, once Shares are issued upon vesting, the Shares will be freely tradeable (subject to the Company’s policies and applicable laws regarding insider trading).</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(f)</w:t>
      </w:r>
      <w:r>
        <w:rPr>
          <w:sz w:val="20"/>
          <w:szCs w:val="20"/>
          <w:color w:val="auto"/>
        </w:rPr>
        <w:tab/>
      </w:r>
      <w:r>
        <w:rPr>
          <w:rFonts w:ascii="Arial" w:cs="Arial" w:eastAsia="Arial" w:hAnsi="Arial"/>
          <w:sz w:val="14"/>
          <w:szCs w:val="14"/>
          <w:b w:val="1"/>
          <w:bCs w:val="1"/>
          <w:color w:val="auto"/>
        </w:rPr>
        <w:t>What happens if my employment with the Company or Australian Subsidiary terminates?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Your right to any unvested Restricted Stock Units will terminate when you terminate employment with the Company or any subsidiary of the Company for reasons including, but not limited to, retirement, resignation, lay-off, discharge, or other change of employment status.</w:t>
      </w:r>
    </w:p>
    <w:p>
      <w:pPr>
        <w:spacing w:after="0" w:line="165" w:lineRule="exact"/>
        <w:rPr>
          <w:sz w:val="20"/>
          <w:szCs w:val="20"/>
          <w:color w:val="auto"/>
        </w:rPr>
      </w:pPr>
    </w:p>
    <w:p>
      <w:pPr>
        <w:ind w:left="280" w:hanging="275"/>
        <w:spacing w:after="0"/>
        <w:tabs>
          <w:tab w:leader="none" w:pos="28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SHARE IN THE COMPANY</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Common stock of a U.S. corporation is analogous to an ordinary share of an Australian corporation. Each holder of a Share is entitled to one vote for every Share held in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Dividends may be paid on the Shares out of any funds of the Company legally available for dividends at the discretion of the board of directors of the Company.</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1240"/>
          </w:cols>
          <w:pgMar w:left="320" w:top="994" w:right="339" w:bottom="1440" w:gutter="0" w:footer="0" w:header="0"/>
        </w:sectPr>
      </w:pPr>
    </w:p>
    <w:bookmarkStart w:id="68" w:name="page69"/>
    <w:bookmarkEnd w:id="6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The Shares are traded on the Nasdaq Global Select Market in the United States of America and are traded under the symbol “ADI”.</w:t>
      </w:r>
    </w:p>
    <w:p>
      <w:pPr>
        <w:spacing w:after="0" w:line="18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5" w:lineRule="exact"/>
        <w:rPr>
          <w:sz w:val="20"/>
          <w:szCs w:val="20"/>
          <w:color w:val="auto"/>
        </w:rPr>
      </w:pPr>
    </w:p>
    <w:p>
      <w:pPr>
        <w:ind w:left="280" w:hanging="275"/>
        <w:spacing w:after="0"/>
        <w:tabs>
          <w:tab w:leader="none" w:pos="28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OBTAIN UPDATED INDICATIVE EXAMPLES OF THE CURRENT MARKET PRICE IN AUSTRALIAN DOLLARS?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may ascertain the current market price of the Shares as traded on the Nasdaq at http://www.nasdaq.com under the code “ADI”. The Australian dollar equivalent of that price can be obtained at: http://www.rba.gov.au/statistics/frequency/exchange-rates.html.</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This will not be a prediction of what the market price per Share will be when the Restricted Stock Units vest or settle or of the applicable exchange rate on the actual date of vesting or settlement.</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5"/>
          <w:szCs w:val="15"/>
          <w:b w:val="1"/>
          <w:bCs w:val="1"/>
          <w:color w:val="auto"/>
        </w:rPr>
        <w:t>WHAT ADDITIONAL RISK FACTORS APPLY TO AUSTRALIAN RESIDENTS’ PARTICIPATION IN THE PLAN?</w:t>
      </w:r>
    </w:p>
    <w:p>
      <w:pPr>
        <w:spacing w:after="0" w:line="188"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http://www.sec.gov/, on the Company’s “Investor Relations” page at http://investor.analog.com/, and upon request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In addition, you should be aware that the Australian dollar value of the Shares you may acquire at vesting will be affected by the U.S. dollar/Australian dollar exchange rate.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the Plan involves certain risks related to fluctuations in this rate of exchange.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PLAN MODIFICATION, TERMINATION ETC.</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65" w:lineRule="exact"/>
        <w:rPr>
          <w:sz w:val="20"/>
          <w:szCs w:val="20"/>
          <w:color w:val="auto"/>
        </w:rPr>
      </w:pPr>
    </w:p>
    <w:p>
      <w:pPr>
        <w:ind w:left="360" w:hanging="355"/>
        <w:spacing w:after="0"/>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AUSTRALIAN TAX CONSEQUENCES OF PARTICIPATION IN THE PLAN?</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following is a summary of the tax consequences as of November 2021 for an Australian resident employee who receives Restricted Stock Units under the Plan. You may also be subject to Medicare levy and surcharge.</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We note that for Restricted Stock Units granted under the Plan prior to 1 July 2015, different employee share scheme rules apply. The following taxation summary applies only to Restricted Stock Units granted on or after 1 July 2015. If you hold Restricted Stock Units granted before 1 July 2015, please consult with your personal tax advisor on the applicable tax treatment.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This summary is necessarily general in nature and does not purport to be tax advice in relation to an actual or potential recipient of Restricted Stock Units.</w:t>
      </w:r>
    </w:p>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If you are a citizen or resident of another country for local tax law purposes or if you transfer employment to another country after the Restricted Stock Units are granted to you, the information contained in this summary may not be applicable to you. </w:t>
      </w:r>
      <w:r>
        <w:rPr>
          <w:rFonts w:ascii="Arial" w:cs="Arial" w:eastAsia="Arial" w:hAnsi="Arial"/>
          <w:sz w:val="16"/>
          <w:szCs w:val="16"/>
          <w:i w:val="1"/>
          <w:iCs w:val="1"/>
          <w:color w:val="auto"/>
        </w:rPr>
        <w:t>You should seek appropriate professional advice as to how the tax or other laws in Australia and in</w:t>
      </w:r>
      <w:r>
        <w:rPr>
          <w:rFonts w:ascii="Arial" w:cs="Arial" w:eastAsia="Arial" w:hAnsi="Arial"/>
          <w:sz w:val="16"/>
          <w:szCs w:val="16"/>
          <w:color w:val="auto"/>
        </w:rPr>
        <w:t xml:space="preserve"> </w:t>
      </w:r>
      <w:r>
        <w:rPr>
          <w:rFonts w:ascii="Arial" w:cs="Arial" w:eastAsia="Arial" w:hAnsi="Arial"/>
          <w:sz w:val="16"/>
          <w:szCs w:val="16"/>
          <w:i w:val="1"/>
          <w:iCs w:val="1"/>
          <w:color w:val="auto"/>
        </w:rPr>
        <w:t>your country apply to your specific situation.</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If you are awarded Restricted Stock Units under the Plan, you should not rely on this summary as anything other than a broad guide, and you should obtain independent taxation advice specific to your particular circumstances before making the decision to accept the Restricted Stock Units.</w:t>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- 3</w:t>
      </w:r>
    </w:p>
    <w:p>
      <w:pPr>
        <w:sectPr>
          <w:pgSz w:w="11900" w:h="16838" w:orient="portrait"/>
          <w:cols w:equalWidth="0" w:num="1">
            <w:col w:w="11240"/>
          </w:cols>
          <w:pgMar w:left="320" w:top="994" w:right="339" w:bottom="1440" w:gutter="0" w:footer="0" w:header="0"/>
        </w:sectPr>
      </w:pPr>
    </w:p>
    <w:bookmarkStart w:id="69" w:name="page70"/>
    <w:bookmarkEnd w:id="6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is the effect of the grant of the Restricted Stock Units?</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The Australian tax legislation contains specific rules, in Division 83A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governing the taxation of shares and rights (called “ESS interests”) acquired by employees under employee share schemes. The Restricted Stock Units granted under the Plan should be regarded as a right to acquire shares and accordingly, an ESS interest for these purposes.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Your assessable income includes the ESS interest at grant, unless the ESS interest is subject to a “real risk of forfeiture,” in which case you will be subject to deferred taxation.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the Restricted Stock Units, the “real risk of forfeiture” test requires that:</w:t>
      </w:r>
    </w:p>
    <w:p>
      <w:pPr>
        <w:spacing w:after="0" w:line="184" w:lineRule="exact"/>
        <w:rPr>
          <w:sz w:val="20"/>
          <w:szCs w:val="20"/>
          <w:color w:val="auto"/>
        </w:rPr>
      </w:pPr>
    </w:p>
    <w:p>
      <w:pPr>
        <w:ind w:left="640" w:hanging="3"/>
        <w:spacing w:after="0" w:line="233" w:lineRule="auto"/>
        <w:tabs>
          <w:tab w:leader="none" w:pos="99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there must be a real risk that, under the conditions of the Plan, you will forfeit the Restricted Stock Units or lose them (other than by disposing of them or in connection with the vesting of the Restricted Stock Units); or</w:t>
      </w:r>
    </w:p>
    <w:p>
      <w:pPr>
        <w:spacing w:after="0" w:line="169" w:lineRule="exact"/>
        <w:rPr>
          <w:rFonts w:ascii="Arial" w:cs="Arial" w:eastAsia="Arial" w:hAnsi="Arial"/>
          <w:sz w:val="16"/>
          <w:szCs w:val="16"/>
          <w:color w:val="auto"/>
        </w:rPr>
      </w:pPr>
    </w:p>
    <w:p>
      <w:pPr>
        <w:ind w:left="640" w:hanging="3"/>
        <w:spacing w:after="0" w:line="233" w:lineRule="auto"/>
        <w:tabs>
          <w:tab w:leader="none" w:pos="99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there must be a real risk that if your Restricted Stock Units vest, under the conditions of the Plan, you will forfeit the underlying Shares or lose them other than by disposing of them.</w:t>
      </w:r>
    </w:p>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terms of your Restricted Stock Unit award are set out in the Additional Documents. It is understood that your Restricted Stock Units will satisfy the real risk of forfeiture test and that you will be subject to deferred taxation (</w:t>
      </w:r>
      <w:r>
        <w:rPr>
          <w:rFonts w:ascii="Arial" w:cs="Arial" w:eastAsia="Arial" w:hAnsi="Arial"/>
          <w:sz w:val="15"/>
          <w:szCs w:val="15"/>
          <w:i w:val="1"/>
          <w:iCs w:val="1"/>
          <w:color w:val="auto"/>
        </w:rPr>
        <w:t>i.e.</w:t>
      </w:r>
      <w:r>
        <w:rPr>
          <w:rFonts w:ascii="Arial" w:cs="Arial" w:eastAsia="Arial" w:hAnsi="Arial"/>
          <w:sz w:val="15"/>
          <w:szCs w:val="15"/>
          <w:color w:val="auto"/>
        </w:rPr>
        <w:t>, you generally should not be subject to tax when the Restricted Share Units are granted to you).</w:t>
      </w:r>
    </w:p>
    <w:p>
      <w:pPr>
        <w:spacing w:after="0" w:line="15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When will you be taxed if your Restricted Stock Units are subject to a real risk of forfeiture?</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will be required to include an amount in your assessable income for the income year (</w:t>
      </w:r>
      <w:r>
        <w:rPr>
          <w:rFonts w:ascii="Arial" w:cs="Arial" w:eastAsia="Arial" w:hAnsi="Arial"/>
          <w:sz w:val="16"/>
          <w:szCs w:val="16"/>
          <w:i w:val="1"/>
          <w:iCs w:val="1"/>
          <w:color w:val="auto"/>
        </w:rPr>
        <w:t>i.e.</w:t>
      </w:r>
      <w:r>
        <w:rPr>
          <w:rFonts w:ascii="Arial" w:cs="Arial" w:eastAsia="Arial" w:hAnsi="Arial"/>
          <w:sz w:val="16"/>
          <w:szCs w:val="16"/>
          <w:color w:val="auto"/>
        </w:rPr>
        <w:t>, the financial year ending 30 June) in which the earliest of the following events occurs in relation to the Restricted Stock Units (the “ESS deferred taxing point”).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Your ESS deferred taxing point will be the earliest of the following:</w:t>
      </w:r>
    </w:p>
    <w:p>
      <w:pPr>
        <w:spacing w:after="0" w:line="184" w:lineRule="exact"/>
        <w:rPr>
          <w:sz w:val="20"/>
          <w:szCs w:val="20"/>
          <w:color w:val="auto"/>
        </w:rPr>
      </w:pPr>
    </w:p>
    <w:p>
      <w:pPr>
        <w:ind w:left="640" w:hanging="3"/>
        <w:spacing w:after="0" w:line="233" w:lineRule="auto"/>
        <w:tabs>
          <w:tab w:leader="none" w:pos="9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when there are no longer any genuine restrictions on the vesting of the Restricted Stock Units and there is no real risk of you forfeiting your Restricted Stock Units;</w:t>
      </w:r>
    </w:p>
    <w:p>
      <w:pPr>
        <w:spacing w:after="0" w:line="169" w:lineRule="exact"/>
        <w:rPr>
          <w:rFonts w:ascii="Arial" w:cs="Arial" w:eastAsia="Arial" w:hAnsi="Arial"/>
          <w:sz w:val="16"/>
          <w:szCs w:val="16"/>
          <w:color w:val="auto"/>
        </w:rPr>
      </w:pPr>
    </w:p>
    <w:p>
      <w:pPr>
        <w:ind w:left="980" w:hanging="343"/>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when the Restricted Stock Units are settled and there is no genuine restriction on the disposal of the underlying Shares; and</w:t>
      </w:r>
    </w:p>
    <w:p>
      <w:pPr>
        <w:spacing w:after="0" w:line="184" w:lineRule="exact"/>
        <w:rPr>
          <w:rFonts w:ascii="Arial" w:cs="Arial" w:eastAsia="Arial" w:hAnsi="Arial"/>
          <w:sz w:val="16"/>
          <w:szCs w:val="16"/>
          <w:color w:val="auto"/>
        </w:rPr>
      </w:pPr>
    </w:p>
    <w:p>
      <w:pPr>
        <w:ind w:left="1040" w:hanging="403"/>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your cessation of employment (but see Section 11(e) below).</w:t>
      </w:r>
    </w:p>
    <w:p>
      <w:pPr>
        <w:spacing w:after="0" w:line="184"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Generally, this means that you will be subject to tax when your Restricted Stock Units vest. However, the ESS deferred taxing point for your Restricted Stock Units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income taxes, the assessable amount may also be subject to Medicare Levy and surcharge (if applicable).</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2"/>
          <w:szCs w:val="12"/>
          <w:b w:val="1"/>
          <w:bCs w:val="1"/>
          <w:color w:val="auto"/>
        </w:rPr>
        <w:t>What is the amount to be included in your assessable income if an ESS deferred taxing point occurs?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amount you must include in your assessable income in the income year (</w:t>
      </w:r>
      <w:r>
        <w:rPr>
          <w:rFonts w:ascii="Arial" w:cs="Arial" w:eastAsia="Arial" w:hAnsi="Arial"/>
          <w:sz w:val="14"/>
          <w:szCs w:val="14"/>
          <w:i w:val="1"/>
          <w:iCs w:val="1"/>
          <w:color w:val="auto"/>
        </w:rPr>
        <w:t>i.e.</w:t>
      </w:r>
      <w:r>
        <w:rPr>
          <w:rFonts w:ascii="Arial" w:cs="Arial" w:eastAsia="Arial" w:hAnsi="Arial"/>
          <w:sz w:val="14"/>
          <w:szCs w:val="14"/>
          <w:color w:val="auto"/>
        </w:rPr>
        <w:t>, the financial year ending 30 June) in which the ESS deferred taxing point occurs in relation to your Restricted Stock Units (</w:t>
      </w:r>
      <w:r>
        <w:rPr>
          <w:rFonts w:ascii="Arial" w:cs="Arial" w:eastAsia="Arial" w:hAnsi="Arial"/>
          <w:sz w:val="14"/>
          <w:szCs w:val="14"/>
          <w:i w:val="1"/>
          <w:iCs w:val="1"/>
          <w:color w:val="auto"/>
        </w:rPr>
        <w:t>i.e.,</w:t>
      </w:r>
      <w:r>
        <w:rPr>
          <w:rFonts w:ascii="Arial" w:cs="Arial" w:eastAsia="Arial" w:hAnsi="Arial"/>
          <w:sz w:val="14"/>
          <w:szCs w:val="14"/>
          <w:color w:val="auto"/>
        </w:rPr>
        <w:t xml:space="preserve"> typically at vesting) will be the difference between the “market value” of the underlying Shares at the ESS deferred taxing point and the cost base of the Restricted Stock Units (which should be nil because you do not have to pay anything to acquire the Restricted Stock Units or the underlying Shares).</w:t>
      </w:r>
    </w:p>
    <w:p>
      <w:pPr>
        <w:spacing w:after="0" w:line="153"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Restricted Stock Units (which, again, should be nil).</w:t>
      </w:r>
    </w:p>
    <w:p>
      <w:pPr>
        <w:spacing w:after="0" w:line="165" w:lineRule="exact"/>
        <w:rPr>
          <w:sz w:val="20"/>
          <w:szCs w:val="20"/>
          <w:color w:val="auto"/>
        </w:rPr>
      </w:pPr>
    </w:p>
    <w:p>
      <w:pPr>
        <w:ind w:left="400" w:hanging="395"/>
        <w:spacing w:after="0"/>
        <w:tabs>
          <w:tab w:leader="none" w:pos="40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market value of the Underlying Shares?</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- 4</w:t>
      </w:r>
    </w:p>
    <w:p>
      <w:pPr>
        <w:sectPr>
          <w:pgSz w:w="11900" w:h="16838" w:orient="portrait"/>
          <w:cols w:equalWidth="0" w:num="1">
            <w:col w:w="11240"/>
          </w:cols>
          <w:pgMar w:left="320" w:top="994" w:right="339" w:bottom="1440" w:gutter="0" w:footer="0" w:header="0"/>
        </w:sectPr>
      </w:pPr>
    </w:p>
    <w:bookmarkStart w:id="70" w:name="page71"/>
    <w:bookmarkEnd w:id="7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“market value” of the Restricted Stock Units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32"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Restricted Stock Units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67" w:lineRule="exact"/>
        <w:rPr>
          <w:sz w:val="20"/>
          <w:szCs w:val="20"/>
          <w:color w:val="auto"/>
        </w:rPr>
      </w:pPr>
    </w:p>
    <w:p>
      <w:pPr>
        <w:ind w:left="380" w:hanging="375"/>
        <w:spacing w:after="0"/>
        <w:tabs>
          <w:tab w:leader="none" w:pos="38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cease employment before my Restricted Stock Units vest?</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 cease employment with your employer prior to the vesting date of some or all of your Restricted Stock Units and the Restricted Stock Units do not vest upon termination of employment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they are forfeited), you may be treated as having never acquired the forfeited Restricted Stock Units in which case, no amount will be included in your assessable income.</w:t>
      </w:r>
    </w:p>
    <w:p>
      <w:pPr>
        <w:spacing w:after="0" w:line="165" w:lineRule="exact"/>
        <w:rPr>
          <w:sz w:val="20"/>
          <w:szCs w:val="20"/>
          <w:color w:val="auto"/>
        </w:rPr>
      </w:pPr>
    </w:p>
    <w:p>
      <w:pPr>
        <w:ind w:left="360" w:hanging="355"/>
        <w:spacing w:after="0"/>
        <w:tabs>
          <w:tab w:leader="none" w:pos="3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What tax consequences will arise when I sell my Shares?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If you sell the Shares acquired upon vesting of your Restricted Stock Units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If you sell the Shares acquired upon vesting of your Restricted Stock Units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are responsible for reporting any income you realize from the sale of Shares acquired upon vesting of Restricted Stock Units and paying any applicable taxes due on such income.</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6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(g)</w:t>
      </w:r>
      <w:r>
        <w:rPr>
          <w:sz w:val="20"/>
          <w:szCs w:val="20"/>
          <w:color w:val="auto"/>
        </w:rPr>
        <w:tab/>
      </w:r>
      <w:r>
        <w:rPr>
          <w:rFonts w:ascii="Arial" w:cs="Arial" w:eastAsia="Arial" w:hAnsi="Arial"/>
          <w:sz w:val="14"/>
          <w:szCs w:val="14"/>
          <w:b w:val="1"/>
          <w:bCs w:val="1"/>
          <w:color w:val="auto"/>
        </w:rPr>
        <w:t>What are the taxation consequences if a dividend is paid on the Shares?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If you vest in the Restricted Stock Units and become a Company stockholder, you may be entitled to receive dividends on the Shares obtained from vesting in the Restricted Stock Units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(h)</w:t>
      </w:r>
      <w:r>
        <w:rPr>
          <w:sz w:val="20"/>
          <w:szCs w:val="20"/>
          <w:color w:val="auto"/>
        </w:rPr>
        <w:tab/>
      </w:r>
      <w:r>
        <w:rPr>
          <w:rFonts w:ascii="Arial" w:cs="Arial" w:eastAsia="Arial" w:hAnsi="Arial"/>
          <w:sz w:val="14"/>
          <w:szCs w:val="14"/>
          <w:b w:val="1"/>
          <w:bCs w:val="1"/>
          <w:color w:val="auto"/>
        </w:rPr>
        <w:t>What are the tax withholding and reporting obligations associated with the Restricted Stock Units?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will be responsible for reporting on your tax return and paying any tax liability in relation to the Restricted Stock Units and any Shares issued to you at vesting. It is also your responsibility to report and pay any tax liability on the sale of any Shares acquired under the Plan any dividends received.</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Your employer will be required to withhold tax due on the Restricted Stock Units only if you have not provided your Tax File Number or Australian Business Number, as applicable, to your employer.</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w:t>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- 5</w:t>
      </w:r>
    </w:p>
    <w:p>
      <w:pPr>
        <w:sectPr>
          <w:pgSz w:w="11900" w:h="16838" w:orient="portrait"/>
          <w:cols w:equalWidth="0" w:num="1">
            <w:col w:w="11240"/>
          </w:cols>
          <w:pgMar w:left="320" w:top="994" w:right="339" w:bottom="1440" w:gutter="0" w:footer="0" w:header="0"/>
        </w:sectPr>
      </w:pPr>
    </w:p>
    <w:bookmarkStart w:id="71" w:name="page72"/>
    <w:bookmarkEnd w:id="7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 xml:space="preserve">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5"/>
          <w:szCs w:val="15"/>
          <w:i w:val="1"/>
          <w:iCs w:val="1"/>
          <w:color w:val="auto"/>
        </w:rPr>
        <w:t>You will be responsible for determining this amount and calculating your tax accordingly.</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5"/>
          <w:szCs w:val="15"/>
          <w:b w:val="1"/>
          <w:bCs w:val="1"/>
          <w:color w:val="auto"/>
        </w:rPr>
        <w:t>WHAT ARE THE U.S. TAX CONSEQUENCES OF PARTICIPATION IN THE PLAN?</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Australian residents who are not U.S. citizens or tax residents should not be subject to U.S. tax by reason only of the award or vesting of the Restricted Stock Units and/or the sale of Shares, except with respect to dividends as described above. However, liability for U.S. tax may accrue if an Australian resident is otherwise subject to U.S. tax.</w:t>
      </w:r>
    </w:p>
    <w:p>
      <w:pPr>
        <w:spacing w:after="0" w:line="13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is only an indication of the likely U.S. tax consequences for an Australian resident who is awarded Restricted Stock Units under the Plan. Each Australian resident should seek his or her own advice as to the U.S. tax consequences of the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urge you to carefully review the information contained in this Offer Document and the Additional Documents.</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ANALOG DEVICES, INC.</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- 6</w:t>
      </w:r>
    </w:p>
    <w:p>
      <w:pPr>
        <w:sectPr>
          <w:pgSz w:w="11900" w:h="16838" w:orient="portrait"/>
          <w:cols w:equalWidth="0" w:num="1">
            <w:col w:w="11240"/>
          </w:cols>
          <w:pgMar w:left="320" w:top="99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C</w:t>
      </w:r>
    </w:p>
    <w:p>
      <w:pPr>
        <w:spacing w:after="0" w:line="176"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EMPLOYER INFORMATION STATEMENT – DENMARK</w:t>
      </w:r>
    </w:p>
    <w:p>
      <w:pPr>
        <w:ind w:left="3620"/>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2020 Equity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12" w:lineRule="exact"/>
        <w:rPr>
          <w:sz w:val="20"/>
          <w:szCs w:val="20"/>
          <w:color w:val="auto"/>
        </w:rPr>
      </w:pPr>
    </w:p>
    <w:p>
      <w:pPr>
        <w:ind w:left="280" w:hanging="275"/>
        <w:spacing w:after="0"/>
        <w:tabs>
          <w:tab w:leader="none" w:pos="28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Date of Grant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approved the grant of RSUs under the Plan on Grant Date. On this basis, the Date of Grant for your RSUs is Grant Date.</w:t>
      </w:r>
    </w:p>
    <w:p>
      <w:pPr>
        <w:spacing w:after="0" w:line="12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Terms and Conditions of the RSU Grant</w:t>
      </w:r>
    </w:p>
    <w:p>
      <w:pPr>
        <w:spacing w:after="0" w:line="136" w:lineRule="exact"/>
        <w:rPr>
          <w:sz w:val="20"/>
          <w:szCs w:val="20"/>
          <w:color w:val="auto"/>
        </w:rPr>
      </w:pPr>
    </w:p>
    <w:p>
      <w:pPr>
        <w:jc w:val="both"/>
        <w:ind w:left="640"/>
        <w:spacing w:after="0" w:line="250" w:lineRule="auto"/>
        <w:rPr>
          <w:sz w:val="20"/>
          <w:szCs w:val="20"/>
          <w:color w:val="auto"/>
        </w:rPr>
      </w:pPr>
      <w:r>
        <w:rPr>
          <w:rFonts w:ascii="Arial" w:cs="Arial" w:eastAsia="Arial" w:hAnsi="Arial"/>
          <w:sz w:val="14"/>
          <w:szCs w:val="14"/>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0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Vesting Date of RSUs</w:t>
      </w:r>
    </w:p>
    <w:p>
      <w:pPr>
        <w:spacing w:after="0" w:line="136" w:lineRule="exact"/>
        <w:rPr>
          <w:sz w:val="20"/>
          <w:szCs w:val="20"/>
          <w:color w:val="auto"/>
        </w:rPr>
      </w:pPr>
    </w:p>
    <w:p>
      <w:pPr>
        <w:jc w:val="both"/>
        <w:ind w:left="640"/>
        <w:spacing w:after="0" w:line="224" w:lineRule="auto"/>
        <w:rPr>
          <w:sz w:val="20"/>
          <w:szCs w:val="20"/>
          <w:color w:val="auto"/>
        </w:rPr>
      </w:pPr>
      <w:r>
        <w:rPr>
          <w:rFonts w:ascii="Arial" w:cs="Arial" w:eastAsia="Arial" w:hAnsi="Arial"/>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When your RSUs vest, the Company will issue one share of the Company’s common stock to you in settlement of each vested RSU.</w:t>
      </w:r>
    </w:p>
    <w:p>
      <w:pPr>
        <w:spacing w:after="0" w:line="128" w:lineRule="exact"/>
        <w:rPr>
          <w:sz w:val="20"/>
          <w:szCs w:val="20"/>
          <w:color w:val="auto"/>
        </w:rPr>
      </w:pPr>
    </w:p>
    <w:p>
      <w:pPr>
        <w:ind w:left="280" w:hanging="275"/>
        <w:spacing w:after="0"/>
        <w:tabs>
          <w:tab w:leader="none" w:pos="28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Price</w:t>
      </w:r>
    </w:p>
    <w:p>
      <w:pPr>
        <w:spacing w:after="0" w:line="136" w:lineRule="exact"/>
        <w:rPr>
          <w:sz w:val="20"/>
          <w:szCs w:val="20"/>
          <w:color w:val="auto"/>
        </w:rPr>
      </w:pPr>
    </w:p>
    <w:p>
      <w:pPr>
        <w:ind w:left="640"/>
        <w:spacing w:after="0" w:line="233" w:lineRule="auto"/>
        <w:rPr>
          <w:sz w:val="20"/>
          <w:szCs w:val="20"/>
          <w:color w:val="auto"/>
        </w:rPr>
      </w:pPr>
      <w:r>
        <w:rPr>
          <w:rFonts w:ascii="Arial" w:cs="Arial" w:eastAsia="Arial" w:hAnsi="Arial"/>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1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Your Rights upon Termination of Service</w:t>
      </w:r>
    </w:p>
    <w:p>
      <w:pPr>
        <w:spacing w:after="0" w:line="136" w:lineRule="exact"/>
        <w:rPr>
          <w:sz w:val="20"/>
          <w:szCs w:val="20"/>
          <w:color w:val="auto"/>
        </w:rPr>
      </w:pPr>
    </w:p>
    <w:p>
      <w:pPr>
        <w:ind w:left="640"/>
        <w:spacing w:after="0" w:line="233" w:lineRule="auto"/>
        <w:rPr>
          <w:sz w:val="20"/>
          <w:szCs w:val="20"/>
          <w:color w:val="auto"/>
        </w:rPr>
      </w:pPr>
      <w:r>
        <w:rPr>
          <w:rFonts w:ascii="Arial" w:cs="Arial" w:eastAsia="Arial" w:hAnsi="Arial"/>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12" w:lineRule="exact"/>
        <w:rPr>
          <w:sz w:val="20"/>
          <w:szCs w:val="20"/>
          <w:color w:val="auto"/>
        </w:rPr>
      </w:pPr>
    </w:p>
    <w:p>
      <w:pPr>
        <w:ind w:left="280" w:hanging="275"/>
        <w:spacing w:after="0"/>
        <w:tabs>
          <w:tab w:leader="none" w:pos="28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Aspects of Participating in the Plan</w:t>
      </w:r>
    </w:p>
    <w:p>
      <w:pPr>
        <w:spacing w:after="0" w:line="136" w:lineRule="exact"/>
        <w:rPr>
          <w:sz w:val="20"/>
          <w:szCs w:val="20"/>
          <w:color w:val="auto"/>
        </w:rPr>
      </w:pPr>
    </w:p>
    <w:p>
      <w:pPr>
        <w:jc w:val="both"/>
        <w:ind w:left="640"/>
        <w:spacing w:after="0" w:line="224" w:lineRule="auto"/>
        <w:rPr>
          <w:sz w:val="20"/>
          <w:szCs w:val="20"/>
          <w:color w:val="auto"/>
        </w:rPr>
      </w:pPr>
      <w:r>
        <w:rPr>
          <w:rFonts w:ascii="Arial" w:cs="Arial" w:eastAsia="Arial" w:hAnsi="Arial"/>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16" w:lineRule="exact"/>
        <w:rPr>
          <w:sz w:val="20"/>
          <w:szCs w:val="20"/>
          <w:color w:val="auto"/>
        </w:rPr>
      </w:pPr>
    </w:p>
    <w:p>
      <w:pPr>
        <w:jc w:val="both"/>
        <w:ind w:left="640"/>
        <w:spacing w:after="0" w:line="239" w:lineRule="auto"/>
        <w:rPr>
          <w:sz w:val="20"/>
          <w:szCs w:val="20"/>
          <w:color w:val="auto"/>
        </w:rPr>
      </w:pPr>
      <w:r>
        <w:rPr>
          <w:rFonts w:ascii="Arial" w:cs="Arial" w:eastAsia="Arial" w:hAnsi="Arial"/>
          <w:sz w:val="15"/>
          <w:szCs w:val="15"/>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12" w:lineRule="exact"/>
        <w:rPr>
          <w:sz w:val="20"/>
          <w:szCs w:val="20"/>
          <w:color w:val="auto"/>
        </w:rPr>
      </w:pPr>
    </w:p>
    <w:p>
      <w:pPr>
        <w:ind w:left="280" w:hanging="275"/>
        <w:spacing w:after="0"/>
        <w:tabs>
          <w:tab w:leader="none" w:pos="28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Other Issues</w:t>
      </w:r>
    </w:p>
    <w:p>
      <w:pPr>
        <w:spacing w:after="0" w:line="136" w:lineRule="exact"/>
        <w:rPr>
          <w:sz w:val="20"/>
          <w:szCs w:val="20"/>
          <w:color w:val="auto"/>
        </w:rPr>
      </w:pPr>
    </w:p>
    <w:p>
      <w:pPr>
        <w:ind w:left="640"/>
        <w:spacing w:after="0" w:line="258" w:lineRule="auto"/>
        <w:rPr>
          <w:sz w:val="20"/>
          <w:szCs w:val="20"/>
          <w:color w:val="auto"/>
        </w:rPr>
      </w:pPr>
      <w:r>
        <w:rPr>
          <w:rFonts w:ascii="Arial" w:cs="Arial" w:eastAsia="Arial" w:hAnsi="Arial"/>
          <w:sz w:val="15"/>
          <w:szCs w:val="15"/>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By: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- 1</w:t>
      </w:r>
    </w:p>
    <w:p>
      <w:pPr>
        <w:sectPr>
          <w:pgSz w:w="11900" w:h="16838" w:orient="portrait"/>
          <w:cols w:equalWidth="0" w:num="1">
            <w:col w:w="11240"/>
          </w:cols>
          <w:pgMar w:left="320" w:top="994" w:right="339" w:bottom="1440" w:gutter="0" w:footer="0" w:header="0"/>
        </w:sectPr>
      </w:pPr>
    </w:p>
    <w:bookmarkStart w:id="73" w:name="page74"/>
    <w:bookmarkEnd w:id="73"/>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ARBEJDSGIVERERKLÆRING – DANMARK</w:t>
      </w:r>
    </w:p>
    <w:p>
      <w:pPr>
        <w:jc w:val="center"/>
        <w:ind w:right="-15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60"/>
        <w:spacing w:after="0" w:line="314" w:lineRule="auto"/>
        <w:rPr>
          <w:sz w:val="20"/>
          <w:szCs w:val="20"/>
          <w:color w:val="auto"/>
        </w:rPr>
      </w:pPr>
      <w:r>
        <w:rPr>
          <w:rFonts w:ascii="Arial" w:cs="Arial" w:eastAsia="Arial" w:hAnsi="Arial"/>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Arial" w:cs="Arial" w:eastAsia="Arial" w:hAnsi="Arial"/>
          <w:sz w:val="16"/>
          <w:szCs w:val="16"/>
          <w:i w:val="1"/>
          <w:iCs w:val="1"/>
          <w:color w:val="auto"/>
        </w:rPr>
        <w:t>Global Restricted Stock Unit Agreement</w:t>
      </w:r>
      <w:r>
        <w:rPr>
          <w:rFonts w:ascii="Arial" w:cs="Arial" w:eastAsia="Arial" w:hAnsi="Arial"/>
          <w:sz w:val="16"/>
          <w:szCs w:val="16"/>
          <w:color w:val="auto"/>
        </w:rPr>
        <w:t xml:space="preserve"> (“Aftalen”), i tillægget til Aftalen og i Ordningen.</w:t>
      </w:r>
    </w:p>
    <w:p>
      <w:pPr>
        <w:spacing w:after="0" w:line="108"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4"/>
          <w:szCs w:val="14"/>
          <w:b w:val="1"/>
          <w:bCs w:val="1"/>
          <w:color w:val="auto"/>
        </w:rPr>
        <w:t>Tildelingsdato</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Selskabets godkendte den Grant Date tildelingen af RSU’er i henhold til Ordningen. Tildelingsdatoen for dine RSU’er er således den Grant Date.</w:t>
      </w:r>
    </w:p>
    <w:p>
      <w:pPr>
        <w:spacing w:after="0" w:line="167"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Vilkår og betingelser for RSU-tildelingen</w:t>
      </w:r>
    </w:p>
    <w:p>
      <w:pPr>
        <w:spacing w:after="0" w:line="149" w:lineRule="exact"/>
        <w:rPr>
          <w:sz w:val="20"/>
          <w:szCs w:val="20"/>
          <w:color w:val="auto"/>
        </w:rPr>
      </w:pPr>
    </w:p>
    <w:p>
      <w:pPr>
        <w:jc w:val="both"/>
        <w:ind w:left="160"/>
        <w:spacing w:after="0" w:line="339" w:lineRule="auto"/>
        <w:rPr>
          <w:sz w:val="20"/>
          <w:szCs w:val="20"/>
          <w:color w:val="auto"/>
        </w:rPr>
      </w:pPr>
      <w:r>
        <w:rPr>
          <w:rFonts w:ascii="Arial" w:cs="Arial" w:eastAsia="Arial" w:hAnsi="Arial"/>
          <w:sz w:val="15"/>
          <w:szCs w:val="15"/>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Modningsdato for RSU’er</w:t>
      </w:r>
    </w:p>
    <w:p>
      <w:pPr>
        <w:spacing w:after="0" w:line="149" w:lineRule="exact"/>
        <w:rPr>
          <w:sz w:val="20"/>
          <w:szCs w:val="20"/>
          <w:color w:val="auto"/>
        </w:rPr>
      </w:pPr>
    </w:p>
    <w:p>
      <w:pPr>
        <w:jc w:val="both"/>
        <w:ind w:left="160"/>
        <w:spacing w:after="0" w:line="319" w:lineRule="auto"/>
        <w:rPr>
          <w:sz w:val="20"/>
          <w:szCs w:val="20"/>
          <w:color w:val="auto"/>
        </w:rPr>
      </w:pPr>
      <w:r>
        <w:rPr>
          <w:rFonts w:ascii="Arial" w:cs="Arial" w:eastAsia="Arial" w:hAnsi="Arial"/>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Når RSU’erne modnes, udsteder Selskabet én ordinær aktie i Selskabet til dig for hver RSU, der er modnet.</w:t>
      </w:r>
    </w:p>
    <w:p>
      <w:pPr>
        <w:spacing w:after="0" w:line="180"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2"/>
          <w:szCs w:val="12"/>
          <w:b w:val="1"/>
          <w:bCs w:val="1"/>
          <w:color w:val="auto"/>
        </w:rPr>
        <w:t>Udnyttelseskurs</w:t>
      </w:r>
    </w:p>
    <w:p>
      <w:pPr>
        <w:spacing w:after="0" w:line="149" w:lineRule="exact"/>
        <w:rPr>
          <w:sz w:val="20"/>
          <w:szCs w:val="20"/>
          <w:color w:val="auto"/>
        </w:rPr>
      </w:pPr>
    </w:p>
    <w:p>
      <w:pPr>
        <w:jc w:val="both"/>
        <w:ind w:left="160"/>
        <w:spacing w:after="0" w:line="330" w:lineRule="auto"/>
        <w:rPr>
          <w:sz w:val="20"/>
          <w:szCs w:val="20"/>
          <w:color w:val="auto"/>
        </w:rPr>
      </w:pPr>
      <w:r>
        <w:rPr>
          <w:rFonts w:ascii="Arial" w:cs="Arial" w:eastAsia="Arial" w:hAnsi="Arial"/>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5"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Din retsstilling i forbindelse med fratræden</w:t>
      </w:r>
    </w:p>
    <w:p>
      <w:pPr>
        <w:spacing w:after="0" w:line="136" w:lineRule="exact"/>
        <w:rPr>
          <w:sz w:val="20"/>
          <w:szCs w:val="20"/>
          <w:color w:val="auto"/>
        </w:rPr>
      </w:pPr>
    </w:p>
    <w:p>
      <w:pPr>
        <w:jc w:val="both"/>
        <w:ind w:left="160"/>
        <w:spacing w:after="0" w:line="330" w:lineRule="auto"/>
        <w:rPr>
          <w:sz w:val="20"/>
          <w:szCs w:val="20"/>
          <w:color w:val="auto"/>
        </w:rPr>
      </w:pPr>
      <w:r>
        <w:rPr>
          <w:rFonts w:ascii="Arial" w:cs="Arial" w:eastAsia="Arial" w:hAnsi="Arial"/>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95"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b w:val="1"/>
          <w:bCs w:val="1"/>
          <w:color w:val="auto"/>
        </w:rPr>
        <w:t>Økonomiske aspekter ved at deltage i Ordningen</w:t>
      </w:r>
    </w:p>
    <w:p>
      <w:pPr>
        <w:spacing w:after="0" w:line="149" w:lineRule="exact"/>
        <w:rPr>
          <w:sz w:val="20"/>
          <w:szCs w:val="20"/>
          <w:color w:val="auto"/>
        </w:rPr>
      </w:pPr>
    </w:p>
    <w:p>
      <w:pPr>
        <w:jc w:val="both"/>
        <w:ind w:left="160"/>
        <w:spacing w:after="0" w:line="319" w:lineRule="auto"/>
        <w:rPr>
          <w:sz w:val="20"/>
          <w:szCs w:val="20"/>
          <w:color w:val="auto"/>
        </w:rPr>
      </w:pPr>
      <w:r>
        <w:rPr>
          <w:rFonts w:ascii="Arial" w:cs="Arial" w:eastAsia="Arial" w:hAnsi="Arial"/>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9" w:lineRule="exact"/>
        <w:rPr>
          <w:sz w:val="20"/>
          <w:szCs w:val="20"/>
          <w:color w:val="auto"/>
        </w:rPr>
      </w:pPr>
    </w:p>
    <w:p>
      <w:pPr>
        <w:jc w:val="both"/>
        <w:ind w:left="160"/>
        <w:spacing w:after="0" w:line="349" w:lineRule="auto"/>
        <w:rPr>
          <w:sz w:val="20"/>
          <w:szCs w:val="20"/>
          <w:color w:val="auto"/>
        </w:rPr>
      </w:pPr>
      <w:r>
        <w:rPr>
          <w:rFonts w:ascii="Arial" w:cs="Arial" w:eastAsia="Arial" w:hAnsi="Arial"/>
          <w:sz w:val="15"/>
          <w:szCs w:val="15"/>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APPENDIX C - 3</w:t>
      </w:r>
    </w:p>
    <w:p>
      <w:pPr>
        <w:sectPr>
          <w:pgSz w:w="11900" w:h="16838" w:orient="portrait"/>
          <w:cols w:equalWidth="0" w:num="1">
            <w:col w:w="10760"/>
          </w:cols>
          <w:pgMar w:left="480" w:top="986" w:right="659" w:bottom="1440" w:gutter="0" w:footer="0" w:header="0"/>
        </w:sectPr>
      </w:pPr>
    </w:p>
    <w:bookmarkStart w:id="74" w:name="page75"/>
    <w:bookmarkEnd w:id="74"/>
    <w:p>
      <w:pPr>
        <w:jc w:val="center"/>
        <w:ind w:right="-3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ARBEJDSGIVERERKLÆRING – DANMARK</w:t>
      </w:r>
    </w:p>
    <w:p>
      <w:pPr>
        <w:jc w:val="center"/>
        <w:ind w:right="-31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tabs>
          <w:tab w:leader="none" w:pos="58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2"/>
          <w:szCs w:val="12"/>
          <w:b w:val="1"/>
          <w:bCs w:val="1"/>
          <w:color w:val="auto"/>
        </w:rPr>
        <w:t>Diverse</w:t>
      </w:r>
    </w:p>
    <w:p>
      <w:pPr>
        <w:spacing w:after="0" w:line="149" w:lineRule="exact"/>
        <w:rPr>
          <w:sz w:val="20"/>
          <w:szCs w:val="20"/>
          <w:color w:val="auto"/>
        </w:rPr>
      </w:pPr>
    </w:p>
    <w:p>
      <w:pPr>
        <w:jc w:val="both"/>
        <w:ind w:left="320"/>
        <w:spacing w:after="0" w:line="319" w:lineRule="auto"/>
        <w:rPr>
          <w:sz w:val="20"/>
          <w:szCs w:val="20"/>
          <w:color w:val="auto"/>
        </w:rPr>
      </w:pPr>
      <w:r>
        <w:rPr>
          <w:rFonts w:ascii="Arial" w:cs="Arial" w:eastAsia="Arial" w:hAnsi="Arial"/>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Meddelelse afgivet af:</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- 4</w:t>
      </w:r>
    </w:p>
    <w:p>
      <w:pPr>
        <w:sectPr>
          <w:pgSz w:w="11900" w:h="16838" w:orient="portrait"/>
          <w:cols w:equalWidth="0" w:num="1">
            <w:col w:w="10920"/>
          </w:cols>
          <w:pgMar w:left="320" w:top="986" w:right="659" w:bottom="1440" w:gutter="0" w:footer="0" w:header="0"/>
        </w:sectPr>
      </w:pPr>
    </w:p>
    <w:bookmarkStart w:id="75" w:name="page76"/>
    <w:bookmarkEnd w:id="75"/>
    <w:p>
      <w:pPr>
        <w:jc w:val="center"/>
        <w:ind w:right="-15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D</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60"/>
        <w:spacing w:after="0" w:line="226" w:lineRule="auto"/>
        <w:rPr>
          <w:sz w:val="20"/>
          <w:szCs w:val="20"/>
          <w:color w:val="auto"/>
        </w:rPr>
      </w:pPr>
      <w:r>
        <w:rPr>
          <w:rFonts w:ascii="Arial" w:cs="Arial" w:eastAsia="Arial" w:hAnsi="Arial"/>
          <w:sz w:val="16"/>
          <w:szCs w:val="16"/>
          <w:b w:val="1"/>
          <w:bCs w:val="1"/>
          <w:u w:val="single" w:color="auto"/>
          <w:color w:val="auto"/>
        </w:rPr>
        <w:t>Trust Arrangement</w:t>
      </w:r>
      <w:r>
        <w:rPr>
          <w:rFonts w:ascii="Arial" w:cs="Arial" w:eastAsia="Arial" w:hAnsi="Arial"/>
          <w:sz w:val="16"/>
          <w:szCs w:val="16"/>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Wilmington, Massachusetts, 01887 USA.</w:t>
      </w:r>
    </w:p>
    <w:p>
      <w:pPr>
        <w:spacing w:after="0" w:line="195"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color w:val="auto"/>
        </w:rPr>
        <w:t>The Participant hereby understands and agrees that the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RSUs granted to the Participant in Israel.</w:t>
      </w:r>
    </w:p>
    <w:p>
      <w:pPr>
        <w:spacing w:after="0" w:line="204" w:lineRule="exact"/>
        <w:rPr>
          <w:sz w:val="20"/>
          <w:szCs w:val="20"/>
          <w:color w:val="auto"/>
        </w:rPr>
      </w:pPr>
    </w:p>
    <w:p>
      <w:pPr>
        <w:jc w:val="both"/>
        <w:ind w:left="160"/>
        <w:spacing w:after="0" w:line="236" w:lineRule="auto"/>
        <w:rPr>
          <w:sz w:val="20"/>
          <w:szCs w:val="20"/>
          <w:color w:val="auto"/>
        </w:rPr>
      </w:pPr>
      <w:r>
        <w:rPr>
          <w:rFonts w:ascii="Arial" w:cs="Arial" w:eastAsia="Arial" w:hAnsi="Arial"/>
          <w:sz w:val="16"/>
          <w:szCs w:val="16"/>
          <w:b w:val="1"/>
          <w:bCs w:val="1"/>
          <w:color w:val="auto"/>
        </w:rPr>
        <w:t>Please sign this Israeli Appendix and return it to the address shown on the top within 45 days of receipt. If Analog Devices, (Israel) Ltd. or Analog Devices, Inc. does not receive your signed Israel Appendix, your RSUs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472440</wp:posOffset>
            </wp:positionV>
            <wp:extent cx="56654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665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0"/>
        <w:spacing w:after="0"/>
        <w:tabs>
          <w:tab w:leader="none" w:pos="5720" w:val="left"/>
        </w:tabs>
        <w:rPr>
          <w:sz w:val="20"/>
          <w:szCs w:val="20"/>
          <w:color w:val="auto"/>
        </w:rPr>
      </w:pPr>
      <w:r>
        <w:rPr>
          <w:rFonts w:ascii="Arial" w:cs="Arial" w:eastAsia="Arial" w:hAnsi="Arial"/>
          <w:sz w:val="16"/>
          <w:szCs w:val="16"/>
          <w:color w:val="auto"/>
        </w:rPr>
        <w:t>Name: Participant Name</w:t>
      </w:r>
      <w:r>
        <w:rPr>
          <w:sz w:val="20"/>
          <w:szCs w:val="20"/>
          <w:color w:val="auto"/>
        </w:rPr>
        <w:tab/>
      </w:r>
      <w:r>
        <w:rPr>
          <w:rFonts w:ascii="Arial" w:cs="Arial" w:eastAsia="Arial" w:hAnsi="Arial"/>
          <w:sz w:val="12"/>
          <w:szCs w:val="12"/>
          <w:color w:val="auto"/>
        </w:rPr>
        <w:t>Date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APPENDIX D - 1</w:t>
      </w:r>
    </w:p>
    <w:p>
      <w:pPr>
        <w:sectPr>
          <w:pgSz w:w="11900" w:h="16838" w:orient="portrait"/>
          <w:cols w:equalWidth="0" w:num="1">
            <w:col w:w="10760"/>
          </w:cols>
          <w:pgMar w:left="480" w:top="994" w:right="659" w:bottom="1440" w:gutter="0" w:footer="0" w:header="0"/>
        </w:sectPr>
      </w:pPr>
    </w:p>
    <w:bookmarkStart w:id="76" w:name="page77"/>
    <w:bookmarkEnd w:id="76"/>
    <w:p>
      <w:pPr>
        <w:jc w:val="center"/>
        <w:ind w:right="-3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E</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2020 EQUITY INCENTIVE PLAN</w:t>
      </w:r>
    </w:p>
    <w:p>
      <w:pPr>
        <w:spacing w:after="0" w:line="92"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Onscreen disclaimer</w:t>
      </w:r>
    </w:p>
    <w:p>
      <w:pPr>
        <w:spacing w:after="0" w:line="7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4"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Clicking on the “ACCEPT” box indicates your acceptance of the Election. You should read the “Important Note on the Election to Transfer Employer NICs” before accepting the Election.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Note on the Election to Transfer Employer NICs</w:t>
      </w:r>
    </w:p>
    <w:p>
      <w:pPr>
        <w:spacing w:after="0" w:line="8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67" w:lineRule="exact"/>
        <w:rPr>
          <w:sz w:val="20"/>
          <w:szCs w:val="20"/>
          <w:color w:val="auto"/>
        </w:rPr>
      </w:pPr>
    </w:p>
    <w:p>
      <w:pPr>
        <w:ind w:left="620" w:hanging="299"/>
        <w:spacing w:after="0"/>
        <w:tabs>
          <w:tab w:leader="none" w:pos="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you agree that any employer’s NICs liability that may arise in connection with your Awards will be transferred to you;</w:t>
      </w:r>
    </w:p>
    <w:p>
      <w:pPr>
        <w:ind w:left="640" w:hanging="319"/>
        <w:spacing w:after="0" w:line="205" w:lineRule="auto"/>
        <w:tabs>
          <w:tab w:leader="none" w:pos="6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Arial" w:cs="Arial" w:eastAsia="Arial" w:hAnsi="Arial"/>
          <w:sz w:val="16"/>
          <w:szCs w:val="16"/>
          <w:color w:val="auto"/>
        </w:rPr>
      </w:pPr>
    </w:p>
    <w:p>
      <w:pPr>
        <w:ind w:left="640" w:hanging="319"/>
        <w:spacing w:after="0" w:line="224" w:lineRule="auto"/>
        <w:tabs>
          <w:tab w:leader="none" w:pos="6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Election carefully before accepting the Election.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Please print and keep a copy of the Election for your records.</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E - 1</w:t>
      </w:r>
    </w:p>
    <w:p>
      <w:pPr>
        <w:sectPr>
          <w:pgSz w:w="11900" w:h="16838" w:orient="portrait"/>
          <w:cols w:equalWidth="0" w:num="1">
            <w:col w:w="10920"/>
          </w:cols>
          <w:pgMar w:left="320" w:top="994" w:right="659" w:bottom="1440" w:gutter="0" w:footer="0" w:header="0"/>
        </w:sectPr>
      </w:pPr>
    </w:p>
    <w:bookmarkStart w:id="77" w:name="page78"/>
    <w:bookmarkEnd w:id="77"/>
    <w:p>
      <w:pPr>
        <w:jc w:val="center"/>
        <w:ind w:right="-3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E</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2020 EQUITY INCENTIVE PLAN</w:t>
      </w:r>
    </w:p>
    <w:p>
      <w:pPr>
        <w:spacing w:after="0" w:line="92"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28" w:lineRule="exact"/>
        <w:rPr>
          <w:sz w:val="20"/>
          <w:szCs w:val="20"/>
          <w:color w:val="auto"/>
        </w:rPr>
      </w:pPr>
    </w:p>
    <w:p>
      <w:pPr>
        <w:ind w:left="640" w:hanging="635"/>
        <w:spacing w:after="0" w:line="226" w:lineRule="auto"/>
        <w:tabs>
          <w:tab w:leader="none" w:pos="37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color w:val="auto"/>
        </w:rPr>
        <w:t>Employee</w:t>
      </w:r>
      <w:r>
        <w:rPr>
          <w:rFonts w:ascii="Arial" w:cs="Arial" w:eastAsia="Arial" w:hAnsi="Arial"/>
          <w:sz w:val="16"/>
          <w:szCs w:val="16"/>
          <w:color w:val="auto"/>
        </w:rPr>
        <w:t>”), who is employed by one of the employing companies listed in the attached schedule (the “</w:t>
      </w:r>
      <w:r>
        <w:rPr>
          <w:rFonts w:ascii="Arial" w:cs="Arial" w:eastAsia="Arial" w:hAnsi="Arial"/>
          <w:sz w:val="16"/>
          <w:szCs w:val="16"/>
          <w:b w:val="1"/>
          <w:bCs w:val="1"/>
          <w:color w:val="auto"/>
        </w:rPr>
        <w:t>Employer</w:t>
      </w:r>
      <w:r>
        <w:rPr>
          <w:rFonts w:ascii="Arial" w:cs="Arial" w:eastAsia="Arial" w:hAnsi="Arial"/>
          <w:sz w:val="16"/>
          <w:szCs w:val="16"/>
          <w:color w:val="auto"/>
        </w:rPr>
        <w:t>”) and who is eligible to receive restricted stock units and/or stock options (“</w:t>
      </w:r>
      <w:r>
        <w:rPr>
          <w:rFonts w:ascii="Arial" w:cs="Arial" w:eastAsia="Arial" w:hAnsi="Arial"/>
          <w:sz w:val="16"/>
          <w:szCs w:val="16"/>
          <w:b w:val="1"/>
          <w:bCs w:val="1"/>
          <w:color w:val="auto"/>
        </w:rPr>
        <w:t>Awards</w:t>
      </w:r>
      <w:r>
        <w:rPr>
          <w:rFonts w:ascii="Arial" w:cs="Arial" w:eastAsia="Arial" w:hAnsi="Arial"/>
          <w:sz w:val="16"/>
          <w:szCs w:val="16"/>
          <w:color w:val="auto"/>
        </w:rPr>
        <w:t>”) pursuant to the Analog Devices, Inc. 2020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11" w:lineRule="exact"/>
        <w:rPr>
          <w:rFonts w:ascii="Arial" w:cs="Arial" w:eastAsia="Arial" w:hAnsi="Arial"/>
          <w:sz w:val="16"/>
          <w:szCs w:val="16"/>
          <w:color w:val="auto"/>
        </w:rPr>
      </w:pPr>
    </w:p>
    <w:p>
      <w:pPr>
        <w:ind w:left="640" w:hanging="635"/>
        <w:spacing w:after="0" w:line="236" w:lineRule="auto"/>
        <w:tabs>
          <w:tab w:leader="none" w:pos="31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Analog Devices, Inc. of One Analog Way, Wilmington, Massachusetts 01887, U.S.A. (the “</w:t>
      </w:r>
      <w:r>
        <w:rPr>
          <w:rFonts w:ascii="Arial" w:cs="Arial" w:eastAsia="Arial" w:hAnsi="Arial"/>
          <w:sz w:val="16"/>
          <w:szCs w:val="16"/>
          <w:b w:val="1"/>
          <w:bCs w:val="1"/>
          <w:color w:val="auto"/>
        </w:rPr>
        <w:t>Company</w:t>
      </w:r>
      <w:r>
        <w:rPr>
          <w:rFonts w:ascii="Arial" w:cs="Arial" w:eastAsia="Arial" w:hAnsi="Arial"/>
          <w:sz w:val="16"/>
          <w:szCs w:val="16"/>
          <w:color w:val="auto"/>
        </w:rPr>
        <w:t>”), which may grant Awards under the Plans and is entering into this Election on behalf of the Employer.</w:t>
      </w:r>
    </w:p>
    <w:p>
      <w:pPr>
        <w:spacing w:after="0" w:line="112" w:lineRule="exact"/>
        <w:rPr>
          <w:sz w:val="20"/>
          <w:szCs w:val="20"/>
          <w:color w:val="auto"/>
        </w:rPr>
      </w:pPr>
    </w:p>
    <w:p>
      <w:pPr>
        <w:ind w:left="640" w:hanging="635"/>
        <w:spacing w:after="0"/>
        <w:tabs>
          <w:tab w:leader="none" w:pos="64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or assumed and converted under the Plan up to the termination dates of the Plan.</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207" w:lineRule="exact"/>
        <w:rPr>
          <w:sz w:val="20"/>
          <w:szCs w:val="20"/>
          <w:color w:val="auto"/>
        </w:rPr>
      </w:pPr>
    </w:p>
    <w:p>
      <w:pPr>
        <w:ind w:left="1260" w:hanging="623"/>
        <w:spacing w:after="0"/>
        <w:tabs>
          <w:tab w:leader="none" w:pos="1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Chargeable Event</w:t>
      </w:r>
      <w:r>
        <w:rPr>
          <w:rFonts w:ascii="Arial" w:cs="Arial" w:eastAsia="Arial" w:hAnsi="Arial"/>
          <w:sz w:val="16"/>
          <w:szCs w:val="16"/>
          <w:color w:val="auto"/>
        </w:rPr>
        <w:t>” means any event giving rise to Relevant Employment Income.</w:t>
      </w:r>
    </w:p>
    <w:p>
      <w:pPr>
        <w:spacing w:after="0" w:line="210" w:lineRule="exact"/>
        <w:rPr>
          <w:rFonts w:ascii="Arial" w:cs="Arial" w:eastAsia="Arial" w:hAnsi="Arial"/>
          <w:sz w:val="16"/>
          <w:szCs w:val="16"/>
          <w:color w:val="auto"/>
        </w:rPr>
      </w:pPr>
    </w:p>
    <w:p>
      <w:pPr>
        <w:ind w:left="1260" w:hanging="623"/>
        <w:spacing w:after="0"/>
        <w:tabs>
          <w:tab w:leader="none" w:pos="1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ITEPA</w:t>
      </w:r>
      <w:r>
        <w:rPr>
          <w:rFonts w:ascii="Arial" w:cs="Arial" w:eastAsia="Arial" w:hAnsi="Arial"/>
          <w:sz w:val="16"/>
          <w:szCs w:val="16"/>
          <w:color w:val="auto"/>
        </w:rPr>
        <w:t>” means the Income Tax (Earnings and Pensions) Act 2003.</w:t>
      </w:r>
    </w:p>
    <w:p>
      <w:pPr>
        <w:spacing w:after="0" w:line="210" w:lineRule="exact"/>
        <w:rPr>
          <w:rFonts w:ascii="Arial" w:cs="Arial" w:eastAsia="Arial" w:hAnsi="Arial"/>
          <w:sz w:val="16"/>
          <w:szCs w:val="16"/>
          <w:color w:val="auto"/>
        </w:rPr>
      </w:pPr>
    </w:p>
    <w:p>
      <w:pPr>
        <w:ind w:left="1260" w:hanging="623"/>
        <w:spacing w:after="0"/>
        <w:tabs>
          <w:tab w:leader="none" w:pos="1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Employment Income</w:t>
      </w:r>
      <w:r>
        <w:rPr>
          <w:rFonts w:ascii="Arial" w:cs="Arial" w:eastAsia="Arial" w:hAnsi="Arial"/>
          <w:sz w:val="16"/>
          <w:szCs w:val="16"/>
          <w:color w:val="auto"/>
        </w:rPr>
        <w:t>” from Awards on which employer's National Insurance Contributions becomes due is defined as:</w:t>
      </w:r>
    </w:p>
    <w:p>
      <w:pPr>
        <w:spacing w:after="0" w:line="214" w:lineRule="exact"/>
        <w:rPr>
          <w:rFonts w:ascii="Arial" w:cs="Arial" w:eastAsia="Arial" w:hAnsi="Arial"/>
          <w:sz w:val="16"/>
          <w:szCs w:val="16"/>
          <w:color w:val="auto"/>
        </w:rPr>
      </w:pPr>
    </w:p>
    <w:p>
      <w:pPr>
        <w:ind w:left="1900" w:hanging="632"/>
        <w:spacing w:after="0" w:line="233" w:lineRule="auto"/>
        <w:tabs>
          <w:tab w:leader="none" w:pos="1891"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95" w:lineRule="exact"/>
        <w:rPr>
          <w:rFonts w:ascii="Arial" w:cs="Arial" w:eastAsia="Arial" w:hAnsi="Arial"/>
          <w:sz w:val="16"/>
          <w:szCs w:val="16"/>
          <w:color w:val="auto"/>
        </w:rPr>
      </w:pPr>
    </w:p>
    <w:p>
      <w:pPr>
        <w:ind w:left="1900" w:hanging="632"/>
        <w:spacing w:after="0" w:line="233" w:lineRule="auto"/>
        <w:tabs>
          <w:tab w:leader="none" w:pos="189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95" w:lineRule="exact"/>
        <w:rPr>
          <w:rFonts w:ascii="Arial" w:cs="Arial" w:eastAsia="Arial" w:hAnsi="Arial"/>
          <w:sz w:val="16"/>
          <w:szCs w:val="16"/>
          <w:color w:val="auto"/>
        </w:rPr>
      </w:pPr>
    </w:p>
    <w:p>
      <w:pPr>
        <w:ind w:left="1900" w:hanging="632"/>
        <w:spacing w:after="0" w:line="233" w:lineRule="auto"/>
        <w:tabs>
          <w:tab w:leader="none" w:pos="1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gain that is treated as remuneration derived from the earner's employment by virtue of section 4(4)(a) SSCBA, including without limitation:</w:t>
      </w:r>
    </w:p>
    <w:p>
      <w:pPr>
        <w:spacing w:after="0" w:line="195" w:lineRule="exact"/>
        <w:rPr>
          <w:rFonts w:ascii="Arial" w:cs="Arial" w:eastAsia="Arial" w:hAnsi="Arial"/>
          <w:sz w:val="16"/>
          <w:szCs w:val="16"/>
          <w:color w:val="auto"/>
        </w:rPr>
      </w:pPr>
    </w:p>
    <w:p>
      <w:pPr>
        <w:ind w:left="2520" w:hanging="620"/>
        <w:spacing w:after="0"/>
        <w:tabs>
          <w:tab w:leader="none" w:pos="252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acquisition of securities pursuant to the Awards (within the meaning of section 477(3)(a) of ITEPA);</w:t>
      </w:r>
    </w:p>
    <w:p>
      <w:pPr>
        <w:spacing w:after="0" w:line="210" w:lineRule="exact"/>
        <w:rPr>
          <w:rFonts w:ascii="Arial" w:cs="Arial" w:eastAsia="Arial" w:hAnsi="Arial"/>
          <w:sz w:val="16"/>
          <w:szCs w:val="16"/>
          <w:color w:val="auto"/>
        </w:rPr>
      </w:pPr>
    </w:p>
    <w:p>
      <w:pPr>
        <w:ind w:left="2540" w:hanging="640"/>
        <w:spacing w:after="0" w:line="233" w:lineRule="auto"/>
        <w:tabs>
          <w:tab w:leader="none" w:pos="254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assignment (if applicable) or release of the Awards in return for consideration (within the meaning of section 477(3)(b) of ITEPA);</w:t>
      </w:r>
    </w:p>
    <w:p>
      <w:pPr>
        <w:spacing w:after="0" w:line="195" w:lineRule="exact"/>
        <w:rPr>
          <w:rFonts w:ascii="Arial" w:cs="Arial" w:eastAsia="Arial" w:hAnsi="Arial"/>
          <w:sz w:val="16"/>
          <w:szCs w:val="16"/>
          <w:color w:val="auto"/>
        </w:rPr>
      </w:pPr>
    </w:p>
    <w:p>
      <w:pPr>
        <w:ind w:left="2540" w:hanging="640"/>
        <w:spacing w:after="0" w:line="233" w:lineRule="auto"/>
        <w:tabs>
          <w:tab w:leader="none" w:pos="254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receipt of a benefit in connection with the Awards, other than a benefit within (i) or (ii) above (within the meaning of section 477(3)(c) of ITEPA);</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260" w:hanging="623"/>
        <w:spacing w:after="0"/>
        <w:tabs>
          <w:tab w:leader="none" w:pos="1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SSCBA</w:t>
      </w:r>
      <w:r>
        <w:rPr>
          <w:rFonts w:ascii="Arial" w:cs="Arial" w:eastAsia="Arial" w:hAnsi="Arial"/>
          <w:sz w:val="16"/>
          <w:szCs w:val="16"/>
          <w:color w:val="auto"/>
        </w:rPr>
        <w:t>” means the Social Security Contributions and Benefits Act 1992.</w:t>
      </w:r>
    </w:p>
    <w:p>
      <w:pPr>
        <w:spacing w:after="0" w:line="21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91" w:lineRule="exact"/>
        <w:rPr>
          <w:sz w:val="20"/>
          <w:szCs w:val="20"/>
          <w:color w:val="auto"/>
        </w:rPr>
      </w:pPr>
    </w:p>
    <w:p>
      <w:pPr>
        <w:ind w:left="640" w:hanging="635"/>
        <w:spacing w:after="0"/>
        <w:tabs>
          <w:tab w:leader="none" w:pos="64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214" w:lineRule="exact"/>
        <w:rPr>
          <w:rFonts w:ascii="Arial" w:cs="Arial" w:eastAsia="Arial" w:hAnsi="Arial"/>
          <w:sz w:val="16"/>
          <w:szCs w:val="16"/>
          <w:b w:val="1"/>
          <w:bCs w:val="1"/>
          <w:color w:val="auto"/>
        </w:rPr>
      </w:pPr>
    </w:p>
    <w:p>
      <w:pPr>
        <w:jc w:val="both"/>
        <w:ind w:left="640"/>
        <w:spacing w:after="0" w:line="255" w:lineRule="auto"/>
        <w:rPr>
          <w:rFonts w:ascii="Arial" w:cs="Arial" w:eastAsia="Arial" w:hAnsi="Arial"/>
          <w:sz w:val="16"/>
          <w:szCs w:val="16"/>
          <w:b w:val="1"/>
          <w:bCs w:val="1"/>
          <w:color w:val="auto"/>
        </w:rPr>
      </w:pPr>
      <w:r>
        <w:rPr>
          <w:rFonts w:ascii="Arial" w:cs="Arial" w:eastAsia="Arial" w:hAnsi="Arial"/>
          <w:sz w:val="14"/>
          <w:szCs w:val="14"/>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994" w:right="659" w:bottom="1440" w:gutter="0" w:footer="0" w:header="0"/>
        </w:sect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APPENDIX E - 2</w:t>
      </w:r>
    </w:p>
    <w:p>
      <w:pPr>
        <w:sectPr>
          <w:pgSz w:w="11900" w:h="16838" w:orient="portrait"/>
          <w:cols w:equalWidth="0" w:num="1">
            <w:col w:w="10920"/>
          </w:cols>
          <w:pgMar w:left="320" w:top="994" w:right="659" w:bottom="1440" w:gutter="0" w:footer="0" w:header="0"/>
          <w:type w:val="continuous"/>
        </w:sectPr>
      </w:pPr>
    </w:p>
    <w:bookmarkStart w:id="78" w:name="page79"/>
    <w:bookmarkEnd w:id="78"/>
    <w:p>
      <w:pPr>
        <w:jc w:val="center"/>
        <w:ind w:right="-1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2020 EQUITY INCENTIVE PLAN</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hanging="635"/>
        <w:spacing w:after="0"/>
        <w:tabs>
          <w:tab w:leader="none" w:pos="74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20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The Employee hereby authorizes the Company and/or the Employer to collect the Employer’s Liability in respect of any Relevant Employment Income from the</w:t>
      </w:r>
    </w:p>
    <w:p>
      <w:pPr>
        <w:ind w:left="740"/>
        <w:spacing w:after="0"/>
        <w:rPr>
          <w:sz w:val="20"/>
          <w:szCs w:val="20"/>
          <w:color w:val="auto"/>
        </w:rPr>
      </w:pPr>
      <w:r>
        <w:rPr>
          <w:rFonts w:ascii="Arial" w:cs="Arial" w:eastAsia="Arial" w:hAnsi="Arial"/>
          <w:sz w:val="16"/>
          <w:szCs w:val="16"/>
          <w:color w:val="auto"/>
        </w:rPr>
        <w:t>Employee at any time after the Chargeable Event:</w:t>
      </w:r>
    </w:p>
    <w:p>
      <w:pPr>
        <w:spacing w:after="0" w:line="197" w:lineRule="exact"/>
        <w:rPr>
          <w:sz w:val="20"/>
          <w:szCs w:val="20"/>
          <w:color w:val="auto"/>
        </w:rPr>
      </w:pPr>
    </w:p>
    <w:p>
      <w:pPr>
        <w:ind w:left="1040" w:hanging="303"/>
        <w:spacing w:after="0"/>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Chargeable Event; and/or</w:t>
      </w:r>
    </w:p>
    <w:p>
      <w:pPr>
        <w:spacing w:after="0" w:line="79" w:lineRule="exact"/>
        <w:rPr>
          <w:rFonts w:ascii="Arial" w:cs="Arial" w:eastAsia="Arial" w:hAnsi="Arial"/>
          <w:sz w:val="16"/>
          <w:szCs w:val="16"/>
          <w:color w:val="auto"/>
        </w:rPr>
      </w:pPr>
    </w:p>
    <w:p>
      <w:pPr>
        <w:ind w:left="1080" w:hanging="343"/>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79" w:lineRule="exact"/>
        <w:rPr>
          <w:rFonts w:ascii="Arial" w:cs="Arial" w:eastAsia="Arial" w:hAnsi="Arial"/>
          <w:sz w:val="16"/>
          <w:szCs w:val="16"/>
          <w:color w:val="auto"/>
        </w:rPr>
      </w:pPr>
    </w:p>
    <w:p>
      <w:pPr>
        <w:ind w:left="1140" w:hanging="403"/>
        <w:spacing w:after="0"/>
        <w:tabs>
          <w:tab w:leader="none" w:pos="11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by arranging, on behalf of the Employee, for the sale of some of the securities which the Employee is entitled to receive in respect of the Awards; and/or</w:t>
      </w:r>
    </w:p>
    <w:p>
      <w:pPr>
        <w:spacing w:after="0" w:line="90" w:lineRule="exact"/>
        <w:rPr>
          <w:rFonts w:ascii="Arial" w:cs="Arial" w:eastAsia="Arial" w:hAnsi="Arial"/>
          <w:sz w:val="15"/>
          <w:szCs w:val="15"/>
          <w:color w:val="auto"/>
        </w:rPr>
      </w:pPr>
    </w:p>
    <w:p>
      <w:pPr>
        <w:ind w:left="1120" w:hanging="383"/>
        <w:spacing w:after="0"/>
        <w:tabs>
          <w:tab w:leader="none" w:pos="11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79" w:lineRule="exact"/>
        <w:rPr>
          <w:sz w:val="20"/>
          <w:szCs w:val="20"/>
          <w:color w:val="auto"/>
        </w:rPr>
      </w:pPr>
    </w:p>
    <w:p>
      <w:pPr>
        <w:jc w:val="both"/>
        <w:ind w:left="740" w:right="320" w:hanging="631"/>
        <w:spacing w:after="0" w:line="233" w:lineRule="auto"/>
        <w:tabs>
          <w:tab w:leader="none" w:pos="7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5" w:lineRule="exact"/>
        <w:rPr>
          <w:sz w:val="20"/>
          <w:szCs w:val="20"/>
          <w:color w:val="auto"/>
        </w:rPr>
      </w:pPr>
    </w:p>
    <w:p>
      <w:pPr>
        <w:jc w:val="both"/>
        <w:ind w:left="740" w:right="320" w:hanging="631"/>
        <w:spacing w:after="0" w:line="224" w:lineRule="auto"/>
        <w:tabs>
          <w:tab w:leader="none" w:pos="7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740" w:hanging="635"/>
        <w:spacing w:after="0"/>
        <w:tabs>
          <w:tab w:leader="none" w:pos="74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215" w:lineRule="exact"/>
        <w:rPr>
          <w:sz w:val="20"/>
          <w:szCs w:val="20"/>
          <w:color w:val="auto"/>
        </w:rPr>
      </w:pPr>
    </w:p>
    <w:p>
      <w:pPr>
        <w:ind w:left="740" w:right="320" w:hanging="631"/>
        <w:spacing w:after="0" w:line="233" w:lineRule="auto"/>
        <w:tabs>
          <w:tab w:leader="none" w:pos="7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5"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This Election will continue in effect until the earliest of the following:</w:t>
      </w:r>
    </w:p>
    <w:p>
      <w:pPr>
        <w:spacing w:after="0" w:line="211" w:lineRule="exact"/>
        <w:rPr>
          <w:sz w:val="20"/>
          <w:szCs w:val="20"/>
          <w:color w:val="auto"/>
        </w:rPr>
      </w:pPr>
    </w:p>
    <w:p>
      <w:pPr>
        <w:ind w:left="1040" w:hanging="303"/>
        <w:spacing w:after="0"/>
        <w:tabs>
          <w:tab w:leader="none" w:pos="10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31" w:lineRule="exact"/>
        <w:rPr>
          <w:rFonts w:ascii="Arial" w:cs="Arial" w:eastAsia="Arial" w:hAnsi="Arial"/>
          <w:sz w:val="16"/>
          <w:szCs w:val="16"/>
          <w:color w:val="auto"/>
        </w:rPr>
      </w:pPr>
    </w:p>
    <w:p>
      <w:pPr>
        <w:ind w:left="1120" w:hanging="383"/>
        <w:spacing w:after="0"/>
        <w:tabs>
          <w:tab w:leader="none" w:pos="11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31" w:lineRule="exact"/>
        <w:rPr>
          <w:rFonts w:ascii="Arial" w:cs="Arial" w:eastAsia="Arial" w:hAnsi="Arial"/>
          <w:sz w:val="16"/>
          <w:szCs w:val="16"/>
          <w:color w:val="auto"/>
        </w:rPr>
      </w:pPr>
    </w:p>
    <w:p>
      <w:pPr>
        <w:ind w:left="1180" w:hanging="443"/>
        <w:spacing w:after="0"/>
        <w:tabs>
          <w:tab w:leader="none" w:pos="1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31" w:lineRule="exact"/>
        <w:rPr>
          <w:rFonts w:ascii="Arial" w:cs="Arial" w:eastAsia="Arial" w:hAnsi="Arial"/>
          <w:sz w:val="16"/>
          <w:szCs w:val="16"/>
          <w:color w:val="auto"/>
        </w:rPr>
      </w:pPr>
    </w:p>
    <w:p>
      <w:pPr>
        <w:ind w:left="1360" w:hanging="623"/>
        <w:spacing w:after="0" w:line="233" w:lineRule="auto"/>
        <w:tabs>
          <w:tab w:leader="none" w:pos="1164" w:val="left"/>
        </w:tabs>
        <w:numPr>
          <w:ilvl w:val="0"/>
          <w:numId w:val="68"/>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6"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211" w:lineRule="exact"/>
        <w:rPr>
          <w:sz w:val="20"/>
          <w:szCs w:val="20"/>
          <w:color w:val="auto"/>
        </w:rPr>
      </w:pPr>
    </w:p>
    <w:p>
      <w:pPr>
        <w:jc w:val="both"/>
        <w:ind w:left="740" w:hanging="631"/>
        <w:spacing w:after="0" w:line="224" w:lineRule="auto"/>
        <w:tabs>
          <w:tab w:leader="none" w:pos="72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83" w:lineRule="exact"/>
        <w:rPr>
          <w:sz w:val="20"/>
          <w:szCs w:val="20"/>
          <w:color w:val="auto"/>
        </w:rPr>
      </w:pPr>
    </w:p>
    <w:p>
      <w:pPr>
        <w:ind w:left="100" w:right="320"/>
        <w:spacing w:after="0" w:line="233" w:lineRule="auto"/>
        <w:rPr>
          <w:sz w:val="20"/>
          <w:szCs w:val="20"/>
          <w:color w:val="auto"/>
        </w:rPr>
      </w:pPr>
      <w:r>
        <w:rPr>
          <w:rFonts w:ascii="Arial" w:cs="Arial" w:eastAsia="Arial" w:hAnsi="Arial"/>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6"/>
          <w:szCs w:val="16"/>
          <w:b w:val="1"/>
          <w:bCs w:val="1"/>
          <w:u w:val="single" w:color="auto"/>
          <w:color w:val="auto"/>
        </w:rPr>
        <w:t>Acceptance by Analog Devices, Inc.</w:t>
      </w:r>
    </w:p>
    <w:p>
      <w:pPr>
        <w:spacing w:after="0" w:line="83" w:lineRule="exact"/>
        <w:rPr>
          <w:sz w:val="20"/>
          <w:szCs w:val="20"/>
          <w:color w:val="auto"/>
        </w:rPr>
      </w:pPr>
    </w:p>
    <w:p>
      <w:pPr>
        <w:ind w:left="100"/>
        <w:spacing w:after="0" w:line="233" w:lineRule="auto"/>
        <w:rPr>
          <w:sz w:val="20"/>
          <w:szCs w:val="20"/>
          <w:color w:val="auto"/>
        </w:rPr>
      </w:pPr>
      <w:r>
        <w:rPr>
          <w:rFonts w:ascii="Arial" w:cs="Arial" w:eastAsia="Arial" w:hAnsi="Arial"/>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Signature for and on behalf of Analog Devices, Inc.</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14605</wp:posOffset>
            </wp:positionV>
            <wp:extent cx="264858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 Ahern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sident, Global Total Rewards &amp; HR Services</w:t>
      </w:r>
    </w:p>
    <w:p>
      <w:pPr>
        <w:sectPr>
          <w:pgSz w:w="11900" w:h="16838" w:orient="portrait"/>
          <w:cols w:equalWidth="0" w:num="1">
            <w:col w:w="11340"/>
          </w:cols>
          <w:pgMar w:left="220" w:top="994"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APPENDIX E - 3</w:t>
      </w:r>
    </w:p>
    <w:p>
      <w:pPr>
        <w:sectPr>
          <w:pgSz w:w="11900" w:h="16838" w:orient="portrait"/>
          <w:cols w:equalWidth="0" w:num="1">
            <w:col w:w="11340"/>
          </w:cols>
          <w:pgMar w:left="220" w:top="994" w:right="339" w:bottom="1440" w:gutter="0" w:footer="0" w:header="0"/>
          <w:type w:val="continuous"/>
        </w:sectPr>
      </w:pPr>
    </w:p>
    <w:bookmarkStart w:id="79" w:name="page80"/>
    <w:bookmarkEnd w:id="79"/>
    <w:p>
      <w:pPr>
        <w:jc w:val="center"/>
        <w:ind w:right="-1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E</w:t>
      </w:r>
    </w:p>
    <w:p>
      <w:pPr>
        <w:spacing w:after="0" w:line="7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2020 EQUITY INCENTIVE PLAN</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Grant Date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Name: Participant Name</w:t>
      </w: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E - 4</w:t>
      </w:r>
    </w:p>
    <w:p>
      <w:pPr>
        <w:sectPr>
          <w:pgSz w:w="11900" w:h="16838" w:orient="portrait"/>
          <w:cols w:equalWidth="0" w:num="1">
            <w:col w:w="10139"/>
          </w:cols>
          <w:pgMar w:left="320" w:top="994" w:right="1440" w:bottom="1440" w:gutter="0" w:footer="0" w:header="0"/>
        </w:sectPr>
      </w:pPr>
    </w:p>
    <w:bookmarkStart w:id="80" w:name="page81"/>
    <w:bookmarkEnd w:id="8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E</w:t>
      </w:r>
    </w:p>
    <w:p>
      <w:pPr>
        <w:spacing w:after="0" w:line="7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2020 EQUITY INCENTIVE PLAN</w:t>
      </w:r>
    </w:p>
    <w:p>
      <w:pPr>
        <w:spacing w:after="0" w:line="9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80"/>
        <w:spacing w:after="0"/>
        <w:rPr>
          <w:sz w:val="20"/>
          <w:szCs w:val="20"/>
          <w:color w:val="auto"/>
        </w:rPr>
      </w:pPr>
      <w:r>
        <w:rPr>
          <w:rFonts w:ascii="Arial" w:cs="Arial" w:eastAsia="Arial" w:hAnsi="Arial"/>
          <w:sz w:val="16"/>
          <w:szCs w:val="16"/>
          <w:b w:val="1"/>
          <w:bCs w:val="1"/>
          <w:u w:val="single" w:color="auto"/>
          <w:color w:val="auto"/>
        </w:rPr>
        <w:t>Schedule of Employer Companies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each company, provide the following details: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Limited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 Pressing Lane, Blyth Road, Hayes, England, UB3 1EP</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00895439</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6873689030216A</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120/A4055</w:t>
            </w:r>
          </w:p>
        </w:tc>
      </w:tr>
      <w:tr>
        <w:trPr>
          <w:trHeight w:val="490"/>
        </w:trPr>
        <w:tc>
          <w:tcPr>
            <w:tcW w:w="4600" w:type="dxa"/>
            <w:vAlign w:val="bottom"/>
            <w:gridSpan w:val="2"/>
          </w:tcPr>
          <w:p>
            <w:pPr>
              <w:spacing w:after="0"/>
              <w:rPr>
                <w:sz w:val="20"/>
                <w:szCs w:val="20"/>
                <w:color w:val="auto"/>
              </w:rPr>
            </w:pPr>
            <w:r>
              <w:rPr>
                <w:rFonts w:ascii="Arial" w:cs="Arial" w:eastAsia="Arial" w:hAnsi="Arial"/>
                <w:sz w:val="16"/>
                <w:szCs w:val="16"/>
                <w:color w:val="auto"/>
              </w:rPr>
              <w:t>Linear Technology (UK) Limited</w:t>
            </w:r>
          </w:p>
        </w:tc>
        <w:tc>
          <w:tcPr>
            <w:tcW w:w="4580" w:type="dxa"/>
            <w:vAlign w:val="bottom"/>
          </w:tcPr>
          <w:p>
            <w:pPr>
              <w:spacing w:after="0"/>
              <w:rPr>
                <w:sz w:val="24"/>
                <w:szCs w:val="24"/>
                <w:color w:val="auto"/>
              </w:rPr>
            </w:pPr>
          </w:p>
        </w:tc>
      </w:tr>
      <w:tr>
        <w:trPr>
          <w:trHeight w:val="217"/>
        </w:trPr>
        <w:tc>
          <w:tcPr>
            <w:tcW w:w="1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3 The Listons, Liston Road, Marlow, Buckinghamshire, SL7 1FD</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02149602</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120PA00148447</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120/L30589</w:t>
            </w:r>
          </w:p>
        </w:tc>
      </w:tr>
      <w:tr>
        <w:trPr>
          <w:trHeight w:val="661"/>
        </w:trPr>
        <w:tc>
          <w:tcPr>
            <w:tcW w:w="4600" w:type="dxa"/>
            <w:vAlign w:val="bottom"/>
            <w:gridSpan w:val="2"/>
          </w:tcPr>
          <w:p>
            <w:pPr>
              <w:spacing w:after="0"/>
              <w:rPr>
                <w:sz w:val="20"/>
                <w:szCs w:val="20"/>
                <w:color w:val="auto"/>
              </w:rPr>
            </w:pPr>
            <w:r>
              <w:rPr>
                <w:rFonts w:ascii="Arial" w:cs="Arial" w:eastAsia="Arial" w:hAnsi="Arial"/>
                <w:sz w:val="16"/>
                <w:szCs w:val="16"/>
                <w:color w:val="auto"/>
              </w:rPr>
              <w:t>Maxim Integrated Products UK Limited</w:t>
            </w:r>
          </w:p>
        </w:tc>
        <w:tc>
          <w:tcPr>
            <w:tcW w:w="4580" w:type="dxa"/>
            <w:vAlign w:val="bottom"/>
          </w:tcPr>
          <w:p>
            <w:pPr>
              <w:spacing w:after="0"/>
              <w:rPr>
                <w:sz w:val="24"/>
                <w:szCs w:val="24"/>
                <w:color w:val="auto"/>
              </w:rPr>
            </w:pPr>
          </w:p>
        </w:tc>
      </w:tr>
      <w:tr>
        <w:trPr>
          <w:trHeight w:val="217"/>
        </w:trPr>
        <w:tc>
          <w:tcPr>
            <w:tcW w:w="1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197"/>
        </w:trPr>
        <w:tc>
          <w:tcPr>
            <w:tcW w:w="12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2"/>
              </w:rPr>
              <w:t>First Floor, Templeback, 10 Temple Back, Bristol, England, BS1 6FL</w:t>
            </w:r>
          </w:p>
        </w:tc>
      </w:tr>
      <w:tr>
        <w:trPr>
          <w:trHeight w:val="559"/>
        </w:trPr>
        <w:tc>
          <w:tcPr>
            <w:tcW w:w="120" w:type="dxa"/>
            <w:vAlign w:val="bottom"/>
            <w:tcBorders>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c>
          <w:tcPr>
            <w:tcW w:w="4580" w:type="dxa"/>
            <w:vAlign w:val="bottom"/>
            <w:tcBorders>
              <w:bottom w:val="single" w:sz="8" w:color="auto"/>
              <w:right w:val="single" w:sz="8" w:color="auto"/>
            </w:tcBorders>
          </w:tcPr>
          <w:p>
            <w:pPr>
              <w:spacing w:after="0"/>
              <w:rPr>
                <w:sz w:val="24"/>
                <w:szCs w:val="24"/>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01873931</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56090 07213</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577/RM581</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Calvatec</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E - 5</w:t>
      </w:r>
    </w:p>
    <w:p>
      <w:pPr>
        <w:sectPr>
          <w:pgSz w:w="11900" w:h="16838" w:orient="portrait"/>
          <w:cols w:equalWidth="0" w:num="1">
            <w:col w:w="10139"/>
          </w:cols>
          <w:pgMar w:left="320" w:top="994" w:right="1440" w:bottom="1440" w:gutter="0" w:footer="0" w:header="0"/>
        </w:sectPr>
      </w:pPr>
    </w:p>
    <w:bookmarkStart w:id="81" w:name="page82"/>
    <w:bookmarkEnd w:id="81"/>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E</w:t>
      </w:r>
    </w:p>
    <w:p>
      <w:pPr>
        <w:spacing w:after="0" w:line="7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2020 EQUITY INCENTIVE PLAN</w:t>
      </w:r>
    </w:p>
    <w:p>
      <w:pPr>
        <w:spacing w:after="0" w:line="9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right w:val="single" w:sz="8" w:color="auto"/>
            </w:tcBorders>
          </w:tcPr>
          <w:p>
            <w:pPr>
              <w:spacing w:after="0"/>
              <w:rPr>
                <w:sz w:val="15"/>
                <w:szCs w:val="15"/>
                <w:color w:val="auto"/>
              </w:rPr>
            </w:pPr>
          </w:p>
        </w:tc>
        <w:tc>
          <w:tcPr>
            <w:tcW w:w="4480" w:type="dxa"/>
            <w:vAlign w:val="bottom"/>
            <w:tcBorders>
              <w:top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Registered Office:</w:t>
            </w:r>
          </w:p>
        </w:tc>
        <w:tc>
          <w:tcPr>
            <w:tcW w:w="4580" w:type="dxa"/>
            <w:vAlign w:val="bottom"/>
            <w:tcBorders>
              <w:top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w w:val="94"/>
              </w:rPr>
              <w:t>50 Lothian Road, Festival Square, Edinburgh, United Kingdom EH3</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9WJ (Office of Corp. Secretary, Burness Paull LLP)</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SC342295</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4889926696</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961/VA27993</w:t>
            </w:r>
          </w:p>
        </w:tc>
      </w:tr>
      <w:tr>
        <w:trPr>
          <w:trHeight w:val="648"/>
        </w:trPr>
        <w:tc>
          <w:tcPr>
            <w:tcW w:w="4600" w:type="dxa"/>
            <w:vAlign w:val="bottom"/>
            <w:gridSpan w:val="2"/>
          </w:tcPr>
          <w:p>
            <w:pPr>
              <w:spacing w:after="0"/>
              <w:rPr>
                <w:sz w:val="20"/>
                <w:szCs w:val="20"/>
                <w:color w:val="auto"/>
              </w:rPr>
            </w:pPr>
            <w:r>
              <w:rPr>
                <w:rFonts w:ascii="Arial" w:cs="Arial" w:eastAsia="Arial" w:hAnsi="Arial"/>
                <w:sz w:val="16"/>
                <w:szCs w:val="16"/>
                <w:color w:val="auto"/>
              </w:rPr>
              <w:t>Phyworks</w:t>
            </w:r>
          </w:p>
        </w:tc>
        <w:tc>
          <w:tcPr>
            <w:tcW w:w="4580" w:type="dxa"/>
            <w:vAlign w:val="bottom"/>
          </w:tcPr>
          <w:p>
            <w:pPr>
              <w:spacing w:after="0"/>
              <w:rPr>
                <w:sz w:val="24"/>
                <w:szCs w:val="24"/>
                <w:color w:val="auto"/>
              </w:rPr>
            </w:pPr>
          </w:p>
        </w:tc>
      </w:tr>
      <w:tr>
        <w:trPr>
          <w:trHeight w:val="217"/>
        </w:trPr>
        <w:tc>
          <w:tcPr>
            <w:tcW w:w="1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197"/>
        </w:trPr>
        <w:tc>
          <w:tcPr>
            <w:tcW w:w="12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2"/>
              </w:rPr>
              <w:t>First Floor, Templeback, 10 Temple Back, Bristol, England, BS1 6FL</w:t>
            </w:r>
          </w:p>
        </w:tc>
      </w:tr>
      <w:tr>
        <w:trPr>
          <w:trHeight w:val="668"/>
        </w:trPr>
        <w:tc>
          <w:tcPr>
            <w:tcW w:w="120" w:type="dxa"/>
            <w:vAlign w:val="bottom"/>
            <w:tcBorders>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88"/>
              </w:rPr>
              <w:t>Secretary/Correspondence address: 50 Lothian Road, Festival Square,</w:t>
            </w:r>
          </w:p>
        </w:tc>
      </w:tr>
      <w:tr>
        <w:trPr>
          <w:trHeight w:val="158"/>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458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6"/>
                <w:szCs w:val="16"/>
                <w:color w:val="auto"/>
                <w:w w:val="97"/>
              </w:rPr>
              <w:t>Edinburgh, United Kingdom EH3 9WJ (Office of Corp. Secretary,</w:t>
            </w:r>
          </w:p>
        </w:tc>
      </w:tr>
      <w:tr>
        <w:trPr>
          <w:trHeight w:val="201"/>
        </w:trPr>
        <w:tc>
          <w:tcPr>
            <w:tcW w:w="12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Burness Paull LLP)</w:t>
            </w:r>
          </w:p>
        </w:tc>
      </w:tr>
      <w:tr>
        <w:trPr>
          <w:trHeight w:val="165"/>
        </w:trPr>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c>
          <w:tcPr>
            <w:tcW w:w="4580" w:type="dxa"/>
            <w:vAlign w:val="bottom"/>
            <w:tcBorders>
              <w:bottom w:val="single" w:sz="8" w:color="auto"/>
              <w:right w:val="single" w:sz="8" w:color="auto"/>
            </w:tcBorders>
          </w:tcPr>
          <w:p>
            <w:pPr>
              <w:spacing w:after="0"/>
              <w:rPr>
                <w:sz w:val="14"/>
                <w:szCs w:val="14"/>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04075331</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1086827375</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w:t>
            </w:r>
          </w:p>
        </w:tc>
      </w:tr>
      <w:tr>
        <w:trPr>
          <w:trHeight w:val="661"/>
        </w:trPr>
        <w:tc>
          <w:tcPr>
            <w:tcW w:w="9180" w:type="dxa"/>
            <w:vAlign w:val="bottom"/>
            <w:gridSpan w:val="3"/>
          </w:tcPr>
          <w:p>
            <w:pPr>
              <w:spacing w:after="0"/>
              <w:rPr>
                <w:sz w:val="20"/>
                <w:szCs w:val="20"/>
                <w:color w:val="auto"/>
              </w:rPr>
            </w:pPr>
            <w:r>
              <w:rPr>
                <w:rFonts w:ascii="Arial" w:cs="Arial" w:eastAsia="Arial" w:hAnsi="Arial"/>
                <w:sz w:val="16"/>
                <w:szCs w:val="16"/>
                <w:color w:val="auto"/>
              </w:rPr>
              <w:t>Maxim Integrated Products International Sales Limited UK Branch Office (MIPIS Branch Office)</w:t>
            </w:r>
          </w:p>
        </w:tc>
      </w:tr>
      <w:tr>
        <w:trPr>
          <w:trHeight w:val="217"/>
        </w:trPr>
        <w:tc>
          <w:tcPr>
            <w:tcW w:w="1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612 Reading Road, Wokingham, Winnersh, RG41 5HE</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BR014351</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27787 13294</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E - 6</w:t>
      </w:r>
    </w:p>
    <w:p>
      <w:pPr>
        <w:sectPr>
          <w:pgSz w:w="11900" w:h="16838" w:orient="portrait"/>
          <w:cols w:equalWidth="0" w:num="1">
            <w:col w:w="10139"/>
          </w:cols>
          <w:pgMar w:left="320" w:top="994" w:right="1440" w:bottom="1440" w:gutter="0" w:footer="0" w:header="0"/>
        </w:sectPr>
      </w:pPr>
    </w:p>
    <w:bookmarkStart w:id="82" w:name="page83"/>
    <w:bookmarkEnd w:id="82"/>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10.3</w:t>
      </w:r>
    </w:p>
    <w:p>
      <w:pPr>
        <w:jc w:val="center"/>
        <w:ind w:right="160"/>
        <w:spacing w:after="0" w:line="229" w:lineRule="auto"/>
        <w:rPr>
          <w:sz w:val="20"/>
          <w:szCs w:val="20"/>
          <w:color w:val="auto"/>
        </w:rPr>
      </w:pPr>
      <w:r>
        <w:rPr>
          <w:rFonts w:ascii="Arial" w:cs="Arial" w:eastAsia="Arial" w:hAnsi="Arial"/>
          <w:sz w:val="16"/>
          <w:szCs w:val="16"/>
          <w:b w:val="1"/>
          <w:bCs w:val="1"/>
          <w:color w:val="auto"/>
        </w:rPr>
        <w:t>AMENDED AND RESTATED 1996 STOCK INCENTIVE PLAN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Participant Name</w:t>
      </w:r>
    </w:p>
    <w:p>
      <w:pPr>
        <w:ind w:left="160"/>
        <w:spacing w:after="0" w:line="205" w:lineRule="auto"/>
        <w:rPr>
          <w:sz w:val="20"/>
          <w:szCs w:val="20"/>
          <w:color w:val="auto"/>
        </w:rPr>
      </w:pPr>
      <w:r>
        <w:rPr>
          <w:rFonts w:ascii="Arial" w:cs="Arial" w:eastAsia="Arial" w:hAnsi="Arial"/>
          <w:sz w:val="16"/>
          <w:szCs w:val="16"/>
          <w:color w:val="auto"/>
        </w:rPr>
        <w:t>Employee ID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Grant ID: Client Grant ID</w:t>
      </w:r>
    </w:p>
    <w:p>
      <w:pPr>
        <w:spacing w:after="0" w:line="197" w:lineRule="exact"/>
        <w:rPr>
          <w:sz w:val="20"/>
          <w:szCs w:val="20"/>
          <w:color w:val="auto"/>
        </w:rPr>
      </w:pPr>
    </w:p>
    <w:p>
      <w:pPr>
        <w:jc w:val="both"/>
        <w:ind w:left="160" w:right="320"/>
        <w:spacing w:after="0" w:line="215" w:lineRule="auto"/>
        <w:rPr>
          <w:sz w:val="20"/>
          <w:szCs w:val="20"/>
          <w:color w:val="auto"/>
        </w:rPr>
      </w:pPr>
      <w:r>
        <w:rPr>
          <w:rFonts w:ascii="Arial" w:cs="Arial" w:eastAsia="Arial" w:hAnsi="Arial"/>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Amended and Restated 1996 Stock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16" w:lineRule="exact"/>
        <w:rPr>
          <w:sz w:val="20"/>
          <w:szCs w:val="20"/>
          <w:color w:val="auto"/>
        </w:rPr>
      </w:pPr>
    </w:p>
    <w:p>
      <w:pPr>
        <w:ind w:left="480" w:hanging="319"/>
        <w:spacing w:after="0"/>
        <w:tabs>
          <w:tab w:leader="none" w:pos="48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480" w:right="320"/>
        <w:spacing w:after="0" w:line="233" w:lineRule="auto"/>
        <w:rPr>
          <w:rFonts w:ascii="Arial" w:cs="Arial" w:eastAsia="Arial" w:hAnsi="Arial"/>
          <w:sz w:val="16"/>
          <w:szCs w:val="16"/>
          <w:color w:val="auto"/>
        </w:rPr>
      </w:pPr>
      <w:r>
        <w:rPr>
          <w:rFonts w:ascii="Arial" w:cs="Arial" w:eastAsia="Arial" w:hAnsi="Arial"/>
          <w:sz w:val="16"/>
          <w:szCs w:val="16"/>
          <w:color w:val="auto"/>
        </w:rPr>
        <w:t>Subject to the terms and conditions of the Plan and this Agreement, the Company has granted to the Participant that number of RSUs (the “Award”) effective on the Date of Grant set forth below:</w:t>
      </w:r>
    </w:p>
    <w:p>
      <w:pPr>
        <w:spacing w:after="0" w:line="104"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b w:val="1"/>
          <w:bCs w:val="1"/>
          <w:color w:val="0000CC"/>
        </w:rPr>
        <w:t>Date of Grant:  Grant Date</w:t>
      </w:r>
    </w:p>
    <w:p>
      <w:pPr>
        <w:ind w:left="480"/>
        <w:spacing w:after="0" w:line="205" w:lineRule="auto"/>
        <w:rPr>
          <w:rFonts w:ascii="Arial" w:cs="Arial" w:eastAsia="Arial" w:hAnsi="Arial"/>
          <w:sz w:val="16"/>
          <w:szCs w:val="16"/>
          <w:color w:val="auto"/>
        </w:rPr>
      </w:pPr>
      <w:r>
        <w:rPr>
          <w:rFonts w:ascii="Arial" w:cs="Arial" w:eastAsia="Arial" w:hAnsi="Arial"/>
          <w:sz w:val="16"/>
          <w:szCs w:val="16"/>
          <w:b w:val="1"/>
          <w:bCs w:val="1"/>
          <w:color w:val="0000CC"/>
        </w:rPr>
        <w:t>Number of RSUs:  Number of Awards Granted</w:t>
      </w:r>
    </w:p>
    <w:p>
      <w:pPr>
        <w:ind w:left="480"/>
        <w:spacing w:after="0"/>
        <w:rPr>
          <w:rFonts w:ascii="Arial" w:cs="Arial" w:eastAsia="Arial" w:hAnsi="Arial"/>
          <w:sz w:val="16"/>
          <w:szCs w:val="16"/>
          <w:color w:val="auto"/>
        </w:rPr>
      </w:pPr>
      <w:r>
        <w:rPr>
          <w:rFonts w:ascii="Arial" w:cs="Arial" w:eastAsia="Arial" w:hAnsi="Arial"/>
          <w:sz w:val="16"/>
          <w:szCs w:val="16"/>
          <w:b w:val="1"/>
          <w:bCs w:val="1"/>
          <w:color w:val="0000CC"/>
        </w:rPr>
        <w:t>Vesting Dates:  Vesting Schedule</w:t>
      </w:r>
    </w:p>
    <w:p>
      <w:pPr>
        <w:spacing w:after="0" w:line="170" w:lineRule="exact"/>
        <w:rPr>
          <w:rFonts w:ascii="Arial" w:cs="Arial" w:eastAsia="Arial" w:hAnsi="Arial"/>
          <w:sz w:val="16"/>
          <w:szCs w:val="16"/>
          <w:color w:val="auto"/>
        </w:rPr>
      </w:pPr>
    </w:p>
    <w:p>
      <w:pPr>
        <w:jc w:val="both"/>
        <w:ind w:left="480" w:right="320"/>
        <w:spacing w:after="0" w:line="219" w:lineRule="auto"/>
        <w:rPr>
          <w:rFonts w:ascii="Arial" w:cs="Arial" w:eastAsia="Arial" w:hAnsi="Arial"/>
          <w:sz w:val="16"/>
          <w:szCs w:val="16"/>
          <w:color w:val="auto"/>
        </w:rPr>
      </w:pPr>
      <w:r>
        <w:rPr>
          <w:rFonts w:ascii="Arial" w:cs="Arial" w:eastAsia="Arial" w:hAnsi="Arial"/>
          <w:sz w:val="16"/>
          <w:szCs w:val="16"/>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Arial" w:cs="Arial" w:eastAsia="Arial" w:hAnsi="Arial"/>
          <w:sz w:val="16"/>
          <w:szCs w:val="16"/>
          <w:b w:val="1"/>
          <w:bCs w:val="1"/>
          <w:i w:val="1"/>
          <w:iCs w:val="1"/>
          <w:color w:val="auto"/>
        </w:rPr>
        <w:t>must accept</w:t>
      </w:r>
      <w:r>
        <w:rPr>
          <w:rFonts w:ascii="Arial" w:cs="Arial" w:eastAsia="Arial" w:hAnsi="Arial"/>
          <w:sz w:val="16"/>
          <w:szCs w:val="16"/>
          <w:color w:val="auto"/>
        </w:rPr>
        <w:t xml:space="preserve"> this Agreement no later than Grant Custom 4 or </w:t>
      </w:r>
      <w:r>
        <w:rPr>
          <w:rFonts w:ascii="Arial" w:cs="Arial" w:eastAsia="Arial" w:hAnsi="Arial"/>
          <w:sz w:val="16"/>
          <w:szCs w:val="16"/>
          <w:b w:val="1"/>
          <w:bCs w:val="1"/>
          <w:i w:val="1"/>
          <w:iCs w:val="1"/>
          <w:color w:val="auto"/>
        </w:rPr>
        <w:t>this Award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shall terminate and will become null and void</w:t>
      </w:r>
      <w:r>
        <w:rPr>
          <w:rFonts w:ascii="Arial" w:cs="Arial" w:eastAsia="Arial" w:hAnsi="Arial"/>
          <w:sz w:val="16"/>
          <w:szCs w:val="16"/>
          <w:color w:val="auto"/>
        </w:rPr>
        <w:t>. For purposes of this Agreement, the Participant is deemed to reside in the country where his or her Employer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w:t>
      </w:r>
    </w:p>
    <w:p>
      <w:pPr>
        <w:spacing w:after="0" w:line="170" w:lineRule="exact"/>
        <w:rPr>
          <w:rFonts w:ascii="Arial" w:cs="Arial" w:eastAsia="Arial" w:hAnsi="Arial"/>
          <w:sz w:val="16"/>
          <w:szCs w:val="16"/>
          <w:color w:val="auto"/>
        </w:rPr>
      </w:pPr>
    </w:p>
    <w:p>
      <w:pPr>
        <w:jc w:val="both"/>
        <w:ind w:left="480" w:right="320"/>
        <w:spacing w:after="0" w:line="239" w:lineRule="auto"/>
        <w:rPr>
          <w:rFonts w:ascii="Arial" w:cs="Arial" w:eastAsia="Arial" w:hAnsi="Arial"/>
          <w:sz w:val="16"/>
          <w:szCs w:val="16"/>
          <w:color w:val="auto"/>
        </w:rPr>
      </w:pPr>
      <w:r>
        <w:rPr>
          <w:rFonts w:ascii="Arial" w:cs="Arial" w:eastAsia="Arial" w:hAnsi="Arial"/>
          <w:sz w:val="15"/>
          <w:szCs w:val="15"/>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8" w:lineRule="exact"/>
        <w:rPr>
          <w:rFonts w:ascii="Arial" w:cs="Arial" w:eastAsia="Arial" w:hAnsi="Arial"/>
          <w:sz w:val="16"/>
          <w:szCs w:val="16"/>
          <w:color w:val="auto"/>
        </w:rPr>
      </w:pPr>
    </w:p>
    <w:p>
      <w:pPr>
        <w:jc w:val="both"/>
        <w:ind w:left="480" w:right="320"/>
        <w:spacing w:after="0" w:line="264" w:lineRule="auto"/>
        <w:rPr>
          <w:rFonts w:ascii="Arial" w:cs="Arial" w:eastAsia="Arial" w:hAnsi="Arial"/>
          <w:sz w:val="16"/>
          <w:szCs w:val="16"/>
          <w:color w:val="auto"/>
        </w:rPr>
      </w:pPr>
      <w:r>
        <w:rPr>
          <w:rFonts w:ascii="Arial" w:cs="Arial" w:eastAsia="Arial" w:hAnsi="Arial"/>
          <w:sz w:val="14"/>
          <w:szCs w:val="14"/>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00" w:lineRule="exact"/>
        <w:rPr>
          <w:rFonts w:ascii="Arial" w:cs="Arial" w:eastAsia="Arial" w:hAnsi="Arial"/>
          <w:sz w:val="16"/>
          <w:szCs w:val="16"/>
          <w:color w:val="auto"/>
        </w:rPr>
      </w:pPr>
    </w:p>
    <w:p>
      <w:pPr>
        <w:ind w:left="480" w:hanging="319"/>
        <w:spacing w:after="0"/>
        <w:tabs>
          <w:tab w:leader="none" w:pos="48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800" w:right="320" w:hanging="323"/>
        <w:spacing w:after="0" w:line="242" w:lineRule="auto"/>
        <w:tabs>
          <w:tab w:leader="none" w:pos="791" w:val="left"/>
        </w:tabs>
        <w:numPr>
          <w:ilvl w:val="1"/>
          <w:numId w:val="69"/>
        </w:numPr>
        <w:rPr>
          <w:rFonts w:ascii="Arial" w:cs="Arial" w:eastAsia="Arial" w:hAnsi="Arial"/>
          <w:sz w:val="14"/>
          <w:szCs w:val="14"/>
          <w:color w:val="auto"/>
        </w:rPr>
      </w:pPr>
      <w:r>
        <w:rPr>
          <w:rFonts w:ascii="Arial" w:cs="Arial" w:eastAsia="Arial" w:hAnsi="Arial"/>
          <w:sz w:val="14"/>
          <w:szCs w:val="14"/>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8" w:lineRule="exact"/>
        <w:rPr>
          <w:rFonts w:ascii="Arial" w:cs="Arial" w:eastAsia="Arial" w:hAnsi="Arial"/>
          <w:sz w:val="14"/>
          <w:szCs w:val="14"/>
          <w:color w:val="auto"/>
        </w:rPr>
      </w:pPr>
    </w:p>
    <w:p>
      <w:pPr>
        <w:jc w:val="both"/>
        <w:ind w:left="800" w:right="320" w:hanging="323"/>
        <w:spacing w:after="0" w:line="219" w:lineRule="auto"/>
        <w:tabs>
          <w:tab w:leader="none" w:pos="8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6(a))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7" w:lineRule="exact"/>
        <w:rPr>
          <w:rFonts w:ascii="Arial" w:cs="Arial" w:eastAsia="Arial" w:hAnsi="Arial"/>
          <w:sz w:val="16"/>
          <w:szCs w:val="16"/>
          <w:color w:val="auto"/>
        </w:rPr>
      </w:pPr>
    </w:p>
    <w:p>
      <w:pPr>
        <w:ind w:left="800" w:right="320" w:hanging="323"/>
        <w:spacing w:after="0" w:line="233" w:lineRule="auto"/>
        <w:tabs>
          <w:tab w:leader="none" w:pos="791"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In the event the Participant’s employment with the Company or the Employer is terminated by reason of the Participant’s </w:t>
      </w:r>
      <w:r>
        <w:rPr>
          <w:rFonts w:ascii="Arial" w:cs="Arial" w:eastAsia="Arial" w:hAnsi="Arial"/>
          <w:sz w:val="16"/>
          <w:szCs w:val="16"/>
          <w:u w:val="single" w:color="auto"/>
          <w:color w:val="auto"/>
        </w:rPr>
        <w:t>death</w:t>
      </w:r>
      <w:r>
        <w:rPr>
          <w:rFonts w:ascii="Arial" w:cs="Arial" w:eastAsia="Arial" w:hAnsi="Arial"/>
          <w:sz w:val="16"/>
          <w:szCs w:val="16"/>
          <w:color w:val="auto"/>
        </w:rPr>
        <w:t>, all Unvested RSUs shall vest in full as of the date of the Participant’s death.</w:t>
      </w:r>
    </w:p>
    <w:p>
      <w:pPr>
        <w:spacing w:after="0" w:line="116" w:lineRule="exact"/>
        <w:rPr>
          <w:rFonts w:ascii="Arial" w:cs="Arial" w:eastAsia="Arial" w:hAnsi="Arial"/>
          <w:sz w:val="16"/>
          <w:szCs w:val="16"/>
          <w:color w:val="auto"/>
        </w:rPr>
      </w:pPr>
    </w:p>
    <w:p>
      <w:pPr>
        <w:jc w:val="both"/>
        <w:ind w:left="800" w:right="320" w:hanging="323"/>
        <w:spacing w:after="0" w:line="224" w:lineRule="auto"/>
        <w:tabs>
          <w:tab w:leader="none" w:pos="8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In the event the Participant becomes </w:t>
      </w:r>
      <w:r>
        <w:rPr>
          <w:rFonts w:ascii="Arial" w:cs="Arial" w:eastAsia="Arial" w:hAnsi="Arial"/>
          <w:sz w:val="16"/>
          <w:szCs w:val="16"/>
          <w:u w:val="single" w:color="auto"/>
          <w:color w:val="auto"/>
        </w:rPr>
        <w:t>Disabled</w:t>
      </w:r>
      <w:r>
        <w:rPr>
          <w:rFonts w:ascii="Arial" w:cs="Arial" w:eastAsia="Arial" w:hAnsi="Arial"/>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shall have the meaning set forth in Section 409A(a)(2)(C)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80"/>
          </w:cols>
          <w:pgMar w:left="480" w:top="1440" w:right="339" w:bottom="1440" w:gutter="0" w:footer="0" w:header="0"/>
        </w:sectPr>
      </w:pPr>
    </w:p>
    <w:bookmarkStart w:id="83" w:name="page84"/>
    <w:bookmarkEnd w:id="83"/>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800" w:hanging="323"/>
        <w:spacing w:after="0" w:line="219" w:lineRule="auto"/>
        <w:tabs>
          <w:tab w:leader="none" w:pos="791" w:val="left"/>
        </w:tabs>
        <w:numPr>
          <w:ilvl w:val="1"/>
          <w:numId w:val="70"/>
        </w:numPr>
        <w:rPr>
          <w:rFonts w:ascii="Arial" w:cs="Arial" w:eastAsia="Arial" w:hAnsi="Arial"/>
          <w:sz w:val="16"/>
          <w:szCs w:val="16"/>
          <w:color w:val="auto"/>
        </w:rPr>
      </w:pPr>
      <w:r>
        <w:rPr>
          <w:rFonts w:ascii="Arial" w:cs="Arial" w:eastAsia="Arial" w:hAnsi="Arial"/>
          <w:sz w:val="16"/>
          <w:szCs w:val="16"/>
          <w:color w:val="auto"/>
        </w:rPr>
        <w:t>To be eligible for grants of RSUs under the Plan and this Agreement, the Participant must be an Employee, Director, or Consultant. Should a Participant transfer employment to become a Director or Consultant following the Date of Grant, he or she will still be considered employed for vesting purposes until he or she ceases to provide services to the Company or any direct or indirect Parent or Subsidiary of the Company, or any successor to the Company or any such Parent or Subsidiary .</w:t>
      </w:r>
    </w:p>
    <w:p>
      <w:pPr>
        <w:spacing w:after="0" w:line="117" w:lineRule="exact"/>
        <w:rPr>
          <w:rFonts w:ascii="Arial" w:cs="Arial" w:eastAsia="Arial" w:hAnsi="Arial"/>
          <w:sz w:val="16"/>
          <w:szCs w:val="16"/>
          <w:color w:val="auto"/>
        </w:rPr>
      </w:pPr>
    </w:p>
    <w:p>
      <w:pPr>
        <w:ind w:left="800" w:hanging="323"/>
        <w:spacing w:after="0" w:line="233" w:lineRule="auto"/>
        <w:tabs>
          <w:tab w:leader="none" w:pos="8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the avoidance of doubt, the RSUs granted to the Participant under this Agreement are expressly excluded from any Equity Award Policy for Acceleration of Vesting in the Event of a Change in Control that was previously adopted by Maxim Integrated Products, Inc.</w:t>
      </w:r>
    </w:p>
    <w:p>
      <w:pPr>
        <w:spacing w:after="0" w:line="116" w:lineRule="exact"/>
        <w:rPr>
          <w:rFonts w:ascii="Arial" w:cs="Arial" w:eastAsia="Arial" w:hAnsi="Arial"/>
          <w:sz w:val="16"/>
          <w:szCs w:val="16"/>
          <w:color w:val="auto"/>
        </w:rPr>
      </w:pPr>
    </w:p>
    <w:p>
      <w:pPr>
        <w:ind w:left="480" w:hanging="319"/>
        <w:spacing w:after="0"/>
        <w:tabs>
          <w:tab w:leader="none" w:pos="48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780" w:hanging="303"/>
        <w:spacing w:after="0"/>
        <w:tabs>
          <w:tab w:leader="none" w:pos="7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Participant shall not sell, assign, transfer, pledge or otherwise encumber any RSUs, either voluntarily or by operation of law.</w:t>
      </w:r>
    </w:p>
    <w:p>
      <w:pPr>
        <w:spacing w:after="0" w:line="131" w:lineRule="exact"/>
        <w:rPr>
          <w:rFonts w:ascii="Arial" w:cs="Arial" w:eastAsia="Arial" w:hAnsi="Arial"/>
          <w:sz w:val="16"/>
          <w:szCs w:val="16"/>
          <w:color w:val="auto"/>
        </w:rPr>
      </w:pPr>
    </w:p>
    <w:p>
      <w:pPr>
        <w:jc w:val="both"/>
        <w:ind w:left="800" w:hanging="323"/>
        <w:spacing w:after="0" w:line="224" w:lineRule="auto"/>
        <w:tabs>
          <w:tab w:leader="none" w:pos="8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16" w:lineRule="exact"/>
        <w:rPr>
          <w:rFonts w:ascii="Arial" w:cs="Arial" w:eastAsia="Arial" w:hAnsi="Arial"/>
          <w:sz w:val="16"/>
          <w:szCs w:val="16"/>
          <w:color w:val="auto"/>
        </w:rPr>
      </w:pPr>
    </w:p>
    <w:p>
      <w:pPr>
        <w:jc w:val="both"/>
        <w:ind w:left="480" w:hanging="319"/>
        <w:spacing w:after="0" w:line="234" w:lineRule="auto"/>
        <w:tabs>
          <w:tab w:leader="none" w:pos="480"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Not a Shareholder</w:t>
      </w:r>
      <w:r>
        <w:rPr>
          <w:rFonts w:ascii="Arial" w:cs="Arial" w:eastAsia="Arial" w:hAnsi="Arial"/>
          <w:sz w:val="15"/>
          <w:szCs w:val="15"/>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6" w:lineRule="exact"/>
        <w:rPr>
          <w:rFonts w:ascii="Arial" w:cs="Arial" w:eastAsia="Arial" w:hAnsi="Arial"/>
          <w:sz w:val="15"/>
          <w:szCs w:val="15"/>
          <w:color w:val="auto"/>
        </w:rPr>
      </w:pPr>
    </w:p>
    <w:p>
      <w:pPr>
        <w:jc w:val="both"/>
        <w:ind w:left="480" w:hanging="319"/>
        <w:spacing w:after="0" w:line="234" w:lineRule="auto"/>
        <w:tabs>
          <w:tab w:leader="none" w:pos="480"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 The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16" w:lineRule="exact"/>
        <w:rPr>
          <w:rFonts w:ascii="Arial" w:cs="Arial" w:eastAsia="Arial" w:hAnsi="Arial"/>
          <w:sz w:val="15"/>
          <w:szCs w:val="15"/>
          <w:color w:val="auto"/>
        </w:rPr>
      </w:pPr>
    </w:p>
    <w:p>
      <w:pPr>
        <w:ind w:left="480" w:hanging="319"/>
        <w:spacing w:after="0"/>
        <w:tabs>
          <w:tab w:leader="none" w:pos="48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800" w:hanging="323"/>
        <w:spacing w:after="0" w:line="241" w:lineRule="auto"/>
        <w:tabs>
          <w:tab w:leader="none" w:pos="791"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Regardless of any action the Company and/or, if different, the Participant’s employer (the “Employer”)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20" w:lineRule="exact"/>
        <w:rPr>
          <w:rFonts w:ascii="Arial" w:cs="Arial" w:eastAsia="Arial" w:hAnsi="Arial"/>
          <w:sz w:val="14"/>
          <w:szCs w:val="14"/>
          <w:color w:val="auto"/>
        </w:rPr>
      </w:pPr>
    </w:p>
    <w:p>
      <w:pPr>
        <w:jc w:val="both"/>
        <w:ind w:left="800" w:hanging="323"/>
        <w:spacing w:after="0" w:line="239" w:lineRule="auto"/>
        <w:tabs>
          <w:tab w:leader="none" w:pos="800" w:val="left"/>
        </w:tabs>
        <w:numPr>
          <w:ilvl w:val="1"/>
          <w:numId w:val="71"/>
        </w:numPr>
        <w:rPr>
          <w:rFonts w:ascii="Arial" w:cs="Arial" w:eastAsia="Arial" w:hAnsi="Arial"/>
          <w:sz w:val="15"/>
          <w:szCs w:val="15"/>
          <w:color w:val="auto"/>
        </w:rPr>
      </w:pPr>
      <w:r>
        <w:rPr>
          <w:rFonts w:ascii="Arial" w:cs="Arial" w:eastAsia="Arial" w:hAnsi="Arial"/>
          <w:sz w:val="15"/>
          <w:szCs w:val="15"/>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6" w:lineRule="exact"/>
        <w:rPr>
          <w:rFonts w:ascii="Arial" w:cs="Arial" w:eastAsia="Arial" w:hAnsi="Arial"/>
          <w:sz w:val="15"/>
          <w:szCs w:val="15"/>
          <w:color w:val="auto"/>
        </w:rPr>
      </w:pPr>
    </w:p>
    <w:p>
      <w:pPr>
        <w:jc w:val="both"/>
        <w:ind w:left="1100" w:hanging="307"/>
        <w:spacing w:after="0" w:line="219" w:lineRule="auto"/>
        <w:tabs>
          <w:tab w:leader="none" w:pos="1091" w:val="left"/>
        </w:tabs>
        <w:numPr>
          <w:ilvl w:val="2"/>
          <w:numId w:val="71"/>
        </w:numPr>
        <w:rPr>
          <w:rFonts w:ascii="Arial" w:cs="Arial" w:eastAsia="Arial" w:hAnsi="Arial"/>
          <w:sz w:val="16"/>
          <w:szCs w:val="16"/>
          <w:color w:val="auto"/>
        </w:rPr>
      </w:pPr>
      <w:r>
        <w:rPr>
          <w:rFonts w:ascii="Arial" w:cs="Arial" w:eastAsia="Arial" w:hAnsi="Arial"/>
          <w:sz w:val="16"/>
          <w:szCs w:val="16"/>
          <w:color w:val="auto"/>
        </w:rPr>
        <w:t>the Company may withhold a sufficient number of whole Shares otherwise issuable upon the vesting of the RSUs that have an aggregate Fair Market Value equal to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7" w:lineRule="exact"/>
        <w:rPr>
          <w:rFonts w:ascii="Arial" w:cs="Arial" w:eastAsia="Arial" w:hAnsi="Arial"/>
          <w:sz w:val="16"/>
          <w:szCs w:val="16"/>
          <w:color w:val="auto"/>
        </w:rPr>
      </w:pPr>
    </w:p>
    <w:p>
      <w:pPr>
        <w:ind w:left="1100" w:hanging="307"/>
        <w:spacing w:after="0" w:line="233" w:lineRule="auto"/>
        <w:tabs>
          <w:tab w:leader="none" w:pos="1096" w:val="left"/>
        </w:tabs>
        <w:numPr>
          <w:ilvl w:val="2"/>
          <w:numId w:val="71"/>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6" w:lineRule="exact"/>
        <w:rPr>
          <w:rFonts w:ascii="Arial" w:cs="Arial" w:eastAsia="Arial" w:hAnsi="Arial"/>
          <w:sz w:val="16"/>
          <w:szCs w:val="16"/>
          <w:color w:val="auto"/>
        </w:rPr>
      </w:pPr>
    </w:p>
    <w:p>
      <w:pPr>
        <w:ind w:left="1100" w:hanging="307"/>
        <w:spacing w:after="0" w:line="233" w:lineRule="auto"/>
        <w:tabs>
          <w:tab w:leader="none" w:pos="1100" w:val="left"/>
        </w:tabs>
        <w:numPr>
          <w:ilvl w:val="2"/>
          <w:numId w:val="71"/>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6" w:lineRule="exact"/>
        <w:rPr>
          <w:rFonts w:ascii="Arial" w:cs="Arial" w:eastAsia="Arial" w:hAnsi="Arial"/>
          <w:sz w:val="16"/>
          <w:szCs w:val="16"/>
          <w:color w:val="auto"/>
        </w:rPr>
      </w:pPr>
    </w:p>
    <w:p>
      <w:pPr>
        <w:jc w:val="both"/>
        <w:ind w:left="1100"/>
        <w:spacing w:after="0" w:line="219" w:lineRule="auto"/>
        <w:rPr>
          <w:rFonts w:ascii="Arial" w:cs="Arial" w:eastAsia="Arial" w:hAnsi="Arial"/>
          <w:sz w:val="16"/>
          <w:szCs w:val="16"/>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7" w:lineRule="exact"/>
        <w:rPr>
          <w:rFonts w:ascii="Arial" w:cs="Arial" w:eastAsia="Arial" w:hAnsi="Arial"/>
          <w:sz w:val="16"/>
          <w:szCs w:val="16"/>
          <w:color w:val="auto"/>
        </w:rPr>
      </w:pPr>
    </w:p>
    <w:p>
      <w:pPr>
        <w:ind w:left="1100" w:hanging="307"/>
        <w:spacing w:after="0"/>
        <w:tabs>
          <w:tab w:leader="none" w:pos="1100" w:val="left"/>
        </w:tabs>
        <w:numPr>
          <w:ilvl w:val="2"/>
          <w:numId w:val="71"/>
        </w:numPr>
        <w:rPr>
          <w:rFonts w:ascii="Arial" w:cs="Arial" w:eastAsia="Arial" w:hAnsi="Arial"/>
          <w:sz w:val="16"/>
          <w:szCs w:val="16"/>
          <w:color w:val="auto"/>
        </w:rPr>
      </w:pPr>
      <w:r>
        <w:rPr>
          <w:rFonts w:ascii="Arial" w:cs="Arial" w:eastAsia="Arial" w:hAnsi="Arial"/>
          <w:sz w:val="16"/>
          <w:szCs w:val="16"/>
          <w:color w:val="auto"/>
        </w:rPr>
        <w:t>any other method determined by the Company, to the extent permitted under the Plan and applicable laws.</w:t>
      </w:r>
    </w:p>
    <w:p>
      <w:pPr>
        <w:spacing w:after="0" w:line="131" w:lineRule="exact"/>
        <w:rPr>
          <w:rFonts w:ascii="Arial" w:cs="Arial" w:eastAsia="Arial" w:hAnsi="Arial"/>
          <w:sz w:val="16"/>
          <w:szCs w:val="16"/>
          <w:color w:val="auto"/>
        </w:rPr>
      </w:pPr>
    </w:p>
    <w:p>
      <w:pPr>
        <w:ind w:left="1100"/>
        <w:spacing w:after="0" w:line="233" w:lineRule="auto"/>
        <w:rPr>
          <w:rFonts w:ascii="Arial" w:cs="Arial" w:eastAsia="Arial" w:hAnsi="Arial"/>
          <w:sz w:val="16"/>
          <w:szCs w:val="16"/>
          <w:color w:val="auto"/>
        </w:rPr>
      </w:pPr>
      <w:r>
        <w:rPr>
          <w:rFonts w:ascii="Arial" w:cs="Arial" w:eastAsia="Arial" w:hAnsi="Arial"/>
          <w:sz w:val="16"/>
          <w:szCs w:val="16"/>
          <w:color w:val="auto"/>
        </w:rPr>
        <w:t>The Company may withhold or account for Tax-Related Items by considering statutory withholding amounts or other applicable withholding rates, including maximum applicable rates in the Participant’s jurisdiction(s). If the Company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60"/>
          </w:cols>
          <w:pgMar w:left="480" w:top="1440" w:right="659" w:bottom="1440" w:gutter="0" w:footer="0" w:header="0"/>
        </w:sectPr>
      </w:pPr>
    </w:p>
    <w:bookmarkStart w:id="84" w:name="page85"/>
    <w:bookmarkEnd w:id="84"/>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1100"/>
        <w:spacing w:after="0" w:line="213" w:lineRule="auto"/>
        <w:rPr>
          <w:sz w:val="20"/>
          <w:szCs w:val="20"/>
          <w:color w:val="auto"/>
        </w:rPr>
      </w:pPr>
      <w:r>
        <w:rPr>
          <w:rFonts w:ascii="Arial" w:cs="Arial" w:eastAsia="Arial" w:hAnsi="Arial"/>
          <w:sz w:val="16"/>
          <w:szCs w:val="16"/>
          <w:color w:val="auto"/>
        </w:rPr>
        <w:t>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20" w:lineRule="exact"/>
        <w:rPr>
          <w:sz w:val="20"/>
          <w:szCs w:val="20"/>
          <w:color w:val="auto"/>
        </w:rPr>
      </w:pPr>
    </w:p>
    <w:p>
      <w:pPr>
        <w:jc w:val="both"/>
        <w:ind w:left="1100"/>
        <w:spacing w:after="0" w:line="228" w:lineRule="auto"/>
        <w:rPr>
          <w:sz w:val="20"/>
          <w:szCs w:val="20"/>
          <w:color w:val="auto"/>
        </w:rPr>
      </w:pPr>
      <w:r>
        <w:rPr>
          <w:rFonts w:ascii="Arial" w:cs="Arial" w:eastAsia="Arial" w:hAnsi="Arial"/>
          <w:sz w:val="15"/>
          <w:szCs w:val="15"/>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6" w:lineRule="exact"/>
        <w:rPr>
          <w:sz w:val="20"/>
          <w:szCs w:val="20"/>
          <w:color w:val="auto"/>
        </w:rPr>
      </w:pPr>
    </w:p>
    <w:p>
      <w:pPr>
        <w:jc w:val="both"/>
        <w:ind w:left="480" w:hanging="319"/>
        <w:spacing w:after="0" w:line="229" w:lineRule="auto"/>
        <w:tabs>
          <w:tab w:leader="none" w:pos="48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A,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Arial" w:cs="Arial" w:eastAsia="Arial" w:hAnsi="Arial"/>
          <w:sz w:val="15"/>
          <w:szCs w:val="15"/>
          <w:color w:val="auto"/>
        </w:rPr>
      </w:pPr>
    </w:p>
    <w:p>
      <w:pPr>
        <w:jc w:val="both"/>
        <w:ind w:left="480" w:hanging="319"/>
        <w:spacing w:after="0" w:line="247" w:lineRule="auto"/>
        <w:tabs>
          <w:tab w:leader="none" w:pos="480"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Repatriation and Other Legal Requirements</w:t>
      </w:r>
      <w:r>
        <w:rPr>
          <w:rFonts w:ascii="Arial" w:cs="Arial" w:eastAsia="Arial" w:hAnsi="Arial"/>
          <w:sz w:val="14"/>
          <w:szCs w:val="14"/>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1" w:lineRule="exact"/>
        <w:rPr>
          <w:rFonts w:ascii="Arial" w:cs="Arial" w:eastAsia="Arial" w:hAnsi="Arial"/>
          <w:sz w:val="14"/>
          <w:szCs w:val="14"/>
          <w:color w:val="auto"/>
        </w:rPr>
      </w:pPr>
    </w:p>
    <w:p>
      <w:pPr>
        <w:ind w:left="480" w:hanging="319"/>
        <w:spacing w:after="0"/>
        <w:tabs>
          <w:tab w:leader="none" w:pos="48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800" w:hanging="323"/>
        <w:spacing w:after="0" w:line="217" w:lineRule="auto"/>
        <w:tabs>
          <w:tab w:leader="none" w:pos="791"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15" w:lineRule="exact"/>
        <w:rPr>
          <w:rFonts w:ascii="Arial" w:cs="Arial" w:eastAsia="Arial" w:hAnsi="Arial"/>
          <w:sz w:val="16"/>
          <w:szCs w:val="16"/>
          <w:color w:val="auto"/>
        </w:rPr>
      </w:pPr>
    </w:p>
    <w:p>
      <w:pPr>
        <w:jc w:val="both"/>
        <w:ind w:left="800" w:hanging="323"/>
        <w:spacing w:after="0" w:line="226" w:lineRule="auto"/>
        <w:tabs>
          <w:tab w:leader="none" w:pos="800" w:val="left"/>
        </w:tabs>
        <w:numPr>
          <w:ilvl w:val="1"/>
          <w:numId w:val="72"/>
        </w:numPr>
        <w:rPr>
          <w:rFonts w:ascii="Arial" w:cs="Arial" w:eastAsia="Arial" w:hAnsi="Arial"/>
          <w:sz w:val="15"/>
          <w:szCs w:val="15"/>
          <w:color w:val="auto"/>
        </w:rPr>
      </w:pPr>
      <w:r>
        <w:rPr>
          <w:rFonts w:ascii="Arial" w:cs="Arial" w:eastAsia="Arial" w:hAnsi="Arial"/>
          <w:sz w:val="15"/>
          <w:szCs w:val="15"/>
          <w:u w:val="single" w:color="auto"/>
          <w:color w:val="auto"/>
        </w:rPr>
        <w:t>Discretionary Nature</w:t>
      </w:r>
      <w:r>
        <w:rPr>
          <w:rFonts w:ascii="Arial" w:cs="Arial" w:eastAsia="Arial" w:hAnsi="Arial"/>
          <w:sz w:val="15"/>
          <w:szCs w:val="15"/>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17" w:lineRule="exact"/>
        <w:rPr>
          <w:rFonts w:ascii="Arial" w:cs="Arial" w:eastAsia="Arial" w:hAnsi="Arial"/>
          <w:sz w:val="15"/>
          <w:szCs w:val="15"/>
          <w:color w:val="auto"/>
        </w:rPr>
      </w:pPr>
    </w:p>
    <w:p>
      <w:pPr>
        <w:jc w:val="both"/>
        <w:ind w:left="800" w:hanging="323"/>
        <w:spacing w:after="0" w:line="217" w:lineRule="auto"/>
        <w:tabs>
          <w:tab w:leader="none" w:pos="791"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15" w:lineRule="exact"/>
        <w:rPr>
          <w:rFonts w:ascii="Arial" w:cs="Arial" w:eastAsia="Arial" w:hAnsi="Arial"/>
          <w:sz w:val="16"/>
          <w:szCs w:val="16"/>
          <w:color w:val="auto"/>
        </w:rPr>
      </w:pPr>
    </w:p>
    <w:p>
      <w:pPr>
        <w:jc w:val="both"/>
        <w:ind w:left="800" w:hanging="323"/>
        <w:spacing w:after="0" w:line="250" w:lineRule="auto"/>
        <w:tabs>
          <w:tab w:leader="none" w:pos="800" w:val="left"/>
        </w:tabs>
        <w:numPr>
          <w:ilvl w:val="1"/>
          <w:numId w:val="72"/>
        </w:numPr>
        <w:rPr>
          <w:rFonts w:ascii="Arial" w:cs="Arial" w:eastAsia="Arial" w:hAnsi="Arial"/>
          <w:sz w:val="14"/>
          <w:szCs w:val="14"/>
          <w:color w:val="auto"/>
        </w:rPr>
      </w:pPr>
      <w:r>
        <w:rPr>
          <w:rFonts w:ascii="Arial" w:cs="Arial" w:eastAsia="Arial" w:hAnsi="Arial"/>
          <w:sz w:val="14"/>
          <w:szCs w:val="14"/>
          <w:u w:val="single" w:color="auto"/>
          <w:color w:val="auto"/>
        </w:rPr>
        <w:t>No Entitlement</w:t>
      </w:r>
      <w:r>
        <w:rPr>
          <w:rFonts w:ascii="Arial" w:cs="Arial" w:eastAsia="Arial" w:hAnsi="Arial"/>
          <w:sz w:val="14"/>
          <w:szCs w:val="14"/>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760"/>
          </w:cols>
          <w:pgMar w:left="480" w:top="1440" w:right="659" w:bottom="1440" w:gutter="0" w:footer="0" w:header="0"/>
        </w:sectPr>
      </w:pPr>
    </w:p>
    <w:bookmarkStart w:id="85" w:name="page86"/>
    <w:bookmarkEnd w:id="85"/>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5"/>
          <w:szCs w:val="15"/>
          <w:color w:val="auto"/>
        </w:rPr>
        <w:t>of competent jurisdiction to have arisen, the Participant shall be deemed irrevocably to have waived the Participant’s entitlement to pursue such claim.</w:t>
      </w:r>
    </w:p>
    <w:p>
      <w:pPr>
        <w:spacing w:after="0" w:line="143" w:lineRule="exact"/>
        <w:rPr>
          <w:sz w:val="20"/>
          <w:szCs w:val="20"/>
          <w:color w:val="auto"/>
        </w:rPr>
      </w:pPr>
    </w:p>
    <w:p>
      <w:pPr>
        <w:jc w:val="both"/>
        <w:ind w:left="800" w:hanging="323"/>
        <w:spacing w:after="0" w:line="264" w:lineRule="auto"/>
        <w:tabs>
          <w:tab w:leader="none" w:pos="791" w:val="left"/>
        </w:tabs>
        <w:numPr>
          <w:ilvl w:val="0"/>
          <w:numId w:val="73"/>
        </w:numPr>
        <w:rPr>
          <w:rFonts w:ascii="Arial" w:cs="Arial" w:eastAsia="Arial" w:hAnsi="Arial"/>
          <w:sz w:val="14"/>
          <w:szCs w:val="14"/>
          <w:color w:val="auto"/>
        </w:rPr>
      </w:pPr>
      <w:r>
        <w:rPr>
          <w:rFonts w:ascii="Arial" w:cs="Arial" w:eastAsia="Arial" w:hAnsi="Arial"/>
          <w:sz w:val="14"/>
          <w:szCs w:val="14"/>
          <w:u w:val="single" w:color="auto"/>
          <w:color w:val="auto"/>
        </w:rPr>
        <w:t>Exchange Rates</w:t>
      </w:r>
      <w:r>
        <w:rPr>
          <w:rFonts w:ascii="Arial" w:cs="Arial" w:eastAsia="Arial" w:hAnsi="Arial"/>
          <w:sz w:val="14"/>
          <w:szCs w:val="14"/>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00" w:lineRule="exact"/>
        <w:rPr>
          <w:rFonts w:ascii="Arial" w:cs="Arial" w:eastAsia="Arial" w:hAnsi="Arial"/>
          <w:sz w:val="14"/>
          <w:szCs w:val="14"/>
          <w:color w:val="auto"/>
        </w:rPr>
      </w:pPr>
    </w:p>
    <w:p>
      <w:pPr>
        <w:ind w:left="800" w:hanging="323"/>
        <w:spacing w:after="0"/>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31" w:lineRule="exact"/>
        <w:rPr>
          <w:rFonts w:ascii="Arial" w:cs="Arial" w:eastAsia="Arial" w:hAnsi="Arial"/>
          <w:sz w:val="16"/>
          <w:szCs w:val="16"/>
          <w:color w:val="auto"/>
        </w:rPr>
      </w:pPr>
    </w:p>
    <w:p>
      <w:pPr>
        <w:ind w:left="800" w:hanging="323"/>
        <w:spacing w:after="0" w:line="233"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6" w:lineRule="exact"/>
        <w:rPr>
          <w:rFonts w:ascii="Arial" w:cs="Arial" w:eastAsia="Arial" w:hAnsi="Arial"/>
          <w:sz w:val="16"/>
          <w:szCs w:val="16"/>
          <w:color w:val="auto"/>
        </w:rPr>
      </w:pPr>
    </w:p>
    <w:p>
      <w:pPr>
        <w:ind w:left="800" w:hanging="323"/>
        <w:spacing w:after="0" w:line="294" w:lineRule="auto"/>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9" w:lineRule="exact"/>
        <w:rPr>
          <w:rFonts w:ascii="Arial" w:cs="Arial" w:eastAsia="Arial" w:hAnsi="Arial"/>
          <w:sz w:val="14"/>
          <w:szCs w:val="14"/>
          <w:color w:val="auto"/>
        </w:rPr>
      </w:pPr>
    </w:p>
    <w:p>
      <w:pPr>
        <w:jc w:val="both"/>
        <w:ind w:left="800" w:hanging="323"/>
        <w:spacing w:after="0" w:line="217" w:lineRule="auto"/>
        <w:tabs>
          <w:tab w:leader="none" w:pos="79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15" w:lineRule="exact"/>
        <w:rPr>
          <w:rFonts w:ascii="Arial" w:cs="Arial" w:eastAsia="Arial" w:hAnsi="Arial"/>
          <w:sz w:val="16"/>
          <w:szCs w:val="16"/>
          <w:color w:val="auto"/>
        </w:rPr>
      </w:pPr>
    </w:p>
    <w:p>
      <w:pPr>
        <w:ind w:left="800" w:hanging="323"/>
        <w:spacing w:after="0" w:line="233" w:lineRule="auto"/>
        <w:tabs>
          <w:tab w:leader="none" w:pos="79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6" w:lineRule="exact"/>
        <w:rPr>
          <w:rFonts w:ascii="Arial" w:cs="Arial" w:eastAsia="Arial" w:hAnsi="Arial"/>
          <w:sz w:val="16"/>
          <w:szCs w:val="16"/>
          <w:color w:val="auto"/>
        </w:rPr>
      </w:pPr>
    </w:p>
    <w:p>
      <w:pPr>
        <w:ind w:left="800" w:hanging="323"/>
        <w:spacing w:after="0" w:line="233"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6" w:lineRule="exact"/>
        <w:rPr>
          <w:rFonts w:ascii="Arial" w:cs="Arial" w:eastAsia="Arial" w:hAnsi="Arial"/>
          <w:sz w:val="16"/>
          <w:szCs w:val="16"/>
          <w:color w:val="auto"/>
        </w:rPr>
      </w:pPr>
    </w:p>
    <w:p>
      <w:pPr>
        <w:ind w:left="800" w:hanging="323"/>
        <w:spacing w:after="0" w:line="233" w:lineRule="auto"/>
        <w:tabs>
          <w:tab w:leader="none" w:pos="79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6" w:lineRule="exact"/>
        <w:rPr>
          <w:rFonts w:ascii="Arial" w:cs="Arial" w:eastAsia="Arial" w:hAnsi="Arial"/>
          <w:sz w:val="16"/>
          <w:szCs w:val="16"/>
          <w:color w:val="auto"/>
        </w:rPr>
      </w:pPr>
    </w:p>
    <w:p>
      <w:pPr>
        <w:jc w:val="both"/>
        <w:ind w:left="800" w:hanging="323"/>
        <w:spacing w:after="0" w:line="224" w:lineRule="auto"/>
        <w:tabs>
          <w:tab w:leader="none" w:pos="791"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0" w:lineRule="exact"/>
        <w:rPr>
          <w:rFonts w:ascii="Arial" w:cs="Arial" w:eastAsia="Arial" w:hAnsi="Arial"/>
          <w:sz w:val="15"/>
          <w:szCs w:val="15"/>
          <w:color w:val="auto"/>
        </w:rPr>
      </w:pPr>
    </w:p>
    <w:p>
      <w:pPr>
        <w:ind w:left="800" w:hanging="323"/>
        <w:spacing w:after="0" w:line="233"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6" w:lineRule="exact"/>
        <w:rPr>
          <w:rFonts w:ascii="Arial" w:cs="Arial" w:eastAsia="Arial" w:hAnsi="Arial"/>
          <w:sz w:val="16"/>
          <w:szCs w:val="16"/>
          <w:color w:val="auto"/>
        </w:rPr>
      </w:pPr>
    </w:p>
    <w:p>
      <w:pPr>
        <w:jc w:val="both"/>
        <w:ind w:left="800" w:hanging="323"/>
        <w:spacing w:after="0" w:line="239" w:lineRule="auto"/>
        <w:tabs>
          <w:tab w:leader="none" w:pos="800"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Participant’s Acceptance</w:t>
      </w:r>
      <w:r>
        <w:rPr>
          <w:rFonts w:ascii="Arial" w:cs="Arial" w:eastAsia="Arial" w:hAnsi="Arial"/>
          <w:sz w:val="15"/>
          <w:szCs w:val="15"/>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6" w:lineRule="exact"/>
        <w:rPr>
          <w:rFonts w:ascii="Arial" w:cs="Arial" w:eastAsia="Arial" w:hAnsi="Arial"/>
          <w:sz w:val="15"/>
          <w:szCs w:val="15"/>
          <w:color w:val="auto"/>
        </w:rPr>
      </w:pPr>
    </w:p>
    <w:p>
      <w:pPr>
        <w:jc w:val="both"/>
        <w:ind w:left="800" w:hanging="323"/>
        <w:spacing w:after="0" w:line="264" w:lineRule="auto"/>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00" w:lineRule="exact"/>
        <w:rPr>
          <w:rFonts w:ascii="Arial" w:cs="Arial" w:eastAsia="Arial" w:hAnsi="Arial"/>
          <w:sz w:val="14"/>
          <w:szCs w:val="14"/>
          <w:color w:val="auto"/>
        </w:rPr>
      </w:pPr>
    </w:p>
    <w:p>
      <w:pPr>
        <w:jc w:val="both"/>
        <w:ind w:left="800" w:hanging="323"/>
        <w:spacing w:after="0" w:line="219"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60"/>
          </w:cols>
          <w:pgMar w:left="480" w:top="1440" w:right="659" w:bottom="1440" w:gutter="0" w:footer="0" w:header="0"/>
        </w:sectPr>
      </w:pPr>
    </w:p>
    <w:bookmarkStart w:id="86" w:name="page87"/>
    <w:bookmarkEnd w:id="86"/>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800" w:hanging="323"/>
        <w:spacing w:after="0" w:line="231" w:lineRule="auto"/>
        <w:tabs>
          <w:tab w:leader="none" w:pos="800"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Appendix A</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17" w:lineRule="exact"/>
        <w:rPr>
          <w:rFonts w:ascii="Arial" w:cs="Arial" w:eastAsia="Arial" w:hAnsi="Arial"/>
          <w:sz w:val="15"/>
          <w:szCs w:val="15"/>
          <w:color w:val="auto"/>
        </w:rPr>
      </w:pPr>
    </w:p>
    <w:p>
      <w:pPr>
        <w:jc w:val="both"/>
        <w:ind w:left="800" w:hanging="323"/>
        <w:spacing w:after="0" w:line="219" w:lineRule="auto"/>
        <w:tabs>
          <w:tab w:leader="none" w:pos="79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7" w:lineRule="exact"/>
        <w:rPr>
          <w:rFonts w:ascii="Arial" w:cs="Arial" w:eastAsia="Arial" w:hAnsi="Arial"/>
          <w:sz w:val="16"/>
          <w:szCs w:val="16"/>
          <w:color w:val="auto"/>
        </w:rPr>
      </w:pPr>
    </w:p>
    <w:p>
      <w:pPr>
        <w:jc w:val="both"/>
        <w:ind w:left="800" w:hanging="323"/>
        <w:spacing w:after="0" w:line="219" w:lineRule="auto"/>
        <w:tabs>
          <w:tab w:leader="none" w:pos="79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Award was granted.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7" w:lineRule="exact"/>
        <w:rPr>
          <w:rFonts w:ascii="Arial" w:cs="Arial" w:eastAsia="Arial" w:hAnsi="Arial"/>
          <w:sz w:val="16"/>
          <w:szCs w:val="16"/>
          <w:color w:val="auto"/>
        </w:rPr>
      </w:pPr>
    </w:p>
    <w:p>
      <w:pPr>
        <w:jc w:val="both"/>
        <w:ind w:left="800" w:hanging="323"/>
        <w:spacing w:after="0" w:line="219"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17" w:lineRule="exact"/>
        <w:rPr>
          <w:rFonts w:ascii="Arial" w:cs="Arial" w:eastAsia="Arial" w:hAnsi="Arial"/>
          <w:sz w:val="16"/>
          <w:szCs w:val="16"/>
          <w:color w:val="auto"/>
        </w:rPr>
      </w:pPr>
    </w:p>
    <w:p>
      <w:pPr>
        <w:jc w:val="both"/>
        <w:ind w:left="800" w:hanging="323"/>
        <w:spacing w:after="0" w:line="239" w:lineRule="auto"/>
        <w:tabs>
          <w:tab w:leader="none" w:pos="800"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6" w:lineRule="exact"/>
        <w:rPr>
          <w:rFonts w:ascii="Arial" w:cs="Arial" w:eastAsia="Arial" w:hAnsi="Arial"/>
          <w:sz w:val="15"/>
          <w:szCs w:val="15"/>
          <w:color w:val="auto"/>
        </w:rPr>
      </w:pPr>
    </w:p>
    <w:p>
      <w:pPr>
        <w:jc w:val="both"/>
        <w:ind w:left="800" w:hanging="323"/>
        <w:spacing w:after="0" w:line="226" w:lineRule="auto"/>
        <w:tabs>
          <w:tab w:leader="none" w:pos="796"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Insider Trading Restrictions/Market Abuse Laws</w:t>
      </w:r>
      <w:r>
        <w:rPr>
          <w:rFonts w:ascii="Arial" w:cs="Arial" w:eastAsia="Arial" w:hAnsi="Arial"/>
          <w:sz w:val="15"/>
          <w:szCs w:val="15"/>
          <w:color w:val="auto"/>
        </w:rPr>
        <w:t>. The Participant may be subject to insider trading restrictions and/or market abuse laws, which may affect the Participant’s ability to accept, acquire, sell, or otherwise dispose of Common Stock, rights to Common Stock (</w:t>
      </w:r>
      <w:r>
        <w:rPr>
          <w:rFonts w:ascii="Arial" w:cs="Arial" w:eastAsia="Arial" w:hAnsi="Arial"/>
          <w:sz w:val="15"/>
          <w:szCs w:val="15"/>
          <w:i w:val="1"/>
          <w:iCs w:val="1"/>
          <w:color w:val="auto"/>
        </w:rPr>
        <w:t>e.g.</w:t>
      </w:r>
      <w:r>
        <w:rPr>
          <w:rFonts w:ascii="Arial" w:cs="Arial" w:eastAsia="Arial" w:hAnsi="Arial"/>
          <w:sz w:val="15"/>
          <w:szCs w:val="15"/>
          <w:color w:val="auto"/>
        </w:rPr>
        <w:t>, RSUs) or rights linked to the value of Common Stock (</w:t>
      </w:r>
      <w:r>
        <w:rPr>
          <w:rFonts w:ascii="Arial" w:cs="Arial" w:eastAsia="Arial" w:hAnsi="Arial"/>
          <w:sz w:val="15"/>
          <w:szCs w:val="15"/>
          <w:i w:val="1"/>
          <w:iCs w:val="1"/>
          <w:color w:val="auto"/>
        </w:rPr>
        <w:t>e.g.</w:t>
      </w:r>
      <w:r>
        <w:rPr>
          <w:rFonts w:ascii="Arial" w:cs="Arial" w:eastAsia="Arial" w:hAnsi="Arial"/>
          <w:sz w:val="15"/>
          <w:szCs w:val="15"/>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7" w:lineRule="exact"/>
        <w:rPr>
          <w:rFonts w:ascii="Arial" w:cs="Arial" w:eastAsia="Arial" w:hAnsi="Arial"/>
          <w:sz w:val="15"/>
          <w:szCs w:val="15"/>
          <w:color w:val="auto"/>
        </w:rPr>
      </w:pPr>
    </w:p>
    <w:p>
      <w:pPr>
        <w:jc w:val="both"/>
        <w:ind w:left="800" w:hanging="323"/>
        <w:spacing w:after="0" w:line="227" w:lineRule="auto"/>
        <w:tabs>
          <w:tab w:leader="none" w:pos="800"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6" w:lineRule="exact"/>
        <w:rPr>
          <w:rFonts w:ascii="Arial" w:cs="Arial" w:eastAsia="Arial" w:hAnsi="Arial"/>
          <w:sz w:val="15"/>
          <w:szCs w:val="15"/>
          <w:color w:val="auto"/>
        </w:rPr>
      </w:pPr>
    </w:p>
    <w:p>
      <w:pPr>
        <w:ind w:left="800" w:hanging="323"/>
        <w:spacing w:after="0" w:line="233"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6" w:lineRule="exact"/>
        <w:rPr>
          <w:rFonts w:ascii="Arial" w:cs="Arial" w:eastAsia="Arial" w:hAnsi="Arial"/>
          <w:sz w:val="16"/>
          <w:szCs w:val="16"/>
          <w:color w:val="auto"/>
        </w:rPr>
      </w:pPr>
    </w:p>
    <w:p>
      <w:pPr>
        <w:jc w:val="both"/>
        <w:ind w:left="800" w:hanging="323"/>
        <w:spacing w:after="0" w:line="217" w:lineRule="auto"/>
        <w:tabs>
          <w:tab w:leader="none" w:pos="79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63"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Arial" w:cs="Arial" w:eastAsia="Arial" w:hAnsi="Arial"/>
                <w:sz w:val="16"/>
                <w:szCs w:val="16"/>
                <w:color w:val="auto"/>
              </w:rPr>
              <w:t>By:   /s/ Ray Stata</w:t>
            </w:r>
          </w:p>
        </w:tc>
        <w:tc>
          <w:tcPr>
            <w:tcW w:w="4900" w:type="dxa"/>
            <w:vAlign w:val="bottom"/>
            <w:gridSpan w:val="2"/>
          </w:tcPr>
          <w:p>
            <w:pPr>
              <w:ind w:left="1160"/>
              <w:spacing w:after="0"/>
              <w:rPr>
                <w:sz w:val="20"/>
                <w:szCs w:val="20"/>
                <w:color w:val="auto"/>
              </w:rPr>
            </w:pPr>
            <w:r>
              <w:rPr>
                <w:rFonts w:ascii="Arial" w:cs="Arial" w:eastAsia="Arial" w:hAnsi="Arial"/>
                <w:sz w:val="16"/>
                <w:szCs w:val="16"/>
                <w:color w:val="auto"/>
              </w:rPr>
              <w:t>By:   /s/ Vincent Roche</w:t>
            </w:r>
          </w:p>
        </w:tc>
      </w:tr>
      <w:tr>
        <w:trPr>
          <w:trHeight w:val="158"/>
        </w:trPr>
        <w:tc>
          <w:tcPr>
            <w:tcW w:w="400" w:type="dxa"/>
            <w:vAlign w:val="bottom"/>
          </w:tcPr>
          <w:p>
            <w:pPr>
              <w:spacing w:after="0"/>
              <w:rPr>
                <w:sz w:val="13"/>
                <w:szCs w:val="13"/>
                <w:color w:val="auto"/>
              </w:rPr>
            </w:pPr>
          </w:p>
        </w:tc>
        <w:tc>
          <w:tcPr>
            <w:tcW w:w="3300" w:type="dxa"/>
            <w:vAlign w:val="bottom"/>
            <w:tcBorders>
              <w:top w:val="single" w:sz="8" w:color="auto"/>
            </w:tcBorders>
          </w:tcPr>
          <w:p>
            <w:pPr>
              <w:ind w:left="20"/>
              <w:spacing w:after="0" w:line="158" w:lineRule="exact"/>
              <w:rPr>
                <w:sz w:val="20"/>
                <w:szCs w:val="20"/>
                <w:color w:val="auto"/>
              </w:rPr>
            </w:pPr>
            <w:r>
              <w:rPr>
                <w:rFonts w:ascii="Arial" w:cs="Arial" w:eastAsia="Arial" w:hAnsi="Arial"/>
                <w:sz w:val="16"/>
                <w:szCs w:val="16"/>
                <w:color w:val="auto"/>
                <w:w w:val="99"/>
              </w:rPr>
              <w:t>Ray Stata, Chairman of the Board of Directors</w:t>
            </w:r>
          </w:p>
        </w:tc>
        <w:tc>
          <w:tcPr>
            <w:tcW w:w="1580" w:type="dxa"/>
            <w:vAlign w:val="bottom"/>
          </w:tcPr>
          <w:p>
            <w:pPr>
              <w:spacing w:after="0"/>
              <w:rPr>
                <w:sz w:val="13"/>
                <w:szCs w:val="13"/>
                <w:color w:val="auto"/>
              </w:rPr>
            </w:pPr>
          </w:p>
        </w:tc>
        <w:tc>
          <w:tcPr>
            <w:tcW w:w="3320" w:type="dxa"/>
            <w:vAlign w:val="bottom"/>
            <w:tcBorders>
              <w:top w:val="single" w:sz="8" w:color="auto"/>
            </w:tcBorders>
          </w:tcPr>
          <w:p>
            <w:pPr>
              <w:ind w:left="20"/>
              <w:spacing w:after="0" w:line="158" w:lineRule="exact"/>
              <w:rPr>
                <w:sz w:val="20"/>
                <w:szCs w:val="20"/>
                <w:color w:val="auto"/>
              </w:rPr>
            </w:pPr>
            <w:r>
              <w:rPr>
                <w:rFonts w:ascii="Arial" w:cs="Arial" w:eastAsia="Arial" w:hAnsi="Arial"/>
                <w:sz w:val="16"/>
                <w:szCs w:val="16"/>
                <w:color w:val="auto"/>
              </w:rPr>
              <w:t>Vincent Roche, President &amp; Chief Executive</w:t>
            </w:r>
          </w:p>
        </w:tc>
      </w:tr>
      <w:tr>
        <w:trPr>
          <w:trHeight w:val="201"/>
        </w:trPr>
        <w:tc>
          <w:tcPr>
            <w:tcW w:w="4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60"/>
          </w:cols>
          <w:pgMar w:left="480" w:top="1440" w:right="65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979"/>
          </w:cols>
          <w:pgMar w:left="480" w:top="1440" w:right="1440" w:bottom="1440" w:gutter="0" w:footer="0" w:header="0"/>
        </w:sectPr>
      </w:pPr>
    </w:p>
    <w:bookmarkStart w:id="88" w:name="page89"/>
    <w:bookmarkEnd w:id="88"/>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09" w:lineRule="exact"/>
        <w:rPr>
          <w:sz w:val="20"/>
          <w:szCs w:val="20"/>
          <w:color w:val="auto"/>
        </w:rPr>
      </w:pPr>
    </w:p>
    <w:p>
      <w:pPr>
        <w:jc w:val="both"/>
        <w:ind w:left="160" w:right="320"/>
        <w:spacing w:after="0" w:line="255" w:lineRule="auto"/>
        <w:rPr>
          <w:sz w:val="20"/>
          <w:szCs w:val="20"/>
          <w:color w:val="auto"/>
        </w:rPr>
      </w:pPr>
      <w:r>
        <w:rPr>
          <w:rFonts w:ascii="Arial" w:cs="Arial" w:eastAsia="Arial" w:hAnsi="Arial"/>
          <w:sz w:val="14"/>
          <w:szCs w:val="14"/>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November 2021.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197"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95" w:lineRule="exact"/>
        <w:rPr>
          <w:sz w:val="20"/>
          <w:szCs w:val="20"/>
          <w:color w:val="auto"/>
        </w:rPr>
      </w:pPr>
    </w:p>
    <w:p>
      <w:pPr>
        <w:jc w:val="both"/>
        <w:ind w:left="160" w:right="320"/>
        <w:spacing w:after="0" w:line="264" w:lineRule="auto"/>
        <w:rPr>
          <w:sz w:val="20"/>
          <w:szCs w:val="20"/>
          <w:color w:val="auto"/>
        </w:rPr>
      </w:pPr>
      <w:r>
        <w:rPr>
          <w:rFonts w:ascii="Arial" w:cs="Arial" w:eastAsia="Arial" w:hAnsi="Arial"/>
          <w:sz w:val="14"/>
          <w:szCs w:val="14"/>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28"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6" w:lineRule="exact"/>
        <w:rPr>
          <w:sz w:val="20"/>
          <w:szCs w:val="20"/>
          <w:color w:val="auto"/>
        </w:rPr>
      </w:pPr>
    </w:p>
    <w:p>
      <w:pPr>
        <w:jc w:val="both"/>
        <w:ind w:left="480" w:hanging="319"/>
        <w:spacing w:after="0" w:line="301" w:lineRule="auto"/>
        <w:tabs>
          <w:tab w:leader="none" w:pos="471" w:val="left"/>
        </w:tabs>
        <w:numPr>
          <w:ilvl w:val="0"/>
          <w:numId w:val="75"/>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Data Collection and Usage</w:t>
      </w:r>
      <w:r>
        <w:rPr>
          <w:rFonts w:ascii="Arial" w:cs="Arial" w:eastAsia="Arial" w:hAnsi="Arial"/>
          <w:sz w:val="12"/>
          <w:szCs w:val="12"/>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82" w:lineRule="exact"/>
        <w:rPr>
          <w:rFonts w:ascii="Arial" w:cs="Arial" w:eastAsia="Arial" w:hAnsi="Arial"/>
          <w:sz w:val="12"/>
          <w:szCs w:val="12"/>
          <w:color w:val="auto"/>
        </w:rPr>
      </w:pPr>
    </w:p>
    <w:p>
      <w:pPr>
        <w:jc w:val="both"/>
        <w:ind w:left="480" w:hanging="319"/>
        <w:spacing w:after="0" w:line="250" w:lineRule="auto"/>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08" w:lineRule="exact"/>
        <w:rPr>
          <w:rFonts w:ascii="Arial" w:cs="Arial" w:eastAsia="Arial" w:hAnsi="Arial"/>
          <w:sz w:val="14"/>
          <w:szCs w:val="14"/>
          <w:color w:val="auto"/>
        </w:rPr>
      </w:pPr>
    </w:p>
    <w:p>
      <w:pPr>
        <w:jc w:val="both"/>
        <w:ind w:left="480" w:hanging="319"/>
        <w:spacing w:after="0" w:line="227" w:lineRule="auto"/>
        <w:tabs>
          <w:tab w:leader="none" w:pos="471" w:val="left"/>
        </w:tabs>
        <w:numPr>
          <w:ilvl w:val="0"/>
          <w:numId w:val="75"/>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6" w:lineRule="exact"/>
        <w:rPr>
          <w:rFonts w:ascii="Arial" w:cs="Arial" w:eastAsia="Arial" w:hAnsi="Arial"/>
          <w:sz w:val="15"/>
          <w:szCs w:val="15"/>
          <w:color w:val="auto"/>
        </w:rPr>
      </w:pPr>
    </w:p>
    <w:p>
      <w:pPr>
        <w:jc w:val="both"/>
        <w:ind w:left="480" w:hanging="319"/>
        <w:spacing w:after="0" w:line="264" w:lineRule="auto"/>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0" w:lineRule="exact"/>
        <w:rPr>
          <w:rFonts w:ascii="Arial" w:cs="Arial" w:eastAsia="Arial" w:hAnsi="Arial"/>
          <w:sz w:val="14"/>
          <w:szCs w:val="14"/>
          <w:color w:val="auto"/>
        </w:rPr>
      </w:pPr>
    </w:p>
    <w:p>
      <w:pPr>
        <w:jc w:val="both"/>
        <w:ind w:left="480" w:hanging="319"/>
        <w:spacing w:after="0" w:line="219" w:lineRule="auto"/>
        <w:tabs>
          <w:tab w:leader="none" w:pos="471"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17" w:lineRule="exact"/>
        <w:rPr>
          <w:rFonts w:ascii="Arial" w:cs="Arial" w:eastAsia="Arial" w:hAnsi="Arial"/>
          <w:sz w:val="16"/>
          <w:szCs w:val="16"/>
          <w:color w:val="auto"/>
        </w:rPr>
      </w:pPr>
    </w:p>
    <w:p>
      <w:pPr>
        <w:jc w:val="both"/>
        <w:ind w:left="480" w:hanging="319"/>
        <w:spacing w:after="0" w:line="224" w:lineRule="auto"/>
        <w:tabs>
          <w:tab w:leader="none" w:pos="48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080"/>
          </w:cols>
          <w:pgMar w:left="480" w:top="994" w:right="339" w:bottom="1440" w:gutter="0" w:footer="0" w:header="0"/>
        </w:sectPr>
      </w:pPr>
    </w:p>
    <w:bookmarkStart w:id="89" w:name="page90"/>
    <w:bookmarkEnd w:id="89"/>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80"/>
        <w:spacing w:after="0" w:line="239" w:lineRule="auto"/>
        <w:rPr>
          <w:sz w:val="20"/>
          <w:szCs w:val="20"/>
          <w:color w:val="auto"/>
        </w:rPr>
      </w:pPr>
      <w:r>
        <w:rPr>
          <w:rFonts w:ascii="Arial" w:cs="Arial" w:eastAsia="Arial" w:hAnsi="Arial"/>
          <w:sz w:val="15"/>
          <w:szCs w:val="15"/>
          <w:b w:val="1"/>
          <w:bCs w:val="1"/>
          <w:i w:val="1"/>
          <w:iCs w:val="1"/>
          <w:color w:val="auto"/>
        </w:rPr>
        <w:t>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6"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160" w:right="320"/>
        <w:spacing w:after="0" w:line="233" w:lineRule="auto"/>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AUSTRALIA</w:t>
      </w:r>
    </w:p>
    <w:p>
      <w:pPr>
        <w:spacing w:after="0" w:line="215"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u w:val="single" w:color="auto"/>
          <w:color w:val="auto"/>
        </w:rPr>
        <w:t>Australian Offer Documen</w:t>
      </w:r>
      <w:r>
        <w:rPr>
          <w:rFonts w:ascii="Arial" w:cs="Arial" w:eastAsia="Arial" w:hAnsi="Arial"/>
          <w:sz w:val="16"/>
          <w:szCs w:val="16"/>
          <w:color w:val="auto"/>
        </w:rPr>
        <w:t>t. This offer of RSUs is intended to comply with the provisions of the Corporations Act 2001, ASIC Regulatory Guide 49 and ASIC Class Order CO 14/1000. Additional details are set forth in the Offer Document for the offer of Restricted Stock Units to Australian resident employees, which is attached hereto as Appendix B.</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Tax Information</w:t>
      </w:r>
      <w:r>
        <w:rPr>
          <w:rFonts w:ascii="Arial" w:cs="Arial" w:eastAsia="Arial" w:hAnsi="Arial"/>
          <w:sz w:val="16"/>
          <w:szCs w:val="16"/>
          <w:color w:val="auto"/>
        </w:rPr>
        <w:t>. The Plan is a plan to which Subdivision 83A-C of the Income Tax Assessment Act (Cth) applies (subject to the conditions in the Act).</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AUSTRIA</w:t>
      </w:r>
    </w:p>
    <w:p>
      <w:pPr>
        <w:spacing w:after="0" w:line="228" w:lineRule="exact"/>
        <w:rPr>
          <w:sz w:val="20"/>
          <w:szCs w:val="20"/>
          <w:color w:val="auto"/>
        </w:rPr>
      </w:pPr>
    </w:p>
    <w:p>
      <w:pPr>
        <w:jc w:val="both"/>
        <w:ind w:left="160" w:right="320"/>
        <w:spacing w:after="0" w:line="234"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5"/>
          <w:szCs w:val="15"/>
          <w:i w:val="1"/>
          <w:iCs w:val="1"/>
          <w:color w:val="auto"/>
        </w:rPr>
        <w:t>Standmeldung/Wertpapiere</w:t>
      </w:r>
      <w:r>
        <w:rPr>
          <w:rFonts w:ascii="Arial" w:cs="Arial" w:eastAsia="Arial" w:hAnsi="Arial"/>
          <w:sz w:val="15"/>
          <w:szCs w:val="15"/>
          <w:color w:val="auto"/>
        </w:rPr>
        <w:t>.” An exemption applies if the value of the securities held outside Austria as of December 31 does not exceed certain thresholds. These thresholds may be subject to change effective January 2022. If applicable, the deadline for filing the annual report is January 31 of the following year.</w:t>
      </w:r>
    </w:p>
    <w:p>
      <w:pPr>
        <w:spacing w:after="0" w:line="209"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6"/>
          <w:szCs w:val="16"/>
          <w:i w:val="1"/>
          <w:iCs w:val="1"/>
          <w:color w:val="auto"/>
        </w:rPr>
        <w:t>Meldungen SI-Forderungen</w:t>
      </w:r>
      <w:r>
        <w:rPr>
          <w:rFonts w:ascii="Arial" w:cs="Arial" w:eastAsia="Arial" w:hAnsi="Arial"/>
          <w:sz w:val="16"/>
          <w:szCs w:val="16"/>
          <w:color w:val="auto"/>
        </w:rPr>
        <w:t xml:space="preserve"> </w:t>
      </w:r>
      <w:r>
        <w:rPr>
          <w:rFonts w:ascii="Arial" w:cs="Arial" w:eastAsia="Arial" w:hAnsi="Arial"/>
          <w:sz w:val="16"/>
          <w:szCs w:val="16"/>
          <w:i w:val="1"/>
          <w:iCs w:val="1"/>
          <w:color w:val="auto"/>
        </w:rPr>
        <w:t>und/oder SI-Verpflichtungen</w:t>
      </w:r>
      <w:r>
        <w:rPr>
          <w:rFonts w:ascii="Arial" w:cs="Arial" w:eastAsia="Arial" w:hAnsi="Arial"/>
          <w:sz w:val="16"/>
          <w:szCs w:val="16"/>
          <w:color w:val="auto"/>
        </w:rPr>
        <w:t>.”</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BELGIUM</w:t>
      </w:r>
    </w:p>
    <w:p>
      <w:pPr>
        <w:spacing w:after="0" w:line="228" w:lineRule="exact"/>
        <w:rPr>
          <w:sz w:val="20"/>
          <w:szCs w:val="20"/>
          <w:color w:val="auto"/>
        </w:rPr>
      </w:pPr>
    </w:p>
    <w:p>
      <w:pPr>
        <w:jc w:val="both"/>
        <w:ind w:left="160" w:right="32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10"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u w:val="single" w:color="auto"/>
          <w:color w:val="auto"/>
        </w:rPr>
        <w:t>Stock Exchange Tax</w:t>
      </w:r>
      <w:r>
        <w:rPr>
          <w:rFonts w:ascii="Arial" w:cs="Arial" w:eastAsia="Arial" w:hAnsi="Arial"/>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08" w:lineRule="exact"/>
        <w:rPr>
          <w:sz w:val="20"/>
          <w:szCs w:val="20"/>
          <w:color w:val="auto"/>
        </w:rPr>
      </w:pPr>
    </w:p>
    <w:p>
      <w:pPr>
        <w:jc w:val="both"/>
        <w:ind w:left="160" w:right="320"/>
        <w:spacing w:after="0" w:line="219" w:lineRule="auto"/>
        <w:rPr>
          <w:sz w:val="20"/>
          <w:szCs w:val="20"/>
          <w:color w:val="auto"/>
        </w:rPr>
      </w:pPr>
      <w:r>
        <w:rPr>
          <w:rFonts w:ascii="Arial" w:cs="Arial" w:eastAsia="Arial" w:hAnsi="Arial"/>
          <w:sz w:val="16"/>
          <w:szCs w:val="16"/>
          <w:u w:val="single" w:color="auto"/>
          <w:color w:val="auto"/>
        </w:rPr>
        <w:t>Annual Securities Accounts Tax</w:t>
      </w:r>
      <w:r>
        <w:rPr>
          <w:rFonts w:ascii="Arial" w:cs="Arial" w:eastAsia="Arial" w:hAnsi="Arial"/>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CANADA</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This provision supplements Section 2 of the Agreement:</w:t>
      </w:r>
    </w:p>
    <w:p>
      <w:pPr>
        <w:spacing w:after="0" w:line="224" w:lineRule="exact"/>
        <w:rPr>
          <w:sz w:val="20"/>
          <w:szCs w:val="20"/>
          <w:color w:val="auto"/>
        </w:rPr>
      </w:pPr>
    </w:p>
    <w:p>
      <w:pPr>
        <w:jc w:val="both"/>
        <w:ind w:left="160" w:right="32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209" w:lineRule="exact"/>
        <w:rPr>
          <w:sz w:val="20"/>
          <w:szCs w:val="20"/>
          <w:color w:val="auto"/>
        </w:rPr>
      </w:pPr>
    </w:p>
    <w:p>
      <w:pPr>
        <w:jc w:val="both"/>
        <w:ind w:left="160" w:right="32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1080"/>
          </w:cols>
          <w:pgMar w:left="480" w:top="994" w:right="339" w:bottom="1440" w:gutter="0" w:footer="0" w:header="0"/>
        </w:sectPr>
      </w:pPr>
    </w:p>
    <w:bookmarkStart w:id="90" w:name="page91"/>
    <w:bookmarkEnd w:id="90"/>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outside Canada through the facilities of a stock exchange on which the Shares are listed. The Shares are currently listed on the Nasdaq Global Select Market.</w:t>
      </w:r>
    </w:p>
    <w:p>
      <w:pPr>
        <w:spacing w:after="0" w:line="23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following supplements Section 2 of the Agreement (except Section 2(d) regarding disability) as well as any other section required to give effect to the same:</w:t>
      </w:r>
    </w:p>
    <w:p>
      <w:pPr>
        <w:spacing w:after="0" w:line="209"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196"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10" w:lineRule="exact"/>
        <w:rPr>
          <w:sz w:val="20"/>
          <w:szCs w:val="20"/>
          <w:color w:val="auto"/>
        </w:rPr>
      </w:pPr>
    </w:p>
    <w:p>
      <w:pPr>
        <w:jc w:val="both"/>
        <w:ind w:left="160"/>
        <w:spacing w:after="0" w:line="213"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The following terms and conditions apply if the Participant is in Quebec:</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the Data Privacy Information and Consent provision in the Terms and Conditions for Participants Outside the U.S. set forth above:</w:t>
      </w:r>
    </w:p>
    <w:p>
      <w:pPr>
        <w:spacing w:after="0" w:line="209"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or Subsidiary of the Company to record such information and to keep such information in the Participant’s employee file.</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French Language Acknowledgment</w:t>
      </w:r>
      <w:r>
        <w:rPr>
          <w:rFonts w:ascii="Arial" w:cs="Arial" w:eastAsia="Arial" w:hAnsi="Arial"/>
          <w:sz w:val="16"/>
          <w:szCs w:val="16"/>
          <w:color w:val="auto"/>
        </w:rPr>
        <w:t>. This provision supplements Section 9(q)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CHINA</w:t>
      </w:r>
    </w:p>
    <w:p>
      <w:pPr>
        <w:spacing w:after="0" w:line="215"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71"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other Parent or Subsidiary of the Company.</w:t>
      </w:r>
    </w:p>
    <w:p>
      <w:pPr>
        <w:spacing w:after="0" w:line="203"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APPENDIX A - 3</w:t>
      </w:r>
    </w:p>
    <w:p>
      <w:pPr>
        <w:sectPr>
          <w:pgSz w:w="11900" w:h="16838" w:orient="portrait"/>
          <w:cols w:equalWidth="0" w:num="1">
            <w:col w:w="10760"/>
          </w:cols>
          <w:pgMar w:left="480" w:top="994" w:right="659" w:bottom="1440" w:gutter="0" w:footer="0" w:header="0"/>
        </w:sectPr>
      </w:pPr>
    </w:p>
    <w:bookmarkStart w:id="91" w:name="page92"/>
    <w:bookmarkEnd w:id="91"/>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10"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The Participant further is required to repatriate to the PRC any dividends or dividend equivalents paid to the Participant in relation to RSUs through a special exchange control account established by the Company, the Employer, or a Subsidiary in the PRC. The Participant hereby agrees that any cash proceeds from the Participant’s participation in the Plan may be transferred to such special account prior to being delivered to the Participant.</w:t>
      </w:r>
    </w:p>
    <w:p>
      <w:pPr>
        <w:spacing w:after="0" w:line="209"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DENMARK</w:t>
      </w:r>
    </w:p>
    <w:p>
      <w:pPr>
        <w:spacing w:after="0" w:line="228"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u w:val="single" w:color="auto"/>
          <w:color w:val="auto"/>
        </w:rPr>
        <w:t>Danish Stock Option Act</w:t>
      </w:r>
      <w:r>
        <w:rPr>
          <w:rFonts w:ascii="Arial" w:cs="Arial" w:eastAsia="Arial" w:hAnsi="Arial"/>
          <w:sz w:val="15"/>
          <w:szCs w:val="15"/>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in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EGYPT</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If the Participant transfers funds into Egypt in connection with the sale of Shares, the Participant is required to transfer the funds through a registered bank in Egypt.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ESTONIA</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224" w:lineRule="exact"/>
        <w:rPr>
          <w:sz w:val="20"/>
          <w:szCs w:val="20"/>
          <w:color w:val="auto"/>
        </w:rPr>
      </w:pPr>
    </w:p>
    <w:p>
      <w:pPr>
        <w:jc w:val="both"/>
        <w:ind w:left="160"/>
        <w:spacing w:after="0" w:line="243" w:lineRule="auto"/>
        <w:rPr>
          <w:sz w:val="20"/>
          <w:szCs w:val="20"/>
          <w:color w:val="auto"/>
        </w:rPr>
      </w:pPr>
      <w:r>
        <w:rPr>
          <w:rFonts w:ascii="Arial" w:cs="Arial" w:eastAsia="Arial" w:hAnsi="Arial"/>
          <w:sz w:val="14"/>
          <w:szCs w:val="14"/>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09"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xml:space="preserve">. </w:t>
      </w:r>
      <w:r>
        <w:rPr>
          <w:rFonts w:ascii="Arial" w:cs="Arial" w:eastAsia="Arial" w:hAnsi="Arial"/>
          <w:sz w:val="16"/>
          <w:szCs w:val="16"/>
          <w:i w:val="1"/>
          <w:iCs w:val="1"/>
          <w:color w:val="auto"/>
        </w:rPr>
        <w:t>Võttes vastu piiratud aktsiaühikute (RSUs) pakkumise, kinnitab Osaleja, et ta on ingliskeelsena esitatud pakkumisega seotud dokumendid</w:t>
      </w:r>
      <w:r>
        <w:rPr>
          <w:rFonts w:ascii="Arial" w:cs="Arial" w:eastAsia="Arial" w:hAnsi="Arial"/>
          <w:sz w:val="16"/>
          <w:szCs w:val="16"/>
          <w:color w:val="auto"/>
        </w:rPr>
        <w:t xml:space="preserve"> </w:t>
      </w:r>
      <w:r>
        <w:rPr>
          <w:rFonts w:ascii="Arial" w:cs="Arial" w:eastAsia="Arial" w:hAnsi="Arial"/>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6"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FINLAND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APPENDIX A - 4</w:t>
      </w:r>
    </w:p>
    <w:p>
      <w:pPr>
        <w:sectPr>
          <w:pgSz w:w="11900" w:h="16838" w:orient="portrait"/>
          <w:cols w:equalWidth="0" w:num="1">
            <w:col w:w="10760"/>
          </w:cols>
          <w:pgMar w:left="480" w:top="994" w:right="659" w:bottom="1440" w:gutter="0" w:footer="0" w:header="0"/>
          <w:type w:val="continuous"/>
        </w:sectPr>
      </w:pPr>
    </w:p>
    <w:bookmarkStart w:id="92" w:name="page93"/>
    <w:bookmarkEnd w:id="92"/>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FRANCE</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RSUs Not Tax-Qualified</w:t>
      </w:r>
      <w:r>
        <w:rPr>
          <w:rFonts w:ascii="Arial" w:cs="Arial" w:eastAsia="Arial" w:hAnsi="Arial"/>
          <w:sz w:val="16"/>
          <w:szCs w:val="16"/>
          <w:color w:val="auto"/>
        </w:rPr>
        <w:t>. The Participant understands that the RSUs are not intended to qualify for the favorable tax and social security regime in France under Sections L. 225-197-1 to L. 225-197-5 and Sections L. 22-10-59 to L. 22-10-60 of the French Commercial Code, as amended.</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9"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i w:val="1"/>
          <w:iCs w:val="1"/>
          <w:u w:val="single" w:color="auto"/>
          <w:color w:val="auto"/>
        </w:rPr>
        <w:t>Consentement a la Langue</w:t>
      </w:r>
      <w:r>
        <w:rPr>
          <w:rFonts w:ascii="Arial" w:cs="Arial" w:eastAsia="Arial" w:hAnsi="Arial"/>
          <w:sz w:val="15"/>
          <w:szCs w:val="15"/>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9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GERMANY</w:t>
      </w:r>
    </w:p>
    <w:p>
      <w:pPr>
        <w:spacing w:after="0" w:line="22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can be accessed via the Bundesbank’s website (www.bundesbank.de) and is available in both German and English. It is the Participant’s responsibility to comply with this reporting obligation and the Participant should consult with his or her personal tax advisor in this regard.</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HONG KONG</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In the event the RSUs vest within six months of the Date of Grant, the Participant agrees not to sell any Shares acquired upon vesting of the RSUs prior to the six-month anniversary of the Date of Grant.</w:t>
      </w:r>
    </w:p>
    <w:p>
      <w:pPr>
        <w:spacing w:after="0" w:line="143"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Securities Law Notice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WARNING</w:t>
      </w:r>
      <w:r>
        <w:rPr>
          <w:rFonts w:ascii="Arial" w:cs="Arial" w:eastAsia="Arial" w:hAnsi="Arial"/>
          <w:sz w:val="14"/>
          <w:szCs w:val="14"/>
          <w:i w:val="1"/>
          <w:iCs w:val="1"/>
          <w:color w:val="auto"/>
        </w:rPr>
        <w:t>: The contents of this document have not been reviewed by any regulatory authority in Hong Kong. The Participant should exercise</w:t>
      </w:r>
      <w:r>
        <w:rPr>
          <w:rFonts w:ascii="Arial" w:cs="Arial" w:eastAsia="Arial" w:hAnsi="Arial"/>
          <w:sz w:val="14"/>
          <w:szCs w:val="14"/>
          <w:color w:val="auto"/>
        </w:rPr>
        <w:t xml:space="preserve"> </w:t>
      </w:r>
      <w:r>
        <w:rPr>
          <w:rFonts w:ascii="Arial" w:cs="Arial" w:eastAsia="Arial" w:hAnsi="Arial"/>
          <w:sz w:val="14"/>
          <w:szCs w:val="14"/>
          <w:i w:val="1"/>
          <w:iCs w:val="1"/>
          <w:color w:val="auto"/>
        </w:rPr>
        <w:t>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HUNGARY</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INDIA</w:t>
      </w:r>
    </w:p>
    <w:p>
      <w:pPr>
        <w:spacing w:after="0" w:line="228" w:lineRule="exact"/>
        <w:rPr>
          <w:sz w:val="20"/>
          <w:szCs w:val="20"/>
          <w:color w:val="auto"/>
        </w:rPr>
      </w:pPr>
    </w:p>
    <w:p>
      <w:pPr>
        <w:jc w:val="both"/>
        <w:ind w:left="160"/>
        <w:spacing w:after="0" w:line="255" w:lineRule="auto"/>
        <w:rPr>
          <w:sz w:val="20"/>
          <w:szCs w:val="20"/>
          <w:color w:val="auto"/>
        </w:rPr>
      </w:pPr>
      <w:r>
        <w:rPr>
          <w:rFonts w:ascii="Arial" w:cs="Arial" w:eastAsia="Arial" w:hAnsi="Arial"/>
          <w:sz w:val="14"/>
          <w:szCs w:val="14"/>
          <w:u w:val="single" w:color="auto"/>
          <w:color w:val="auto"/>
        </w:rPr>
        <w:t>Exchange Control Notification</w:t>
      </w:r>
      <w:r>
        <w:rPr>
          <w:rFonts w:ascii="Arial" w:cs="Arial" w:eastAsia="Arial" w:hAnsi="Arial"/>
          <w:sz w:val="14"/>
          <w:szCs w:val="14"/>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97"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IRELAND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APPENDIX A - 5</w:t>
      </w:r>
    </w:p>
    <w:p>
      <w:pPr>
        <w:sectPr>
          <w:pgSz w:w="11900" w:h="16838" w:orient="portrait"/>
          <w:cols w:equalWidth="0" w:num="1">
            <w:col w:w="10760"/>
          </w:cols>
          <w:pgMar w:left="480" w:top="994" w:right="659" w:bottom="1440" w:gutter="0" w:footer="0" w:header="0"/>
          <w:type w:val="continuous"/>
        </w:sectPr>
      </w:pPr>
    </w:p>
    <w:bookmarkStart w:id="93" w:name="page94"/>
    <w:bookmarkEnd w:id="93"/>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of the Agreement:</w:t>
      </w:r>
    </w:p>
    <w:p>
      <w:pPr>
        <w:spacing w:after="0" w:line="132"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the RSUs, the Participant acknowledges, understands, and agrees that the benefits received under the Plan will not be taken into account for any redundancy or unfair dismissal claim.</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ISRAEL</w:t>
      </w:r>
    </w:p>
    <w:p>
      <w:pPr>
        <w:spacing w:after="0" w:line="228" w:lineRule="exact"/>
        <w:rPr>
          <w:sz w:val="20"/>
          <w:szCs w:val="20"/>
          <w:color w:val="auto"/>
        </w:rPr>
      </w:pPr>
    </w:p>
    <w:p>
      <w:pPr>
        <w:jc w:val="both"/>
        <w:ind w:left="160"/>
        <w:spacing w:after="0" w:line="227" w:lineRule="auto"/>
        <w:rPr>
          <w:sz w:val="20"/>
          <w:szCs w:val="20"/>
          <w:color w:val="auto"/>
        </w:rPr>
      </w:pPr>
      <w:r>
        <w:rPr>
          <w:rFonts w:ascii="Arial" w:cs="Arial" w:eastAsia="Arial" w:hAnsi="Arial"/>
          <w:sz w:val="15"/>
          <w:szCs w:val="15"/>
          <w:u w:val="single" w:color="auto"/>
          <w:color w:val="auto"/>
        </w:rPr>
        <w:t>Sale Requirement</w:t>
      </w:r>
      <w:r>
        <w:rPr>
          <w:rFonts w:ascii="Arial" w:cs="Arial" w:eastAsia="Arial" w:hAnsi="Arial"/>
          <w:sz w:val="15"/>
          <w:szCs w:val="15"/>
          <w:color w:val="auto"/>
        </w:rPr>
        <w:t>. Notwithstanding anything to the contrary in the Agreement, the Participant may be required to immediately sell all Shares issued upon vesting of the RSUs. By accepting this Award of RSUs, the Participant authorizes the Company to instruct its designated broker to assist with the mandatory sale of such Shares (on the Participant’s behalf pursuant to this authorization) and the Participant expressly authorizes the Company’s designated broker to complete the sale of such Shares. The Participant agrees to sign any forms and/or consents required by the Company’s broker to effectuate the sale of the Shares. The Participant acknowledges that the Company’s designated broker is under no obligation to arrange for the sale of the Shares at any particular price. Upon the sale of the Shares, the Company will pay to the Participant the cash proceeds from the sale of the Shares, less any brokerage fees or commissions and subject to any obligation to satisfy any Tax-Related Items. Participant acknowledges that he or she is not aware of any material, non-public information with respect to the Company or any securities of the Company as of the date of this Agreement.</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This offer of RSUs does not constitute a public offering under the Securities Law, 1968.</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ITALY</w:t>
      </w:r>
    </w:p>
    <w:p>
      <w:pPr>
        <w:spacing w:after="0" w:line="228"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By accepting the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195" w:lineRule="exact"/>
        <w:rPr>
          <w:sz w:val="20"/>
          <w:szCs w:val="20"/>
          <w:color w:val="auto"/>
        </w:rPr>
      </w:pPr>
    </w:p>
    <w:p>
      <w:pPr>
        <w:jc w:val="both"/>
        <w:ind w:left="160"/>
        <w:spacing w:after="0" w:line="264" w:lineRule="auto"/>
        <w:rPr>
          <w:sz w:val="20"/>
          <w:szCs w:val="20"/>
          <w:color w:val="auto"/>
        </w:rPr>
      </w:pPr>
      <w:r>
        <w:rPr>
          <w:rFonts w:ascii="Arial" w:cs="Arial" w:eastAsia="Arial" w:hAnsi="Arial"/>
          <w:sz w:val="14"/>
          <w:szCs w:val="14"/>
          <w:u w:val="single" w:color="auto"/>
          <w:color w:val="auto"/>
        </w:rPr>
        <w:t>Foreign Asset Tax</w:t>
      </w:r>
      <w:r>
        <w:rPr>
          <w:rFonts w:ascii="Arial" w:cs="Arial" w:eastAsia="Arial" w:hAnsi="Arial"/>
          <w:sz w:val="14"/>
          <w:szCs w:val="14"/>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192"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JAPAN</w:t>
      </w:r>
    </w:p>
    <w:p>
      <w:pPr>
        <w:spacing w:after="0" w:line="228"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KOREA</w:t>
      </w:r>
    </w:p>
    <w:p>
      <w:pPr>
        <w:spacing w:after="0" w:line="215"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MALAYSIA</w:t>
      </w:r>
    </w:p>
    <w:p>
      <w:pPr>
        <w:spacing w:after="0" w:line="215"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APPENDIX A - 6</w:t>
      </w:r>
    </w:p>
    <w:p>
      <w:pPr>
        <w:sectPr>
          <w:pgSz w:w="11900" w:h="16838" w:orient="portrait"/>
          <w:cols w:equalWidth="0" w:num="1">
            <w:col w:w="10760"/>
          </w:cols>
          <w:pgMar w:left="480" w:top="994" w:right="659" w:bottom="1440" w:gutter="0" w:footer="0" w:header="0"/>
        </w:sectPr>
      </w:pPr>
    </w:p>
    <w:bookmarkStart w:id="94" w:name="page95"/>
    <w:bookmarkEnd w:id="94"/>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line="233"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6686550</wp:posOffset>
            </wp:positionH>
            <wp:positionV relativeFrom="paragraph">
              <wp:posOffset>71755</wp:posOffset>
            </wp:positionV>
            <wp:extent cx="8255" cy="165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71755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71755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71755</wp:posOffset>
            </wp:positionV>
            <wp:extent cx="8255" cy="165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71755</wp:posOffset>
            </wp:positionV>
            <wp:extent cx="8255" cy="165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4700" w:type="dxa"/>
            <w:vAlign w:val="bottom"/>
            <w:tcBorders>
              <w:top w:val="single" w:sz="8" w:color="auto"/>
            </w:tcBorders>
          </w:tcPr>
          <w:p>
            <w:pPr>
              <w:ind w:left="80"/>
              <w:spacing w:after="0" w:line="175" w:lineRule="exact"/>
              <w:rPr>
                <w:sz w:val="20"/>
                <w:szCs w:val="20"/>
                <w:color w:val="auto"/>
              </w:rPr>
            </w:pPr>
            <w:r>
              <w:rPr>
                <w:rFonts w:ascii="Arial" w:cs="Arial" w:eastAsia="Arial" w:hAnsi="Arial"/>
                <w:sz w:val="16"/>
                <w:szCs w:val="16"/>
                <w:b w:val="1"/>
                <w:bCs w:val="1"/>
                <w:i w:val="1"/>
                <w:iCs w:val="1"/>
                <w:color w:val="auto"/>
                <w:w w:val="87"/>
              </w:rPr>
              <w:t>The Participant hereby explicitly and unambiguously consents to the</w:t>
            </w:r>
          </w:p>
        </w:tc>
        <w:tc>
          <w:tcPr>
            <w:tcW w:w="100" w:type="dxa"/>
            <w:vAlign w:val="bottom"/>
          </w:tcPr>
          <w:p>
            <w:pPr>
              <w:spacing w:after="0"/>
              <w:rPr>
                <w:sz w:val="15"/>
                <w:szCs w:val="15"/>
                <w:color w:val="auto"/>
              </w:rPr>
            </w:pPr>
          </w:p>
        </w:tc>
        <w:tc>
          <w:tcPr>
            <w:tcW w:w="55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i w:val="1"/>
                <w:iCs w:val="1"/>
                <w:color w:val="auto"/>
                <w:w w:val="88"/>
              </w:rPr>
              <w:t>Peserta dengan ini secara eksplicit, secara sukarela dan tanpa sebarang keraguan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collection, use and transfer, in electronic or other form, of his or her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mengizinkan  pengumpulan,  penggunaan  dan  pemindahan,  dalam  bentuk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personal data as described in this document by and among, as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8"/>
              </w:rPr>
              <w:t>elektronik atau lain-lain, data peribadinya seperti yang dinyatakan dalam dokumen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applicable, the Employer, and the Company and its Subsidiaries for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ini, oleh dan di antara, sebagaimana yang berkenaan, Majikan, Syarikat, dan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the exclusive purpose of implementing, administering and managing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mana-mana  anak  Syarikatnya  bagi  tujuan  ekslusif  untuk  membantu  dalam</w:t>
            </w:r>
          </w:p>
        </w:tc>
      </w:tr>
      <w:tr>
        <w:trPr>
          <w:trHeight w:val="201"/>
        </w:trPr>
        <w:tc>
          <w:tcPr>
            <w:tcW w:w="18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the Participant’s participation in the Plan.</w:t>
            </w:r>
          </w:p>
        </w:tc>
        <w:tc>
          <w:tcPr>
            <w:tcW w:w="10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b w:val="1"/>
                <w:bCs w:val="1"/>
                <w:i w:val="1"/>
                <w:iCs w:val="1"/>
                <w:color w:val="auto"/>
                <w:w w:val="95"/>
              </w:rPr>
              <w:t>pelaksanaan, pentadbiran dan pengurusan penyertaan Peserta dalam Pelan.</w:t>
            </w:r>
          </w:p>
        </w:tc>
      </w:tr>
      <w:tr>
        <w:trPr>
          <w:trHeight w:val="349"/>
        </w:trPr>
        <w:tc>
          <w:tcPr>
            <w:tcW w:w="18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w w:val="86"/>
              </w:rPr>
              <w:t>The Participant understands that the Company and the Employer may</w:t>
            </w:r>
          </w:p>
        </w:tc>
        <w:tc>
          <w:tcPr>
            <w:tcW w:w="10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6"/>
                <w:szCs w:val="16"/>
                <w:b w:val="1"/>
                <w:bCs w:val="1"/>
                <w:i w:val="1"/>
                <w:iCs w:val="1"/>
                <w:color w:val="auto"/>
                <w:w w:val="90"/>
              </w:rPr>
              <w:t>Peserta memahami bahawa Syarikat dan Majikan mungkin memegang maklumat</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hold certain personal information about the Participant, including,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peribadi tertentu tentang Peserta, termasuk, tetapi tidak terhad kepada, namanya,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but not limited to, his or her name, home address and telephone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alamat rumah dan nombor telefon, tarikh lahir, nombor insurans sosial atau</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number, date of birth, social insurance number or other identification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nombor pengenalan lain, gaji, kewarganegaraan, jawatan, apa-apa syer dalam</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number,  salary,  nationality,  job  title,  any  shares  of  stock  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saham atau jawatan pengarah yang dipegang dalam Syarikat, butir-butir semua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0"/>
              </w:rPr>
              <w:t>directorships held in the Company, details of all RSUs or any other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7"/>
              </w:rPr>
              <w:t>RSUs atau apa-apa hak lain untuk syer dalam saham yang dianugerahkan,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entitlement to shares of stock awarded, canceled, exercised, vested,</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dibatalkan, dilaksanakan, terletak hak, tidak diletak hak ataupun yang belum</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unvested or outstanding in the Participant’s favor, for the purpose of</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dijelaskan  bagi  faedah  Peserta,  untuk  tujuan  eksklusif  bagi  melaksanakan,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implementing, administering and managing the Plan (“Data”).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7"/>
              </w:rPr>
              <w:t>mentadbir dan menguruskan Pelan (“Data”). Sumber Data adalah daripada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9"/>
              </w:rPr>
              <w:t>source of the Data is the Employer as well as information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7"/>
              </w:rPr>
              <w:t>Majikan dan juga daripada maklumat yang dibekalkan oleh Peserta kepada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Participant  is  providing  to  the  Company  and  the  Employer  in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4"/>
              </w:rPr>
              <w:t>Syarikat  dan  Majikan  berkenaan  dengan  RSUs.  Penerima  Anugerah  juga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connection with the RSUs. The Participant understands that Data</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memahami bahawa Data mungkin dipindahkan kepada Fidelity atau mana-mana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may be transferred to Fidelity or any other third parties as may be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7"/>
              </w:rPr>
              <w:t xml:space="preserve">pihak ketiga yang mungkin dipilih oleh Syarikat pada masa depan, </w:t>
            </w:r>
            <w:r>
              <w:rPr>
                <w:rFonts w:ascii="Arial" w:cs="Arial" w:eastAsia="Arial" w:hAnsi="Arial"/>
                <w:sz w:val="16"/>
                <w:szCs w:val="16"/>
                <w:b w:val="1"/>
                <w:bCs w:val="1"/>
                <w:i w:val="1"/>
                <w:iCs w:val="1"/>
                <w:color w:val="222222"/>
                <w:w w:val="87"/>
              </w:rPr>
              <w:t>yang membantu</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3"/>
              </w:rPr>
              <w:t>selected by the Company in the future, which are assisting in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dalam  pelaksanaan,  pentadbiran  dan  pengurusan  Pelan,  bahawa  penerima-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implementation, administration and management of the Plan, that</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penerima ini mungkin berada di negara Peserta atau di tempat lain, dan bahawa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3"/>
              </w:rPr>
              <w:t>these recipients may  be  located in  the Participant’s  country 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2"/>
              </w:rPr>
              <w:t>negara penerima (contohnya, Amerika Syarikat) mungkin mempunyai undang-</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elsewhere and that the recipients’ country (e.g., the United States)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3"/>
              </w:rPr>
              <w:t>undang privasi data dan perlindungan yang berbeza daripada negara 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may have  different  data  privacy laws  and  protections  than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Peserta memahami bahawa dia boleh meminta senarai nama dan alamat mana-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Participant’s country. The Participant understands that he or she may</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0"/>
              </w:rPr>
              <w:t>mana penerima Data dengan menghubungi wakil sumber manusia tempatannya.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5"/>
              </w:rPr>
              <w:t>request a list with the names and addresses of any potential recipients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0"/>
              </w:rPr>
              <w:t>Peserta memberi kuasa kepada Syarikat, Fidelity, dan mana-mana penerima lain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3"/>
              </w:rPr>
              <w:t>of  the  Data  by  contacting  his  or  her  local  human  resources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yang mungkin membantu Syarikat (masa sekarang atau pada masa depan) untuk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representative. The Participant authorizes the Company, Fidelity and</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melaksanakan, mentadbir dan menguruskan penyertaan Peserta dalam Pelan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4"/>
              </w:rPr>
              <w:t>any other possible recipients which may assist the Company (presently</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0"/>
              </w:rPr>
              <w:t>untuk menerima, memiliki, menggunakan, mengekalkan dan memindahkan Data,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or in the future) with implementing, administering and managing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dalam  bentuk  elektronik  atau  lain-lain,  semata-mata  dengan  tujuan  untuk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0"/>
              </w:rPr>
              <w:t>Plan  to  receive,  possess,  use,  retain  and  transfer  the  Data,  in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melaksanakan, mentadbir dan menguruskan penyertaan Peserta dalam Pelan,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electronic or other form, for the sole purpose of implementing,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termasuk apa-apa pemindahan Data yang diperlukan kepada broker atau pihak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administering and managing his or her participation in the Plan,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ketiga dengan siapa Peserta mungkin pilih untuk mendepositkan apa-apa Saham</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including any requisite transfer of such Data as may be required to a</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 xml:space="preserve">yang diperolehi di atas penyelesaian Anugerah. </w:t>
            </w:r>
            <w:r>
              <w:rPr>
                <w:rFonts w:ascii="Arial" w:cs="Arial" w:eastAsia="Arial" w:hAnsi="Arial"/>
                <w:sz w:val="16"/>
                <w:szCs w:val="16"/>
                <w:b w:val="1"/>
                <w:bCs w:val="1"/>
                <w:i w:val="1"/>
                <w:iCs w:val="1"/>
                <w:color w:val="222222"/>
                <w:w w:val="89"/>
              </w:rPr>
              <w:t>Peserta memahami bahawa Data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broker or other third party with whom the Participant may elect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akan  dipegang  hanya  untuk  tempoh  yang  diperlukan  untuk  melaksanakan,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deposit any Shares acquired upon settlement of the Award.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 xml:space="preserve">mentadbir  dan  menguruskan  penyertaannya  dalam  </w:t>
            </w:r>
            <w:r>
              <w:rPr>
                <w:rFonts w:ascii="Arial" w:cs="Arial" w:eastAsia="Arial" w:hAnsi="Arial"/>
                <w:sz w:val="16"/>
                <w:szCs w:val="16"/>
                <w:b w:val="1"/>
                <w:bCs w:val="1"/>
                <w:i w:val="1"/>
                <w:iCs w:val="1"/>
                <w:color w:val="000000"/>
                <w:w w:val="91"/>
              </w:rPr>
              <w:t>Pelan  tersebut</w:t>
            </w:r>
            <w:r>
              <w:rPr>
                <w:rFonts w:ascii="Arial" w:cs="Arial" w:eastAsia="Arial" w:hAnsi="Arial"/>
                <w:sz w:val="16"/>
                <w:szCs w:val="16"/>
                <w:b w:val="1"/>
                <w:bCs w:val="1"/>
                <w:i w:val="1"/>
                <w:iCs w:val="1"/>
                <w:color w:val="222222"/>
                <w:w w:val="91"/>
              </w:rPr>
              <w:t xml:space="preserve">.  </w:t>
            </w:r>
            <w:r>
              <w:rPr>
                <w:rFonts w:ascii="Arial" w:cs="Arial" w:eastAsia="Arial" w:hAnsi="Arial"/>
                <w:sz w:val="16"/>
                <w:szCs w:val="16"/>
                <w:b w:val="1"/>
                <w:bCs w:val="1"/>
                <w:i w:val="1"/>
                <w:iCs w:val="1"/>
                <w:color w:val="000000"/>
                <w:w w:val="91"/>
              </w:rPr>
              <w:t>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Participant understands that Data will be held only as long as is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 xml:space="preserve">memahami  bahawa  dia  boleh,  pada  bila-bila  masa,  </w:t>
            </w:r>
            <w:r>
              <w:rPr>
                <w:rFonts w:ascii="Arial" w:cs="Arial" w:eastAsia="Arial" w:hAnsi="Arial"/>
                <w:sz w:val="16"/>
                <w:szCs w:val="16"/>
                <w:b w:val="1"/>
                <w:bCs w:val="1"/>
                <w:i w:val="1"/>
                <w:iCs w:val="1"/>
                <w:color w:val="222222"/>
                <w:w w:val="92"/>
              </w:rPr>
              <w:t>melihat  data,  meminta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necessary to implement, administer and manage the Participant’s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2"/>
              </w:rPr>
              <w:t>maklumat tambahan mengenai penyimpanan dan pemprosesan Data, meminta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participation in the Plan. The Participant understands that he or she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bahawa pindaan-pindaan dilaksanakan ke atas Data atau menolak atau menarik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may, at any time, view Data, request additional information about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6"/>
              </w:rPr>
              <w:t>balik  persetujuan  dalam  ini,  dalam  mana-mana  kes,  tanpa  kos,  dengan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5"/>
              </w:rPr>
              <w:t>storage and processing of Data, require any necessary amendments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2"/>
              </w:rPr>
              <w:t>menghubungi  secara  bertulis  wakil  sumber  manusia  tempatannya.  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Data or refuse or withdraw the consents herein, in any case without</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 xml:space="preserve">memahami  </w:t>
            </w:r>
            <w:r>
              <w:rPr>
                <w:rFonts w:ascii="Arial" w:cs="Arial" w:eastAsia="Arial" w:hAnsi="Arial"/>
                <w:sz w:val="16"/>
                <w:szCs w:val="16"/>
                <w:b w:val="1"/>
                <w:bCs w:val="1"/>
                <w:i w:val="1"/>
                <w:iCs w:val="1"/>
                <w:color w:val="222222"/>
                <w:w w:val="91"/>
              </w:rPr>
              <w:t>bahawa  keengganan  atau  penarikan  balik  persetujuannya  boleh</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cost, by contacting in writing his or her local human resources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 xml:space="preserve">menjejaskan  keupayaannya  untuk  mengambil  bahagian  dalam  </w:t>
            </w:r>
            <w:r>
              <w:rPr>
                <w:rFonts w:ascii="Arial" w:cs="Arial" w:eastAsia="Arial" w:hAnsi="Arial"/>
                <w:sz w:val="16"/>
                <w:szCs w:val="16"/>
                <w:b w:val="1"/>
                <w:bCs w:val="1"/>
                <w:i w:val="1"/>
                <w:iCs w:val="1"/>
                <w:color w:val="000000"/>
                <w:w w:val="91"/>
              </w:rPr>
              <w:t>Pelan</w:t>
            </w:r>
            <w:r>
              <w:rPr>
                <w:rFonts w:ascii="Arial" w:cs="Arial" w:eastAsia="Arial" w:hAnsi="Arial"/>
                <w:sz w:val="16"/>
                <w:szCs w:val="16"/>
                <w:b w:val="1"/>
                <w:bCs w:val="1"/>
                <w:i w:val="1"/>
                <w:iCs w:val="1"/>
                <w:color w:val="222222"/>
                <w:w w:val="91"/>
              </w:rPr>
              <w:t>.  Untuk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representative. The Participant understands, however, that refusing 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87"/>
              </w:rPr>
              <w:t>maklumat lanjut mengenai akibat keengganan</w:t>
            </w:r>
            <w:r>
              <w:rPr>
                <w:rFonts w:ascii="Arial" w:cs="Arial" w:eastAsia="Arial" w:hAnsi="Arial"/>
                <w:sz w:val="16"/>
                <w:szCs w:val="16"/>
                <w:b w:val="1"/>
                <w:bCs w:val="1"/>
                <w:i w:val="1"/>
                <w:iCs w:val="1"/>
                <w:color w:val="000000"/>
                <w:w w:val="87"/>
              </w:rPr>
              <w:t>nya</w:t>
            </w:r>
            <w:r>
              <w:rPr>
                <w:rFonts w:ascii="Arial" w:cs="Arial" w:eastAsia="Arial" w:hAnsi="Arial"/>
                <w:sz w:val="16"/>
                <w:szCs w:val="16"/>
                <w:b w:val="1"/>
                <w:bCs w:val="1"/>
                <w:i w:val="1"/>
                <w:iCs w:val="1"/>
                <w:color w:val="222222"/>
                <w:w w:val="87"/>
              </w:rPr>
              <w:t xml:space="preserve"> untuk memberikan keizinan atau</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withdrawing his or her consent may affect the Participant’s ability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3"/>
              </w:rPr>
              <w:t>penarikan  balik  keizinan,  Peserta  fahami  bahawa  dia  boleh  menghubungi</w:t>
            </w:r>
          </w:p>
        </w:tc>
      </w:tr>
      <w:tr>
        <w:trPr>
          <w:trHeight w:val="161"/>
        </w:trPr>
        <w:tc>
          <w:tcPr>
            <w:tcW w:w="180" w:type="dxa"/>
            <w:vAlign w:val="bottom"/>
          </w:tcPr>
          <w:p>
            <w:pPr>
              <w:spacing w:after="0"/>
              <w:rPr>
                <w:sz w:val="14"/>
                <w:szCs w:val="14"/>
                <w:color w:val="auto"/>
              </w:rPr>
            </w:pPr>
          </w:p>
        </w:tc>
        <w:tc>
          <w:tcPr>
            <w:tcW w:w="4700" w:type="dxa"/>
            <w:vAlign w:val="bottom"/>
          </w:tcPr>
          <w:p>
            <w:pPr>
              <w:ind w:left="80"/>
              <w:spacing w:after="0" w:line="161" w:lineRule="exact"/>
              <w:rPr>
                <w:sz w:val="20"/>
                <w:szCs w:val="20"/>
                <w:color w:val="auto"/>
              </w:rPr>
            </w:pPr>
            <w:r>
              <w:rPr>
                <w:rFonts w:ascii="Arial" w:cs="Arial" w:eastAsia="Arial" w:hAnsi="Arial"/>
                <w:sz w:val="16"/>
                <w:szCs w:val="16"/>
                <w:b w:val="1"/>
                <w:bCs w:val="1"/>
                <w:i w:val="1"/>
                <w:iCs w:val="1"/>
                <w:color w:val="auto"/>
                <w:w w:val="87"/>
              </w:rPr>
              <w:t>participate in the Plan. For more information on the consequences of</w:t>
            </w:r>
          </w:p>
        </w:tc>
        <w:tc>
          <w:tcPr>
            <w:tcW w:w="100" w:type="dxa"/>
            <w:vAlign w:val="bottom"/>
          </w:tcPr>
          <w:p>
            <w:pPr>
              <w:spacing w:after="0"/>
              <w:rPr>
                <w:sz w:val="14"/>
                <w:szCs w:val="14"/>
                <w:color w:val="auto"/>
              </w:rPr>
            </w:pPr>
          </w:p>
        </w:tc>
        <w:tc>
          <w:tcPr>
            <w:tcW w:w="5540" w:type="dxa"/>
            <w:vAlign w:val="bottom"/>
          </w:tcPr>
          <w:p>
            <w:pPr>
              <w:spacing w:after="0" w:line="161" w:lineRule="exact"/>
              <w:rPr>
                <w:sz w:val="20"/>
                <w:szCs w:val="20"/>
                <w:color w:val="auto"/>
              </w:rPr>
            </w:pPr>
            <w:r>
              <w:rPr>
                <w:rFonts w:ascii="Arial" w:cs="Arial" w:eastAsia="Arial" w:hAnsi="Arial"/>
                <w:sz w:val="16"/>
                <w:szCs w:val="16"/>
                <w:b w:val="1"/>
                <w:bCs w:val="1"/>
                <w:i w:val="1"/>
                <w:iCs w:val="1"/>
                <w:color w:val="222222"/>
              </w:rPr>
              <w:t xml:space="preserve">pentadbir pelan saham serantau di </w:t>
            </w:r>
            <w:r>
              <w:rPr>
                <w:rFonts w:ascii="Arial" w:cs="Arial" w:eastAsia="Arial" w:hAnsi="Arial"/>
                <w:sz w:val="16"/>
                <w:szCs w:val="16"/>
                <w:b w:val="1"/>
                <w:bCs w:val="1"/>
                <w:i w:val="1"/>
                <w:iCs w:val="1"/>
                <w:color w:val="000000"/>
              </w:rPr>
              <w:t>Stock_Plan_Admin@Analog.com</w:t>
            </w:r>
            <w:r>
              <w:rPr>
                <w:rFonts w:ascii="Arial" w:cs="Arial" w:eastAsia="Arial" w:hAnsi="Arial"/>
                <w:sz w:val="16"/>
                <w:szCs w:val="16"/>
                <w:b w:val="1"/>
                <w:bCs w:val="1"/>
                <w:i w:val="1"/>
                <w:iCs w:val="1"/>
                <w:color w:val="222222"/>
              </w:rPr>
              <w:t>.</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a  refusal  to  consent  or  withdrawal  of  consent,  the  Participant</w:t>
            </w: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understands that he or she may contact his or her regional stock plan</w:t>
            </w: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201"/>
        </w:trPr>
        <w:tc>
          <w:tcPr>
            <w:tcW w:w="18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administrator at Stock_Plan_Admin@Analog.com.</w:t>
            </w:r>
          </w:p>
        </w:tc>
        <w:tc>
          <w:tcPr>
            <w:tcW w:w="10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803"/>
        </w:trPr>
        <w:tc>
          <w:tcPr>
            <w:tcW w:w="4880" w:type="dxa"/>
            <w:vAlign w:val="bottom"/>
            <w:gridSpan w:val="2"/>
          </w:tcPr>
          <w:p>
            <w:pPr>
              <w:spacing w:after="0"/>
              <w:rPr>
                <w:sz w:val="20"/>
                <w:szCs w:val="20"/>
                <w:color w:val="auto"/>
              </w:rPr>
            </w:pPr>
            <w:r>
              <w:rPr>
                <w:rFonts w:ascii="Arial" w:cs="Arial" w:eastAsia="Arial" w:hAnsi="Arial"/>
                <w:sz w:val="16"/>
                <w:szCs w:val="16"/>
                <w:color w:val="auto"/>
              </w:rPr>
              <w:t>APPENDIX A - 7</w:t>
            </w:r>
          </w:p>
        </w:tc>
        <w:tc>
          <w:tcPr>
            <w:tcW w:w="100" w:type="dxa"/>
            <w:vAlign w:val="bottom"/>
          </w:tcPr>
          <w:p>
            <w:pPr>
              <w:spacing w:after="0"/>
              <w:rPr>
                <w:sz w:val="24"/>
                <w:szCs w:val="24"/>
                <w:color w:val="auto"/>
              </w:rPr>
            </w:pPr>
          </w:p>
        </w:tc>
        <w:tc>
          <w:tcPr>
            <w:tcW w:w="5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-504825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-504825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-504825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-504825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-504825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-504825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-504825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-504825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-504825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-504825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-504825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-504825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-504825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-504825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-504825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-504825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3394710</wp:posOffset>
            </wp:positionH>
            <wp:positionV relativeFrom="paragraph">
              <wp:posOffset>-504825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-504825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-504825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-504825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-504825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-504825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-504825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-504825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-504825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-504825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-504825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-504825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-504825</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-504825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-504825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-504825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-504825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-504825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-504825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-504825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-504825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-504825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-504825</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-504825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-504825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-504825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-504825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-504825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-504825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-504825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-504825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-504825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-504825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-504825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-504825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-504825</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-504825</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-504825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-504825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-504825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-504825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-504825</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-504825</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-504825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-504825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-504825</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-504825</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-504825</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-504825</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-504825</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-504825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-504825</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-504825</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-504825</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-504825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-504825</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-504825</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-504825</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4363720</wp:posOffset>
            </wp:positionH>
            <wp:positionV relativeFrom="paragraph">
              <wp:posOffset>-504825</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-504825</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-504825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-504825</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-504825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-504825</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-504825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-504825</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-504825</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-504825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-504825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-504825</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-504825</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-504825</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-504825</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-504825</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-504825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-504825</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-504825</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-504825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-504825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-504825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-504825</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-504825</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-504825</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-504825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-504825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-504825</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-504825</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-504825</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-504825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-504825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-504825</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-504825</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-504825</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-504825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4965065</wp:posOffset>
            </wp:positionH>
            <wp:positionV relativeFrom="paragraph">
              <wp:posOffset>-504825</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4982210</wp:posOffset>
            </wp:positionH>
            <wp:positionV relativeFrom="paragraph">
              <wp:posOffset>-504825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-504825</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-504825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-504825</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-504825</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-504825</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-504825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-504825</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-504825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-504825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-504825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-504825</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-504825</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-504825</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-504825</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-504825</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-504825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-504825</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5282565</wp:posOffset>
            </wp:positionH>
            <wp:positionV relativeFrom="paragraph">
              <wp:posOffset>-504825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-504825</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-504825</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-504825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-504825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-504825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-504825</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5400040</wp:posOffset>
            </wp:positionH>
            <wp:positionV relativeFrom="paragraph">
              <wp:posOffset>-504825</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-504825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-504825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-504825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-504825</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-504825</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-504825</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-504825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-504825</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5549900</wp:posOffset>
            </wp:positionH>
            <wp:positionV relativeFrom="paragraph">
              <wp:posOffset>-504825</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-504825</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-504825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-504825</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5617210</wp:posOffset>
            </wp:positionH>
            <wp:positionV relativeFrom="paragraph">
              <wp:posOffset>-504825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-504825</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-504825</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-504825</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-504825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-504825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-504825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-504825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-504825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-504825</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-504825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-504825</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-504825</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-504825</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-504825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-504825</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-504825</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-504825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-504825</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-504825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5951220</wp:posOffset>
            </wp:positionH>
            <wp:positionV relativeFrom="paragraph">
              <wp:posOffset>-504825</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-504825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-504825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-504825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-504825</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-504825</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-504825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-504825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-504825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-504825</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-504825</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-504825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-504825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-504825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-504825</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6202045</wp:posOffset>
            </wp:positionH>
            <wp:positionV relativeFrom="paragraph">
              <wp:posOffset>-504825</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6218555</wp:posOffset>
            </wp:positionH>
            <wp:positionV relativeFrom="paragraph">
              <wp:posOffset>-504825</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-504825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-504825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-504825</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-504825</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-504825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6318885</wp:posOffset>
            </wp:positionH>
            <wp:positionV relativeFrom="paragraph">
              <wp:posOffset>-504825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-504825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-504825</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-504825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-504825</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-504825</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-504825</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6435725</wp:posOffset>
            </wp:positionH>
            <wp:positionV relativeFrom="paragraph">
              <wp:posOffset>-504825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-504825</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-504825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-504825</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-504825</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-504825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6536055</wp:posOffset>
            </wp:positionH>
            <wp:positionV relativeFrom="paragraph">
              <wp:posOffset>-504825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-504825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-504825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-504825</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6602730</wp:posOffset>
            </wp:positionH>
            <wp:positionV relativeFrom="paragraph">
              <wp:posOffset>-504825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-504825</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-504825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-504825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6670040</wp:posOffset>
            </wp:positionH>
            <wp:positionV relativeFrom="paragraph">
              <wp:posOffset>-504825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-5584825</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-5568315</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-5551805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-5535295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-5518150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-5501640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-5485130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-5467985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-5451475</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-5434965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-5417820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-5401310</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-5384800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-5367655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-5351145</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-5334635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-5317490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-5300980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-5284470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-5267325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-5250815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-5234305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-5217795</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-5200650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-5184140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-5167630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-5150485</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-5133975</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-5117465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-5100320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-5083810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-5067300</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-5050155</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-5033645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-5017135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-4999990</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-4983480</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-4966970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-4949825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-4933315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-4916805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-4899660</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-4883150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-4866640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-4850130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-4832985</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-4816475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-4799965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-4782820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-4766310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-4749800</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-4732655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-4716145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-4699635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-4682490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-4665980</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-4649470</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-4632325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-4615815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-4599305</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-4582160</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-4565650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-4549140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-4531995</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-4515485</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-4498975</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-4482465</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-4465320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-4448810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-4432300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-4415155</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-4398645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-4382135</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-4364990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-4348480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-4331970</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-4314825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-4298315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-4281805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-4264660</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-4248150</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-4231640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-4214495</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-4197985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-4181475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-4164965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-4147820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-4131310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-4114800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-4097655</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-4081145</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-4064635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-4047490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-4030980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-4014470</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-3997325</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-3980815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-3964305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-3947160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-3930650</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-3914140</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-3896995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-3880485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-3863975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-3846830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-3830320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-3813810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-3797300</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-3780155</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-3763645</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-3747135</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-3729990</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-3713480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-3696970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-3679825</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-3663315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-3646805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-3629660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-3613150</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-3596640</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-3579495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-3562985</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-3546475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-3529330</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-3512820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-3496310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-3479800</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-3462655</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-3446145</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-3429635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-3412490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-3395980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-3379470</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-3362325</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-3345815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-3329305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-3312160</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-3295650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-3279140</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-3261995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-3245485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-3228975</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-3211830</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-3195320</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-3178810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-3161665</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-3145155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-3128645</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-3112135</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-3094990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-3078480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-3061970</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-3044825</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-3028315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-3011805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-2994660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-2978150</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-2961640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-2944495</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-2927985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-2911475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-2894330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-2877820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-2861310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-2844165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-2827655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-2811145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-2794635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-2777490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-2760980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-2744470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-2727325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-2710815</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-2694305</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-2677160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-2660650</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-2644140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-2626995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-2610485</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-2593975</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-2576830</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-2560320</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-2543810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-2526665</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-2510155</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-2493645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-2476500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-2459990</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-2443480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-2426970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-2409825</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-2393315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-2376805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-2359660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-2343150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-2326640</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-2309495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-2292985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-2276475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-2259330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-2242820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-2226310</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-2209165</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-2192655</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-2176145</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-2159000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-2142490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-2125980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-2108835</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-2092325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-2075815</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-2059305</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-2042160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-2025650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-2009140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-1991995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-1975485</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-1958975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-1941830</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-1925320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-1908810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-1891665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-1875155</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-1858645</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-1841500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-1824990</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-1808480</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-1791335</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-1774825</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-1758315</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-1741805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-1724660</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-1708150</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-1691640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-1674495</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-1657985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-1641475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-1624330</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-1607820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-1591310</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-1574165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-1557655</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-1541145</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-1524000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-1507490</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-1490980</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-1473835</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-1457325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-1440815</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-1423670</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-1407160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-1390650</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-1374140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-1356995</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-1340485</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-1323975</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-1306830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-1290320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-1273810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-1256665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-1240155</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-1223645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-1206500</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-1189990</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-1173480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-1156335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-1139825</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-1123315</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-1106170</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-1089660</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-1073150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-1056640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-1039495</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-1022985</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-1006475</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-989330</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-972820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-956310</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-939165</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-922655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-906145</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-889000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-872490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-855980</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-838835</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-822325</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-805815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-788670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-772160</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-755650</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-738505</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-721995</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-705485</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-688975</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-671830</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-655320</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-638810</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-621665</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-605155</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-588645</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-571500</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-554990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-538480</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-521335</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-504825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-5584825</wp:posOffset>
            </wp:positionV>
            <wp:extent cx="3007995" cy="508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3007995" cy="5088890"/>
                    </a:xfrm>
                    <a:prstGeom prst="rect">
                      <a:avLst/>
                    </a:prstGeom>
                    <a:noFill/>
                  </pic:spPr>
                </pic:pic>
              </a:graphicData>
            </a:graphic>
          </wp:anchor>
        </w:drawing>
      </w:r>
    </w:p>
    <w:p>
      <w:pPr>
        <w:sectPr>
          <w:pgSz w:w="11900" w:h="16838" w:orient="portrait"/>
          <w:cols w:equalWidth="0" w:num="1">
            <w:col w:w="10760"/>
          </w:cols>
          <w:pgMar w:left="480" w:top="994" w:right="659" w:bottom="1440" w:gutter="0" w:footer="0" w:header="0"/>
        </w:sectPr>
      </w:pPr>
    </w:p>
    <w:bookmarkStart w:id="95" w:name="page96"/>
    <w:bookmarkEnd w:id="95"/>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MEXICO</w:t>
      </w:r>
    </w:p>
    <w:p>
      <w:pPr>
        <w:spacing w:after="0" w:line="228"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u w:val="single" w:color="auto"/>
          <w:color w:val="auto"/>
        </w:rPr>
        <w:t>Acknowledgment of the Agreement</w:t>
      </w:r>
      <w:r>
        <w:rPr>
          <w:rFonts w:ascii="Arial" w:cs="Arial" w:eastAsia="Arial" w:hAnsi="Arial"/>
          <w:sz w:val="16"/>
          <w:szCs w:val="16"/>
          <w:color w:val="auto"/>
        </w:rPr>
        <w:t>. By participating in the Plan, the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3"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Labor Law Policy and Acknowledgment</w:t>
      </w:r>
      <w:r>
        <w:rPr>
          <w:rFonts w:ascii="Arial" w:cs="Arial" w:eastAsia="Arial" w:hAnsi="Arial"/>
          <w:sz w:val="14"/>
          <w:szCs w:val="14"/>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1"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29"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6" w:lineRule="exact"/>
        <w:rPr>
          <w:sz w:val="20"/>
          <w:szCs w:val="20"/>
          <w:color w:val="auto"/>
        </w:rPr>
      </w:pPr>
    </w:p>
    <w:p>
      <w:pPr>
        <w:jc w:val="both"/>
        <w:ind w:left="160"/>
        <w:spacing w:after="0" w:line="250" w:lineRule="auto"/>
        <w:rPr>
          <w:sz w:val="20"/>
          <w:szCs w:val="20"/>
          <w:color w:val="auto"/>
        </w:rPr>
      </w:pPr>
      <w:r>
        <w:rPr>
          <w:rFonts w:ascii="Arial" w:cs="Arial" w:eastAsia="Arial" w:hAnsi="Arial"/>
          <w:sz w:val="14"/>
          <w:szCs w:val="14"/>
          <w:i w:val="1"/>
          <w:iCs w:val="1"/>
          <w:u w:val="single" w:color="auto"/>
          <w:color w:val="auto"/>
        </w:rPr>
        <w:t>Reconocimiento del Contrato</w:t>
      </w:r>
      <w:r>
        <w:rPr>
          <w:rFonts w:ascii="Arial" w:cs="Arial" w:eastAsia="Arial" w:hAnsi="Arial"/>
          <w:sz w:val="14"/>
          <w:szCs w:val="14"/>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48" w:lineRule="exact"/>
        <w:rPr>
          <w:sz w:val="20"/>
          <w:szCs w:val="20"/>
          <w:color w:val="auto"/>
        </w:rPr>
      </w:pPr>
    </w:p>
    <w:p>
      <w:pPr>
        <w:jc w:val="both"/>
        <w:ind w:left="160"/>
        <w:spacing w:after="0" w:line="229" w:lineRule="auto"/>
        <w:rPr>
          <w:sz w:val="20"/>
          <w:szCs w:val="20"/>
          <w:color w:val="auto"/>
        </w:rPr>
      </w:pPr>
      <w:r>
        <w:rPr>
          <w:rFonts w:ascii="Arial" w:cs="Arial" w:eastAsia="Arial" w:hAnsi="Arial"/>
          <w:sz w:val="15"/>
          <w:szCs w:val="15"/>
          <w:i w:val="1"/>
          <w:iCs w:val="1"/>
          <w:u w:val="single" w:color="auto"/>
          <w:color w:val="auto"/>
        </w:rPr>
        <w:t>Política de Legislación Laboral y Reconocimiento</w:t>
      </w:r>
      <w:r>
        <w:rPr>
          <w:rFonts w:ascii="Arial" w:cs="Arial" w:eastAsia="Arial" w:hAnsi="Arial"/>
          <w:sz w:val="15"/>
          <w:szCs w:val="15"/>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4"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2"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APPENDIX A - 8</w:t>
      </w:r>
    </w:p>
    <w:p>
      <w:pPr>
        <w:sectPr>
          <w:pgSz w:w="11900" w:h="16838" w:orient="portrait"/>
          <w:cols w:equalWidth="0" w:num="1">
            <w:col w:w="10760"/>
          </w:cols>
          <w:pgMar w:left="480" w:top="994" w:right="659" w:bottom="1440" w:gutter="0" w:footer="0" w:header="0"/>
        </w:sectPr>
      </w:pPr>
    </w:p>
    <w:bookmarkStart w:id="96" w:name="page97"/>
    <w:bookmarkEnd w:id="96"/>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NETHERLANDS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NORWAY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POLAND</w:t>
      </w:r>
    </w:p>
    <w:p>
      <w:pPr>
        <w:spacing w:after="0" w:line="228"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ROMANIA</w:t>
      </w:r>
    </w:p>
    <w:p>
      <w:pPr>
        <w:spacing w:after="0" w:line="215"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SERBIA</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RSUs and the issuance of any Shares are not subject to the regulations concerning public offers and private placements under the Law on Capital Markets.</w:t>
      </w:r>
    </w:p>
    <w:p>
      <w:pPr>
        <w:spacing w:after="0" w:line="143"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SINGAPORE</w:t>
      </w:r>
    </w:p>
    <w:p>
      <w:pPr>
        <w:spacing w:after="0" w:line="228" w:lineRule="exact"/>
        <w:rPr>
          <w:sz w:val="20"/>
          <w:szCs w:val="20"/>
          <w:color w:val="auto"/>
        </w:rPr>
      </w:pPr>
    </w:p>
    <w:p>
      <w:pPr>
        <w:jc w:val="both"/>
        <w:ind w:left="160"/>
        <w:spacing w:after="0" w:line="25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01" w:lineRule="exact"/>
        <w:rPr>
          <w:sz w:val="20"/>
          <w:szCs w:val="20"/>
          <w:color w:val="auto"/>
        </w:rPr>
      </w:pPr>
    </w:p>
    <w:p>
      <w:pPr>
        <w:jc w:val="both"/>
        <w:ind w:left="160"/>
        <w:spacing w:after="0" w:line="226"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5"/>
          <w:szCs w:val="15"/>
          <w:i w:val="1"/>
          <w:iCs w:val="1"/>
          <w:color w:val="auto"/>
        </w:rPr>
        <w:t>e.g.</w:t>
      </w:r>
      <w:r>
        <w:rPr>
          <w:rFonts w:ascii="Arial" w:cs="Arial" w:eastAsia="Arial" w:hAnsi="Arial"/>
          <w:sz w:val="15"/>
          <w:szCs w:val="15"/>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 the above notification requirements also may apply to the Participant.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APPENDIX A - 9</w:t>
      </w:r>
    </w:p>
    <w:p>
      <w:pPr>
        <w:sectPr>
          <w:pgSz w:w="11900" w:h="16838" w:orient="portrait"/>
          <w:cols w:equalWidth="0" w:num="1">
            <w:col w:w="10760"/>
          </w:cols>
          <w:pgMar w:left="480" w:top="994" w:right="659" w:bottom="1440" w:gutter="0" w:footer="0" w:header="0"/>
        </w:sectPr>
      </w:pPr>
    </w:p>
    <w:bookmarkStart w:id="97" w:name="page98"/>
    <w:bookmarkEnd w:id="97"/>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SPAIN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32" w:lineRule="exact"/>
        <w:rPr>
          <w:sz w:val="20"/>
          <w:szCs w:val="20"/>
          <w:color w:val="auto"/>
        </w:rPr>
      </w:pPr>
    </w:p>
    <w:p>
      <w:pPr>
        <w:jc w:val="both"/>
        <w:ind w:left="160"/>
        <w:spacing w:after="0" w:line="226" w:lineRule="auto"/>
        <w:rPr>
          <w:sz w:val="20"/>
          <w:szCs w:val="20"/>
          <w:color w:val="auto"/>
        </w:rPr>
      </w:pPr>
      <w:r>
        <w:rPr>
          <w:rFonts w:ascii="Arial" w:cs="Arial" w:eastAsia="Arial" w:hAnsi="Arial"/>
          <w:sz w:val="15"/>
          <w:szCs w:val="15"/>
          <w:color w:val="auto"/>
        </w:rPr>
        <w:t>By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196" w:lineRule="exact"/>
        <w:rPr>
          <w:sz w:val="20"/>
          <w:szCs w:val="20"/>
          <w:color w:val="auto"/>
        </w:rPr>
      </w:pPr>
    </w:p>
    <w:p>
      <w:pPr>
        <w:jc w:val="both"/>
        <w:ind w:left="160"/>
        <w:spacing w:after="0" w:line="225" w:lineRule="auto"/>
        <w:rPr>
          <w:sz w:val="20"/>
          <w:szCs w:val="20"/>
          <w:color w:val="auto"/>
        </w:rPr>
      </w:pPr>
      <w:r>
        <w:rPr>
          <w:rFonts w:ascii="Arial" w:cs="Arial" w:eastAsia="Arial" w:hAnsi="Arial"/>
          <w:sz w:val="15"/>
          <w:szCs w:val="15"/>
          <w:color w:val="auto"/>
        </w:rPr>
        <w:t>Further, and except as provided in Sections 2(c) and 2(d) of the Agreement in the event the Participant dies or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This will be the case, for example, even if (1) the Participant is considered to be unfairly dismissed without good cause (i.e., subject to a “</w:t>
      </w:r>
      <w:r>
        <w:rPr>
          <w:rFonts w:ascii="Arial" w:cs="Arial" w:eastAsia="Arial" w:hAnsi="Arial"/>
          <w:sz w:val="15"/>
          <w:szCs w:val="15"/>
          <w:i w:val="1"/>
          <w:iCs w:val="1"/>
          <w:color w:val="auto"/>
        </w:rPr>
        <w:t>despido improcedente</w:t>
      </w:r>
      <w:r>
        <w:rPr>
          <w:rFonts w:ascii="Arial" w:cs="Arial" w:eastAsia="Arial" w:hAnsi="Arial"/>
          <w:sz w:val="15"/>
          <w:szCs w:val="15"/>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Participant acknowledges that he or she has read and specifically accepts the conditions referred to in Section 2 of the Agreement.</w:t>
      </w:r>
    </w:p>
    <w:p>
      <w:pPr>
        <w:spacing w:after="0" w:line="224"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210"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xml:space="preserve">. The Participant acknowledges that he or she must declare any Shares that are acquired under the Plan to the </w:t>
      </w:r>
      <w:r>
        <w:rPr>
          <w:rFonts w:ascii="Arial" w:cs="Arial" w:eastAsia="Arial" w:hAnsi="Arial"/>
          <w:sz w:val="16"/>
          <w:szCs w:val="16"/>
          <w:i w:val="1"/>
          <w:iCs w:val="1"/>
          <w:color w:val="auto"/>
        </w:rPr>
        <w:t>Dirección General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Comercio e Inversiones </w:t>
      </w:r>
      <w:r>
        <w:rPr>
          <w:rFonts w:ascii="Arial" w:cs="Arial" w:eastAsia="Arial" w:hAnsi="Arial"/>
          <w:sz w:val="16"/>
          <w:szCs w:val="16"/>
          <w:color w:val="auto"/>
        </w:rPr>
        <w:t>of the Ministry of Economy and Competitiveness (the “DGCI”). After the initial declaration, the declaration must be filed with the DGCI on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each January while the shares are owned; however, if the value of the Shares or the sale proceeds exceed a certain amount, a declaration must be filed within one month of the acquisition or sale, as applicable.</w:t>
      </w:r>
    </w:p>
    <w:p>
      <w:pPr>
        <w:spacing w:after="0" w:line="197" w:lineRule="exact"/>
        <w:rPr>
          <w:sz w:val="20"/>
          <w:szCs w:val="20"/>
          <w:color w:val="auto"/>
        </w:rPr>
      </w:pPr>
    </w:p>
    <w:p>
      <w:pPr>
        <w:jc w:val="both"/>
        <w:ind w:left="160"/>
        <w:spacing w:after="0" w:line="229"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0"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SWEDEN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Authorization to Withhold</w:t>
      </w:r>
      <w:r>
        <w:rPr>
          <w:rFonts w:ascii="Arial" w:cs="Arial" w:eastAsia="Arial" w:hAnsi="Arial"/>
          <w:sz w:val="16"/>
          <w:szCs w:val="16"/>
          <w:color w:val="auto"/>
        </w:rPr>
        <w:t>. This provision supplements Section 6 of the Agreement:</w:t>
      </w:r>
    </w:p>
    <w:p>
      <w:pPr>
        <w:spacing w:after="0" w:line="224" w:lineRule="exact"/>
        <w:rPr>
          <w:sz w:val="20"/>
          <w:szCs w:val="20"/>
          <w:color w:val="auto"/>
        </w:rPr>
      </w:pPr>
    </w:p>
    <w:p>
      <w:pPr>
        <w:jc w:val="both"/>
        <w:ind w:left="160"/>
        <w:spacing w:after="0" w:line="264" w:lineRule="auto"/>
        <w:rPr>
          <w:sz w:val="20"/>
          <w:szCs w:val="20"/>
          <w:color w:val="auto"/>
        </w:rPr>
      </w:pPr>
      <w:r>
        <w:rPr>
          <w:rFonts w:ascii="Arial" w:cs="Arial" w:eastAsia="Arial" w:hAnsi="Arial"/>
          <w:sz w:val="14"/>
          <w:szCs w:val="14"/>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APPENDIX A - 10</w:t>
      </w:r>
    </w:p>
    <w:p>
      <w:pPr>
        <w:sectPr>
          <w:pgSz w:w="11900" w:h="16838" w:orient="portrait"/>
          <w:cols w:equalWidth="0" w:num="1">
            <w:col w:w="10760"/>
          </w:cols>
          <w:pgMar w:left="480" w:top="994" w:right="659" w:bottom="1440" w:gutter="0" w:footer="0" w:header="0"/>
        </w:sectPr>
      </w:pPr>
    </w:p>
    <w:bookmarkStart w:id="98" w:name="page99"/>
    <w:bookmarkEnd w:id="98"/>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SWITZERLAND</w:t>
      </w:r>
    </w:p>
    <w:p>
      <w:pPr>
        <w:spacing w:after="0" w:line="22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 or (iii) has been or will be filed with, approved or supervised by any Swiss regulatory authority (in particular, the Swiss Financial Supervisory Authority (FINMA)).</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TAIWAN</w:t>
      </w:r>
    </w:p>
    <w:p>
      <w:pPr>
        <w:spacing w:after="0" w:line="215"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RSUs and participation in the Plan is made available only to employees of the Company and its subsidiaries. It is not a public offer of securities by a Taiwanese company. Therefore, it is exempt from registration in Taiwan.</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Individuals may acquire foreign currency (including proceeds from the sale of Shares) into Taiwan up to US$5,000,000 per year without justification.</w:t>
      </w:r>
    </w:p>
    <w:p>
      <w:pPr>
        <w:spacing w:after="0" w:line="209"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THAILAND</w:t>
      </w:r>
    </w:p>
    <w:p>
      <w:pPr>
        <w:spacing w:after="0" w:line="215"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TURKEY</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5"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171" w:lineRule="exact"/>
        <w:rPr>
          <w:sz w:val="20"/>
          <w:szCs w:val="20"/>
          <w:color w:val="auto"/>
        </w:rPr>
      </w:pPr>
    </w:p>
    <w:p>
      <w:pPr>
        <w:jc w:val="both"/>
        <w:ind w:left="160"/>
        <w:spacing w:after="0" w:line="255" w:lineRule="auto"/>
        <w:rPr>
          <w:sz w:val="20"/>
          <w:szCs w:val="20"/>
          <w:color w:val="auto"/>
        </w:rPr>
      </w:pPr>
      <w:r>
        <w:rPr>
          <w:rFonts w:ascii="Arial" w:cs="Arial" w:eastAsia="Arial" w:hAnsi="Arial"/>
          <w:sz w:val="14"/>
          <w:szCs w:val="14"/>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45"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APPENDIX A - 11</w:t>
      </w:r>
    </w:p>
    <w:p>
      <w:pPr>
        <w:sectPr>
          <w:pgSz w:w="11900" w:h="16838" w:orient="portrait"/>
          <w:cols w:equalWidth="0" w:num="1">
            <w:col w:w="10760"/>
          </w:cols>
          <w:pgMar w:left="480" w:top="994" w:right="659" w:bottom="1440" w:gutter="0" w:footer="0" w:header="0"/>
        </w:sectPr>
      </w:pPr>
    </w:p>
    <w:bookmarkStart w:id="99" w:name="page100"/>
    <w:bookmarkEnd w:id="99"/>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color w:val="auto"/>
        </w:rPr>
        <w:t>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9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209"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09"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09"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APPENDIX A - 12</w:t>
      </w:r>
    </w:p>
    <w:p>
      <w:pPr>
        <w:sectPr>
          <w:pgSz w:w="11900" w:h="16838" w:orient="portrait"/>
          <w:cols w:equalWidth="0" w:num="1">
            <w:col w:w="10760"/>
          </w:cols>
          <w:pgMar w:left="480" w:top="994" w:right="659" w:bottom="1440" w:gutter="0" w:footer="0" w:header="0"/>
        </w:sectPr>
      </w:pPr>
    </w:p>
    <w:bookmarkStart w:id="100" w:name="page101"/>
    <w:bookmarkEnd w:id="10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9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1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16"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We are pleased to provide you with this offer to participate in the Analog Devices, Inc. Amended and Restated 1996 Stock Incentive Plan (the “Plan”). This Offer Document sets out information regarding the grant of restricted stock units (“Restricted Stock Units”) over shares of common stock (“Shares”) of Analog Devices, Inc. (the “Company”) to Australian resident employees and directors of the Company and its Australian Subsidiary.</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Any capitalized term used but not defined herein shall have the meaning ascribed to such term in the Plan.</w:t>
      </w:r>
    </w:p>
    <w:p>
      <w:pPr>
        <w:spacing w:after="0" w:line="180" w:lineRule="exact"/>
        <w:rPr>
          <w:sz w:val="20"/>
          <w:szCs w:val="20"/>
          <w:color w:val="auto"/>
        </w:rPr>
      </w:pPr>
    </w:p>
    <w:p>
      <w:pPr>
        <w:ind w:left="280" w:hanging="275"/>
        <w:spacing w:after="0"/>
        <w:tabs>
          <w:tab w:leader="none" w:pos="28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OFFER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This is an Offer of Restricted Stock Units, as may be granted from time to time by the Company, to certain eligible employees in accordance with the Plan.</w:t>
      </w:r>
    </w:p>
    <w:p>
      <w:pPr>
        <w:spacing w:after="0" w:line="18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5"/>
          <w:szCs w:val="15"/>
          <w:b w:val="1"/>
          <w:bCs w:val="1"/>
          <w:color w:val="auto"/>
        </w:rPr>
        <w:t>TERMS OF GRANT</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terms of the grant of Restricted Stock Units incorporate the rules of the Plan, this Offer Document and the Global Restricted Stock Unit Agreement, and Appendix A thereto (the “Agreement”). By accepting a grant of Restricted Stock Units, you will be bound by the rules of the Plan, this Offer Document and the Agreement.</w:t>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tab/>
        <w:t>ADDITIONAL DOCUMENTS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information set out in this Offer Document, attached are copies of the following documents:</w:t>
      </w:r>
    </w:p>
    <w:p>
      <w:pPr>
        <w:spacing w:after="0" w:line="184" w:lineRule="exact"/>
        <w:rPr>
          <w:sz w:val="20"/>
          <w:szCs w:val="20"/>
          <w:color w:val="auto"/>
        </w:rPr>
      </w:pPr>
    </w:p>
    <w:p>
      <w:pPr>
        <w:ind w:left="660" w:hanging="655"/>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Plan;</w:t>
      </w:r>
    </w:p>
    <w:p>
      <w:pPr>
        <w:spacing w:after="0" w:line="184" w:lineRule="exact"/>
        <w:rPr>
          <w:rFonts w:ascii="Arial" w:cs="Arial" w:eastAsia="Arial" w:hAnsi="Arial"/>
          <w:sz w:val="16"/>
          <w:szCs w:val="16"/>
          <w:color w:val="auto"/>
        </w:rPr>
      </w:pPr>
    </w:p>
    <w:p>
      <w:pPr>
        <w:ind w:left="660" w:hanging="655"/>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Plan Prospectus; and</w:t>
      </w:r>
    </w:p>
    <w:p>
      <w:pPr>
        <w:spacing w:after="0" w:line="184" w:lineRule="exact"/>
        <w:rPr>
          <w:rFonts w:ascii="Arial" w:cs="Arial" w:eastAsia="Arial" w:hAnsi="Arial"/>
          <w:sz w:val="16"/>
          <w:szCs w:val="16"/>
          <w:color w:val="auto"/>
        </w:rPr>
      </w:pPr>
    </w:p>
    <w:p>
      <w:pPr>
        <w:ind w:left="660" w:hanging="655"/>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“Additional Documents”).</w:t>
      </w:r>
    </w:p>
    <w:p>
      <w:pPr>
        <w:spacing w:after="0" w:line="18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Agreement sets out, among other details, the vesting conditions applicable to your Restricted Stock Units, information on the settlement of your Restricted Stock Units and the consequences of a change in the nature or status of your employment.</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 xml:space="preserve">The other Additional Documents provide further information to assist you to make an informed investment decision in relation to your participation in the Plan. Neither the Plan nor the Amended and Restated 1996 Stock Incentive Plan Prospectus is a prospectus for the purposes of the </w:t>
      </w:r>
      <w:r>
        <w:rPr>
          <w:rFonts w:ascii="Arial" w:cs="Arial" w:eastAsia="Arial" w:hAnsi="Arial"/>
          <w:sz w:val="16"/>
          <w:szCs w:val="16"/>
          <w:i w:val="1"/>
          <w:iCs w:val="1"/>
          <w:color w:val="auto"/>
        </w:rPr>
        <w:t>Corporations Act</w:t>
      </w:r>
      <w:r>
        <w:rPr>
          <w:rFonts w:ascii="Arial" w:cs="Arial" w:eastAsia="Arial" w:hAnsi="Arial"/>
          <w:sz w:val="16"/>
          <w:szCs w:val="16"/>
          <w:color w:val="auto"/>
        </w:rPr>
        <w:t>.</w:t>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- 1</w:t>
      </w:r>
    </w:p>
    <w:p>
      <w:pPr>
        <w:sectPr>
          <w:pgSz w:w="11900" w:h="16838" w:orient="portrait"/>
          <w:cols w:equalWidth="0" w:num="1">
            <w:col w:w="11240"/>
          </w:cols>
          <w:pgMar w:left="320" w:top="994" w:right="339" w:bottom="1440" w:gutter="0" w:footer="0" w:header="0"/>
        </w:sectPr>
      </w:pPr>
    </w:p>
    <w:bookmarkStart w:id="101" w:name="page102"/>
    <w:bookmarkEnd w:id="10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hanging="275"/>
        <w:spacing w:after="0"/>
        <w:tabs>
          <w:tab w:leader="none" w:pos="28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RELIANCE ON STATEMENTS</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5"/>
          <w:szCs w:val="15"/>
          <w:b w:val="1"/>
          <w:bCs w:val="1"/>
          <w:color w:val="auto"/>
        </w:rPr>
        <w:t>WHO IS ELIGIBLE TO PARTICIPATE?</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5" w:lineRule="exact"/>
        <w:rPr>
          <w:sz w:val="20"/>
          <w:szCs w:val="20"/>
          <w:color w:val="auto"/>
        </w:rPr>
      </w:pPr>
    </w:p>
    <w:p>
      <w:pPr>
        <w:ind w:left="280" w:hanging="275"/>
        <w:spacing w:after="0"/>
        <w:tabs>
          <w:tab w:leader="none" w:pos="28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ACCEPTING AN AWARD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Agreement sets out additional terms and conditions of your Restricted Stock Unit award. You are required to affirmatively accept your Restricted Stock Unit award.</w:t>
      </w:r>
    </w:p>
    <w:p>
      <w:pPr>
        <w:spacing w:after="0" w:line="192" w:lineRule="exact"/>
        <w:rPr>
          <w:sz w:val="20"/>
          <w:szCs w:val="20"/>
          <w:color w:val="auto"/>
        </w:rPr>
      </w:pPr>
    </w:p>
    <w:p>
      <w:pPr>
        <w:ind w:left="280" w:hanging="275"/>
        <w:spacing w:after="0"/>
        <w:tabs>
          <w:tab w:leader="none" w:pos="28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MATERIAL TERMS OF THE RESTRICTED STOCK UNITS?</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are Restricted Stock Units?</w:t>
      </w:r>
    </w:p>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Restricted Stock Units represent the right to receive Shares upon fulfilment of the vesting conditions set out in your Agreement. The Restricted Stock Units are considered “restricted” because they are subject to forfeiture and restrictions on transfer until they vest. The restrictions are set forth in your Agreement. When your Restricted Stock Units vest, you will be issued Shares at no monetary cost (other than applicable taxes) to you. Notwithstanding anything to the contrary in the Plan, the Agreement, or any related document, your Restricted Stock Units will be settled in Shares.</w:t>
      </w:r>
    </w:p>
    <w:p>
      <w:pPr>
        <w:spacing w:after="0" w:line="167" w:lineRule="exact"/>
        <w:rPr>
          <w:sz w:val="20"/>
          <w:szCs w:val="20"/>
          <w:color w:val="auto"/>
        </w:rPr>
      </w:pPr>
    </w:p>
    <w:p>
      <w:pPr>
        <w:ind w:left="360" w:hanging="355"/>
        <w:spacing w:after="0"/>
        <w:tabs>
          <w:tab w:leader="none" w:pos="36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Do I have to pay any money to receive the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 You pay no monetary consideration to receive the Restricted Stock Units, nor do you pay anything to receive the Shares upon vesting (other than applicable taxes).</w:t>
      </w:r>
    </w:p>
    <w:p>
      <w:pPr>
        <w:spacing w:after="0" w:line="19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How many Shares will I receive upon vesting of my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your Restricted Stock Units and the number of Shares subject to the award are set out in the Agreement.</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When do I become a stockholder?</w:t>
      </w:r>
    </w:p>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You are not a stockholder merely as a result of holding Restricted Stock Units. The Restricted Stock Units will not entitle you to any shareholder rights, including the right to vote the Shares or receive dividends, notices of meetings, proxy statements and other materials provided to stockholders, until the restrictions lapse at vesting and the Restricted Stock Units are paid out in Shares. In this regard, you are not recorded as the owner of the Shares prior to vesting. You should refer to your Agreement for details of the consequences of a change in the nature of your employment.</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4"/>
          <w:szCs w:val="14"/>
          <w:b w:val="1"/>
          <w:bCs w:val="1"/>
          <w:color w:val="auto"/>
        </w:rPr>
        <w:t>Can I transfer the Restricted Stock Units to someone else?</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No. The Restricted Stock Units are generally non-transferable, unless otherwise provided in your Agreement; however, once Shares are issued upon vesting, the Shares will be freely tradeable (subject to the Company’s policies and applicable laws regarding insider trading).</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(f)</w:t>
      </w:r>
      <w:r>
        <w:rPr>
          <w:sz w:val="20"/>
          <w:szCs w:val="20"/>
          <w:color w:val="auto"/>
        </w:rPr>
        <w:tab/>
      </w:r>
      <w:r>
        <w:rPr>
          <w:rFonts w:ascii="Arial" w:cs="Arial" w:eastAsia="Arial" w:hAnsi="Arial"/>
          <w:sz w:val="14"/>
          <w:szCs w:val="14"/>
          <w:b w:val="1"/>
          <w:bCs w:val="1"/>
          <w:color w:val="auto"/>
        </w:rPr>
        <w:t>What happens if my employment with the Company or Australian Subsidiary terminates?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Your right to any unvested Restricted Stock Units will terminate when you terminate employment with the Company or any Subsidiary of the Company for reasons including, but not limited to, retirement, resignation, lay-off, discharge, or other change of employment status.</w:t>
      </w:r>
    </w:p>
    <w:p>
      <w:pPr>
        <w:spacing w:after="0" w:line="165" w:lineRule="exact"/>
        <w:rPr>
          <w:sz w:val="20"/>
          <w:szCs w:val="20"/>
          <w:color w:val="auto"/>
        </w:rPr>
      </w:pPr>
    </w:p>
    <w:p>
      <w:pPr>
        <w:ind w:left="280" w:hanging="275"/>
        <w:spacing w:after="0"/>
        <w:tabs>
          <w:tab w:leader="none" w:pos="28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SHARE IN THE COMPANY</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Common stock of a U.S. corporation is analogous to an ordinary share of an Australian corporation. Each holder of a Share is entitled to one vote for every Share held in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Dividends may be paid on the Shares out of any funds of the Company legally available for dividends at the discretion of the board of directors of the Company.</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1240"/>
          </w:cols>
          <w:pgMar w:left="320" w:top="994" w:right="339" w:bottom="1440" w:gutter="0" w:footer="0" w:header="0"/>
        </w:sectPr>
      </w:pPr>
    </w:p>
    <w:bookmarkStart w:id="102" w:name="page103"/>
    <w:bookmarkEnd w:id="10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The Shares are traded on the Nasdaq Global Select Market in the United States of America and are traded under the symbol “ADI”.</w:t>
      </w:r>
    </w:p>
    <w:p>
      <w:pPr>
        <w:spacing w:after="0" w:line="18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5" w:lineRule="exact"/>
        <w:rPr>
          <w:sz w:val="20"/>
          <w:szCs w:val="20"/>
          <w:color w:val="auto"/>
        </w:rPr>
      </w:pPr>
    </w:p>
    <w:p>
      <w:pPr>
        <w:ind w:left="280" w:hanging="275"/>
        <w:spacing w:after="0"/>
        <w:tabs>
          <w:tab w:leader="none" w:pos="28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OBTAIN UPDATED INDICATIVE EXAMPLES OF THE CURRENT MARKET PRICE IN AUSTRALIAN DOLLARS?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may ascertain the current market price of the Shares as traded on the Nasdaq at http://www.nasdaq.com under the code “ADI”. The Australian dollar equivalent of that price can be obtained at: http://www.rba.gov.au/statistics/frequency/exchange-rates.html.</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This will not be a prediction of what the market price per Share will be when the Restricted Stock Units vest or settle or of the applicable exchange rate on the actual date of vesting or settlement.</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5"/>
          <w:szCs w:val="15"/>
          <w:b w:val="1"/>
          <w:bCs w:val="1"/>
          <w:color w:val="auto"/>
        </w:rPr>
        <w:t>WHAT ADDITIONAL RISK FACTORS APPLY TO AUSTRALIAN RESIDENTS’ PARTICIPATION IN THE PLAN?</w:t>
      </w:r>
    </w:p>
    <w:p>
      <w:pPr>
        <w:spacing w:after="0" w:line="188"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http://www.sec.gov/, on the Company’s “Investor Relations” page at http://investor.analog.com/, and upon request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In addition, you should be aware that the Australian dollar value of the Shares you may acquire at vesting will be affected by the U.S. dollar/Australian dollar exchange rate.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the Plan involves certain risks related to fluctuations in this rate of exchange.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PLAN MODIFICATION, TERMINATION ETC.</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65" w:lineRule="exact"/>
        <w:rPr>
          <w:sz w:val="20"/>
          <w:szCs w:val="20"/>
          <w:color w:val="auto"/>
        </w:rPr>
      </w:pPr>
    </w:p>
    <w:p>
      <w:pPr>
        <w:ind w:left="360" w:hanging="355"/>
        <w:spacing w:after="0"/>
        <w:tabs>
          <w:tab w:leader="none" w:pos="36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AUSTRALIAN TAX CONSEQUENCES OF PARTICIPATION IN THE PLAN?</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following is a summary of the tax consequences as of November 2021 for an Australian resident employee who receives Restricted Stock Units under the Plan. You may also be subject to Medicare levy and surcharge.</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We note that for Restricted Stock Units granted under the Plan prior to 1 July 2015, different employee share scheme rules apply. The following taxation summary applies only to Restricted Stock Units granted on or after 1 July 2015. If you hold Restricted Stock Units granted before 1 July 2015, please consult with your personal tax advisor on the applicable tax treatment.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This summary is necessarily general in nature and does not purport to be tax advice in relation to an actual or potential recipient of Restricted Stock Units.</w:t>
      </w:r>
    </w:p>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If you are a citizen or resident of another country for local tax law purposes or if you transfer employment to another country after the Restricted Stock Units are granted to you, the information contained in this summary may not be applicable to you. </w:t>
      </w:r>
      <w:r>
        <w:rPr>
          <w:rFonts w:ascii="Arial" w:cs="Arial" w:eastAsia="Arial" w:hAnsi="Arial"/>
          <w:sz w:val="16"/>
          <w:szCs w:val="16"/>
          <w:i w:val="1"/>
          <w:iCs w:val="1"/>
          <w:color w:val="auto"/>
        </w:rPr>
        <w:t>You should seek appropriate professional advice as to how the tax or other laws in Australia and in</w:t>
      </w:r>
      <w:r>
        <w:rPr>
          <w:rFonts w:ascii="Arial" w:cs="Arial" w:eastAsia="Arial" w:hAnsi="Arial"/>
          <w:sz w:val="16"/>
          <w:szCs w:val="16"/>
          <w:color w:val="auto"/>
        </w:rPr>
        <w:t xml:space="preserve"> </w:t>
      </w:r>
      <w:r>
        <w:rPr>
          <w:rFonts w:ascii="Arial" w:cs="Arial" w:eastAsia="Arial" w:hAnsi="Arial"/>
          <w:sz w:val="16"/>
          <w:szCs w:val="16"/>
          <w:i w:val="1"/>
          <w:iCs w:val="1"/>
          <w:color w:val="auto"/>
        </w:rPr>
        <w:t>your country apply to your specific situation.</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If you are awarded Restricted Stock Units under the Plan, you should not rely on this summary as anything other than a broad guide, and you should obtain independent taxation advice specific to your particular circumstances before making the decision to accept the Restricted Stock Units.</w:t>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- 3</w:t>
      </w:r>
    </w:p>
    <w:p>
      <w:pPr>
        <w:sectPr>
          <w:pgSz w:w="11900" w:h="16838" w:orient="portrait"/>
          <w:cols w:equalWidth="0" w:num="1">
            <w:col w:w="11240"/>
          </w:cols>
          <w:pgMar w:left="320" w:top="994" w:right="339" w:bottom="1440" w:gutter="0" w:footer="0" w:header="0"/>
        </w:sectPr>
      </w:pPr>
    </w:p>
    <w:bookmarkStart w:id="103" w:name="page104"/>
    <w:bookmarkEnd w:id="10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is the effect of the grant of the Restricted Stock Units?</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The Australian tax legislation contains specific rules, in Division 83A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governing the taxation of shares and rights (called “ESS interests”) acquired by employees under employee share schemes. The Restricted Stock Units granted under the Plan should be regarded as a right to acquire shares and accordingly, an ESS interest for these purposes.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Your assessable income includes the ESS interest at grant, unless the ESS interest is subject to a “real risk of forfeiture,” in which case you will be subject to deferred taxation.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the Restricted Stock Units, the “real risk of forfeiture” test requires that:</w:t>
      </w:r>
    </w:p>
    <w:p>
      <w:pPr>
        <w:spacing w:after="0" w:line="184" w:lineRule="exact"/>
        <w:rPr>
          <w:sz w:val="20"/>
          <w:szCs w:val="20"/>
          <w:color w:val="auto"/>
        </w:rPr>
      </w:pPr>
    </w:p>
    <w:p>
      <w:pPr>
        <w:ind w:left="640" w:hanging="3"/>
        <w:spacing w:after="0" w:line="233" w:lineRule="auto"/>
        <w:tabs>
          <w:tab w:leader="none" w:pos="99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there must be a real risk that, under the conditions of the Plan, you will forfeit the Restricted Stock Units or lose them (other than by disposing of them or in connection with the vesting of the Restricted Stock Units); or</w:t>
      </w:r>
    </w:p>
    <w:p>
      <w:pPr>
        <w:spacing w:after="0" w:line="169" w:lineRule="exact"/>
        <w:rPr>
          <w:rFonts w:ascii="Arial" w:cs="Arial" w:eastAsia="Arial" w:hAnsi="Arial"/>
          <w:sz w:val="16"/>
          <w:szCs w:val="16"/>
          <w:color w:val="auto"/>
        </w:rPr>
      </w:pPr>
    </w:p>
    <w:p>
      <w:pPr>
        <w:ind w:left="640" w:hanging="3"/>
        <w:spacing w:after="0" w:line="233" w:lineRule="auto"/>
        <w:tabs>
          <w:tab w:leader="none" w:pos="991"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there must be a real risk that if your Restricted Stock Units vest, under the conditions of the Plan, you will forfeit the underlying Shares or lose them other than by disposing of them.</w:t>
      </w:r>
    </w:p>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terms of your Restricted Stock Unit award are set out in the Additional Documents. It is understood that your Restricted Stock Units will satisfy the real risk of forfeiture test and that you will be subject to deferred taxation (</w:t>
      </w:r>
      <w:r>
        <w:rPr>
          <w:rFonts w:ascii="Arial" w:cs="Arial" w:eastAsia="Arial" w:hAnsi="Arial"/>
          <w:sz w:val="15"/>
          <w:szCs w:val="15"/>
          <w:i w:val="1"/>
          <w:iCs w:val="1"/>
          <w:color w:val="auto"/>
        </w:rPr>
        <w:t>i.e.</w:t>
      </w:r>
      <w:r>
        <w:rPr>
          <w:rFonts w:ascii="Arial" w:cs="Arial" w:eastAsia="Arial" w:hAnsi="Arial"/>
          <w:sz w:val="15"/>
          <w:szCs w:val="15"/>
          <w:color w:val="auto"/>
        </w:rPr>
        <w:t>, you generally should not be subject to tax when the Restricted Share Units are granted to you).</w:t>
      </w:r>
    </w:p>
    <w:p>
      <w:pPr>
        <w:spacing w:after="0" w:line="15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When will you be taxed if your Restricted Stock Units are subject to a real risk of forfeiture?</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will be required to include an amount in your assessable income for the income year (</w:t>
      </w:r>
      <w:r>
        <w:rPr>
          <w:rFonts w:ascii="Arial" w:cs="Arial" w:eastAsia="Arial" w:hAnsi="Arial"/>
          <w:sz w:val="16"/>
          <w:szCs w:val="16"/>
          <w:i w:val="1"/>
          <w:iCs w:val="1"/>
          <w:color w:val="auto"/>
        </w:rPr>
        <w:t>i.e.</w:t>
      </w:r>
      <w:r>
        <w:rPr>
          <w:rFonts w:ascii="Arial" w:cs="Arial" w:eastAsia="Arial" w:hAnsi="Arial"/>
          <w:sz w:val="16"/>
          <w:szCs w:val="16"/>
          <w:color w:val="auto"/>
        </w:rPr>
        <w:t>, the financial year ending 30 June) in which the earliest of the following events occurs in relation to the Restricted Stock Units (the “ESS deferred taxing point”).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Your ESS deferred taxing point will be the earliest of the following:</w:t>
      </w:r>
    </w:p>
    <w:p>
      <w:pPr>
        <w:spacing w:after="0" w:line="184" w:lineRule="exact"/>
        <w:rPr>
          <w:sz w:val="20"/>
          <w:szCs w:val="20"/>
          <w:color w:val="auto"/>
        </w:rPr>
      </w:pPr>
    </w:p>
    <w:p>
      <w:pPr>
        <w:ind w:left="640" w:hanging="3"/>
        <w:spacing w:after="0" w:line="233" w:lineRule="auto"/>
        <w:tabs>
          <w:tab w:leader="none" w:pos="9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when there are no longer any genuine restrictions on the vesting of the Restricted Stock Units and there is no real risk of you forfeiting your Restricted Stock Units;</w:t>
      </w:r>
    </w:p>
    <w:p>
      <w:pPr>
        <w:spacing w:after="0" w:line="169" w:lineRule="exact"/>
        <w:rPr>
          <w:rFonts w:ascii="Arial" w:cs="Arial" w:eastAsia="Arial" w:hAnsi="Arial"/>
          <w:sz w:val="16"/>
          <w:szCs w:val="16"/>
          <w:color w:val="auto"/>
        </w:rPr>
      </w:pPr>
    </w:p>
    <w:p>
      <w:pPr>
        <w:ind w:left="980" w:hanging="343"/>
        <w:spacing w:after="0"/>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when the Restricted Stock Units are settled and there is no genuine restriction on the disposal of the underlying Shares; and</w:t>
      </w:r>
    </w:p>
    <w:p>
      <w:pPr>
        <w:spacing w:after="0" w:line="184" w:lineRule="exact"/>
        <w:rPr>
          <w:rFonts w:ascii="Arial" w:cs="Arial" w:eastAsia="Arial" w:hAnsi="Arial"/>
          <w:sz w:val="16"/>
          <w:szCs w:val="16"/>
          <w:color w:val="auto"/>
        </w:rPr>
      </w:pPr>
    </w:p>
    <w:p>
      <w:pPr>
        <w:ind w:left="1040" w:hanging="403"/>
        <w:spacing w:after="0"/>
        <w:tabs>
          <w:tab w:leader="none" w:pos="10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your cessation of employment (but see Section 11(e) below).</w:t>
      </w:r>
    </w:p>
    <w:p>
      <w:pPr>
        <w:spacing w:after="0" w:line="184"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Generally, this means that you will be subject to tax when your Restricted Stock Units vest. However, the ESS deferred taxing point for your Restricted Stock Units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income taxes, the assessable amount may also be subject to Medicare Levy and surcharge (if applicable).</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2"/>
          <w:szCs w:val="12"/>
          <w:b w:val="1"/>
          <w:bCs w:val="1"/>
          <w:color w:val="auto"/>
        </w:rPr>
        <w:t>What is the amount to be included in your assessable income if an ESS deferred taxing point occurs?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amount you must include in your assessable income in the income year (</w:t>
      </w:r>
      <w:r>
        <w:rPr>
          <w:rFonts w:ascii="Arial" w:cs="Arial" w:eastAsia="Arial" w:hAnsi="Arial"/>
          <w:sz w:val="14"/>
          <w:szCs w:val="14"/>
          <w:i w:val="1"/>
          <w:iCs w:val="1"/>
          <w:color w:val="auto"/>
        </w:rPr>
        <w:t>i.e.</w:t>
      </w:r>
      <w:r>
        <w:rPr>
          <w:rFonts w:ascii="Arial" w:cs="Arial" w:eastAsia="Arial" w:hAnsi="Arial"/>
          <w:sz w:val="14"/>
          <w:szCs w:val="14"/>
          <w:color w:val="auto"/>
        </w:rPr>
        <w:t>, the financial year ending 30 June) in which the ESS deferred taxing point occurs in relation to your Restricted Stock Units (</w:t>
      </w:r>
      <w:r>
        <w:rPr>
          <w:rFonts w:ascii="Arial" w:cs="Arial" w:eastAsia="Arial" w:hAnsi="Arial"/>
          <w:sz w:val="14"/>
          <w:szCs w:val="14"/>
          <w:i w:val="1"/>
          <w:iCs w:val="1"/>
          <w:color w:val="auto"/>
        </w:rPr>
        <w:t>i.e.,</w:t>
      </w:r>
      <w:r>
        <w:rPr>
          <w:rFonts w:ascii="Arial" w:cs="Arial" w:eastAsia="Arial" w:hAnsi="Arial"/>
          <w:sz w:val="14"/>
          <w:szCs w:val="14"/>
          <w:color w:val="auto"/>
        </w:rPr>
        <w:t xml:space="preserve"> typically at vesting) will be the difference between the “market value” of the underlying Shares at the ESS deferred taxing point and the cost base of the Restricted Stock Units (which should be nil because you do not have to pay anything to acquire the Restricted Stock Units or the underlying Shares).</w:t>
      </w:r>
    </w:p>
    <w:p>
      <w:pPr>
        <w:spacing w:after="0" w:line="153"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Restricted Stock Units (which, again, should be nil).</w:t>
      </w:r>
    </w:p>
    <w:p>
      <w:pPr>
        <w:spacing w:after="0" w:line="165" w:lineRule="exact"/>
        <w:rPr>
          <w:sz w:val="20"/>
          <w:szCs w:val="20"/>
          <w:color w:val="auto"/>
        </w:rPr>
      </w:pPr>
    </w:p>
    <w:p>
      <w:pPr>
        <w:ind w:left="400" w:hanging="395"/>
        <w:spacing w:after="0"/>
        <w:tabs>
          <w:tab w:leader="none" w:pos="40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market value of the Underlying Shares?</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- 4</w:t>
      </w:r>
    </w:p>
    <w:p>
      <w:pPr>
        <w:sectPr>
          <w:pgSz w:w="11900" w:h="16838" w:orient="portrait"/>
          <w:cols w:equalWidth="0" w:num="1">
            <w:col w:w="11240"/>
          </w:cols>
          <w:pgMar w:left="320" w:top="994" w:right="339" w:bottom="1440" w:gutter="0" w:footer="0" w:header="0"/>
        </w:sectPr>
      </w:pPr>
    </w:p>
    <w:bookmarkStart w:id="104" w:name="page105"/>
    <w:bookmarkEnd w:id="10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OFFER OF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“market value” of the Restricted Stock Units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32"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Restricted Stock Units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67" w:lineRule="exact"/>
        <w:rPr>
          <w:sz w:val="20"/>
          <w:szCs w:val="20"/>
          <w:color w:val="auto"/>
        </w:rPr>
      </w:pPr>
    </w:p>
    <w:p>
      <w:pPr>
        <w:ind w:left="380" w:hanging="375"/>
        <w:spacing w:after="0"/>
        <w:tabs>
          <w:tab w:leader="none" w:pos="38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cease employment before my Restricted Stock Units vest?</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 cease employment with your employer prior to the vesting date of some or all of your Restricted Stock Units and the Restricted Stock Units do not vest upon termination of employment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they are forfeited), you may be treated as having never acquired the forfeited Restricted Stock Units in which case, no amount will be included in your assessable income.</w:t>
      </w:r>
    </w:p>
    <w:p>
      <w:pPr>
        <w:spacing w:after="0" w:line="165" w:lineRule="exact"/>
        <w:rPr>
          <w:sz w:val="20"/>
          <w:szCs w:val="20"/>
          <w:color w:val="auto"/>
        </w:rPr>
      </w:pPr>
    </w:p>
    <w:p>
      <w:pPr>
        <w:ind w:left="360" w:hanging="355"/>
        <w:spacing w:after="0"/>
        <w:tabs>
          <w:tab w:leader="none" w:pos="3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What tax consequences will arise when I sell my Shares?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If you sell the Shares acquired upon vesting of your Restricted Stock Units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If you sell the Shares acquired upon vesting of your Restricted Stock Units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are responsible for reporting any income you realize from the sale of Shares acquired upon vesting of Restricted Stock Units and paying any applicable taxes due on such income.</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6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(g)</w:t>
      </w:r>
      <w:r>
        <w:rPr>
          <w:sz w:val="20"/>
          <w:szCs w:val="20"/>
          <w:color w:val="auto"/>
        </w:rPr>
        <w:tab/>
      </w:r>
      <w:r>
        <w:rPr>
          <w:rFonts w:ascii="Arial" w:cs="Arial" w:eastAsia="Arial" w:hAnsi="Arial"/>
          <w:sz w:val="14"/>
          <w:szCs w:val="14"/>
          <w:b w:val="1"/>
          <w:bCs w:val="1"/>
          <w:color w:val="auto"/>
        </w:rPr>
        <w:t>What are the taxation consequences if a dividend is paid on the Shares?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If you vest in the Restricted Stock Units and become a Company stockholder, you may be entitled to receive dividends on the Shares obtained from vesting in the Restricted Stock Units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(h)</w:t>
      </w:r>
      <w:r>
        <w:rPr>
          <w:sz w:val="20"/>
          <w:szCs w:val="20"/>
          <w:color w:val="auto"/>
        </w:rPr>
        <w:tab/>
      </w:r>
      <w:r>
        <w:rPr>
          <w:rFonts w:ascii="Arial" w:cs="Arial" w:eastAsia="Arial" w:hAnsi="Arial"/>
          <w:sz w:val="14"/>
          <w:szCs w:val="14"/>
          <w:b w:val="1"/>
          <w:bCs w:val="1"/>
          <w:color w:val="auto"/>
        </w:rPr>
        <w:t>What are the tax withholding and reporting obligations associated with the Restricted Stock Units?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will be responsible for reporting on your tax return and paying any tax liability in relation to the Restricted Stock Units and any Shares issued to you at vesting. It is also your responsibility to report and pay any tax liability on the sale of any Shares acquired under the Plan any dividends received.</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Your employer will be required to withhold tax due on the Restricted Stock Units only if you have not provided your Tax File Number or Australian Business Number, as applicable, to your employer.</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w:t>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- 5</w:t>
      </w:r>
    </w:p>
    <w:p>
      <w:pPr>
        <w:sectPr>
          <w:pgSz w:w="11900" w:h="16838" w:orient="portrait"/>
          <w:cols w:equalWidth="0" w:num="1">
            <w:col w:w="11240"/>
          </w:cols>
          <w:pgMar w:left="320" w:top="994"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 xml:space="preserve">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5"/>
          <w:szCs w:val="15"/>
          <w:i w:val="1"/>
          <w:iCs w:val="1"/>
          <w:color w:val="auto"/>
        </w:rPr>
        <w:t>You will be responsible for determining this amount and calculating your tax accordingly.</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5"/>
          <w:szCs w:val="15"/>
          <w:b w:val="1"/>
          <w:bCs w:val="1"/>
          <w:color w:val="auto"/>
        </w:rPr>
        <w:t>WHAT ARE THE U.S. TAX CONSEQUENCES OF PARTICIPATION IN THE PLAN?</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Australian residents who are not U.S. citizens or tax residents should not be subject to U.S. tax by reason only of the award or vesting of the Restricted Stock Units and/or the sale of Shares, except with respect to dividends as described above. However, liability for U.S. tax may accrue if an Australian resident is otherwise subject to U.S. tax.</w:t>
      </w:r>
    </w:p>
    <w:p>
      <w:pPr>
        <w:spacing w:after="0" w:line="13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is only an indication of the likely U.S. tax consequences for an Australian resident who is awarded Restricted Stock Units under the Plan. Each Australian resident should seek his or her own advice as to the U.S. tax consequences of the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urge you to carefully review the information contained in this Offer Document and the Additional Documents.</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ANALOG DEVICES, INC.</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B - 6</w:t>
      </w:r>
    </w:p>
    <w:p>
      <w:pPr>
        <w:sectPr>
          <w:pgSz w:w="11900" w:h="16838" w:orient="portrait"/>
          <w:cols w:equalWidth="0" w:num="1">
            <w:col w:w="11240"/>
          </w:cols>
          <w:pgMar w:left="320" w:top="1440"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C</w:t>
      </w:r>
    </w:p>
    <w:p>
      <w:pPr>
        <w:spacing w:after="0" w:line="176"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EMPLOYER INFORMATION STATEMENT – DENMARK</w:t>
      </w:r>
    </w:p>
    <w:p>
      <w:pPr>
        <w:ind w:left="3620"/>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Amended and Restated 1996 Stock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12" w:lineRule="exact"/>
        <w:rPr>
          <w:sz w:val="20"/>
          <w:szCs w:val="20"/>
          <w:color w:val="auto"/>
        </w:rPr>
      </w:pPr>
    </w:p>
    <w:p>
      <w:pPr>
        <w:ind w:left="280" w:hanging="275"/>
        <w:spacing w:after="0"/>
        <w:tabs>
          <w:tab w:leader="none" w:pos="28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Date of Grant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approved the grant of RSUs under the Plan on Grant Date. On this basis, the Date of Grant for your RSUs is Grant Date.</w:t>
      </w:r>
    </w:p>
    <w:p>
      <w:pPr>
        <w:spacing w:after="0" w:line="12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Terms and Conditions of the RSU Grant</w:t>
      </w:r>
    </w:p>
    <w:p>
      <w:pPr>
        <w:spacing w:after="0" w:line="136" w:lineRule="exact"/>
        <w:rPr>
          <w:sz w:val="20"/>
          <w:szCs w:val="20"/>
          <w:color w:val="auto"/>
        </w:rPr>
      </w:pPr>
    </w:p>
    <w:p>
      <w:pPr>
        <w:jc w:val="both"/>
        <w:ind w:left="640"/>
        <w:spacing w:after="0" w:line="250" w:lineRule="auto"/>
        <w:rPr>
          <w:sz w:val="20"/>
          <w:szCs w:val="20"/>
          <w:color w:val="auto"/>
        </w:rPr>
      </w:pPr>
      <w:r>
        <w:rPr>
          <w:rFonts w:ascii="Arial" w:cs="Arial" w:eastAsia="Arial" w:hAnsi="Arial"/>
          <w:sz w:val="14"/>
          <w:szCs w:val="14"/>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0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Vesting Date of RSUs</w:t>
      </w:r>
    </w:p>
    <w:p>
      <w:pPr>
        <w:spacing w:after="0" w:line="136" w:lineRule="exact"/>
        <w:rPr>
          <w:sz w:val="20"/>
          <w:szCs w:val="20"/>
          <w:color w:val="auto"/>
        </w:rPr>
      </w:pPr>
    </w:p>
    <w:p>
      <w:pPr>
        <w:jc w:val="both"/>
        <w:ind w:left="640"/>
        <w:spacing w:after="0" w:line="224" w:lineRule="auto"/>
        <w:rPr>
          <w:sz w:val="20"/>
          <w:szCs w:val="20"/>
          <w:color w:val="auto"/>
        </w:rPr>
      </w:pPr>
      <w:r>
        <w:rPr>
          <w:rFonts w:ascii="Arial" w:cs="Arial" w:eastAsia="Arial" w:hAnsi="Arial"/>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When your RSUs vest, the Company will issue one share of the Company’s common stock to you in settlement of each vested RSU.</w:t>
      </w:r>
    </w:p>
    <w:p>
      <w:pPr>
        <w:spacing w:after="0" w:line="128" w:lineRule="exact"/>
        <w:rPr>
          <w:sz w:val="20"/>
          <w:szCs w:val="20"/>
          <w:color w:val="auto"/>
        </w:rPr>
      </w:pPr>
    </w:p>
    <w:p>
      <w:pPr>
        <w:ind w:left="280" w:hanging="275"/>
        <w:spacing w:after="0"/>
        <w:tabs>
          <w:tab w:leader="none" w:pos="28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Price</w:t>
      </w:r>
    </w:p>
    <w:p>
      <w:pPr>
        <w:spacing w:after="0" w:line="136" w:lineRule="exact"/>
        <w:rPr>
          <w:sz w:val="20"/>
          <w:szCs w:val="20"/>
          <w:color w:val="auto"/>
        </w:rPr>
      </w:pPr>
    </w:p>
    <w:p>
      <w:pPr>
        <w:ind w:left="640"/>
        <w:spacing w:after="0" w:line="233" w:lineRule="auto"/>
        <w:rPr>
          <w:sz w:val="20"/>
          <w:szCs w:val="20"/>
          <w:color w:val="auto"/>
        </w:rPr>
      </w:pPr>
      <w:r>
        <w:rPr>
          <w:rFonts w:ascii="Arial" w:cs="Arial" w:eastAsia="Arial" w:hAnsi="Arial"/>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1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Your Rights upon Termination of Service</w:t>
      </w:r>
    </w:p>
    <w:p>
      <w:pPr>
        <w:spacing w:after="0" w:line="136" w:lineRule="exact"/>
        <w:rPr>
          <w:sz w:val="20"/>
          <w:szCs w:val="20"/>
          <w:color w:val="auto"/>
        </w:rPr>
      </w:pPr>
    </w:p>
    <w:p>
      <w:pPr>
        <w:ind w:left="640"/>
        <w:spacing w:after="0" w:line="233" w:lineRule="auto"/>
        <w:rPr>
          <w:sz w:val="20"/>
          <w:szCs w:val="20"/>
          <w:color w:val="auto"/>
        </w:rPr>
      </w:pPr>
      <w:r>
        <w:rPr>
          <w:rFonts w:ascii="Arial" w:cs="Arial" w:eastAsia="Arial" w:hAnsi="Arial"/>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12" w:lineRule="exact"/>
        <w:rPr>
          <w:sz w:val="20"/>
          <w:szCs w:val="20"/>
          <w:color w:val="auto"/>
        </w:rPr>
      </w:pPr>
    </w:p>
    <w:p>
      <w:pPr>
        <w:ind w:left="280" w:hanging="275"/>
        <w:spacing w:after="0"/>
        <w:tabs>
          <w:tab w:leader="none" w:pos="28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Aspects of Participating in the Plan</w:t>
      </w:r>
    </w:p>
    <w:p>
      <w:pPr>
        <w:spacing w:after="0" w:line="136" w:lineRule="exact"/>
        <w:rPr>
          <w:sz w:val="20"/>
          <w:szCs w:val="20"/>
          <w:color w:val="auto"/>
        </w:rPr>
      </w:pPr>
    </w:p>
    <w:p>
      <w:pPr>
        <w:jc w:val="both"/>
        <w:ind w:left="640"/>
        <w:spacing w:after="0" w:line="224" w:lineRule="auto"/>
        <w:rPr>
          <w:sz w:val="20"/>
          <w:szCs w:val="20"/>
          <w:color w:val="auto"/>
        </w:rPr>
      </w:pPr>
      <w:r>
        <w:rPr>
          <w:rFonts w:ascii="Arial" w:cs="Arial" w:eastAsia="Arial" w:hAnsi="Arial"/>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16" w:lineRule="exact"/>
        <w:rPr>
          <w:sz w:val="20"/>
          <w:szCs w:val="20"/>
          <w:color w:val="auto"/>
        </w:rPr>
      </w:pPr>
    </w:p>
    <w:p>
      <w:pPr>
        <w:jc w:val="both"/>
        <w:ind w:left="640"/>
        <w:spacing w:after="0" w:line="239" w:lineRule="auto"/>
        <w:rPr>
          <w:sz w:val="20"/>
          <w:szCs w:val="20"/>
          <w:color w:val="auto"/>
        </w:rPr>
      </w:pPr>
      <w:r>
        <w:rPr>
          <w:rFonts w:ascii="Arial" w:cs="Arial" w:eastAsia="Arial" w:hAnsi="Arial"/>
          <w:sz w:val="15"/>
          <w:szCs w:val="15"/>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12" w:lineRule="exact"/>
        <w:rPr>
          <w:sz w:val="20"/>
          <w:szCs w:val="20"/>
          <w:color w:val="auto"/>
        </w:rPr>
      </w:pPr>
    </w:p>
    <w:p>
      <w:pPr>
        <w:ind w:left="280" w:hanging="275"/>
        <w:spacing w:after="0"/>
        <w:tabs>
          <w:tab w:leader="none" w:pos="28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Other Issues</w:t>
      </w:r>
    </w:p>
    <w:p>
      <w:pPr>
        <w:spacing w:after="0" w:line="136" w:lineRule="exact"/>
        <w:rPr>
          <w:sz w:val="20"/>
          <w:szCs w:val="20"/>
          <w:color w:val="auto"/>
        </w:rPr>
      </w:pPr>
    </w:p>
    <w:p>
      <w:pPr>
        <w:ind w:left="640"/>
        <w:spacing w:after="0" w:line="258" w:lineRule="auto"/>
        <w:rPr>
          <w:sz w:val="20"/>
          <w:szCs w:val="20"/>
          <w:color w:val="auto"/>
        </w:rPr>
      </w:pPr>
      <w:r>
        <w:rPr>
          <w:rFonts w:ascii="Arial" w:cs="Arial" w:eastAsia="Arial" w:hAnsi="Arial"/>
          <w:sz w:val="15"/>
          <w:szCs w:val="15"/>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By: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- 1</w:t>
      </w:r>
    </w:p>
    <w:p>
      <w:pPr>
        <w:sectPr>
          <w:pgSz w:w="11900" w:h="16838" w:orient="portrait"/>
          <w:cols w:equalWidth="0" w:num="1">
            <w:col w:w="11240"/>
          </w:cols>
          <w:pgMar w:left="320" w:top="994" w:right="339" w:bottom="1440" w:gutter="0" w:footer="0" w:header="0"/>
        </w:sectPr>
      </w:pPr>
    </w:p>
    <w:bookmarkStart w:id="107" w:name="page108"/>
    <w:bookmarkEnd w:id="107"/>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ARBEJDSGIVERERKLÆRING – DANMARK</w:t>
      </w:r>
    </w:p>
    <w:p>
      <w:pPr>
        <w:jc w:val="center"/>
        <w:ind w:right="-15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60"/>
        <w:spacing w:after="0" w:line="314" w:lineRule="auto"/>
        <w:rPr>
          <w:sz w:val="20"/>
          <w:szCs w:val="20"/>
          <w:color w:val="auto"/>
        </w:rPr>
      </w:pPr>
      <w:r>
        <w:rPr>
          <w:rFonts w:ascii="Arial" w:cs="Arial" w:eastAsia="Arial" w:hAnsi="Arial"/>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1996 medarbejderaktieordning (“Ordningen”). Denne erklæring indeholder kun de oplysninger, der er nævnt i Aktieoptionsloven. De øvrige vilkår og betingelser for tildelingen er beskrevet nærmere i </w:t>
      </w:r>
      <w:r>
        <w:rPr>
          <w:rFonts w:ascii="Arial" w:cs="Arial" w:eastAsia="Arial" w:hAnsi="Arial"/>
          <w:sz w:val="16"/>
          <w:szCs w:val="16"/>
          <w:i w:val="1"/>
          <w:iCs w:val="1"/>
          <w:color w:val="auto"/>
        </w:rPr>
        <w:t>Global Restricted Stock Unit Agreement</w:t>
      </w:r>
      <w:r>
        <w:rPr>
          <w:rFonts w:ascii="Arial" w:cs="Arial" w:eastAsia="Arial" w:hAnsi="Arial"/>
          <w:sz w:val="16"/>
          <w:szCs w:val="16"/>
          <w:color w:val="auto"/>
        </w:rPr>
        <w:t xml:space="preserve"> (“Aftalen”), i tillægget til Aftalen og i Ordningen.</w:t>
      </w:r>
    </w:p>
    <w:p>
      <w:pPr>
        <w:spacing w:after="0" w:line="108"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4"/>
          <w:szCs w:val="14"/>
          <w:b w:val="1"/>
          <w:bCs w:val="1"/>
          <w:color w:val="auto"/>
        </w:rPr>
        <w:t>Tildelingsdato</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Selskabets godkendte den Grant Date tildelingen af RSU’er i henhold til Ordningen. Tildelingsdatoen for dine RSU’er er således den Grant Date.</w:t>
      </w:r>
    </w:p>
    <w:p>
      <w:pPr>
        <w:spacing w:after="0" w:line="167"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Vilkår og betingelser for RSU-tildelingen</w:t>
      </w:r>
    </w:p>
    <w:p>
      <w:pPr>
        <w:spacing w:after="0" w:line="149" w:lineRule="exact"/>
        <w:rPr>
          <w:sz w:val="20"/>
          <w:szCs w:val="20"/>
          <w:color w:val="auto"/>
        </w:rPr>
      </w:pPr>
    </w:p>
    <w:p>
      <w:pPr>
        <w:jc w:val="both"/>
        <w:ind w:left="160"/>
        <w:spacing w:after="0" w:line="339" w:lineRule="auto"/>
        <w:rPr>
          <w:sz w:val="20"/>
          <w:szCs w:val="20"/>
          <w:color w:val="auto"/>
        </w:rPr>
      </w:pPr>
      <w:r>
        <w:rPr>
          <w:rFonts w:ascii="Arial" w:cs="Arial" w:eastAsia="Arial" w:hAnsi="Arial"/>
          <w:sz w:val="15"/>
          <w:szCs w:val="15"/>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Modningsdato for RSU’er</w:t>
      </w:r>
    </w:p>
    <w:p>
      <w:pPr>
        <w:spacing w:after="0" w:line="149" w:lineRule="exact"/>
        <w:rPr>
          <w:sz w:val="20"/>
          <w:szCs w:val="20"/>
          <w:color w:val="auto"/>
        </w:rPr>
      </w:pPr>
    </w:p>
    <w:p>
      <w:pPr>
        <w:jc w:val="both"/>
        <w:ind w:left="160"/>
        <w:spacing w:after="0" w:line="319" w:lineRule="auto"/>
        <w:rPr>
          <w:sz w:val="20"/>
          <w:szCs w:val="20"/>
          <w:color w:val="auto"/>
        </w:rPr>
      </w:pPr>
      <w:r>
        <w:rPr>
          <w:rFonts w:ascii="Arial" w:cs="Arial" w:eastAsia="Arial" w:hAnsi="Arial"/>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Når RSU’erne modnes, udsteder Selskabet én ordinær aktie i Selskabet til dig for hver RSU, der er modnet.</w:t>
      </w:r>
    </w:p>
    <w:p>
      <w:pPr>
        <w:spacing w:after="0" w:line="180"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2"/>
          <w:szCs w:val="12"/>
          <w:b w:val="1"/>
          <w:bCs w:val="1"/>
          <w:color w:val="auto"/>
        </w:rPr>
        <w:t>Udnyttelseskurs</w:t>
      </w:r>
    </w:p>
    <w:p>
      <w:pPr>
        <w:spacing w:after="0" w:line="149" w:lineRule="exact"/>
        <w:rPr>
          <w:sz w:val="20"/>
          <w:szCs w:val="20"/>
          <w:color w:val="auto"/>
        </w:rPr>
      </w:pPr>
    </w:p>
    <w:p>
      <w:pPr>
        <w:jc w:val="both"/>
        <w:ind w:left="160"/>
        <w:spacing w:after="0" w:line="330" w:lineRule="auto"/>
        <w:rPr>
          <w:sz w:val="20"/>
          <w:szCs w:val="20"/>
          <w:color w:val="auto"/>
        </w:rPr>
      </w:pPr>
      <w:r>
        <w:rPr>
          <w:rFonts w:ascii="Arial" w:cs="Arial" w:eastAsia="Arial" w:hAnsi="Arial"/>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5"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Din retsstilling i forbindelse med fratræden</w:t>
      </w:r>
    </w:p>
    <w:p>
      <w:pPr>
        <w:spacing w:after="0" w:line="136" w:lineRule="exact"/>
        <w:rPr>
          <w:sz w:val="20"/>
          <w:szCs w:val="20"/>
          <w:color w:val="auto"/>
        </w:rPr>
      </w:pPr>
    </w:p>
    <w:p>
      <w:pPr>
        <w:jc w:val="both"/>
        <w:ind w:left="160"/>
        <w:spacing w:after="0" w:line="330" w:lineRule="auto"/>
        <w:rPr>
          <w:sz w:val="20"/>
          <w:szCs w:val="20"/>
          <w:color w:val="auto"/>
        </w:rPr>
      </w:pPr>
      <w:r>
        <w:rPr>
          <w:rFonts w:ascii="Arial" w:cs="Arial" w:eastAsia="Arial" w:hAnsi="Arial"/>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95"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b w:val="1"/>
          <w:bCs w:val="1"/>
          <w:color w:val="auto"/>
        </w:rPr>
        <w:t>Økonomiske aspekter ved at deltage i Ordningen</w:t>
      </w:r>
    </w:p>
    <w:p>
      <w:pPr>
        <w:spacing w:after="0" w:line="149" w:lineRule="exact"/>
        <w:rPr>
          <w:sz w:val="20"/>
          <w:szCs w:val="20"/>
          <w:color w:val="auto"/>
        </w:rPr>
      </w:pPr>
    </w:p>
    <w:p>
      <w:pPr>
        <w:jc w:val="both"/>
        <w:ind w:left="160"/>
        <w:spacing w:after="0" w:line="319" w:lineRule="auto"/>
        <w:rPr>
          <w:sz w:val="20"/>
          <w:szCs w:val="20"/>
          <w:color w:val="auto"/>
        </w:rPr>
      </w:pPr>
      <w:r>
        <w:rPr>
          <w:rFonts w:ascii="Arial" w:cs="Arial" w:eastAsia="Arial" w:hAnsi="Arial"/>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9" w:lineRule="exact"/>
        <w:rPr>
          <w:sz w:val="20"/>
          <w:szCs w:val="20"/>
          <w:color w:val="auto"/>
        </w:rPr>
      </w:pPr>
    </w:p>
    <w:p>
      <w:pPr>
        <w:jc w:val="both"/>
        <w:ind w:left="160"/>
        <w:spacing w:after="0" w:line="349" w:lineRule="auto"/>
        <w:rPr>
          <w:sz w:val="20"/>
          <w:szCs w:val="20"/>
          <w:color w:val="auto"/>
        </w:rPr>
      </w:pPr>
      <w:r>
        <w:rPr>
          <w:rFonts w:ascii="Arial" w:cs="Arial" w:eastAsia="Arial" w:hAnsi="Arial"/>
          <w:sz w:val="15"/>
          <w:szCs w:val="15"/>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APPENDIX C - 3</w:t>
      </w:r>
    </w:p>
    <w:p>
      <w:pPr>
        <w:sectPr>
          <w:pgSz w:w="11900" w:h="16838" w:orient="portrait"/>
          <w:cols w:equalWidth="0" w:num="1">
            <w:col w:w="10760"/>
          </w:cols>
          <w:pgMar w:left="480" w:top="986" w:right="659" w:bottom="1440" w:gutter="0" w:footer="0" w:header="0"/>
        </w:sectPr>
      </w:pPr>
    </w:p>
    <w:bookmarkStart w:id="108" w:name="page109"/>
    <w:bookmarkEnd w:id="108"/>
    <w:p>
      <w:pPr>
        <w:jc w:val="center"/>
        <w:ind w:right="-3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ARBEJDSGIVERERKLÆRING – DANMARK</w:t>
      </w:r>
    </w:p>
    <w:p>
      <w:pPr>
        <w:jc w:val="center"/>
        <w:ind w:right="-31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tabs>
          <w:tab w:leader="none" w:pos="58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2"/>
          <w:szCs w:val="12"/>
          <w:b w:val="1"/>
          <w:bCs w:val="1"/>
          <w:color w:val="auto"/>
        </w:rPr>
        <w:t>Diverse</w:t>
      </w:r>
    </w:p>
    <w:p>
      <w:pPr>
        <w:spacing w:after="0" w:line="149" w:lineRule="exact"/>
        <w:rPr>
          <w:sz w:val="20"/>
          <w:szCs w:val="20"/>
          <w:color w:val="auto"/>
        </w:rPr>
      </w:pPr>
    </w:p>
    <w:p>
      <w:pPr>
        <w:jc w:val="both"/>
        <w:ind w:left="320"/>
        <w:spacing w:after="0" w:line="319" w:lineRule="auto"/>
        <w:rPr>
          <w:sz w:val="20"/>
          <w:szCs w:val="20"/>
          <w:color w:val="auto"/>
        </w:rPr>
      </w:pPr>
      <w:r>
        <w:rPr>
          <w:rFonts w:ascii="Arial" w:cs="Arial" w:eastAsia="Arial" w:hAnsi="Arial"/>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Meddelelse afgivet af:</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- 4</w:t>
      </w:r>
    </w:p>
    <w:p>
      <w:pPr>
        <w:sectPr>
          <w:pgSz w:w="11900" w:h="16838" w:orient="portrait"/>
          <w:cols w:equalWidth="0" w:num="1">
            <w:col w:w="10920"/>
          </w:cols>
          <w:pgMar w:left="320" w:top="986" w:right="659" w:bottom="1440" w:gutter="0" w:footer="0" w:header="0"/>
        </w:sectPr>
      </w:pPr>
    </w:p>
    <w:bookmarkStart w:id="109" w:name="page110"/>
    <w:bookmarkEnd w:id="109"/>
    <w:p>
      <w:pPr>
        <w:jc w:val="center"/>
        <w:ind w:right="-3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D</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92"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Onscreen disclaimer</w:t>
      </w:r>
    </w:p>
    <w:p>
      <w:pPr>
        <w:spacing w:after="0" w:line="7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your restricted stock units or stock options (“Awards”) granted under the Analog Devices, Inc. Amended and Restated 1996 Stock Incentive Plan (the “Plan”), you are required to enter into an Election to transfer to you any liability for employer’s NICs that may arise in connection with your awards.</w:t>
      </w:r>
    </w:p>
    <w:p>
      <w:pPr>
        <w:spacing w:after="0" w:line="64"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Clicking on the “ACCEPT” box indicates your acceptance of the Election. You should read the “Important Note on the Election to Transfer Employer NICs” before accepting the Election.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Note on the Election to Transfer Employer NICs</w:t>
      </w:r>
    </w:p>
    <w:p>
      <w:pPr>
        <w:spacing w:after="0" w:line="8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67" w:lineRule="exact"/>
        <w:rPr>
          <w:sz w:val="20"/>
          <w:szCs w:val="20"/>
          <w:color w:val="auto"/>
        </w:rPr>
      </w:pPr>
    </w:p>
    <w:p>
      <w:pPr>
        <w:ind w:left="620" w:hanging="299"/>
        <w:spacing w:after="0"/>
        <w:tabs>
          <w:tab w:leader="none" w:pos="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you agree that any employer’s NICs liability that may arise in connection with your Awards will be transferred to you;</w:t>
      </w:r>
    </w:p>
    <w:p>
      <w:pPr>
        <w:ind w:left="640" w:hanging="319"/>
        <w:spacing w:after="0" w:line="205" w:lineRule="auto"/>
        <w:tabs>
          <w:tab w:leader="none" w:pos="629" w:val="left"/>
        </w:tabs>
        <w:numPr>
          <w:ilvl w:val="0"/>
          <w:numId w:val="94"/>
        </w:numPr>
        <w:rPr>
          <w:rFonts w:ascii="Arial" w:cs="Arial" w:eastAsia="Arial" w:hAnsi="Arial"/>
          <w:sz w:val="16"/>
          <w:szCs w:val="16"/>
          <w:color w:val="auto"/>
        </w:rPr>
      </w:pPr>
      <w:r>
        <w:rPr>
          <w:rFonts w:ascii="Arial" w:cs="Arial" w:eastAsia="Arial" w:hAnsi="Arial"/>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Arial" w:cs="Arial" w:eastAsia="Arial" w:hAnsi="Arial"/>
          <w:sz w:val="16"/>
          <w:szCs w:val="16"/>
          <w:color w:val="auto"/>
        </w:rPr>
      </w:pPr>
    </w:p>
    <w:p>
      <w:pPr>
        <w:ind w:left="640" w:hanging="319"/>
        <w:spacing w:after="0" w:line="224" w:lineRule="auto"/>
        <w:tabs>
          <w:tab w:leader="none" w:pos="629" w:val="left"/>
        </w:tabs>
        <w:numPr>
          <w:ilvl w:val="0"/>
          <w:numId w:val="94"/>
        </w:numPr>
        <w:rPr>
          <w:rFonts w:ascii="Arial" w:cs="Arial" w:eastAsia="Arial" w:hAnsi="Arial"/>
          <w:sz w:val="16"/>
          <w:szCs w:val="16"/>
          <w:color w:val="auto"/>
        </w:rPr>
      </w:pPr>
      <w:r>
        <w:rPr>
          <w:rFonts w:ascii="Arial" w:cs="Arial" w:eastAsia="Arial" w:hAnsi="Arial"/>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Election carefully before accepting the Election.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Please print and keep a copy of the Election for your records.</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- 1</w:t>
      </w:r>
    </w:p>
    <w:p>
      <w:pPr>
        <w:sectPr>
          <w:pgSz w:w="11900" w:h="16838" w:orient="portrait"/>
          <w:cols w:equalWidth="0" w:num="1">
            <w:col w:w="10920"/>
          </w:cols>
          <w:pgMar w:left="320" w:top="994" w:right="659" w:bottom="1440" w:gutter="0" w:footer="0" w:header="0"/>
        </w:sectPr>
      </w:pPr>
    </w:p>
    <w:bookmarkStart w:id="110" w:name="page111"/>
    <w:bookmarkEnd w:id="110"/>
    <w:p>
      <w:pPr>
        <w:jc w:val="center"/>
        <w:ind w:right="-3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D</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92"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28" w:lineRule="exact"/>
        <w:rPr>
          <w:sz w:val="20"/>
          <w:szCs w:val="20"/>
          <w:color w:val="auto"/>
        </w:rPr>
      </w:pPr>
    </w:p>
    <w:p>
      <w:pPr>
        <w:ind w:left="640" w:hanging="635"/>
        <w:spacing w:after="0" w:line="226" w:lineRule="auto"/>
        <w:tabs>
          <w:tab w:leader="none" w:pos="37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color w:val="auto"/>
        </w:rPr>
        <w:t>Employee</w:t>
      </w:r>
      <w:r>
        <w:rPr>
          <w:rFonts w:ascii="Arial" w:cs="Arial" w:eastAsia="Arial" w:hAnsi="Arial"/>
          <w:sz w:val="16"/>
          <w:szCs w:val="16"/>
          <w:color w:val="auto"/>
        </w:rPr>
        <w:t>”), who is employed by one of the employing companies listed in the attached schedule (the “</w:t>
      </w:r>
      <w:r>
        <w:rPr>
          <w:rFonts w:ascii="Arial" w:cs="Arial" w:eastAsia="Arial" w:hAnsi="Arial"/>
          <w:sz w:val="16"/>
          <w:szCs w:val="16"/>
          <w:b w:val="1"/>
          <w:bCs w:val="1"/>
          <w:color w:val="auto"/>
        </w:rPr>
        <w:t>Employer</w:t>
      </w:r>
      <w:r>
        <w:rPr>
          <w:rFonts w:ascii="Arial" w:cs="Arial" w:eastAsia="Arial" w:hAnsi="Arial"/>
          <w:sz w:val="16"/>
          <w:szCs w:val="16"/>
          <w:color w:val="auto"/>
        </w:rPr>
        <w:t>”) and who is eligible to receive restricted stock units and/or stock options (“</w:t>
      </w:r>
      <w:r>
        <w:rPr>
          <w:rFonts w:ascii="Arial" w:cs="Arial" w:eastAsia="Arial" w:hAnsi="Arial"/>
          <w:sz w:val="16"/>
          <w:szCs w:val="16"/>
          <w:b w:val="1"/>
          <w:bCs w:val="1"/>
          <w:color w:val="auto"/>
        </w:rPr>
        <w:t>Awards</w:t>
      </w:r>
      <w:r>
        <w:rPr>
          <w:rFonts w:ascii="Arial" w:cs="Arial" w:eastAsia="Arial" w:hAnsi="Arial"/>
          <w:sz w:val="16"/>
          <w:szCs w:val="16"/>
          <w:color w:val="auto"/>
        </w:rPr>
        <w:t>”) pursuant to the Analog Devices, Inc. Amended and Restated 1996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11" w:lineRule="exact"/>
        <w:rPr>
          <w:rFonts w:ascii="Arial" w:cs="Arial" w:eastAsia="Arial" w:hAnsi="Arial"/>
          <w:sz w:val="16"/>
          <w:szCs w:val="16"/>
          <w:color w:val="auto"/>
        </w:rPr>
      </w:pPr>
    </w:p>
    <w:p>
      <w:pPr>
        <w:ind w:left="640" w:hanging="635"/>
        <w:spacing w:after="0" w:line="236" w:lineRule="auto"/>
        <w:tabs>
          <w:tab w:leader="none" w:pos="3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Analog Devices, Inc. of One Analog Way, Wilmington, Massachusetts 01887, U.S.A. (the “</w:t>
      </w:r>
      <w:r>
        <w:rPr>
          <w:rFonts w:ascii="Arial" w:cs="Arial" w:eastAsia="Arial" w:hAnsi="Arial"/>
          <w:sz w:val="16"/>
          <w:szCs w:val="16"/>
          <w:b w:val="1"/>
          <w:bCs w:val="1"/>
          <w:color w:val="auto"/>
        </w:rPr>
        <w:t>Company</w:t>
      </w:r>
      <w:r>
        <w:rPr>
          <w:rFonts w:ascii="Arial" w:cs="Arial" w:eastAsia="Arial" w:hAnsi="Arial"/>
          <w:sz w:val="16"/>
          <w:szCs w:val="16"/>
          <w:color w:val="auto"/>
        </w:rPr>
        <w:t>”), which may grant Awards under the Plans and is entering into this Election on behalf of the Employer.</w:t>
      </w:r>
    </w:p>
    <w:p>
      <w:pPr>
        <w:spacing w:after="0" w:line="112" w:lineRule="exact"/>
        <w:rPr>
          <w:sz w:val="20"/>
          <w:szCs w:val="20"/>
          <w:color w:val="auto"/>
        </w:rPr>
      </w:pPr>
    </w:p>
    <w:p>
      <w:pPr>
        <w:ind w:left="640" w:hanging="635"/>
        <w:spacing w:after="0"/>
        <w:tabs>
          <w:tab w:leader="none" w:pos="64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or assumed and converted under the Plan up to the termination dates of the Plan.</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207" w:lineRule="exact"/>
        <w:rPr>
          <w:sz w:val="20"/>
          <w:szCs w:val="20"/>
          <w:color w:val="auto"/>
        </w:rPr>
      </w:pPr>
    </w:p>
    <w:p>
      <w:pPr>
        <w:ind w:left="1260" w:hanging="623"/>
        <w:spacing w:after="0"/>
        <w:tabs>
          <w:tab w:leader="none" w:pos="1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Chargeable Event</w:t>
      </w:r>
      <w:r>
        <w:rPr>
          <w:rFonts w:ascii="Arial" w:cs="Arial" w:eastAsia="Arial" w:hAnsi="Arial"/>
          <w:sz w:val="16"/>
          <w:szCs w:val="16"/>
          <w:color w:val="auto"/>
        </w:rPr>
        <w:t>” means any event giving rise to Relevant Employment Income.</w:t>
      </w:r>
    </w:p>
    <w:p>
      <w:pPr>
        <w:spacing w:after="0" w:line="210" w:lineRule="exact"/>
        <w:rPr>
          <w:rFonts w:ascii="Arial" w:cs="Arial" w:eastAsia="Arial" w:hAnsi="Arial"/>
          <w:sz w:val="16"/>
          <w:szCs w:val="16"/>
          <w:color w:val="auto"/>
        </w:rPr>
      </w:pPr>
    </w:p>
    <w:p>
      <w:pPr>
        <w:ind w:left="1260" w:hanging="623"/>
        <w:spacing w:after="0"/>
        <w:tabs>
          <w:tab w:leader="none" w:pos="1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ITEPA</w:t>
      </w:r>
      <w:r>
        <w:rPr>
          <w:rFonts w:ascii="Arial" w:cs="Arial" w:eastAsia="Arial" w:hAnsi="Arial"/>
          <w:sz w:val="16"/>
          <w:szCs w:val="16"/>
          <w:color w:val="auto"/>
        </w:rPr>
        <w:t>” means the Income Tax (Earnings and Pensions) Act 2003.</w:t>
      </w:r>
    </w:p>
    <w:p>
      <w:pPr>
        <w:spacing w:after="0" w:line="210" w:lineRule="exact"/>
        <w:rPr>
          <w:rFonts w:ascii="Arial" w:cs="Arial" w:eastAsia="Arial" w:hAnsi="Arial"/>
          <w:sz w:val="16"/>
          <w:szCs w:val="16"/>
          <w:color w:val="auto"/>
        </w:rPr>
      </w:pPr>
    </w:p>
    <w:p>
      <w:pPr>
        <w:ind w:left="1260" w:hanging="623"/>
        <w:spacing w:after="0"/>
        <w:tabs>
          <w:tab w:leader="none" w:pos="1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Employment Income</w:t>
      </w:r>
      <w:r>
        <w:rPr>
          <w:rFonts w:ascii="Arial" w:cs="Arial" w:eastAsia="Arial" w:hAnsi="Arial"/>
          <w:sz w:val="16"/>
          <w:szCs w:val="16"/>
          <w:color w:val="auto"/>
        </w:rPr>
        <w:t>” from Awards on which employer's National Insurance Contributions becomes due is defined as:</w:t>
      </w:r>
    </w:p>
    <w:p>
      <w:pPr>
        <w:spacing w:after="0" w:line="214" w:lineRule="exact"/>
        <w:rPr>
          <w:rFonts w:ascii="Arial" w:cs="Arial" w:eastAsia="Arial" w:hAnsi="Arial"/>
          <w:sz w:val="16"/>
          <w:szCs w:val="16"/>
          <w:color w:val="auto"/>
        </w:rPr>
      </w:pPr>
    </w:p>
    <w:p>
      <w:pPr>
        <w:ind w:left="1900" w:hanging="632"/>
        <w:spacing w:after="0" w:line="233" w:lineRule="auto"/>
        <w:tabs>
          <w:tab w:leader="none" w:pos="1891"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95" w:lineRule="exact"/>
        <w:rPr>
          <w:rFonts w:ascii="Arial" w:cs="Arial" w:eastAsia="Arial" w:hAnsi="Arial"/>
          <w:sz w:val="16"/>
          <w:szCs w:val="16"/>
          <w:color w:val="auto"/>
        </w:rPr>
      </w:pPr>
    </w:p>
    <w:p>
      <w:pPr>
        <w:ind w:left="1900" w:hanging="632"/>
        <w:spacing w:after="0" w:line="233" w:lineRule="auto"/>
        <w:tabs>
          <w:tab w:leader="none" w:pos="1895"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95" w:lineRule="exact"/>
        <w:rPr>
          <w:rFonts w:ascii="Arial" w:cs="Arial" w:eastAsia="Arial" w:hAnsi="Arial"/>
          <w:sz w:val="16"/>
          <w:szCs w:val="16"/>
          <w:color w:val="auto"/>
        </w:rPr>
      </w:pPr>
    </w:p>
    <w:p>
      <w:pPr>
        <w:ind w:left="1900" w:hanging="632"/>
        <w:spacing w:after="0" w:line="233" w:lineRule="auto"/>
        <w:tabs>
          <w:tab w:leader="none" w:pos="1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any gain that is treated as remuneration derived from the earner's employment by virtue of section 4(4)(a) SSCBA, including without limitation:</w:t>
      </w:r>
    </w:p>
    <w:p>
      <w:pPr>
        <w:spacing w:after="0" w:line="195" w:lineRule="exact"/>
        <w:rPr>
          <w:rFonts w:ascii="Arial" w:cs="Arial" w:eastAsia="Arial" w:hAnsi="Arial"/>
          <w:sz w:val="16"/>
          <w:szCs w:val="16"/>
          <w:color w:val="auto"/>
        </w:rPr>
      </w:pPr>
    </w:p>
    <w:p>
      <w:pPr>
        <w:ind w:left="2520" w:hanging="620"/>
        <w:spacing w:after="0"/>
        <w:tabs>
          <w:tab w:leader="none" w:pos="2520" w:val="left"/>
        </w:tabs>
        <w:numPr>
          <w:ilvl w:val="2"/>
          <w:numId w:val="97"/>
        </w:numPr>
        <w:rPr>
          <w:rFonts w:ascii="Arial" w:cs="Arial" w:eastAsia="Arial" w:hAnsi="Arial"/>
          <w:sz w:val="16"/>
          <w:szCs w:val="16"/>
          <w:color w:val="auto"/>
        </w:rPr>
      </w:pPr>
      <w:r>
        <w:rPr>
          <w:rFonts w:ascii="Arial" w:cs="Arial" w:eastAsia="Arial" w:hAnsi="Arial"/>
          <w:sz w:val="16"/>
          <w:szCs w:val="16"/>
          <w:color w:val="auto"/>
        </w:rPr>
        <w:t>the acquisition of securities pursuant to the Awards (within the meaning of section 477(3)(a) of ITEPA);</w:t>
      </w:r>
    </w:p>
    <w:p>
      <w:pPr>
        <w:spacing w:after="0" w:line="210" w:lineRule="exact"/>
        <w:rPr>
          <w:rFonts w:ascii="Arial" w:cs="Arial" w:eastAsia="Arial" w:hAnsi="Arial"/>
          <w:sz w:val="16"/>
          <w:szCs w:val="16"/>
          <w:color w:val="auto"/>
        </w:rPr>
      </w:pPr>
    </w:p>
    <w:p>
      <w:pPr>
        <w:ind w:left="2540" w:hanging="640"/>
        <w:spacing w:after="0" w:line="233" w:lineRule="auto"/>
        <w:tabs>
          <w:tab w:leader="none" w:pos="2540" w:val="left"/>
        </w:tabs>
        <w:numPr>
          <w:ilvl w:val="2"/>
          <w:numId w:val="97"/>
        </w:numPr>
        <w:rPr>
          <w:rFonts w:ascii="Arial" w:cs="Arial" w:eastAsia="Arial" w:hAnsi="Arial"/>
          <w:sz w:val="16"/>
          <w:szCs w:val="16"/>
          <w:color w:val="auto"/>
        </w:rPr>
      </w:pPr>
      <w:r>
        <w:rPr>
          <w:rFonts w:ascii="Arial" w:cs="Arial" w:eastAsia="Arial" w:hAnsi="Arial"/>
          <w:sz w:val="16"/>
          <w:szCs w:val="16"/>
          <w:color w:val="auto"/>
        </w:rPr>
        <w:t>the assignment (if applicable) or release of the Awards in return for consideration (within the meaning of section 477(3)(b) of ITEPA);</w:t>
      </w:r>
    </w:p>
    <w:p>
      <w:pPr>
        <w:spacing w:after="0" w:line="195" w:lineRule="exact"/>
        <w:rPr>
          <w:rFonts w:ascii="Arial" w:cs="Arial" w:eastAsia="Arial" w:hAnsi="Arial"/>
          <w:sz w:val="16"/>
          <w:szCs w:val="16"/>
          <w:color w:val="auto"/>
        </w:rPr>
      </w:pPr>
    </w:p>
    <w:p>
      <w:pPr>
        <w:ind w:left="2540" w:hanging="640"/>
        <w:spacing w:after="0" w:line="233" w:lineRule="auto"/>
        <w:tabs>
          <w:tab w:leader="none" w:pos="2540" w:val="left"/>
        </w:tabs>
        <w:numPr>
          <w:ilvl w:val="2"/>
          <w:numId w:val="97"/>
        </w:numPr>
        <w:rPr>
          <w:rFonts w:ascii="Arial" w:cs="Arial" w:eastAsia="Arial" w:hAnsi="Arial"/>
          <w:sz w:val="16"/>
          <w:szCs w:val="16"/>
          <w:color w:val="auto"/>
        </w:rPr>
      </w:pPr>
      <w:r>
        <w:rPr>
          <w:rFonts w:ascii="Arial" w:cs="Arial" w:eastAsia="Arial" w:hAnsi="Arial"/>
          <w:sz w:val="16"/>
          <w:szCs w:val="16"/>
          <w:color w:val="auto"/>
        </w:rPr>
        <w:t>the receipt of a benefit in connection with the Awards, other than a benefit within (i) or (ii) above (within the meaning of section 477(3)(c) of ITEPA);</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1260" w:hanging="623"/>
        <w:spacing w:after="0"/>
        <w:tabs>
          <w:tab w:leader="none" w:pos="12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SSCBA</w:t>
      </w:r>
      <w:r>
        <w:rPr>
          <w:rFonts w:ascii="Arial" w:cs="Arial" w:eastAsia="Arial" w:hAnsi="Arial"/>
          <w:sz w:val="16"/>
          <w:szCs w:val="16"/>
          <w:color w:val="auto"/>
        </w:rPr>
        <w:t>” means the Social Security Contributions and Benefits Act 1992.</w:t>
      </w:r>
    </w:p>
    <w:p>
      <w:pPr>
        <w:spacing w:after="0" w:line="21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91" w:lineRule="exact"/>
        <w:rPr>
          <w:sz w:val="20"/>
          <w:szCs w:val="20"/>
          <w:color w:val="auto"/>
        </w:rPr>
      </w:pPr>
    </w:p>
    <w:p>
      <w:pPr>
        <w:ind w:left="640" w:hanging="635"/>
        <w:spacing w:after="0"/>
        <w:tabs>
          <w:tab w:leader="none" w:pos="64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214" w:lineRule="exact"/>
        <w:rPr>
          <w:rFonts w:ascii="Arial" w:cs="Arial" w:eastAsia="Arial" w:hAnsi="Arial"/>
          <w:sz w:val="16"/>
          <w:szCs w:val="16"/>
          <w:b w:val="1"/>
          <w:bCs w:val="1"/>
          <w:color w:val="auto"/>
        </w:rPr>
      </w:pPr>
    </w:p>
    <w:p>
      <w:pPr>
        <w:jc w:val="both"/>
        <w:ind w:left="640"/>
        <w:spacing w:after="0" w:line="255" w:lineRule="auto"/>
        <w:rPr>
          <w:rFonts w:ascii="Arial" w:cs="Arial" w:eastAsia="Arial" w:hAnsi="Arial"/>
          <w:sz w:val="16"/>
          <w:szCs w:val="16"/>
          <w:b w:val="1"/>
          <w:bCs w:val="1"/>
          <w:color w:val="auto"/>
        </w:rPr>
      </w:pPr>
      <w:r>
        <w:rPr>
          <w:rFonts w:ascii="Arial" w:cs="Arial" w:eastAsia="Arial" w:hAnsi="Arial"/>
          <w:sz w:val="14"/>
          <w:szCs w:val="14"/>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signing or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994" w:right="659" w:bottom="1440" w:gutter="0" w:footer="0" w:header="0"/>
        </w:sect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APPENDIX D - 2</w:t>
      </w:r>
    </w:p>
    <w:p>
      <w:pPr>
        <w:sectPr>
          <w:pgSz w:w="11900" w:h="16838" w:orient="portrait"/>
          <w:cols w:equalWidth="0" w:num="1">
            <w:col w:w="10920"/>
          </w:cols>
          <w:pgMar w:left="320" w:top="994" w:right="659" w:bottom="1440" w:gutter="0" w:footer="0" w:header="0"/>
          <w:type w:val="continuous"/>
        </w:sectPr>
      </w:pPr>
    </w:p>
    <w:bookmarkStart w:id="111" w:name="page112"/>
    <w:bookmarkEnd w:id="111"/>
    <w:p>
      <w:pPr>
        <w:jc w:val="center"/>
        <w:ind w:right="-1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t>APPENDIX 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hanging="635"/>
        <w:spacing w:after="0"/>
        <w:tabs>
          <w:tab w:leader="none" w:pos="74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20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The Employee hereby authorizes the Company and/or the Employer to collect the Employer’s Liability in respect of any Relevant Employment Income from the</w:t>
      </w:r>
    </w:p>
    <w:p>
      <w:pPr>
        <w:ind w:left="740"/>
        <w:spacing w:after="0"/>
        <w:rPr>
          <w:sz w:val="20"/>
          <w:szCs w:val="20"/>
          <w:color w:val="auto"/>
        </w:rPr>
      </w:pPr>
      <w:r>
        <w:rPr>
          <w:rFonts w:ascii="Arial" w:cs="Arial" w:eastAsia="Arial" w:hAnsi="Arial"/>
          <w:sz w:val="16"/>
          <w:szCs w:val="16"/>
          <w:color w:val="auto"/>
        </w:rPr>
        <w:t>Employee at any time after the Chargeable Event:</w:t>
      </w:r>
    </w:p>
    <w:p>
      <w:pPr>
        <w:spacing w:after="0" w:line="197" w:lineRule="exact"/>
        <w:rPr>
          <w:sz w:val="20"/>
          <w:szCs w:val="20"/>
          <w:color w:val="auto"/>
        </w:rPr>
      </w:pPr>
    </w:p>
    <w:p>
      <w:pPr>
        <w:ind w:left="1040" w:hanging="303"/>
        <w:spacing w:after="0"/>
        <w:tabs>
          <w:tab w:leader="none" w:pos="10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Chargeable Event; and/or</w:t>
      </w:r>
    </w:p>
    <w:p>
      <w:pPr>
        <w:spacing w:after="0" w:line="79" w:lineRule="exact"/>
        <w:rPr>
          <w:rFonts w:ascii="Arial" w:cs="Arial" w:eastAsia="Arial" w:hAnsi="Arial"/>
          <w:sz w:val="16"/>
          <w:szCs w:val="16"/>
          <w:color w:val="auto"/>
        </w:rPr>
      </w:pPr>
    </w:p>
    <w:p>
      <w:pPr>
        <w:ind w:left="1080" w:hanging="343"/>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79" w:lineRule="exact"/>
        <w:rPr>
          <w:rFonts w:ascii="Arial" w:cs="Arial" w:eastAsia="Arial" w:hAnsi="Arial"/>
          <w:sz w:val="16"/>
          <w:szCs w:val="16"/>
          <w:color w:val="auto"/>
        </w:rPr>
      </w:pPr>
    </w:p>
    <w:p>
      <w:pPr>
        <w:ind w:left="1140" w:hanging="403"/>
        <w:spacing w:after="0"/>
        <w:tabs>
          <w:tab w:leader="none" w:pos="11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by arranging, on behalf of the Employee, for the sale of some of the securities which the Employee is entitled to receive in respect of the Awards; and/or</w:t>
      </w:r>
    </w:p>
    <w:p>
      <w:pPr>
        <w:spacing w:after="0" w:line="90" w:lineRule="exact"/>
        <w:rPr>
          <w:rFonts w:ascii="Arial" w:cs="Arial" w:eastAsia="Arial" w:hAnsi="Arial"/>
          <w:sz w:val="15"/>
          <w:szCs w:val="15"/>
          <w:color w:val="auto"/>
        </w:rPr>
      </w:pPr>
    </w:p>
    <w:p>
      <w:pPr>
        <w:ind w:left="1120" w:hanging="383"/>
        <w:spacing w:after="0"/>
        <w:tabs>
          <w:tab w:leader="none" w:pos="11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79" w:lineRule="exact"/>
        <w:rPr>
          <w:sz w:val="20"/>
          <w:szCs w:val="20"/>
          <w:color w:val="auto"/>
        </w:rPr>
      </w:pPr>
    </w:p>
    <w:p>
      <w:pPr>
        <w:jc w:val="both"/>
        <w:ind w:left="740" w:right="320" w:hanging="631"/>
        <w:spacing w:after="0" w:line="233" w:lineRule="auto"/>
        <w:tabs>
          <w:tab w:leader="none" w:pos="7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5" w:lineRule="exact"/>
        <w:rPr>
          <w:sz w:val="20"/>
          <w:szCs w:val="20"/>
          <w:color w:val="auto"/>
        </w:rPr>
      </w:pPr>
    </w:p>
    <w:p>
      <w:pPr>
        <w:jc w:val="both"/>
        <w:ind w:left="740" w:right="320" w:hanging="631"/>
        <w:spacing w:after="0" w:line="224" w:lineRule="auto"/>
        <w:tabs>
          <w:tab w:leader="none" w:pos="7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740" w:hanging="635"/>
        <w:spacing w:after="0"/>
        <w:tabs>
          <w:tab w:leader="none" w:pos="74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215" w:lineRule="exact"/>
        <w:rPr>
          <w:sz w:val="20"/>
          <w:szCs w:val="20"/>
          <w:color w:val="auto"/>
        </w:rPr>
      </w:pPr>
    </w:p>
    <w:p>
      <w:pPr>
        <w:ind w:left="740" w:right="320" w:hanging="631"/>
        <w:spacing w:after="0" w:line="233" w:lineRule="auto"/>
        <w:tabs>
          <w:tab w:leader="none" w:pos="7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5"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This Election will continue in effect until the earliest of the following:</w:t>
      </w:r>
    </w:p>
    <w:p>
      <w:pPr>
        <w:spacing w:after="0" w:line="211" w:lineRule="exact"/>
        <w:rPr>
          <w:sz w:val="20"/>
          <w:szCs w:val="20"/>
          <w:color w:val="auto"/>
        </w:rPr>
      </w:pPr>
    </w:p>
    <w:p>
      <w:pPr>
        <w:ind w:left="1040" w:hanging="303"/>
        <w:spacing w:after="0"/>
        <w:tabs>
          <w:tab w:leader="none" w:pos="10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31" w:lineRule="exact"/>
        <w:rPr>
          <w:rFonts w:ascii="Arial" w:cs="Arial" w:eastAsia="Arial" w:hAnsi="Arial"/>
          <w:sz w:val="16"/>
          <w:szCs w:val="16"/>
          <w:color w:val="auto"/>
        </w:rPr>
      </w:pPr>
    </w:p>
    <w:p>
      <w:pPr>
        <w:ind w:left="1120" w:hanging="383"/>
        <w:spacing w:after="0"/>
        <w:tabs>
          <w:tab w:leader="none" w:pos="11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31" w:lineRule="exact"/>
        <w:rPr>
          <w:rFonts w:ascii="Arial" w:cs="Arial" w:eastAsia="Arial" w:hAnsi="Arial"/>
          <w:sz w:val="16"/>
          <w:szCs w:val="16"/>
          <w:color w:val="auto"/>
        </w:rPr>
      </w:pPr>
    </w:p>
    <w:p>
      <w:pPr>
        <w:ind w:left="1180" w:hanging="443"/>
        <w:spacing w:after="0"/>
        <w:tabs>
          <w:tab w:leader="none" w:pos="11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31" w:lineRule="exact"/>
        <w:rPr>
          <w:rFonts w:ascii="Arial" w:cs="Arial" w:eastAsia="Arial" w:hAnsi="Arial"/>
          <w:sz w:val="16"/>
          <w:szCs w:val="16"/>
          <w:color w:val="auto"/>
        </w:rPr>
      </w:pPr>
    </w:p>
    <w:p>
      <w:pPr>
        <w:ind w:left="1360" w:hanging="623"/>
        <w:spacing w:after="0" w:line="233" w:lineRule="auto"/>
        <w:tabs>
          <w:tab w:leader="none" w:pos="116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6"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211" w:lineRule="exact"/>
        <w:rPr>
          <w:sz w:val="20"/>
          <w:szCs w:val="20"/>
          <w:color w:val="auto"/>
        </w:rPr>
      </w:pPr>
    </w:p>
    <w:p>
      <w:pPr>
        <w:jc w:val="both"/>
        <w:ind w:left="740" w:hanging="631"/>
        <w:spacing w:after="0" w:line="224" w:lineRule="auto"/>
        <w:tabs>
          <w:tab w:leader="none" w:pos="72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83" w:lineRule="exact"/>
        <w:rPr>
          <w:sz w:val="20"/>
          <w:szCs w:val="20"/>
          <w:color w:val="auto"/>
        </w:rPr>
      </w:pPr>
    </w:p>
    <w:p>
      <w:pPr>
        <w:ind w:left="100" w:right="320"/>
        <w:spacing w:after="0" w:line="233" w:lineRule="auto"/>
        <w:rPr>
          <w:sz w:val="20"/>
          <w:szCs w:val="20"/>
          <w:color w:val="auto"/>
        </w:rPr>
      </w:pPr>
      <w:r>
        <w:rPr>
          <w:rFonts w:ascii="Arial" w:cs="Arial" w:eastAsia="Arial" w:hAnsi="Arial"/>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6"/>
          <w:szCs w:val="16"/>
          <w:b w:val="1"/>
          <w:bCs w:val="1"/>
          <w:u w:val="single" w:color="auto"/>
          <w:color w:val="auto"/>
        </w:rPr>
        <w:t>Acceptance by Analog Devices, Inc.</w:t>
      </w:r>
    </w:p>
    <w:p>
      <w:pPr>
        <w:spacing w:after="0" w:line="83" w:lineRule="exact"/>
        <w:rPr>
          <w:sz w:val="20"/>
          <w:szCs w:val="20"/>
          <w:color w:val="auto"/>
        </w:rPr>
      </w:pPr>
    </w:p>
    <w:p>
      <w:pPr>
        <w:ind w:left="100"/>
        <w:spacing w:after="0" w:line="233" w:lineRule="auto"/>
        <w:rPr>
          <w:sz w:val="20"/>
          <w:szCs w:val="20"/>
          <w:color w:val="auto"/>
        </w:rPr>
      </w:pPr>
      <w:r>
        <w:rPr>
          <w:rFonts w:ascii="Arial" w:cs="Arial" w:eastAsia="Arial" w:hAnsi="Arial"/>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Signature for and on behalf of Analog Devices, Inc.</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14605</wp:posOffset>
            </wp:positionV>
            <wp:extent cx="264858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 Ahern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sident, Global Total Rewards &amp; HR Services</w:t>
      </w:r>
    </w:p>
    <w:p>
      <w:pPr>
        <w:sectPr>
          <w:pgSz w:w="11900" w:h="16838" w:orient="portrait"/>
          <w:cols w:equalWidth="0" w:num="1">
            <w:col w:w="11340"/>
          </w:cols>
          <w:pgMar w:left="220" w:top="994"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APPENDIX D - 3</w:t>
      </w:r>
    </w:p>
    <w:p>
      <w:pPr>
        <w:sectPr>
          <w:pgSz w:w="11900" w:h="16838" w:orient="portrait"/>
          <w:cols w:equalWidth="0" w:num="1">
            <w:col w:w="11340"/>
          </w:cols>
          <w:pgMar w:left="220" w:top="994" w:right="339" w:bottom="1440" w:gutter="0" w:footer="0" w:header="0"/>
          <w:type w:val="continuous"/>
        </w:sectPr>
      </w:pPr>
    </w:p>
    <w:bookmarkStart w:id="112" w:name="page113"/>
    <w:bookmarkEnd w:id="112"/>
    <w:p>
      <w:pPr>
        <w:jc w:val="center"/>
        <w:ind w:right="-1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D</w:t>
      </w:r>
    </w:p>
    <w:p>
      <w:pPr>
        <w:spacing w:after="0" w:line="7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Date: Grant Date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- 4</w:t>
      </w:r>
    </w:p>
    <w:p>
      <w:pPr>
        <w:sectPr>
          <w:pgSz w:w="11900" w:h="16838" w:orient="portrait"/>
          <w:cols w:equalWidth="0" w:num="1">
            <w:col w:w="10139"/>
          </w:cols>
          <w:pgMar w:left="320" w:top="994" w:right="1440" w:bottom="1440" w:gutter="0" w:footer="0" w:header="0"/>
        </w:sectPr>
      </w:pPr>
    </w:p>
    <w:bookmarkStart w:id="113" w:name="page114"/>
    <w:bookmarkEnd w:id="113"/>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D</w:t>
      </w:r>
    </w:p>
    <w:p>
      <w:pPr>
        <w:spacing w:after="0" w:line="7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9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80"/>
        <w:spacing w:after="0"/>
        <w:rPr>
          <w:sz w:val="20"/>
          <w:szCs w:val="20"/>
          <w:color w:val="auto"/>
        </w:rPr>
      </w:pPr>
      <w:r>
        <w:rPr>
          <w:rFonts w:ascii="Arial" w:cs="Arial" w:eastAsia="Arial" w:hAnsi="Arial"/>
          <w:sz w:val="16"/>
          <w:szCs w:val="16"/>
          <w:b w:val="1"/>
          <w:bCs w:val="1"/>
          <w:u w:val="single" w:color="auto"/>
          <w:color w:val="auto"/>
        </w:rPr>
        <w:t>Schedule of Employer Companies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each company, provide the following details: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Limited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 Pressing Lane, Blyth Road, Hayes, England, UB3 1EP</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00895439</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6873689030216A</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120/A4055</w:t>
            </w:r>
          </w:p>
        </w:tc>
      </w:tr>
      <w:tr>
        <w:trPr>
          <w:trHeight w:val="490"/>
        </w:trPr>
        <w:tc>
          <w:tcPr>
            <w:tcW w:w="4600" w:type="dxa"/>
            <w:vAlign w:val="bottom"/>
            <w:gridSpan w:val="2"/>
          </w:tcPr>
          <w:p>
            <w:pPr>
              <w:spacing w:after="0"/>
              <w:rPr>
                <w:sz w:val="20"/>
                <w:szCs w:val="20"/>
                <w:color w:val="auto"/>
              </w:rPr>
            </w:pPr>
            <w:r>
              <w:rPr>
                <w:rFonts w:ascii="Arial" w:cs="Arial" w:eastAsia="Arial" w:hAnsi="Arial"/>
                <w:sz w:val="16"/>
                <w:szCs w:val="16"/>
                <w:color w:val="auto"/>
              </w:rPr>
              <w:t>Linear Technology (UK) Limited</w:t>
            </w:r>
          </w:p>
        </w:tc>
        <w:tc>
          <w:tcPr>
            <w:tcW w:w="4580" w:type="dxa"/>
            <w:vAlign w:val="bottom"/>
          </w:tcPr>
          <w:p>
            <w:pPr>
              <w:spacing w:after="0"/>
              <w:rPr>
                <w:sz w:val="24"/>
                <w:szCs w:val="24"/>
                <w:color w:val="auto"/>
              </w:rPr>
            </w:pPr>
          </w:p>
        </w:tc>
      </w:tr>
      <w:tr>
        <w:trPr>
          <w:trHeight w:val="217"/>
        </w:trPr>
        <w:tc>
          <w:tcPr>
            <w:tcW w:w="1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3 The Listons, Liston Road, Marlow, Buckinghamshire, SL7 1FD</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02149602</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120PA00148447</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120/L30589</w:t>
            </w:r>
          </w:p>
        </w:tc>
      </w:tr>
      <w:tr>
        <w:trPr>
          <w:trHeight w:val="503"/>
        </w:trPr>
        <w:tc>
          <w:tcPr>
            <w:tcW w:w="4600" w:type="dxa"/>
            <w:vAlign w:val="bottom"/>
            <w:gridSpan w:val="2"/>
          </w:tcPr>
          <w:p>
            <w:pPr>
              <w:spacing w:after="0"/>
              <w:rPr>
                <w:sz w:val="20"/>
                <w:szCs w:val="20"/>
                <w:color w:val="auto"/>
              </w:rPr>
            </w:pPr>
            <w:r>
              <w:rPr>
                <w:rFonts w:ascii="Arial" w:cs="Arial" w:eastAsia="Arial" w:hAnsi="Arial"/>
                <w:sz w:val="16"/>
                <w:szCs w:val="16"/>
                <w:color w:val="auto"/>
              </w:rPr>
              <w:t>Maxim Integrated Products UK Limited</w:t>
            </w:r>
          </w:p>
        </w:tc>
        <w:tc>
          <w:tcPr>
            <w:tcW w:w="4580" w:type="dxa"/>
            <w:vAlign w:val="bottom"/>
          </w:tcPr>
          <w:p>
            <w:pPr>
              <w:spacing w:after="0"/>
              <w:rPr>
                <w:sz w:val="24"/>
                <w:szCs w:val="24"/>
                <w:color w:val="auto"/>
              </w:rPr>
            </w:pPr>
          </w:p>
        </w:tc>
      </w:tr>
      <w:tr>
        <w:trPr>
          <w:trHeight w:val="165"/>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3"/>
              </w:rPr>
              <w:t>First Floor, Templeback, 10 Temple Back, Bristol, England, BS1 6FL</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01873931</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56090 07213</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577/RM581</w:t>
            </w:r>
          </w:p>
        </w:tc>
      </w:tr>
      <w:tr>
        <w:trPr>
          <w:trHeight w:val="503"/>
        </w:trPr>
        <w:tc>
          <w:tcPr>
            <w:tcW w:w="4600" w:type="dxa"/>
            <w:vAlign w:val="bottom"/>
            <w:gridSpan w:val="2"/>
          </w:tcPr>
          <w:p>
            <w:pPr>
              <w:spacing w:after="0"/>
              <w:rPr>
                <w:sz w:val="20"/>
                <w:szCs w:val="20"/>
                <w:color w:val="auto"/>
              </w:rPr>
            </w:pPr>
            <w:r>
              <w:rPr>
                <w:rFonts w:ascii="Arial" w:cs="Arial" w:eastAsia="Arial" w:hAnsi="Arial"/>
                <w:sz w:val="16"/>
                <w:szCs w:val="16"/>
                <w:color w:val="auto"/>
              </w:rPr>
              <w:t>Calvatec</w:t>
            </w:r>
          </w:p>
        </w:tc>
        <w:tc>
          <w:tcPr>
            <w:tcW w:w="4580" w:type="dxa"/>
            <w:vAlign w:val="bottom"/>
          </w:tcPr>
          <w:p>
            <w:pPr>
              <w:spacing w:after="0"/>
              <w:rPr>
                <w:sz w:val="24"/>
                <w:szCs w:val="24"/>
                <w:color w:val="auto"/>
              </w:rPr>
            </w:pPr>
          </w:p>
        </w:tc>
      </w:tr>
      <w:tr>
        <w:trPr>
          <w:trHeight w:val="165"/>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154"/>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w w:val="94"/>
              </w:rPr>
              <w:t>50 Lothian Road, Festival Square, Edinburgh, United Kingdom EH3</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9WJ</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SC342295</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4889926696</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961/VA27993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Phyworks</w:t>
      </w:r>
    </w:p>
    <w:p>
      <w:pPr>
        <w:spacing w:after="0" w:line="39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- 5</w:t>
      </w:r>
    </w:p>
    <w:p>
      <w:pPr>
        <w:sectPr>
          <w:pgSz w:w="11900" w:h="16838" w:orient="portrait"/>
          <w:cols w:equalWidth="0" w:num="1">
            <w:col w:w="10139"/>
          </w:cols>
          <w:pgMar w:left="320" w:top="994" w:right="1440" w:bottom="1440" w:gutter="0" w:footer="0" w:header="0"/>
        </w:sectPr>
      </w:pPr>
    </w:p>
    <w:bookmarkStart w:id="114" w:name="page115"/>
    <w:bookmarkEnd w:id="114"/>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t>APPENDIX D</w:t>
      </w:r>
    </w:p>
    <w:p>
      <w:pPr>
        <w:spacing w:after="0" w:line="7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7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AMENDED AND RESTATED 1996 STOCK INCENTIVE PLAN</w:t>
      </w:r>
    </w:p>
    <w:p>
      <w:pPr>
        <w:spacing w:after="0" w:line="9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3"/>
              </w:rPr>
              <w:t>First Floor, Templeback, 10 Temple Back, Bristol, England, BS1 6FL</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04075331</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1086827375</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w:t>
            </w:r>
          </w:p>
        </w:tc>
      </w:tr>
      <w:tr>
        <w:trPr>
          <w:trHeight w:val="490"/>
        </w:trPr>
        <w:tc>
          <w:tcPr>
            <w:tcW w:w="9180" w:type="dxa"/>
            <w:vAlign w:val="bottom"/>
            <w:gridSpan w:val="3"/>
          </w:tcPr>
          <w:p>
            <w:pPr>
              <w:spacing w:after="0"/>
              <w:rPr>
                <w:sz w:val="20"/>
                <w:szCs w:val="20"/>
                <w:color w:val="auto"/>
              </w:rPr>
            </w:pPr>
            <w:r>
              <w:rPr>
                <w:rFonts w:ascii="Arial" w:cs="Arial" w:eastAsia="Arial" w:hAnsi="Arial"/>
                <w:sz w:val="16"/>
                <w:szCs w:val="16"/>
                <w:color w:val="auto"/>
              </w:rPr>
              <w:t>Maxim Integrated Products International Sales Limited UK Establishment</w:t>
            </w:r>
          </w:p>
        </w:tc>
      </w:tr>
      <w:tr>
        <w:trPr>
          <w:trHeight w:val="165"/>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612 Reading Road, Wokingham, Winnersh, RG41 5HE</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BR014351</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27787 13294</w:t>
            </w: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- 6</w:t>
      </w:r>
    </w:p>
    <w:p>
      <w:pPr>
        <w:sectPr>
          <w:pgSz w:w="11900" w:h="16838" w:orient="portrait"/>
          <w:cols w:equalWidth="0" w:num="1">
            <w:col w:w="10139"/>
          </w:cols>
          <w:pgMar w:left="320" w:top="994"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10.4</w:t>
      </w:r>
    </w:p>
    <w:p>
      <w:pPr>
        <w:spacing w:after="0" w:line="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2020 EQUITY INCENTIVE PLAN</w:t>
      </w:r>
    </w:p>
    <w:p>
      <w:pPr>
        <w:jc w:val="center"/>
        <w:ind w:right="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Participant Name</w:t>
      </w:r>
    </w:p>
    <w:p>
      <w:pPr>
        <w:spacing w:after="0" w:line="223" w:lineRule="auto"/>
        <w:rPr>
          <w:sz w:val="20"/>
          <w:szCs w:val="20"/>
          <w:color w:val="auto"/>
        </w:rPr>
      </w:pPr>
      <w:r>
        <w:rPr>
          <w:rFonts w:ascii="Arial" w:cs="Arial" w:eastAsia="Arial" w:hAnsi="Arial"/>
          <w:sz w:val="16"/>
          <w:szCs w:val="16"/>
          <w:color w:val="auto"/>
        </w:rPr>
        <w:t>Employee ID</w:t>
      </w:r>
    </w:p>
    <w:p>
      <w:pPr>
        <w:spacing w:after="0"/>
        <w:rPr>
          <w:sz w:val="20"/>
          <w:szCs w:val="20"/>
          <w:color w:val="auto"/>
        </w:rPr>
      </w:pPr>
      <w:r>
        <w:rPr>
          <w:rFonts w:ascii="Arial" w:cs="Arial" w:eastAsia="Arial" w:hAnsi="Arial"/>
          <w:sz w:val="16"/>
          <w:szCs w:val="16"/>
          <w:color w:val="auto"/>
        </w:rPr>
        <w:t>Grant ID: Client Grant ID</w:t>
      </w:r>
    </w:p>
    <w:p>
      <w:pPr>
        <w:spacing w:after="0" w:line="197" w:lineRule="exact"/>
        <w:rPr>
          <w:sz w:val="20"/>
          <w:szCs w:val="20"/>
          <w:color w:val="auto"/>
        </w:rPr>
      </w:pPr>
    </w:p>
    <w:p>
      <w:pPr>
        <w:jc w:val="both"/>
        <w:ind w:right="320"/>
        <w:spacing w:after="0" w:line="247" w:lineRule="auto"/>
        <w:rPr>
          <w:sz w:val="20"/>
          <w:szCs w:val="20"/>
          <w:color w:val="auto"/>
        </w:rPr>
      </w:pPr>
      <w:r>
        <w:rPr>
          <w:rFonts w:ascii="Arial" w:cs="Arial" w:eastAsia="Arial" w:hAnsi="Arial"/>
          <w:sz w:val="14"/>
          <w:szCs w:val="14"/>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11" w:lineRule="exact"/>
        <w:rPr>
          <w:sz w:val="20"/>
          <w:szCs w:val="20"/>
          <w:color w:val="auto"/>
        </w:rPr>
      </w:pPr>
    </w:p>
    <w:p>
      <w:pPr>
        <w:ind w:left="320" w:hanging="319"/>
        <w:spacing w:after="0"/>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Performance Restricted Stock Unit</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320" w:right="320"/>
        <w:spacing w:after="0" w:line="233" w:lineRule="auto"/>
        <w:rPr>
          <w:rFonts w:ascii="Arial" w:cs="Arial" w:eastAsia="Arial" w:hAnsi="Arial"/>
          <w:sz w:val="16"/>
          <w:szCs w:val="16"/>
          <w:color w:val="auto"/>
        </w:rPr>
      </w:pPr>
      <w:r>
        <w:rPr>
          <w:rFonts w:ascii="Arial" w:cs="Arial" w:eastAsia="Arial" w:hAnsi="Arial"/>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4"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b w:val="1"/>
          <w:bCs w:val="1"/>
          <w:color w:val="0000CC"/>
        </w:rPr>
        <w:t>Date of Grant:  Grant Date</w:t>
      </w:r>
    </w:p>
    <w:p>
      <w:pPr>
        <w:ind w:left="320"/>
        <w:spacing w:after="0" w:line="205" w:lineRule="auto"/>
        <w:rPr>
          <w:rFonts w:ascii="Arial" w:cs="Arial" w:eastAsia="Arial" w:hAnsi="Arial"/>
          <w:sz w:val="16"/>
          <w:szCs w:val="16"/>
          <w:color w:val="auto"/>
        </w:rPr>
      </w:pPr>
      <w:r>
        <w:rPr>
          <w:rFonts w:ascii="Arial" w:cs="Arial" w:eastAsia="Arial" w:hAnsi="Arial"/>
          <w:sz w:val="16"/>
          <w:szCs w:val="16"/>
          <w:b w:val="1"/>
          <w:bCs w:val="1"/>
          <w:color w:val="0000CC"/>
        </w:rPr>
        <w:t>Number of Performance RSUs (“Initial Grant Number”):  Number of Awards Granted</w:t>
      </w:r>
    </w:p>
    <w:p>
      <w:pPr>
        <w:ind w:left="320"/>
        <w:spacing w:after="0"/>
        <w:rPr>
          <w:rFonts w:ascii="Arial" w:cs="Arial" w:eastAsia="Arial" w:hAnsi="Arial"/>
          <w:sz w:val="16"/>
          <w:szCs w:val="16"/>
          <w:color w:val="auto"/>
        </w:rPr>
      </w:pPr>
      <w:r>
        <w:rPr>
          <w:rFonts w:ascii="Arial" w:cs="Arial" w:eastAsia="Arial" w:hAnsi="Arial"/>
          <w:sz w:val="16"/>
          <w:szCs w:val="16"/>
          <w:b w:val="1"/>
          <w:bCs w:val="1"/>
          <w:color w:val="0000CC"/>
        </w:rPr>
        <w:t>Vesting Date:  Cliff Vesting Date</w:t>
      </w:r>
    </w:p>
    <w:p>
      <w:pPr>
        <w:spacing w:after="0" w:line="170" w:lineRule="exact"/>
        <w:rPr>
          <w:rFonts w:ascii="Arial" w:cs="Arial" w:eastAsia="Arial" w:hAnsi="Arial"/>
          <w:sz w:val="16"/>
          <w:szCs w:val="16"/>
          <w:color w:val="auto"/>
        </w:rPr>
      </w:pPr>
    </w:p>
    <w:p>
      <w:pPr>
        <w:jc w:val="both"/>
        <w:ind w:left="320" w:right="320"/>
        <w:spacing w:after="0" w:line="224" w:lineRule="auto"/>
        <w:rPr>
          <w:rFonts w:ascii="Arial" w:cs="Arial" w:eastAsia="Arial" w:hAnsi="Arial"/>
          <w:sz w:val="16"/>
          <w:szCs w:val="16"/>
          <w:color w:val="auto"/>
        </w:rPr>
      </w:pPr>
      <w:r>
        <w:rPr>
          <w:rFonts w:ascii="Arial" w:cs="Arial" w:eastAsia="Arial" w:hAnsi="Arial"/>
          <w:sz w:val="16"/>
          <w:szCs w:val="16"/>
          <w:color w:val="auto"/>
        </w:rPr>
        <w:t xml:space="preserve">If the Participant resides in a European Economic Area, European Union member state or the United Kingdom, due to local legal requirements the Participant </w:t>
      </w:r>
      <w:r>
        <w:rPr>
          <w:rFonts w:ascii="Arial" w:cs="Arial" w:eastAsia="Arial" w:hAnsi="Arial"/>
          <w:sz w:val="16"/>
          <w:szCs w:val="16"/>
          <w:b w:val="1"/>
          <w:bCs w:val="1"/>
          <w:i w:val="1"/>
          <w:iCs w:val="1"/>
          <w:color w:val="auto"/>
        </w:rPr>
        <w:t xml:space="preserve">must accept </w:t>
      </w:r>
      <w:r>
        <w:rPr>
          <w:rFonts w:ascii="Arial" w:cs="Arial" w:eastAsia="Arial" w:hAnsi="Arial"/>
          <w:sz w:val="16"/>
          <w:szCs w:val="16"/>
          <w:color w:val="auto"/>
        </w:rPr>
        <w:t>this Agreement no later than Grant Custom 4 or</w:t>
      </w:r>
      <w:r>
        <w:rPr>
          <w:rFonts w:ascii="Arial" w:cs="Arial" w:eastAsia="Arial" w:hAnsi="Arial"/>
          <w:sz w:val="16"/>
          <w:szCs w:val="16"/>
          <w:b w:val="1"/>
          <w:bCs w:val="1"/>
          <w:i w:val="1"/>
          <w:iCs w:val="1"/>
          <w:color w:val="auto"/>
        </w:rPr>
        <w:t xml:space="preserve"> this Award shall terminate and will become null and void</w:t>
      </w:r>
      <w:r>
        <w:rPr>
          <w:rFonts w:ascii="Arial" w:cs="Arial" w:eastAsia="Arial" w:hAnsi="Arial"/>
          <w:sz w:val="16"/>
          <w:szCs w:val="16"/>
          <w:color w:val="auto"/>
        </w:rPr>
        <w:t>. For purposes of this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is deemed to reside in the country where his or her Employer is located.</w:t>
      </w:r>
    </w:p>
    <w:p>
      <w:pPr>
        <w:spacing w:after="0" w:line="169" w:lineRule="exact"/>
        <w:rPr>
          <w:rFonts w:ascii="Arial" w:cs="Arial" w:eastAsia="Arial" w:hAnsi="Arial"/>
          <w:sz w:val="16"/>
          <w:szCs w:val="16"/>
          <w:color w:val="auto"/>
        </w:rPr>
      </w:pPr>
    </w:p>
    <w:p>
      <w:pPr>
        <w:jc w:val="both"/>
        <w:ind w:left="320" w:right="320"/>
        <w:spacing w:after="0" w:line="224" w:lineRule="auto"/>
        <w:rPr>
          <w:rFonts w:ascii="Arial" w:cs="Arial" w:eastAsia="Arial" w:hAnsi="Arial"/>
          <w:sz w:val="16"/>
          <w:szCs w:val="16"/>
          <w:color w:val="auto"/>
        </w:rPr>
      </w:pPr>
      <w:r>
        <w:rPr>
          <w:rFonts w:ascii="Arial" w:cs="Arial" w:eastAsia="Arial" w:hAnsi="Arial"/>
          <w:sz w:val="16"/>
          <w:szCs w:val="16"/>
          <w:color w:val="auto"/>
        </w:rPr>
        <w:t>If the Participant resides in the United States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9" w:lineRule="exact"/>
        <w:rPr>
          <w:rFonts w:ascii="Arial" w:cs="Arial" w:eastAsia="Arial" w:hAnsi="Arial"/>
          <w:sz w:val="16"/>
          <w:szCs w:val="16"/>
          <w:color w:val="auto"/>
        </w:rPr>
      </w:pPr>
    </w:p>
    <w:p>
      <w:pPr>
        <w:jc w:val="both"/>
        <w:ind w:left="320" w:right="320"/>
        <w:spacing w:after="0" w:line="264" w:lineRule="auto"/>
        <w:rPr>
          <w:rFonts w:ascii="Arial" w:cs="Arial" w:eastAsia="Arial" w:hAnsi="Arial"/>
          <w:sz w:val="16"/>
          <w:szCs w:val="16"/>
          <w:color w:val="auto"/>
        </w:rPr>
      </w:pPr>
      <w:r>
        <w:rPr>
          <w:rFonts w:ascii="Arial" w:cs="Arial" w:eastAsia="Arial" w:hAnsi="Arial"/>
          <w:sz w:val="14"/>
          <w:szCs w:val="14"/>
          <w:color w:val="auto"/>
        </w:rPr>
        <w:t>Each one (1) Performance RSU shall, if and when it vests in accordance with this Agreement, automatically convert into one (1) share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00" w:lineRule="exact"/>
        <w:rPr>
          <w:rFonts w:ascii="Arial" w:cs="Arial" w:eastAsia="Arial" w:hAnsi="Arial"/>
          <w:sz w:val="16"/>
          <w:szCs w:val="16"/>
          <w:color w:val="auto"/>
        </w:rPr>
      </w:pPr>
    </w:p>
    <w:p>
      <w:pPr>
        <w:ind w:left="320" w:hanging="319"/>
        <w:spacing w:after="0"/>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640" w:right="320" w:hanging="323"/>
        <w:spacing w:after="0" w:line="241" w:lineRule="auto"/>
        <w:tabs>
          <w:tab w:leader="none" w:pos="631" w:val="left"/>
        </w:tabs>
        <w:numPr>
          <w:ilvl w:val="1"/>
          <w:numId w:val="103"/>
        </w:numPr>
        <w:rPr>
          <w:rFonts w:ascii="Arial" w:cs="Arial" w:eastAsia="Arial" w:hAnsi="Arial"/>
          <w:sz w:val="14"/>
          <w:szCs w:val="14"/>
          <w:color w:val="auto"/>
        </w:rPr>
      </w:pPr>
      <w:r>
        <w:rPr>
          <w:rFonts w:ascii="Arial" w:cs="Arial" w:eastAsia="Arial" w:hAnsi="Arial"/>
          <w:sz w:val="14"/>
          <w:szCs w:val="14"/>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6" w:lineRule="exact"/>
        <w:rPr>
          <w:rFonts w:ascii="Arial" w:cs="Arial" w:eastAsia="Arial" w:hAnsi="Arial"/>
          <w:sz w:val="14"/>
          <w:szCs w:val="14"/>
          <w:color w:val="auto"/>
        </w:rPr>
      </w:pPr>
    </w:p>
    <w:p>
      <w:pPr>
        <w:jc w:val="both"/>
        <w:ind w:left="640" w:right="320" w:hanging="323"/>
        <w:spacing w:after="0" w:line="219" w:lineRule="auto"/>
        <w:tabs>
          <w:tab w:leader="none" w:pos="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7" w:lineRule="exact"/>
        <w:rPr>
          <w:rFonts w:ascii="Arial" w:cs="Arial" w:eastAsia="Arial" w:hAnsi="Arial"/>
          <w:sz w:val="16"/>
          <w:szCs w:val="16"/>
          <w:color w:val="auto"/>
        </w:rPr>
      </w:pPr>
    </w:p>
    <w:p>
      <w:pPr>
        <w:jc w:val="both"/>
        <w:ind w:left="640" w:right="320" w:hanging="323"/>
        <w:spacing w:after="0" w:line="224" w:lineRule="auto"/>
        <w:tabs>
          <w:tab w:leader="none" w:pos="63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20"/>
          </w:cols>
          <w:pgMar w:left="640" w:top="1440" w:right="3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spacing w:after="0" w:line="398" w:lineRule="exact"/>
        <w:rPr>
          <w:sz w:val="20"/>
          <w:szCs w:val="20"/>
          <w:color w:val="auto"/>
        </w:rPr>
      </w:pPr>
    </w:p>
    <w:p>
      <w:pPr>
        <w:ind w:left="640"/>
        <w:spacing w:after="0" w:line="258" w:lineRule="auto"/>
        <w:rPr>
          <w:sz w:val="20"/>
          <w:szCs w:val="20"/>
          <w:color w:val="auto"/>
        </w:rPr>
      </w:pPr>
      <w:r>
        <w:rPr>
          <w:rFonts w:ascii="Arial" w:cs="Arial" w:eastAsia="Arial" w:hAnsi="Arial"/>
          <w:sz w:val="15"/>
          <w:szCs w:val="15"/>
          <w:color w:val="auto"/>
        </w:rPr>
        <w:t>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03" w:lineRule="exact"/>
        <w:rPr>
          <w:sz w:val="20"/>
          <w:szCs w:val="20"/>
          <w:color w:val="auto"/>
        </w:rPr>
      </w:pPr>
    </w:p>
    <w:p>
      <w:pPr>
        <w:jc w:val="both"/>
        <w:ind w:left="640" w:hanging="323"/>
        <w:spacing w:after="0" w:line="229" w:lineRule="auto"/>
        <w:tabs>
          <w:tab w:leader="none" w:pos="64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 xml:space="preserve">In the event the Participant becomes </w:t>
      </w:r>
      <w:r>
        <w:rPr>
          <w:rFonts w:ascii="Arial" w:cs="Arial" w:eastAsia="Arial" w:hAnsi="Arial"/>
          <w:sz w:val="15"/>
          <w:szCs w:val="15"/>
          <w:u w:val="single" w:color="auto"/>
          <w:color w:val="auto"/>
        </w:rPr>
        <w:t>Disabled</w:t>
      </w:r>
      <w:r>
        <w:rPr>
          <w:rFonts w:ascii="Arial" w:cs="Arial" w:eastAsia="Arial" w:hAnsi="Arial"/>
          <w:sz w:val="15"/>
          <w:szCs w:val="15"/>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shall have the meaning set forth in Section 409(a)(2)(C) of the Code.</w:t>
      </w:r>
    </w:p>
    <w:p>
      <w:pPr>
        <w:spacing w:after="0" w:line="117" w:lineRule="exact"/>
        <w:rPr>
          <w:rFonts w:ascii="Arial" w:cs="Arial" w:eastAsia="Arial" w:hAnsi="Arial"/>
          <w:sz w:val="15"/>
          <w:szCs w:val="15"/>
          <w:color w:val="auto"/>
        </w:rPr>
      </w:pPr>
    </w:p>
    <w:p>
      <w:pPr>
        <w:jc w:val="both"/>
        <w:ind w:left="640" w:hanging="323"/>
        <w:spacing w:after="0" w:line="231" w:lineRule="auto"/>
        <w:tabs>
          <w:tab w:leader="none" w:pos="631" w:val="left"/>
        </w:tabs>
        <w:numPr>
          <w:ilvl w:val="1"/>
          <w:numId w:val="104"/>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Arial" w:cs="Arial" w:eastAsia="Arial" w:hAnsi="Arial"/>
          <w:sz w:val="15"/>
          <w:szCs w:val="15"/>
          <w:color w:val="auto"/>
        </w:rPr>
      </w:pPr>
    </w:p>
    <w:p>
      <w:pPr>
        <w:ind w:left="640" w:hanging="323"/>
        <w:spacing w:after="0" w:line="233" w:lineRule="auto"/>
        <w:tabs>
          <w:tab w:leader="none" w:pos="6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6" w:lineRule="exact"/>
        <w:rPr>
          <w:rFonts w:ascii="Arial" w:cs="Arial" w:eastAsia="Arial" w:hAnsi="Arial"/>
          <w:sz w:val="16"/>
          <w:szCs w:val="16"/>
          <w:color w:val="auto"/>
        </w:rPr>
      </w:pPr>
    </w:p>
    <w:p>
      <w:pPr>
        <w:ind w:left="320" w:hanging="319"/>
        <w:spacing w:after="0"/>
        <w:tabs>
          <w:tab w:leader="none" w:pos="3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620" w:hanging="303"/>
        <w:spacing w:after="0"/>
        <w:tabs>
          <w:tab w:leader="none" w:pos="62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Participant shall not sell, assign, transfer, pledge or otherwise encumber any Performance RSUs, either voluntarily or by operation of law.</w:t>
      </w:r>
    </w:p>
    <w:p>
      <w:pPr>
        <w:spacing w:after="0" w:line="143" w:lineRule="exact"/>
        <w:rPr>
          <w:rFonts w:ascii="Arial" w:cs="Arial" w:eastAsia="Arial" w:hAnsi="Arial"/>
          <w:sz w:val="15"/>
          <w:szCs w:val="15"/>
          <w:color w:val="auto"/>
        </w:rPr>
      </w:pPr>
    </w:p>
    <w:p>
      <w:pPr>
        <w:jc w:val="both"/>
        <w:ind w:left="640" w:hanging="323"/>
        <w:spacing w:after="0" w:line="224" w:lineRule="auto"/>
        <w:tabs>
          <w:tab w:leader="none" w:pos="6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6" w:lineRule="exact"/>
        <w:rPr>
          <w:rFonts w:ascii="Arial" w:cs="Arial" w:eastAsia="Arial" w:hAnsi="Arial"/>
          <w:sz w:val="16"/>
          <w:szCs w:val="16"/>
          <w:color w:val="auto"/>
        </w:rPr>
      </w:pPr>
    </w:p>
    <w:p>
      <w:pPr>
        <w:jc w:val="both"/>
        <w:ind w:left="320" w:hanging="319"/>
        <w:spacing w:after="0" w:line="217" w:lineRule="auto"/>
        <w:tabs>
          <w:tab w:leader="none" w:pos="3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5" w:lineRule="exact"/>
        <w:rPr>
          <w:rFonts w:ascii="Arial" w:cs="Arial" w:eastAsia="Arial" w:hAnsi="Arial"/>
          <w:sz w:val="16"/>
          <w:szCs w:val="16"/>
          <w:color w:val="auto"/>
        </w:rPr>
      </w:pPr>
    </w:p>
    <w:p>
      <w:pPr>
        <w:jc w:val="both"/>
        <w:ind w:left="320" w:hanging="319"/>
        <w:spacing w:after="0" w:line="255" w:lineRule="auto"/>
        <w:tabs>
          <w:tab w:leader="none" w:pos="32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Provisions of the Plan</w:t>
      </w:r>
      <w:r>
        <w:rPr>
          <w:rFonts w:ascii="Arial" w:cs="Arial" w:eastAsia="Arial" w:hAnsi="Arial"/>
          <w:sz w:val="14"/>
          <w:szCs w:val="14"/>
          <w:color w:val="auto"/>
        </w:rPr>
        <w:t>. The Performance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05" w:lineRule="exact"/>
        <w:rPr>
          <w:rFonts w:ascii="Arial" w:cs="Arial" w:eastAsia="Arial" w:hAnsi="Arial"/>
          <w:sz w:val="14"/>
          <w:szCs w:val="14"/>
          <w:color w:val="auto"/>
        </w:rPr>
      </w:pPr>
    </w:p>
    <w:p>
      <w:pPr>
        <w:ind w:left="320" w:hanging="319"/>
        <w:spacing w:after="0"/>
        <w:tabs>
          <w:tab w:leader="none" w:pos="3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640" w:hanging="323"/>
        <w:spacing w:after="0" w:line="225" w:lineRule="auto"/>
        <w:tabs>
          <w:tab w:leader="none" w:pos="631" w:val="left"/>
        </w:tabs>
        <w:numPr>
          <w:ilvl w:val="1"/>
          <w:numId w:val="105"/>
        </w:numPr>
        <w:rPr>
          <w:rFonts w:ascii="Arial" w:cs="Arial" w:eastAsia="Arial" w:hAnsi="Arial"/>
          <w:sz w:val="15"/>
          <w:szCs w:val="15"/>
          <w:color w:val="auto"/>
        </w:rPr>
      </w:pPr>
      <w:r>
        <w:rPr>
          <w:rFonts w:ascii="Arial" w:cs="Arial" w:eastAsia="Arial" w:hAnsi="Arial"/>
          <w:sz w:val="15"/>
          <w:szCs w:val="15"/>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6" w:lineRule="exact"/>
        <w:rPr>
          <w:rFonts w:ascii="Arial" w:cs="Arial" w:eastAsia="Arial" w:hAnsi="Arial"/>
          <w:sz w:val="15"/>
          <w:szCs w:val="15"/>
          <w:color w:val="auto"/>
        </w:rPr>
      </w:pPr>
    </w:p>
    <w:p>
      <w:pPr>
        <w:jc w:val="both"/>
        <w:ind w:left="640" w:hanging="323"/>
        <w:spacing w:after="0" w:line="239" w:lineRule="auto"/>
        <w:tabs>
          <w:tab w:leader="none" w:pos="64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6" w:lineRule="exact"/>
        <w:rPr>
          <w:rFonts w:ascii="Arial" w:cs="Arial" w:eastAsia="Arial" w:hAnsi="Arial"/>
          <w:sz w:val="15"/>
          <w:szCs w:val="15"/>
          <w:color w:val="auto"/>
        </w:rPr>
      </w:pPr>
    </w:p>
    <w:p>
      <w:pPr>
        <w:ind w:left="940" w:hanging="307"/>
        <w:spacing w:after="0" w:line="233" w:lineRule="auto"/>
        <w:tabs>
          <w:tab w:leader="none" w:pos="931" w:val="left"/>
        </w:tabs>
        <w:numPr>
          <w:ilvl w:val="2"/>
          <w:numId w:val="105"/>
        </w:numPr>
        <w:rPr>
          <w:rFonts w:ascii="Arial" w:cs="Arial" w:eastAsia="Arial" w:hAnsi="Arial"/>
          <w:sz w:val="16"/>
          <w:szCs w:val="16"/>
          <w:color w:val="auto"/>
        </w:rPr>
      </w:pPr>
      <w:r>
        <w:rPr>
          <w:rFonts w:ascii="Arial" w:cs="Arial" w:eastAsia="Arial" w:hAnsi="Arial"/>
          <w:sz w:val="16"/>
          <w:szCs w:val="16"/>
          <w:color w:val="auto"/>
        </w:rPr>
        <w:t>the Company may withhold a sufficient number of whole Shares otherwise issuable upon the vesting of the Performance RSUs that have an aggregate Fair Market Value (as defined under the Plan) sufficient to pay the minimum Tax-Related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600"/>
          </w:cols>
          <w:pgMar w:left="640" w:top="1440" w:right="65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r>
    </w:p>
    <w:p>
      <w:pPr>
        <w:spacing w:after="0" w:line="398" w:lineRule="exact"/>
        <w:rPr>
          <w:sz w:val="20"/>
          <w:szCs w:val="20"/>
          <w:color w:val="auto"/>
        </w:rPr>
      </w:pPr>
    </w:p>
    <w:p>
      <w:pPr>
        <w:jc w:val="both"/>
        <w:ind w:left="940"/>
        <w:spacing w:after="0" w:line="224" w:lineRule="auto"/>
        <w:rPr>
          <w:sz w:val="20"/>
          <w:szCs w:val="20"/>
          <w:color w:val="auto"/>
        </w:rPr>
      </w:pPr>
      <w:r>
        <w:rPr>
          <w:rFonts w:ascii="Arial" w:cs="Arial" w:eastAsia="Arial" w:hAnsi="Arial"/>
          <w:sz w:val="16"/>
          <w:szCs w:val="16"/>
          <w:color w:val="auto"/>
        </w:rPr>
        <w:t>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6" w:lineRule="exact"/>
        <w:rPr>
          <w:sz w:val="20"/>
          <w:szCs w:val="20"/>
          <w:color w:val="auto"/>
        </w:rPr>
      </w:pPr>
    </w:p>
    <w:p>
      <w:pPr>
        <w:ind w:left="940" w:hanging="307"/>
        <w:spacing w:after="0" w:line="233" w:lineRule="auto"/>
        <w:tabs>
          <w:tab w:leader="none" w:pos="936" w:val="left"/>
        </w:tabs>
        <w:numPr>
          <w:ilvl w:val="2"/>
          <w:numId w:val="106"/>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6" w:lineRule="exact"/>
        <w:rPr>
          <w:rFonts w:ascii="Arial" w:cs="Arial" w:eastAsia="Arial" w:hAnsi="Arial"/>
          <w:sz w:val="16"/>
          <w:szCs w:val="16"/>
          <w:color w:val="auto"/>
        </w:rPr>
      </w:pPr>
    </w:p>
    <w:p>
      <w:pPr>
        <w:ind w:left="940" w:hanging="307"/>
        <w:spacing w:after="0" w:line="233" w:lineRule="auto"/>
        <w:tabs>
          <w:tab w:leader="none" w:pos="94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6" w:lineRule="exact"/>
        <w:rPr>
          <w:rFonts w:ascii="Arial" w:cs="Arial" w:eastAsia="Arial" w:hAnsi="Arial"/>
          <w:sz w:val="16"/>
          <w:szCs w:val="16"/>
          <w:color w:val="auto"/>
        </w:rPr>
      </w:pPr>
    </w:p>
    <w:p>
      <w:pPr>
        <w:jc w:val="both"/>
        <w:ind w:left="940"/>
        <w:spacing w:after="0" w:line="219" w:lineRule="auto"/>
        <w:rPr>
          <w:rFonts w:ascii="Arial" w:cs="Arial" w:eastAsia="Arial" w:hAnsi="Arial"/>
          <w:sz w:val="16"/>
          <w:szCs w:val="16"/>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7" w:lineRule="exact"/>
        <w:rPr>
          <w:rFonts w:ascii="Arial" w:cs="Arial" w:eastAsia="Arial" w:hAnsi="Arial"/>
          <w:sz w:val="16"/>
          <w:szCs w:val="16"/>
          <w:color w:val="auto"/>
        </w:rPr>
      </w:pPr>
    </w:p>
    <w:p>
      <w:pPr>
        <w:ind w:left="940" w:hanging="307"/>
        <w:spacing w:after="0"/>
        <w:tabs>
          <w:tab w:leader="none" w:pos="94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any other method determined by the Company, to the extent permitted under the Plan and applicable laws.</w:t>
      </w:r>
    </w:p>
    <w:p>
      <w:pPr>
        <w:spacing w:after="0" w:line="131" w:lineRule="exact"/>
        <w:rPr>
          <w:rFonts w:ascii="Arial" w:cs="Arial" w:eastAsia="Arial" w:hAnsi="Arial"/>
          <w:sz w:val="16"/>
          <w:szCs w:val="16"/>
          <w:color w:val="auto"/>
        </w:rPr>
      </w:pPr>
    </w:p>
    <w:p>
      <w:pPr>
        <w:jc w:val="both"/>
        <w:ind w:left="940"/>
        <w:spacing w:after="0" w:line="243" w:lineRule="auto"/>
        <w:rPr>
          <w:rFonts w:ascii="Arial" w:cs="Arial" w:eastAsia="Arial" w:hAnsi="Arial"/>
          <w:sz w:val="16"/>
          <w:szCs w:val="16"/>
          <w:color w:val="auto"/>
        </w:rPr>
      </w:pPr>
      <w:r>
        <w:rPr>
          <w:rFonts w:ascii="Arial" w:cs="Arial" w:eastAsia="Arial" w:hAnsi="Arial"/>
          <w:sz w:val="14"/>
          <w:szCs w:val="14"/>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17" w:lineRule="exact"/>
        <w:rPr>
          <w:rFonts w:ascii="Arial" w:cs="Arial" w:eastAsia="Arial" w:hAnsi="Arial"/>
          <w:sz w:val="16"/>
          <w:szCs w:val="16"/>
          <w:color w:val="auto"/>
        </w:rPr>
      </w:pPr>
    </w:p>
    <w:p>
      <w:pPr>
        <w:jc w:val="both"/>
        <w:ind w:left="940"/>
        <w:spacing w:after="0" w:line="245" w:lineRule="auto"/>
        <w:rPr>
          <w:rFonts w:ascii="Arial" w:cs="Arial" w:eastAsia="Arial" w:hAnsi="Arial"/>
          <w:sz w:val="16"/>
          <w:szCs w:val="16"/>
          <w:color w:val="auto"/>
        </w:rPr>
      </w:pPr>
      <w:r>
        <w:rPr>
          <w:rFonts w:ascii="Arial" w:cs="Arial" w:eastAsia="Arial" w:hAnsi="Arial"/>
          <w:sz w:val="14"/>
          <w:szCs w:val="14"/>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2" w:lineRule="exact"/>
        <w:rPr>
          <w:rFonts w:ascii="Arial" w:cs="Arial" w:eastAsia="Arial" w:hAnsi="Arial"/>
          <w:sz w:val="16"/>
          <w:szCs w:val="16"/>
          <w:color w:val="auto"/>
        </w:rPr>
      </w:pPr>
    </w:p>
    <w:p>
      <w:pPr>
        <w:jc w:val="both"/>
        <w:ind w:left="320" w:hanging="319"/>
        <w:spacing w:after="0" w:line="229" w:lineRule="auto"/>
        <w:tabs>
          <w:tab w:leader="none" w:pos="320"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Arial" w:cs="Arial" w:eastAsia="Arial" w:hAnsi="Arial"/>
          <w:sz w:val="15"/>
          <w:szCs w:val="15"/>
          <w:color w:val="auto"/>
        </w:rPr>
      </w:pPr>
    </w:p>
    <w:p>
      <w:pPr>
        <w:jc w:val="both"/>
        <w:ind w:left="320" w:hanging="319"/>
        <w:spacing w:after="0" w:line="247" w:lineRule="auto"/>
        <w:tabs>
          <w:tab w:leader="none" w:pos="320"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Repatriation and Other Legal Requirements</w:t>
      </w:r>
      <w:r>
        <w:rPr>
          <w:rFonts w:ascii="Arial" w:cs="Arial" w:eastAsia="Arial" w:hAnsi="Arial"/>
          <w:sz w:val="14"/>
          <w:szCs w:val="14"/>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1" w:lineRule="exact"/>
        <w:rPr>
          <w:rFonts w:ascii="Arial" w:cs="Arial" w:eastAsia="Arial" w:hAnsi="Arial"/>
          <w:sz w:val="14"/>
          <w:szCs w:val="14"/>
          <w:color w:val="auto"/>
        </w:rPr>
      </w:pPr>
    </w:p>
    <w:p>
      <w:pPr>
        <w:ind w:left="320" w:hanging="319"/>
        <w:spacing w:after="0"/>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640" w:hanging="323"/>
        <w:spacing w:after="0" w:line="250" w:lineRule="auto"/>
        <w:tabs>
          <w:tab w:leader="none" w:pos="631" w:val="left"/>
        </w:tabs>
        <w:numPr>
          <w:ilvl w:val="1"/>
          <w:numId w:val="107"/>
        </w:numPr>
        <w:rPr>
          <w:rFonts w:ascii="Arial" w:cs="Arial" w:eastAsia="Arial" w:hAnsi="Arial"/>
          <w:sz w:val="14"/>
          <w:szCs w:val="14"/>
          <w:color w:val="auto"/>
        </w:rPr>
      </w:pPr>
      <w:r>
        <w:rPr>
          <w:rFonts w:ascii="Arial" w:cs="Arial" w:eastAsia="Arial" w:hAnsi="Arial"/>
          <w:sz w:val="14"/>
          <w:szCs w:val="14"/>
          <w:u w:val="single" w:color="auto"/>
          <w:color w:val="auto"/>
        </w:rPr>
        <w:t>No Rights to Employment</w:t>
      </w:r>
      <w:r>
        <w:rPr>
          <w:rFonts w:ascii="Arial" w:cs="Arial" w:eastAsia="Arial" w:hAnsi="Arial"/>
          <w:sz w:val="14"/>
          <w:szCs w:val="14"/>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08" w:lineRule="exact"/>
        <w:rPr>
          <w:rFonts w:ascii="Arial" w:cs="Arial" w:eastAsia="Arial" w:hAnsi="Arial"/>
          <w:sz w:val="14"/>
          <w:szCs w:val="14"/>
          <w:color w:val="auto"/>
        </w:rPr>
      </w:pPr>
    </w:p>
    <w:p>
      <w:pPr>
        <w:jc w:val="both"/>
        <w:ind w:left="640" w:hanging="323"/>
        <w:spacing w:after="0" w:line="219" w:lineRule="auto"/>
        <w:tabs>
          <w:tab w:leader="none" w:pos="640"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Discretionary Nature</w:t>
      </w:r>
      <w:r>
        <w:rPr>
          <w:rFonts w:ascii="Arial" w:cs="Arial" w:eastAsia="Arial" w:hAnsi="Arial"/>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600"/>
          </w:cols>
          <w:pgMar w:left="640" w:top="1440" w:right="65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spacing w:after="0" w:line="398" w:lineRule="exact"/>
        <w:rPr>
          <w:sz w:val="20"/>
          <w:szCs w:val="20"/>
          <w:color w:val="auto"/>
        </w:rPr>
      </w:pPr>
    </w:p>
    <w:p>
      <w:pPr>
        <w:jc w:val="both"/>
        <w:ind w:left="323"/>
        <w:spacing w:after="0" w:line="229" w:lineRule="auto"/>
        <w:rPr>
          <w:sz w:val="20"/>
          <w:szCs w:val="20"/>
          <w:color w:val="auto"/>
        </w:rPr>
      </w:pPr>
      <w:r>
        <w:rPr>
          <w:rFonts w:ascii="Arial" w:cs="Arial" w:eastAsia="Arial" w:hAnsi="Arial"/>
          <w:sz w:val="15"/>
          <w:szCs w:val="15"/>
          <w:color w:val="auto"/>
        </w:rPr>
        <w:t>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8" w:lineRule="exact"/>
        <w:rPr>
          <w:sz w:val="20"/>
          <w:szCs w:val="20"/>
          <w:color w:val="auto"/>
        </w:rPr>
      </w:pPr>
    </w:p>
    <w:p>
      <w:pPr>
        <w:jc w:val="both"/>
        <w:ind w:left="323" w:hanging="323"/>
        <w:spacing w:after="0" w:line="231" w:lineRule="auto"/>
        <w:tabs>
          <w:tab w:leader="none" w:pos="314" w:val="left"/>
        </w:tabs>
        <w:numPr>
          <w:ilvl w:val="0"/>
          <w:numId w:val="108"/>
        </w:numPr>
        <w:rPr>
          <w:rFonts w:ascii="Arial" w:cs="Arial" w:eastAsia="Arial" w:hAnsi="Arial"/>
          <w:sz w:val="15"/>
          <w:szCs w:val="15"/>
          <w:color w:val="auto"/>
        </w:rPr>
      </w:pPr>
      <w:r>
        <w:rPr>
          <w:rFonts w:ascii="Arial" w:cs="Arial" w:eastAsia="Arial" w:hAnsi="Arial"/>
          <w:sz w:val="15"/>
          <w:szCs w:val="15"/>
          <w:u w:val="single" w:color="auto"/>
          <w:color w:val="auto"/>
        </w:rPr>
        <w:t>Exclusion from Termination Indemnities and Other Benefits</w:t>
      </w:r>
      <w:r>
        <w:rPr>
          <w:rFonts w:ascii="Arial" w:cs="Arial" w:eastAsia="Arial" w:hAnsi="Arial"/>
          <w:sz w:val="15"/>
          <w:szCs w:val="15"/>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Arial" w:cs="Arial" w:eastAsia="Arial" w:hAnsi="Arial"/>
          <w:sz w:val="15"/>
          <w:szCs w:val="15"/>
          <w:color w:val="auto"/>
        </w:rPr>
      </w:pPr>
    </w:p>
    <w:p>
      <w:pPr>
        <w:jc w:val="both"/>
        <w:ind w:left="323" w:hanging="323"/>
        <w:spacing w:after="0" w:line="213" w:lineRule="auto"/>
        <w:tabs>
          <w:tab w:leader="none" w:pos="32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20" w:lineRule="exact"/>
        <w:rPr>
          <w:rFonts w:ascii="Arial" w:cs="Arial" w:eastAsia="Arial" w:hAnsi="Arial"/>
          <w:sz w:val="16"/>
          <w:szCs w:val="16"/>
          <w:color w:val="auto"/>
        </w:rPr>
      </w:pPr>
    </w:p>
    <w:p>
      <w:pPr>
        <w:jc w:val="both"/>
        <w:ind w:left="323" w:hanging="323"/>
        <w:spacing w:after="0" w:line="219" w:lineRule="auto"/>
        <w:tabs>
          <w:tab w:leader="none" w:pos="31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7" w:lineRule="exact"/>
        <w:rPr>
          <w:rFonts w:ascii="Arial" w:cs="Arial" w:eastAsia="Arial" w:hAnsi="Arial"/>
          <w:sz w:val="16"/>
          <w:szCs w:val="16"/>
          <w:color w:val="auto"/>
        </w:rPr>
      </w:pPr>
    </w:p>
    <w:p>
      <w:pPr>
        <w:ind w:left="323" w:hanging="323"/>
        <w:spacing w:after="0"/>
        <w:tabs>
          <w:tab w:leader="none" w:pos="32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31" w:lineRule="exact"/>
        <w:rPr>
          <w:rFonts w:ascii="Arial" w:cs="Arial" w:eastAsia="Arial" w:hAnsi="Arial"/>
          <w:sz w:val="16"/>
          <w:szCs w:val="16"/>
          <w:color w:val="auto"/>
        </w:rPr>
      </w:pPr>
    </w:p>
    <w:p>
      <w:pPr>
        <w:ind w:left="323" w:hanging="323"/>
        <w:spacing w:after="0" w:line="233" w:lineRule="auto"/>
        <w:tabs>
          <w:tab w:leader="none" w:pos="32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6" w:lineRule="exact"/>
        <w:rPr>
          <w:rFonts w:ascii="Arial" w:cs="Arial" w:eastAsia="Arial" w:hAnsi="Arial"/>
          <w:sz w:val="16"/>
          <w:szCs w:val="16"/>
          <w:color w:val="auto"/>
        </w:rPr>
      </w:pPr>
    </w:p>
    <w:p>
      <w:pPr>
        <w:ind w:left="323" w:hanging="323"/>
        <w:spacing w:after="0" w:line="294" w:lineRule="auto"/>
        <w:tabs>
          <w:tab w:leader="none" w:pos="323" w:val="left"/>
        </w:tabs>
        <w:numPr>
          <w:ilvl w:val="0"/>
          <w:numId w:val="108"/>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9" w:lineRule="exact"/>
        <w:rPr>
          <w:rFonts w:ascii="Arial" w:cs="Arial" w:eastAsia="Arial" w:hAnsi="Arial"/>
          <w:sz w:val="14"/>
          <w:szCs w:val="14"/>
          <w:color w:val="auto"/>
        </w:rPr>
      </w:pPr>
    </w:p>
    <w:p>
      <w:pPr>
        <w:jc w:val="both"/>
        <w:ind w:left="323" w:hanging="323"/>
        <w:spacing w:after="0" w:line="217" w:lineRule="auto"/>
        <w:tabs>
          <w:tab w:leader="none" w:pos="31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5" w:lineRule="exact"/>
        <w:rPr>
          <w:rFonts w:ascii="Arial" w:cs="Arial" w:eastAsia="Arial" w:hAnsi="Arial"/>
          <w:sz w:val="16"/>
          <w:szCs w:val="16"/>
          <w:color w:val="auto"/>
        </w:rPr>
      </w:pPr>
    </w:p>
    <w:p>
      <w:pPr>
        <w:ind w:left="323" w:hanging="323"/>
        <w:spacing w:after="0" w:line="233" w:lineRule="auto"/>
        <w:tabs>
          <w:tab w:leader="none" w:pos="31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6" w:lineRule="exact"/>
        <w:rPr>
          <w:rFonts w:ascii="Arial" w:cs="Arial" w:eastAsia="Arial" w:hAnsi="Arial"/>
          <w:sz w:val="16"/>
          <w:szCs w:val="16"/>
          <w:color w:val="auto"/>
        </w:rPr>
      </w:pPr>
    </w:p>
    <w:p>
      <w:pPr>
        <w:ind w:left="323" w:hanging="323"/>
        <w:spacing w:after="0" w:line="233" w:lineRule="auto"/>
        <w:tabs>
          <w:tab w:leader="none" w:pos="32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6" w:lineRule="exact"/>
        <w:rPr>
          <w:rFonts w:ascii="Arial" w:cs="Arial" w:eastAsia="Arial" w:hAnsi="Arial"/>
          <w:sz w:val="16"/>
          <w:szCs w:val="16"/>
          <w:color w:val="auto"/>
        </w:rPr>
      </w:pPr>
    </w:p>
    <w:p>
      <w:pPr>
        <w:ind w:left="323" w:hanging="323"/>
        <w:spacing w:after="0" w:line="233" w:lineRule="auto"/>
        <w:tabs>
          <w:tab w:leader="none" w:pos="31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6" w:lineRule="exact"/>
        <w:rPr>
          <w:rFonts w:ascii="Arial" w:cs="Arial" w:eastAsia="Arial" w:hAnsi="Arial"/>
          <w:sz w:val="16"/>
          <w:szCs w:val="16"/>
          <w:color w:val="auto"/>
        </w:rPr>
      </w:pPr>
    </w:p>
    <w:p>
      <w:pPr>
        <w:jc w:val="both"/>
        <w:ind w:left="323" w:hanging="323"/>
        <w:spacing w:after="0" w:line="241" w:lineRule="auto"/>
        <w:tabs>
          <w:tab w:leader="none" w:pos="314" w:val="left"/>
        </w:tabs>
        <w:numPr>
          <w:ilvl w:val="0"/>
          <w:numId w:val="108"/>
        </w:numPr>
        <w:rPr>
          <w:rFonts w:ascii="Arial" w:cs="Arial" w:eastAsia="Arial" w:hAnsi="Arial"/>
          <w:sz w:val="14"/>
          <w:szCs w:val="14"/>
          <w:color w:val="auto"/>
        </w:rPr>
      </w:pPr>
      <w:r>
        <w:rPr>
          <w:rFonts w:ascii="Arial" w:cs="Arial" w:eastAsia="Arial" w:hAnsi="Arial"/>
          <w:sz w:val="14"/>
          <w:szCs w:val="14"/>
          <w:u w:val="single" w:color="auto"/>
          <w:color w:val="auto"/>
        </w:rPr>
        <w:t>Compliance with Laws</w:t>
      </w:r>
      <w:r>
        <w:rPr>
          <w:rFonts w:ascii="Arial" w:cs="Arial" w:eastAsia="Arial" w:hAnsi="Arial"/>
          <w:sz w:val="14"/>
          <w:szCs w:val="14"/>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97"/>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83"/>
          </w:cols>
          <w:pgMar w:left="957" w:top="1440" w:right="65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spacing w:after="0" w:line="398" w:lineRule="exact"/>
        <w:rPr>
          <w:sz w:val="20"/>
          <w:szCs w:val="20"/>
          <w:color w:val="auto"/>
        </w:rPr>
      </w:pPr>
    </w:p>
    <w:p>
      <w:pPr>
        <w:ind w:left="323"/>
        <w:spacing w:after="0" w:line="233" w:lineRule="auto"/>
        <w:rPr>
          <w:sz w:val="20"/>
          <w:szCs w:val="20"/>
          <w:color w:val="auto"/>
        </w:rPr>
      </w:pPr>
      <w:r>
        <w:rPr>
          <w:rFonts w:ascii="Arial" w:cs="Arial" w:eastAsia="Arial" w:hAnsi="Arial"/>
          <w:sz w:val="16"/>
          <w:szCs w:val="16"/>
          <w:color w:val="auto"/>
        </w:rPr>
        <w:t>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6" w:lineRule="exact"/>
        <w:rPr>
          <w:sz w:val="20"/>
          <w:szCs w:val="20"/>
          <w:color w:val="auto"/>
        </w:rPr>
      </w:pPr>
    </w:p>
    <w:p>
      <w:pPr>
        <w:ind w:left="323" w:hanging="323"/>
        <w:spacing w:after="0" w:line="233" w:lineRule="auto"/>
        <w:tabs>
          <w:tab w:leader="none" w:pos="32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6" w:lineRule="exact"/>
        <w:rPr>
          <w:rFonts w:ascii="Arial" w:cs="Arial" w:eastAsia="Arial" w:hAnsi="Arial"/>
          <w:sz w:val="16"/>
          <w:szCs w:val="16"/>
          <w:color w:val="auto"/>
        </w:rPr>
      </w:pPr>
    </w:p>
    <w:p>
      <w:pPr>
        <w:jc w:val="both"/>
        <w:ind w:left="323" w:hanging="323"/>
        <w:spacing w:after="0" w:line="239" w:lineRule="auto"/>
        <w:tabs>
          <w:tab w:leader="none" w:pos="323"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Participant’s Acceptance</w:t>
      </w:r>
      <w:r>
        <w:rPr>
          <w:rFonts w:ascii="Arial" w:cs="Arial" w:eastAsia="Arial" w:hAnsi="Arial"/>
          <w:sz w:val="15"/>
          <w:szCs w:val="15"/>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6" w:lineRule="exact"/>
        <w:rPr>
          <w:rFonts w:ascii="Arial" w:cs="Arial" w:eastAsia="Arial" w:hAnsi="Arial"/>
          <w:sz w:val="15"/>
          <w:szCs w:val="15"/>
          <w:color w:val="auto"/>
        </w:rPr>
      </w:pPr>
    </w:p>
    <w:p>
      <w:pPr>
        <w:jc w:val="both"/>
        <w:ind w:left="323" w:hanging="323"/>
        <w:spacing w:after="0" w:line="264" w:lineRule="auto"/>
        <w:tabs>
          <w:tab w:leader="none" w:pos="323"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00" w:lineRule="exact"/>
        <w:rPr>
          <w:rFonts w:ascii="Arial" w:cs="Arial" w:eastAsia="Arial" w:hAnsi="Arial"/>
          <w:sz w:val="14"/>
          <w:szCs w:val="14"/>
          <w:color w:val="auto"/>
        </w:rPr>
      </w:pPr>
    </w:p>
    <w:p>
      <w:pPr>
        <w:jc w:val="both"/>
        <w:ind w:left="323" w:hanging="323"/>
        <w:spacing w:after="0" w:line="219" w:lineRule="auto"/>
        <w:tabs>
          <w:tab w:leader="none" w:pos="32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17" w:lineRule="exact"/>
        <w:rPr>
          <w:rFonts w:ascii="Arial" w:cs="Arial" w:eastAsia="Arial" w:hAnsi="Arial"/>
          <w:sz w:val="16"/>
          <w:szCs w:val="16"/>
          <w:color w:val="auto"/>
        </w:rPr>
      </w:pPr>
    </w:p>
    <w:p>
      <w:pPr>
        <w:jc w:val="both"/>
        <w:ind w:left="323" w:hanging="323"/>
        <w:spacing w:after="0" w:line="231" w:lineRule="auto"/>
        <w:tabs>
          <w:tab w:leader="none" w:pos="323"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Appendix B</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Arial" w:cs="Arial" w:eastAsia="Arial" w:hAnsi="Arial"/>
          <w:sz w:val="15"/>
          <w:szCs w:val="15"/>
          <w:color w:val="auto"/>
        </w:rPr>
      </w:pPr>
    </w:p>
    <w:p>
      <w:pPr>
        <w:jc w:val="both"/>
        <w:ind w:left="323" w:hanging="323"/>
        <w:spacing w:after="0" w:line="219" w:lineRule="auto"/>
        <w:tabs>
          <w:tab w:leader="none" w:pos="319"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7" w:lineRule="exact"/>
        <w:rPr>
          <w:rFonts w:ascii="Arial" w:cs="Arial" w:eastAsia="Arial" w:hAnsi="Arial"/>
          <w:sz w:val="16"/>
          <w:szCs w:val="16"/>
          <w:color w:val="auto"/>
        </w:rPr>
      </w:pPr>
    </w:p>
    <w:p>
      <w:pPr>
        <w:jc w:val="both"/>
        <w:ind w:left="323" w:hanging="323"/>
        <w:spacing w:after="0" w:line="219" w:lineRule="auto"/>
        <w:tabs>
          <w:tab w:leader="none" w:pos="314"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Award was granted.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7" w:lineRule="exact"/>
        <w:rPr>
          <w:rFonts w:ascii="Arial" w:cs="Arial" w:eastAsia="Arial" w:hAnsi="Arial"/>
          <w:sz w:val="16"/>
          <w:szCs w:val="16"/>
          <w:color w:val="auto"/>
        </w:rPr>
      </w:pPr>
    </w:p>
    <w:p>
      <w:pPr>
        <w:jc w:val="both"/>
        <w:ind w:left="323" w:hanging="323"/>
        <w:spacing w:after="0" w:line="219" w:lineRule="auto"/>
        <w:tabs>
          <w:tab w:leader="none" w:pos="32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7" w:lineRule="exact"/>
        <w:rPr>
          <w:rFonts w:ascii="Arial" w:cs="Arial" w:eastAsia="Arial" w:hAnsi="Arial"/>
          <w:sz w:val="16"/>
          <w:szCs w:val="16"/>
          <w:color w:val="auto"/>
        </w:rPr>
      </w:pPr>
    </w:p>
    <w:p>
      <w:pPr>
        <w:jc w:val="both"/>
        <w:ind w:left="323" w:hanging="323"/>
        <w:spacing w:after="0" w:line="239" w:lineRule="auto"/>
        <w:tabs>
          <w:tab w:leader="none" w:pos="323"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6" w:lineRule="exact"/>
        <w:rPr>
          <w:rFonts w:ascii="Arial" w:cs="Arial" w:eastAsia="Arial" w:hAnsi="Arial"/>
          <w:sz w:val="15"/>
          <w:szCs w:val="15"/>
          <w:color w:val="auto"/>
        </w:rPr>
      </w:pPr>
    </w:p>
    <w:p>
      <w:pPr>
        <w:jc w:val="both"/>
        <w:ind w:left="323" w:hanging="323"/>
        <w:spacing w:after="0" w:line="211" w:lineRule="auto"/>
        <w:tabs>
          <w:tab w:leader="none" w:pos="319"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Insider Trading Restrictions/Market Abuse Laws</w:t>
      </w:r>
      <w:r>
        <w:rPr>
          <w:rFonts w:ascii="Arial" w:cs="Arial" w:eastAsia="Arial" w:hAnsi="Arial"/>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Performance RSUs),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9" w:lineRule="exact"/>
        <w:rPr>
          <w:rFonts w:ascii="Arial" w:cs="Arial" w:eastAsia="Arial" w:hAnsi="Arial"/>
          <w:sz w:val="16"/>
          <w:szCs w:val="16"/>
          <w:color w:val="auto"/>
        </w:rPr>
      </w:pPr>
    </w:p>
    <w:p>
      <w:pPr>
        <w:jc w:val="both"/>
        <w:ind w:left="323" w:hanging="323"/>
        <w:spacing w:after="0" w:line="250" w:lineRule="auto"/>
        <w:tabs>
          <w:tab w:leader="none" w:pos="323"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Foreign Asset/Account, Exchange Control, and Tax Reporting</w:t>
      </w:r>
      <w:r>
        <w:rPr>
          <w:rFonts w:ascii="Arial" w:cs="Arial" w:eastAsia="Arial" w:hAnsi="Arial"/>
          <w:sz w:val="14"/>
          <w:szCs w:val="14"/>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7"/>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83"/>
          </w:cols>
          <w:pgMar w:left="957" w:top="1440" w:right="65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r>
    </w:p>
    <w:p>
      <w:pPr>
        <w:spacing w:after="0" w:line="398" w:lineRule="exact"/>
        <w:rPr>
          <w:sz w:val="20"/>
          <w:szCs w:val="20"/>
          <w:color w:val="auto"/>
        </w:rPr>
      </w:pPr>
    </w:p>
    <w:p>
      <w:pPr>
        <w:jc w:val="both"/>
        <w:ind w:left="323"/>
        <w:spacing w:after="0" w:line="224" w:lineRule="auto"/>
        <w:rPr>
          <w:sz w:val="20"/>
          <w:szCs w:val="20"/>
          <w:color w:val="auto"/>
        </w:rPr>
      </w:pPr>
      <w:r>
        <w:rPr>
          <w:rFonts w:ascii="Arial" w:cs="Arial" w:eastAsia="Arial" w:hAnsi="Arial"/>
          <w:sz w:val="16"/>
          <w:szCs w:val="16"/>
          <w:color w:val="auto"/>
        </w:rPr>
        <w:t>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6" w:lineRule="exact"/>
        <w:rPr>
          <w:sz w:val="20"/>
          <w:szCs w:val="20"/>
          <w:color w:val="auto"/>
        </w:rPr>
      </w:pPr>
    </w:p>
    <w:p>
      <w:pPr>
        <w:ind w:left="323" w:hanging="323"/>
        <w:spacing w:after="0" w:line="233" w:lineRule="auto"/>
        <w:tabs>
          <w:tab w:leader="none" w:pos="32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6" w:lineRule="exact"/>
        <w:rPr>
          <w:rFonts w:ascii="Arial" w:cs="Arial" w:eastAsia="Arial" w:hAnsi="Arial"/>
          <w:sz w:val="16"/>
          <w:szCs w:val="16"/>
          <w:color w:val="auto"/>
        </w:rPr>
      </w:pPr>
    </w:p>
    <w:p>
      <w:pPr>
        <w:jc w:val="both"/>
        <w:ind w:left="323" w:hanging="323"/>
        <w:spacing w:after="0" w:line="217" w:lineRule="auto"/>
        <w:tabs>
          <w:tab w:leader="none" w:pos="314"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43"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Arial" w:cs="Arial" w:eastAsia="Arial" w:hAnsi="Arial"/>
                <w:sz w:val="16"/>
                <w:szCs w:val="16"/>
                <w:color w:val="auto"/>
              </w:rPr>
              <w:t>By:   /s/ Ray Stata</w:t>
            </w:r>
          </w:p>
        </w:tc>
        <w:tc>
          <w:tcPr>
            <w:tcW w:w="4900" w:type="dxa"/>
            <w:vAlign w:val="bottom"/>
            <w:gridSpan w:val="2"/>
          </w:tcPr>
          <w:p>
            <w:pPr>
              <w:ind w:left="1160"/>
              <w:spacing w:after="0"/>
              <w:rPr>
                <w:sz w:val="20"/>
                <w:szCs w:val="20"/>
                <w:color w:val="auto"/>
              </w:rPr>
            </w:pPr>
            <w:r>
              <w:rPr>
                <w:rFonts w:ascii="Arial" w:cs="Arial" w:eastAsia="Arial" w:hAnsi="Arial"/>
                <w:sz w:val="16"/>
                <w:szCs w:val="16"/>
                <w:color w:val="auto"/>
              </w:rPr>
              <w:t>By:   /s/ Vincent Roche</w:t>
            </w:r>
          </w:p>
        </w:tc>
      </w:tr>
      <w:tr>
        <w:trPr>
          <w:trHeight w:val="158"/>
        </w:trPr>
        <w:tc>
          <w:tcPr>
            <w:tcW w:w="400" w:type="dxa"/>
            <w:vAlign w:val="bottom"/>
          </w:tcPr>
          <w:p>
            <w:pPr>
              <w:spacing w:after="0"/>
              <w:rPr>
                <w:sz w:val="13"/>
                <w:szCs w:val="13"/>
                <w:color w:val="auto"/>
              </w:rPr>
            </w:pPr>
          </w:p>
        </w:tc>
        <w:tc>
          <w:tcPr>
            <w:tcW w:w="3300" w:type="dxa"/>
            <w:vAlign w:val="bottom"/>
            <w:tcBorders>
              <w:top w:val="single" w:sz="8" w:color="auto"/>
            </w:tcBorders>
          </w:tcPr>
          <w:p>
            <w:pPr>
              <w:ind w:left="20"/>
              <w:spacing w:after="0" w:line="158" w:lineRule="exact"/>
              <w:rPr>
                <w:sz w:val="20"/>
                <w:szCs w:val="20"/>
                <w:color w:val="auto"/>
              </w:rPr>
            </w:pPr>
            <w:r>
              <w:rPr>
                <w:rFonts w:ascii="Arial" w:cs="Arial" w:eastAsia="Arial" w:hAnsi="Arial"/>
                <w:sz w:val="16"/>
                <w:szCs w:val="16"/>
                <w:color w:val="auto"/>
                <w:w w:val="99"/>
              </w:rPr>
              <w:t>Ray Stata, Chairman of the Board of Directors</w:t>
            </w:r>
          </w:p>
        </w:tc>
        <w:tc>
          <w:tcPr>
            <w:tcW w:w="1580" w:type="dxa"/>
            <w:vAlign w:val="bottom"/>
          </w:tcPr>
          <w:p>
            <w:pPr>
              <w:spacing w:after="0"/>
              <w:rPr>
                <w:sz w:val="13"/>
                <w:szCs w:val="13"/>
                <w:color w:val="auto"/>
              </w:rPr>
            </w:pPr>
          </w:p>
        </w:tc>
        <w:tc>
          <w:tcPr>
            <w:tcW w:w="3320" w:type="dxa"/>
            <w:vAlign w:val="bottom"/>
            <w:tcBorders>
              <w:top w:val="single" w:sz="8" w:color="auto"/>
            </w:tcBorders>
          </w:tcPr>
          <w:p>
            <w:pPr>
              <w:ind w:left="20"/>
              <w:spacing w:after="0" w:line="158" w:lineRule="exact"/>
              <w:rPr>
                <w:sz w:val="20"/>
                <w:szCs w:val="20"/>
                <w:color w:val="auto"/>
              </w:rPr>
            </w:pPr>
            <w:r>
              <w:rPr>
                <w:rFonts w:ascii="Arial" w:cs="Arial" w:eastAsia="Arial" w:hAnsi="Arial"/>
                <w:sz w:val="16"/>
                <w:szCs w:val="16"/>
                <w:color w:val="auto"/>
              </w:rPr>
              <w:t>Vincent Roche, President &amp; Chief Executive</w:t>
            </w:r>
          </w:p>
        </w:tc>
      </w:tr>
      <w:tr>
        <w:trPr>
          <w:trHeight w:val="201"/>
        </w:trPr>
        <w:tc>
          <w:tcPr>
            <w:tcW w:w="4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7"/>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83"/>
          </w:cols>
          <w:pgMar w:left="957" w:top="1440" w:right="659" w:bottom="1440" w:gutter="0" w:footer="0" w:header="0"/>
        </w:sectPr>
      </w:pPr>
    </w:p>
    <w:bookmarkStart w:id="121" w:name="page122"/>
    <w:bookmarkEnd w:id="121"/>
    <w:p>
      <w:pPr>
        <w:ind w:left="4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 TO</w:t>
      </w:r>
    </w:p>
    <w:p>
      <w:pPr>
        <w:spacing w:after="0" w:line="145"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hanging="319"/>
        <w:spacing w:after="0"/>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Performance Period</w:t>
      </w:r>
      <w:r>
        <w:rPr>
          <w:rFonts w:ascii="Arial" w:cs="Arial" w:eastAsia="Arial" w:hAnsi="Arial"/>
          <w:sz w:val="16"/>
          <w:szCs w:val="16"/>
          <w:color w:val="auto"/>
        </w:rPr>
        <w:t>. The three-year period beginning on Grant Date and ending on Grant Custom 1 (the “Performance Period”).</w:t>
      </w:r>
    </w:p>
    <w:p>
      <w:pPr>
        <w:spacing w:after="0" w:line="131" w:lineRule="exact"/>
        <w:rPr>
          <w:rFonts w:ascii="Arial" w:cs="Arial" w:eastAsia="Arial" w:hAnsi="Arial"/>
          <w:sz w:val="16"/>
          <w:szCs w:val="16"/>
          <w:color w:val="auto"/>
        </w:rPr>
      </w:pPr>
    </w:p>
    <w:p>
      <w:pPr>
        <w:ind w:left="320" w:hanging="319"/>
        <w:spacing w:after="0"/>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Cliff Vesting Date.</w:t>
      </w:r>
    </w:p>
    <w:p>
      <w:pPr>
        <w:spacing w:after="0" w:line="131" w:lineRule="exact"/>
        <w:rPr>
          <w:rFonts w:ascii="Arial" w:cs="Arial" w:eastAsia="Arial" w:hAnsi="Arial"/>
          <w:sz w:val="16"/>
          <w:szCs w:val="16"/>
          <w:color w:val="auto"/>
        </w:rPr>
      </w:pPr>
    </w:p>
    <w:p>
      <w:pPr>
        <w:ind w:left="320" w:hanging="319"/>
        <w:spacing w:after="0" w:line="233" w:lineRule="auto"/>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Determination Date</w:t>
      </w:r>
      <w:r>
        <w:rPr>
          <w:rFonts w:ascii="Arial" w:cs="Arial" w:eastAsia="Arial" w:hAnsi="Arial"/>
          <w:sz w:val="16"/>
          <w:szCs w:val="16"/>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16" w:lineRule="exact"/>
        <w:rPr>
          <w:rFonts w:ascii="Arial" w:cs="Arial" w:eastAsia="Arial" w:hAnsi="Arial"/>
          <w:sz w:val="16"/>
          <w:szCs w:val="16"/>
          <w:color w:val="auto"/>
        </w:rPr>
      </w:pPr>
    </w:p>
    <w:p>
      <w:pPr>
        <w:jc w:val="both"/>
        <w:ind w:left="320" w:hanging="319"/>
        <w:spacing w:after="0" w:line="219" w:lineRule="auto"/>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Performance-Based Vesting Terms</w:t>
      </w:r>
      <w:r>
        <w:rPr>
          <w:rFonts w:ascii="Arial" w:cs="Arial" w:eastAsia="Arial" w:hAnsi="Arial"/>
          <w:sz w:val="16"/>
          <w:szCs w:val="16"/>
          <w:color w:val="auto"/>
        </w:rPr>
        <w:t>. Subject to Section 2(a) through 2(d)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17" w:lineRule="exact"/>
        <w:rPr>
          <w:rFonts w:ascii="Arial" w:cs="Arial" w:eastAsia="Arial" w:hAnsi="Arial"/>
          <w:sz w:val="16"/>
          <w:szCs w:val="16"/>
          <w:color w:val="auto"/>
        </w:rPr>
      </w:pPr>
    </w:p>
    <w:p>
      <w:pPr>
        <w:jc w:val="both"/>
        <w:ind w:left="320" w:hanging="319"/>
        <w:spacing w:after="0" w:line="217" w:lineRule="auto"/>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Performance Parameters</w:t>
      </w:r>
      <w:r>
        <w:rPr>
          <w:rFonts w:ascii="Arial" w:cs="Arial" w:eastAsia="Arial" w:hAnsi="Arial"/>
          <w:sz w:val="16"/>
          <w:szCs w:val="16"/>
          <w:color w:val="auto"/>
        </w:rPr>
        <w:t>. The Performance Parameters are based on the comparison of the TSR (as defined below) of the Company relative to the median TSR of the Peer Group (as defined below) during the Performance Period and are equal to 100% plus or minus one and a half times the difference between the Company’s TSR and the median Peer Group TSR. The number of Performance RSUs that shall vest shall be equal to a number of Performance RSUs that is between 0% and 200% of the Initial Grant Number, up to a maximum of 100% of the Initial Grant Number if the Company’s TSR is negative. Attainment among Performance Parameters is subject to interpolation on a linear basis.</w:t>
      </w:r>
    </w:p>
    <w:p>
      <w:pPr>
        <w:spacing w:after="0" w:line="116" w:lineRule="exact"/>
        <w:rPr>
          <w:sz w:val="20"/>
          <w:szCs w:val="20"/>
          <w:color w:val="auto"/>
        </w:rPr>
      </w:pPr>
    </w:p>
    <w:p>
      <w:pPr>
        <w:ind w:left="320"/>
        <w:spacing w:after="0" w:line="258" w:lineRule="auto"/>
        <w:rPr>
          <w:sz w:val="20"/>
          <w:szCs w:val="20"/>
          <w:color w:val="auto"/>
        </w:rPr>
      </w:pPr>
      <w:r>
        <w:rPr>
          <w:rFonts w:ascii="Arial" w:cs="Arial" w:eastAsia="Arial" w:hAnsi="Arial"/>
          <w:sz w:val="15"/>
          <w:szCs w:val="15"/>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Shareholder Return (“TSR”) shall be computed according to the following formula: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TSR = </w:t>
      </w:r>
      <w:r>
        <w:rPr>
          <w:rFonts w:ascii="Arial" w:cs="Arial" w:eastAsia="Arial" w:hAnsi="Arial"/>
          <w:sz w:val="16"/>
          <w:szCs w:val="16"/>
          <w:u w:val="single" w:color="auto"/>
          <w:color w:val="auto"/>
        </w:rPr>
        <w:t>(Ending Stock Price – Beginning Stock Price + Cumulative Cash Dividend Payments)</w:t>
      </w:r>
    </w:p>
    <w:p>
      <w:pPr>
        <w:jc w:val="center"/>
        <w:spacing w:after="0"/>
        <w:rPr>
          <w:sz w:val="20"/>
          <w:szCs w:val="20"/>
          <w:color w:val="auto"/>
        </w:rPr>
      </w:pPr>
      <w:r>
        <w:rPr>
          <w:rFonts w:ascii="Arial" w:cs="Arial" w:eastAsia="Arial" w:hAnsi="Arial"/>
          <w:sz w:val="16"/>
          <w:szCs w:val="16"/>
          <w:color w:val="auto"/>
        </w:rPr>
        <w:t>(Beginning Stock Price)</w:t>
      </w:r>
    </w:p>
    <w:p>
      <w:pPr>
        <w:spacing w:after="0" w:line="210" w:lineRule="exact"/>
        <w:rPr>
          <w:sz w:val="20"/>
          <w:szCs w:val="20"/>
          <w:color w:val="auto"/>
        </w:rPr>
      </w:pPr>
    </w:p>
    <w:p>
      <w:pPr>
        <w:ind w:left="320"/>
        <w:spacing w:after="0" w:line="279" w:lineRule="auto"/>
        <w:rPr>
          <w:sz w:val="20"/>
          <w:szCs w:val="20"/>
          <w:color w:val="auto"/>
        </w:rPr>
      </w:pPr>
      <w:r>
        <w:rPr>
          <w:rFonts w:ascii="Arial" w:cs="Arial" w:eastAsia="Arial" w:hAnsi="Arial"/>
          <w:sz w:val="16"/>
          <w:szCs w:val="16"/>
          <w:color w:val="auto"/>
        </w:rPr>
        <w:t>“Beginning Stock Price” shall mean the average of the closing prices of the applicable stock for the 90 calendar days starting and including the first day of the Performance Period.</w:t>
      </w:r>
    </w:p>
    <w:p>
      <w:pPr>
        <w:spacing w:after="0" w:line="138" w:lineRule="exact"/>
        <w:rPr>
          <w:sz w:val="20"/>
          <w:szCs w:val="20"/>
          <w:color w:val="auto"/>
        </w:rPr>
      </w:pPr>
    </w:p>
    <w:p>
      <w:pPr>
        <w:ind w:left="320"/>
        <w:spacing w:after="0" w:line="279" w:lineRule="auto"/>
        <w:rPr>
          <w:sz w:val="20"/>
          <w:szCs w:val="20"/>
          <w:color w:val="auto"/>
        </w:rPr>
      </w:pPr>
      <w:r>
        <w:rPr>
          <w:rFonts w:ascii="Arial" w:cs="Arial" w:eastAsia="Arial" w:hAnsi="Arial"/>
          <w:sz w:val="16"/>
          <w:szCs w:val="16"/>
          <w:color w:val="auto"/>
        </w:rPr>
        <w:t>“Ending Stock Price” shall mean the average of the closing price of the applicable stock for the 90 calendar days up to and including the last day of the Performance Period.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“Cumulative Cash Dividend Payments” shall mean the sum of all cash dividends declared during the Performance Period, based on their ex-dividend date.</w:t>
      </w:r>
    </w:p>
    <w:p>
      <w:pPr>
        <w:spacing w:after="0" w:line="196" w:lineRule="exact"/>
        <w:rPr>
          <w:sz w:val="20"/>
          <w:szCs w:val="20"/>
          <w:color w:val="auto"/>
        </w:rPr>
      </w:pPr>
    </w:p>
    <w:p>
      <w:pPr>
        <w:ind w:left="320"/>
        <w:spacing w:after="0" w:line="233" w:lineRule="auto"/>
        <w:rPr>
          <w:sz w:val="20"/>
          <w:szCs w:val="20"/>
          <w:color w:val="auto"/>
        </w:rPr>
      </w:pPr>
      <w:r>
        <w:rPr>
          <w:rFonts w:ascii="Arial" w:cs="Arial" w:eastAsia="Arial" w:hAnsi="Arial"/>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0600"/>
          </w:cols>
          <w:pgMar w:left="640" w:top="994" w:right="659" w:bottom="1440" w:gutter="0" w:footer="0" w:header="0"/>
        </w:sectPr>
      </w:pPr>
    </w:p>
    <w:bookmarkStart w:id="122" w:name="page123"/>
    <w:bookmarkEnd w:id="122"/>
    <w:p>
      <w:pPr>
        <w:ind w:left="5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 TO</w:t>
      </w:r>
    </w:p>
    <w:p>
      <w:pPr>
        <w:spacing w:after="0" w:line="14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Three examples are set forth below:</w:t>
      </w:r>
    </w:p>
    <w:p>
      <w:pPr>
        <w:spacing w:after="0" w:line="161" w:lineRule="exact"/>
        <w:rPr>
          <w:sz w:val="20"/>
          <w:szCs w:val="20"/>
          <w:color w:val="auto"/>
        </w:rPr>
      </w:pPr>
    </w:p>
    <w:tbl>
      <w:tblPr>
        <w:tblLayout w:type="fixed"/>
        <w:tblInd w:w="730" w:type="dxa"/>
        <w:tblCellMar>
          <w:top w:w="0" w:type="dxa"/>
          <w:left w:w="0" w:type="dxa"/>
          <w:bottom w:w="0" w:type="dxa"/>
          <w:right w:w="0" w:type="dxa"/>
        </w:tblCellMar>
      </w:tblPr>
      <w:tr>
        <w:trPr>
          <w:trHeight w:val="174"/>
        </w:trPr>
        <w:tc>
          <w:tcPr>
            <w:tcW w:w="980" w:type="dxa"/>
            <w:vAlign w:val="bottom"/>
            <w:tcBorders>
              <w:top w:val="single" w:sz="8" w:color="auto"/>
              <w:left w:val="single" w:sz="8" w:color="auto"/>
              <w:right w:val="single" w:sz="8" w:color="auto"/>
            </w:tcBorders>
            <w:shd w:val="clear" w:color="auto" w:fill="C6D9F0"/>
          </w:tcPr>
          <w:p>
            <w:pPr>
              <w:ind w:left="280"/>
              <w:spacing w:after="0" w:line="175" w:lineRule="exact"/>
              <w:rPr>
                <w:sz w:val="20"/>
                <w:szCs w:val="20"/>
                <w:color w:val="auto"/>
              </w:rPr>
            </w:pPr>
            <w:r>
              <w:rPr>
                <w:rFonts w:ascii="Arial" w:cs="Arial" w:eastAsia="Arial" w:hAnsi="Arial"/>
                <w:sz w:val="16"/>
                <w:szCs w:val="16"/>
                <w:color w:val="auto"/>
              </w:rPr>
              <w:t>Payout</w:t>
            </w:r>
          </w:p>
        </w:tc>
        <w:tc>
          <w:tcPr>
            <w:tcW w:w="2540" w:type="dxa"/>
            <w:vAlign w:val="bottom"/>
            <w:tcBorders>
              <w:top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16"/>
                <w:szCs w:val="16"/>
                <w:color w:val="auto"/>
                <w:w w:val="90"/>
              </w:rPr>
              <w:t>Number of Potential Shares Attained</w:t>
            </w:r>
          </w:p>
        </w:tc>
        <w:tc>
          <w:tcPr>
            <w:tcW w:w="6220" w:type="dxa"/>
            <w:vAlign w:val="bottom"/>
            <w:tcBorders>
              <w:top w:val="single" w:sz="8" w:color="auto"/>
              <w:right w:val="single" w:sz="8" w:color="auto"/>
            </w:tcBorders>
            <w:vMerge w:val="restart"/>
            <w:shd w:val="clear" w:color="auto" w:fill="C6D9F0"/>
          </w:tcPr>
          <w:p>
            <w:pPr>
              <w:ind w:left="2320"/>
              <w:spacing w:after="0"/>
              <w:rPr>
                <w:sz w:val="20"/>
                <w:szCs w:val="20"/>
                <w:color w:val="auto"/>
              </w:rPr>
            </w:pPr>
            <w:r>
              <w:rPr>
                <w:rFonts w:ascii="Arial" w:cs="Arial" w:eastAsia="Arial" w:hAnsi="Arial"/>
                <w:sz w:val="16"/>
                <w:szCs w:val="16"/>
                <w:color w:val="auto"/>
              </w:rPr>
              <w:t>Performance Parameters</w:t>
            </w: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shd w:val="clear" w:color="auto" w:fill="C6D9F0"/>
          </w:tcPr>
          <w:p>
            <w:pPr>
              <w:ind w:left="260"/>
              <w:spacing w:after="0"/>
              <w:rPr>
                <w:sz w:val="20"/>
                <w:szCs w:val="20"/>
                <w:color w:val="auto"/>
              </w:rPr>
            </w:pPr>
            <w:r>
              <w:rPr>
                <w:rFonts w:ascii="Arial" w:cs="Arial" w:eastAsia="Arial" w:hAnsi="Arial"/>
                <w:sz w:val="16"/>
                <w:szCs w:val="16"/>
                <w:color w:val="auto"/>
              </w:rPr>
              <w:t>Percent</w:t>
            </w:r>
          </w:p>
        </w:tc>
        <w:tc>
          <w:tcPr>
            <w:tcW w:w="2540" w:type="dxa"/>
            <w:vAlign w:val="bottom"/>
            <w:tcBorders>
              <w:right w:val="single" w:sz="8" w:color="auto"/>
            </w:tcBorders>
            <w:vMerge w:val="continue"/>
            <w:shd w:val="clear" w:color="auto" w:fill="C6D9F0"/>
          </w:tcPr>
          <w:p>
            <w:pPr>
              <w:spacing w:after="0"/>
              <w:rPr>
                <w:sz w:val="17"/>
                <w:szCs w:val="17"/>
                <w:color w:val="auto"/>
              </w:rPr>
            </w:pPr>
          </w:p>
        </w:tc>
        <w:tc>
          <w:tcPr>
            <w:tcW w:w="6220" w:type="dxa"/>
            <w:vAlign w:val="bottom"/>
            <w:tcBorders>
              <w:right w:val="single" w:sz="8" w:color="auto"/>
            </w:tcBorders>
            <w:vMerge w:val="continue"/>
            <w:shd w:val="clear" w:color="auto" w:fill="C6D9F0"/>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Borders>
              <w:left w:val="single" w:sz="8" w:color="auto"/>
              <w:bottom w:val="single" w:sz="8" w:color="auto"/>
              <w:right w:val="single" w:sz="8" w:color="auto"/>
            </w:tcBorders>
            <w:shd w:val="clear" w:color="auto" w:fill="C6D9F0"/>
          </w:tcPr>
          <w:p>
            <w:pPr>
              <w:spacing w:after="0"/>
              <w:rPr>
                <w:sz w:val="14"/>
                <w:szCs w:val="14"/>
                <w:color w:val="auto"/>
              </w:rPr>
            </w:pPr>
          </w:p>
        </w:tc>
        <w:tc>
          <w:tcPr>
            <w:tcW w:w="2540" w:type="dxa"/>
            <w:vAlign w:val="bottom"/>
            <w:tcBorders>
              <w:bottom w:val="single" w:sz="8" w:color="auto"/>
              <w:right w:val="single" w:sz="8" w:color="auto"/>
            </w:tcBorders>
            <w:shd w:val="clear" w:color="auto" w:fill="C6D9F0"/>
          </w:tcPr>
          <w:p>
            <w:pPr>
              <w:spacing w:after="0"/>
              <w:rPr>
                <w:sz w:val="14"/>
                <w:szCs w:val="14"/>
                <w:color w:val="auto"/>
              </w:rPr>
            </w:pPr>
          </w:p>
        </w:tc>
        <w:tc>
          <w:tcPr>
            <w:tcW w:w="6220" w:type="dxa"/>
            <w:vAlign w:val="bottom"/>
            <w:tcBorders>
              <w:bottom w:val="single" w:sz="8" w:color="auto"/>
              <w:right w:val="single" w:sz="8" w:color="auto"/>
            </w:tcBorders>
            <w:shd w:val="clear" w:color="auto" w:fill="C6D9F0"/>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62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Company TSR minus Peer Group Median TSR is less than or equal to -66.67</w:t>
            </w:r>
          </w:p>
        </w:tc>
        <w:tc>
          <w:tcPr>
            <w:tcW w:w="0" w:type="dxa"/>
            <w:vAlign w:val="bottom"/>
          </w:tcPr>
          <w:p>
            <w:pPr>
              <w:spacing w:after="0"/>
              <w:rPr>
                <w:sz w:val="1"/>
                <w:szCs w:val="1"/>
                <w:color w:val="auto"/>
              </w:rPr>
            </w:pPr>
          </w:p>
        </w:tc>
      </w:tr>
      <w:tr>
        <w:trPr>
          <w:trHeight w:val="165"/>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100%</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Number of Awards Granted</w:t>
            </w:r>
          </w:p>
        </w:tc>
        <w:tc>
          <w:tcPr>
            <w:tcW w:w="62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Company TSR minus Peer Group Median TSR equals 0</w:t>
            </w:r>
          </w:p>
        </w:tc>
        <w:tc>
          <w:tcPr>
            <w:tcW w:w="0" w:type="dxa"/>
            <w:vAlign w:val="bottom"/>
          </w:tcPr>
          <w:p>
            <w:pPr>
              <w:spacing w:after="0"/>
              <w:rPr>
                <w:sz w:val="1"/>
                <w:szCs w:val="1"/>
                <w:color w:val="auto"/>
              </w:rPr>
            </w:pPr>
          </w:p>
        </w:tc>
      </w:tr>
      <w:tr>
        <w:trPr>
          <w:trHeight w:val="79"/>
        </w:trPr>
        <w:tc>
          <w:tcPr>
            <w:tcW w:w="980" w:type="dxa"/>
            <w:vAlign w:val="bottom"/>
            <w:tcBorders>
              <w:left w:val="single" w:sz="8" w:color="auto"/>
              <w:right w:val="single" w:sz="8" w:color="auto"/>
            </w:tcBorders>
          </w:tcPr>
          <w:p>
            <w:pPr>
              <w:spacing w:after="0"/>
              <w:rPr>
                <w:sz w:val="6"/>
                <w:szCs w:val="6"/>
                <w:color w:val="auto"/>
              </w:rPr>
            </w:pPr>
          </w:p>
        </w:tc>
        <w:tc>
          <w:tcPr>
            <w:tcW w:w="2540" w:type="dxa"/>
            <w:vAlign w:val="bottom"/>
            <w:tcBorders>
              <w:right w:val="single" w:sz="8" w:color="auto"/>
            </w:tcBorders>
            <w:vMerge w:val="continue"/>
          </w:tcPr>
          <w:p>
            <w:pPr>
              <w:spacing w:after="0"/>
              <w:rPr>
                <w:sz w:val="6"/>
                <w:szCs w:val="6"/>
                <w:color w:val="auto"/>
              </w:rPr>
            </w:pPr>
          </w:p>
        </w:tc>
        <w:tc>
          <w:tcPr>
            <w:tcW w:w="6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6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200%</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Grant Custom 2</w:t>
            </w:r>
          </w:p>
        </w:tc>
        <w:tc>
          <w:tcPr>
            <w:tcW w:w="62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Company TSR minus Peer Group Median TSR is greater than or equal to +66.67</w:t>
            </w:r>
          </w:p>
        </w:tc>
        <w:tc>
          <w:tcPr>
            <w:tcW w:w="0" w:type="dxa"/>
            <w:vAlign w:val="bottom"/>
          </w:tcPr>
          <w:p>
            <w:pPr>
              <w:spacing w:after="0"/>
              <w:rPr>
                <w:sz w:val="1"/>
                <w:szCs w:val="1"/>
                <w:color w:val="auto"/>
              </w:rPr>
            </w:pPr>
          </w:p>
        </w:tc>
      </w:tr>
      <w:tr>
        <w:trPr>
          <w:trHeight w:val="79"/>
        </w:trPr>
        <w:tc>
          <w:tcPr>
            <w:tcW w:w="980" w:type="dxa"/>
            <w:vAlign w:val="bottom"/>
            <w:tcBorders>
              <w:left w:val="single" w:sz="8" w:color="auto"/>
              <w:right w:val="single" w:sz="8" w:color="auto"/>
            </w:tcBorders>
          </w:tcPr>
          <w:p>
            <w:pPr>
              <w:spacing w:after="0"/>
              <w:rPr>
                <w:sz w:val="6"/>
                <w:szCs w:val="6"/>
                <w:color w:val="auto"/>
              </w:rPr>
            </w:pPr>
          </w:p>
        </w:tc>
        <w:tc>
          <w:tcPr>
            <w:tcW w:w="2540" w:type="dxa"/>
            <w:vAlign w:val="bottom"/>
            <w:tcBorders>
              <w:right w:val="single" w:sz="8" w:color="auto"/>
            </w:tcBorders>
            <w:vMerge w:val="continue"/>
          </w:tcPr>
          <w:p>
            <w:pPr>
              <w:spacing w:after="0"/>
              <w:rPr>
                <w:sz w:val="6"/>
                <w:szCs w:val="6"/>
                <w:color w:val="auto"/>
              </w:rPr>
            </w:pPr>
          </w:p>
        </w:tc>
        <w:tc>
          <w:tcPr>
            <w:tcW w:w="6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6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spacing w:after="0" w:line="233" w:lineRule="auto"/>
        <w:rPr>
          <w:sz w:val="20"/>
          <w:szCs w:val="20"/>
          <w:color w:val="auto"/>
        </w:rPr>
      </w:pPr>
      <w:r>
        <w:rPr>
          <w:rFonts w:ascii="Arial" w:cs="Arial" w:eastAsia="Arial" w:hAnsi="Arial"/>
          <w:sz w:val="16"/>
          <w:szCs w:val="16"/>
          <w:color w:val="auto"/>
        </w:rPr>
        <w:t>The Performance Parameters shall be subject to the adjustments approved by the Compensation Committee of the Board and set forth in writing at the time the Performance Parameters are approved.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VERSION 11/21</w:t>
      </w:r>
    </w:p>
    <w:p>
      <w:pPr>
        <w:sectPr>
          <w:pgSz w:w="11900" w:h="16838" w:orient="portrait"/>
          <w:cols w:equalWidth="0" w:num="1">
            <w:col w:w="11240"/>
          </w:cols>
          <w:pgMar w:left="320" w:top="994" w:right="339" w:bottom="1440" w:gutter="0" w:footer="0" w:header="0"/>
        </w:sectPr>
      </w:pPr>
    </w:p>
    <w:bookmarkStart w:id="123" w:name="page124"/>
    <w:bookmarkEnd w:id="123"/>
    <w:p>
      <w:pPr>
        <w:ind w:left="4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t>APPENDIX B TO</w:t>
      </w:r>
    </w:p>
    <w:p>
      <w:pPr>
        <w:spacing w:after="0" w:line="145"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320"/>
        <w:spacing w:after="0" w:line="239" w:lineRule="auto"/>
        <w:rPr>
          <w:sz w:val="20"/>
          <w:szCs w:val="20"/>
          <w:color w:val="auto"/>
        </w:rPr>
      </w:pPr>
      <w:r>
        <w:rPr>
          <w:rFonts w:ascii="Arial" w:cs="Arial" w:eastAsia="Arial" w:hAnsi="Arial"/>
          <w:sz w:val="15"/>
          <w:szCs w:val="15"/>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right="320"/>
        <w:spacing w:after="0" w:line="217" w:lineRule="auto"/>
        <w:rPr>
          <w:sz w:val="20"/>
          <w:szCs w:val="20"/>
          <w:color w:val="auto"/>
        </w:rPr>
      </w:pPr>
      <w:r>
        <w:rPr>
          <w:rFonts w:ascii="Arial" w:cs="Arial" w:eastAsia="Arial" w:hAnsi="Arial"/>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November 2021.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08" w:lineRule="exact"/>
        <w:rPr>
          <w:sz w:val="20"/>
          <w:szCs w:val="20"/>
          <w:color w:val="auto"/>
        </w:rPr>
      </w:pPr>
    </w:p>
    <w:p>
      <w:pPr>
        <w:jc w:val="both"/>
        <w:ind w:right="320"/>
        <w:spacing w:after="0" w:line="224"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right="320"/>
        <w:spacing w:after="0" w:line="239" w:lineRule="auto"/>
        <w:rPr>
          <w:sz w:val="20"/>
          <w:szCs w:val="20"/>
          <w:color w:val="auto"/>
        </w:rPr>
      </w:pPr>
      <w:r>
        <w:rPr>
          <w:rFonts w:ascii="Arial" w:cs="Arial" w:eastAsia="Arial" w:hAnsi="Arial"/>
          <w:sz w:val="15"/>
          <w:szCs w:val="15"/>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6" w:lineRule="exact"/>
        <w:rPr>
          <w:sz w:val="20"/>
          <w:szCs w:val="20"/>
          <w:color w:val="auto"/>
        </w:rPr>
      </w:pPr>
    </w:p>
    <w:p>
      <w:pPr>
        <w:jc w:val="both"/>
        <w:ind w:left="320" w:hanging="319"/>
        <w:spacing w:after="0" w:line="229" w:lineRule="auto"/>
        <w:tabs>
          <w:tab w:leader="none" w:pos="311" w:val="left"/>
        </w:tabs>
        <w:numPr>
          <w:ilvl w:val="0"/>
          <w:numId w:val="112"/>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Collection and Usage</w:t>
      </w:r>
      <w:r>
        <w:rPr>
          <w:rFonts w:ascii="Arial" w:cs="Arial" w:eastAsia="Arial" w:hAnsi="Arial"/>
          <w:sz w:val="15"/>
          <w:szCs w:val="15"/>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7" w:lineRule="exact"/>
        <w:rPr>
          <w:rFonts w:ascii="Arial" w:cs="Arial" w:eastAsia="Arial" w:hAnsi="Arial"/>
          <w:sz w:val="15"/>
          <w:szCs w:val="15"/>
          <w:color w:val="auto"/>
        </w:rPr>
      </w:pPr>
    </w:p>
    <w:p>
      <w:pPr>
        <w:jc w:val="both"/>
        <w:ind w:left="320" w:hanging="319"/>
        <w:spacing w:after="0" w:line="231" w:lineRule="auto"/>
        <w:tabs>
          <w:tab w:leader="none" w:pos="320" w:val="left"/>
        </w:tabs>
        <w:numPr>
          <w:ilvl w:val="0"/>
          <w:numId w:val="112"/>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Company transfers participant data to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7" w:lineRule="exact"/>
        <w:rPr>
          <w:rFonts w:ascii="Arial" w:cs="Arial" w:eastAsia="Arial" w:hAnsi="Arial"/>
          <w:sz w:val="15"/>
          <w:szCs w:val="15"/>
          <w:color w:val="auto"/>
        </w:rPr>
      </w:pPr>
    </w:p>
    <w:p>
      <w:pPr>
        <w:jc w:val="both"/>
        <w:ind w:left="320" w:hanging="319"/>
        <w:spacing w:after="0" w:line="227" w:lineRule="auto"/>
        <w:tabs>
          <w:tab w:leader="none" w:pos="311" w:val="left"/>
        </w:tabs>
        <w:numPr>
          <w:ilvl w:val="0"/>
          <w:numId w:val="112"/>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6" w:lineRule="exact"/>
        <w:rPr>
          <w:rFonts w:ascii="Arial" w:cs="Arial" w:eastAsia="Arial" w:hAnsi="Arial"/>
          <w:sz w:val="15"/>
          <w:szCs w:val="15"/>
          <w:color w:val="auto"/>
        </w:rPr>
      </w:pPr>
    </w:p>
    <w:p>
      <w:pPr>
        <w:jc w:val="both"/>
        <w:ind w:left="320" w:hanging="319"/>
        <w:spacing w:after="0" w:line="224" w:lineRule="auto"/>
        <w:tabs>
          <w:tab w:leader="none" w:pos="320"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APPENDIX B - 1</w:t>
      </w:r>
    </w:p>
    <w:p>
      <w:pPr>
        <w:sectPr>
          <w:pgSz w:w="11900" w:h="16838" w:orient="portrait"/>
          <w:cols w:equalWidth="0" w:num="1">
            <w:col w:w="10920"/>
          </w:cols>
          <w:pgMar w:left="640" w:top="994" w:right="339" w:bottom="1440" w:gutter="0" w:footer="0" w:header="0"/>
        </w:sectPr>
      </w:pPr>
    </w:p>
    <w:bookmarkStart w:id="124" w:name="page125"/>
    <w:bookmarkEnd w:id="124"/>
    <w:p>
      <w:pPr>
        <w:ind w:left="4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20"/>
        <w:spacing w:after="0" w:line="224" w:lineRule="auto"/>
        <w:rPr>
          <w:sz w:val="20"/>
          <w:szCs w:val="20"/>
          <w:color w:val="auto"/>
        </w:rPr>
      </w:pPr>
      <w:r>
        <w:rPr>
          <w:rFonts w:ascii="Arial" w:cs="Arial" w:eastAsia="Arial" w:hAnsi="Arial"/>
          <w:sz w:val="16"/>
          <w:szCs w:val="16"/>
          <w:b w:val="1"/>
          <w:bCs w:val="1"/>
          <w:i w:val="1"/>
          <w:iCs w:val="1"/>
          <w:color w:val="auto"/>
        </w:rPr>
        <w:t>personal data may be retained beyond the termination of the Participant’s employment with the Employer. When the Company no longer needs the Participant’s personal data, which will generally be seven years after the Participant is granted Performance RSUs under the Plan, the Company will remove it from it from its systems.</w:t>
      </w:r>
    </w:p>
    <w:p>
      <w:pPr>
        <w:spacing w:after="0" w:line="116" w:lineRule="exact"/>
        <w:rPr>
          <w:sz w:val="20"/>
          <w:szCs w:val="20"/>
          <w:color w:val="auto"/>
        </w:rPr>
      </w:pPr>
    </w:p>
    <w:p>
      <w:pPr>
        <w:jc w:val="both"/>
        <w:ind w:left="320" w:hanging="319"/>
        <w:spacing w:after="0" w:line="219" w:lineRule="auto"/>
        <w:tabs>
          <w:tab w:leader="none" w:pos="311"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17" w:lineRule="exact"/>
        <w:rPr>
          <w:rFonts w:ascii="Arial" w:cs="Arial" w:eastAsia="Arial" w:hAnsi="Arial"/>
          <w:sz w:val="16"/>
          <w:szCs w:val="16"/>
          <w:color w:val="auto"/>
        </w:rPr>
      </w:pPr>
    </w:p>
    <w:p>
      <w:pPr>
        <w:jc w:val="both"/>
        <w:ind w:left="320" w:hanging="319"/>
        <w:spacing w:after="0" w:line="215"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6" w:lineRule="exact"/>
        <w:rPr>
          <w:sz w:val="20"/>
          <w:szCs w:val="20"/>
          <w:color w:val="auto"/>
        </w:rPr>
      </w:pPr>
    </w:p>
    <w:p>
      <w:pPr>
        <w:ind w:right="320"/>
        <w:spacing w:after="0" w:line="233" w:lineRule="auto"/>
        <w:rPr>
          <w:sz w:val="20"/>
          <w:szCs w:val="20"/>
          <w:color w:val="auto"/>
        </w:rPr>
      </w:pPr>
      <w:r>
        <w:rPr>
          <w:rFonts w:ascii="Arial" w:cs="Arial" w:eastAsia="Arial" w:hAnsi="Arial"/>
          <w:sz w:val="16"/>
          <w:szCs w:val="16"/>
          <w:b w:val="1"/>
          <w:bCs w:val="1"/>
          <w:i w:val="1"/>
          <w:iCs w:val="1"/>
          <w:color w:val="auto"/>
        </w:rPr>
        <w:t>If the Participant agrees with the data processing practices described in this notice, please declare the Participant’s consent by clicking “Accept Your Grant” on the Accepting Your Grants page on Fidelity’s participant website.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IRELAND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9(b) of the Agreement:</w:t>
      </w:r>
    </w:p>
    <w:p>
      <w:pPr>
        <w:spacing w:after="0" w:line="132" w:lineRule="exact"/>
        <w:rPr>
          <w:sz w:val="20"/>
          <w:szCs w:val="20"/>
          <w:color w:val="auto"/>
        </w:rPr>
      </w:pPr>
    </w:p>
    <w:p>
      <w:pPr>
        <w:ind w:right="320"/>
        <w:spacing w:after="0" w:line="233" w:lineRule="auto"/>
        <w:rPr>
          <w:sz w:val="20"/>
          <w:szCs w:val="20"/>
          <w:color w:val="auto"/>
        </w:rPr>
      </w:pPr>
      <w:r>
        <w:rPr>
          <w:rFonts w:ascii="Arial" w:cs="Arial" w:eastAsia="Arial" w:hAnsi="Arial"/>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0920"/>
          </w:cols>
          <w:pgMar w:left="640" w:top="994" w:right="339" w:bottom="1440" w:gutter="0" w:footer="0" w:header="0"/>
        </w:sectPr>
      </w:pPr>
    </w:p>
    <w:bookmarkStart w:id="125" w:name="page126"/>
    <w:bookmarkEnd w:id="125"/>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10.5</w:t>
      </w:r>
    </w:p>
    <w:p>
      <w:pPr>
        <w:spacing w:after="0" w:line="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2020 EQUITY INCENTIVE PLAN</w:t>
      </w:r>
    </w:p>
    <w:p>
      <w:pPr>
        <w:jc w:val="center"/>
        <w:ind w:right="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6"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Participant Name</w:t>
      </w:r>
    </w:p>
    <w:p>
      <w:pPr>
        <w:spacing w:after="0" w:line="205" w:lineRule="auto"/>
        <w:rPr>
          <w:sz w:val="20"/>
          <w:szCs w:val="20"/>
          <w:color w:val="auto"/>
        </w:rPr>
      </w:pPr>
      <w:r>
        <w:rPr>
          <w:rFonts w:ascii="Arial" w:cs="Arial" w:eastAsia="Arial" w:hAnsi="Arial"/>
          <w:sz w:val="16"/>
          <w:szCs w:val="16"/>
          <w:color w:val="auto"/>
        </w:rPr>
        <w:t>Employee ID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Grant ID: Client Grant ID</w:t>
      </w:r>
    </w:p>
    <w:p>
      <w:pPr>
        <w:spacing w:after="0" w:line="197" w:lineRule="exact"/>
        <w:rPr>
          <w:sz w:val="20"/>
          <w:szCs w:val="20"/>
          <w:color w:val="auto"/>
        </w:rPr>
      </w:pPr>
    </w:p>
    <w:p>
      <w:pPr>
        <w:jc w:val="both"/>
        <w:ind w:right="320"/>
        <w:spacing w:after="0" w:line="247" w:lineRule="auto"/>
        <w:rPr>
          <w:sz w:val="20"/>
          <w:szCs w:val="20"/>
          <w:color w:val="auto"/>
        </w:rPr>
      </w:pPr>
      <w:r>
        <w:rPr>
          <w:rFonts w:ascii="Arial" w:cs="Arial" w:eastAsia="Arial" w:hAnsi="Arial"/>
          <w:sz w:val="14"/>
          <w:szCs w:val="14"/>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11" w:lineRule="exact"/>
        <w:rPr>
          <w:sz w:val="20"/>
          <w:szCs w:val="20"/>
          <w:color w:val="auto"/>
        </w:rPr>
      </w:pPr>
    </w:p>
    <w:p>
      <w:pPr>
        <w:ind w:left="320" w:hanging="319"/>
        <w:spacing w:after="0"/>
        <w:tabs>
          <w:tab w:leader="none" w:pos="32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Performance Restricted Stock Unit</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320" w:right="320"/>
        <w:spacing w:after="0" w:line="233" w:lineRule="auto"/>
        <w:rPr>
          <w:rFonts w:ascii="Arial" w:cs="Arial" w:eastAsia="Arial" w:hAnsi="Arial"/>
          <w:sz w:val="16"/>
          <w:szCs w:val="16"/>
          <w:color w:val="auto"/>
        </w:rPr>
      </w:pPr>
      <w:r>
        <w:rPr>
          <w:rFonts w:ascii="Arial" w:cs="Arial" w:eastAsia="Arial" w:hAnsi="Arial"/>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4"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b w:val="1"/>
          <w:bCs w:val="1"/>
          <w:color w:val="0000CC"/>
        </w:rPr>
        <w:t>Date of Grant:  Grant Date</w:t>
      </w:r>
    </w:p>
    <w:p>
      <w:pPr>
        <w:ind w:left="320"/>
        <w:spacing w:after="0" w:line="205" w:lineRule="auto"/>
        <w:rPr>
          <w:rFonts w:ascii="Arial" w:cs="Arial" w:eastAsia="Arial" w:hAnsi="Arial"/>
          <w:sz w:val="16"/>
          <w:szCs w:val="16"/>
          <w:color w:val="auto"/>
        </w:rPr>
      </w:pPr>
      <w:r>
        <w:rPr>
          <w:rFonts w:ascii="Arial" w:cs="Arial" w:eastAsia="Arial" w:hAnsi="Arial"/>
          <w:sz w:val="16"/>
          <w:szCs w:val="16"/>
          <w:b w:val="1"/>
          <w:bCs w:val="1"/>
          <w:color w:val="0000CC"/>
        </w:rPr>
        <w:t>Number of Performance RSUs (“Initial Grant Number”):  Number of Awards Granted</w:t>
      </w:r>
    </w:p>
    <w:p>
      <w:pPr>
        <w:ind w:left="320"/>
        <w:spacing w:after="0"/>
        <w:rPr>
          <w:rFonts w:ascii="Arial" w:cs="Arial" w:eastAsia="Arial" w:hAnsi="Arial"/>
          <w:sz w:val="16"/>
          <w:szCs w:val="16"/>
          <w:color w:val="auto"/>
        </w:rPr>
      </w:pPr>
      <w:r>
        <w:rPr>
          <w:rFonts w:ascii="Arial" w:cs="Arial" w:eastAsia="Arial" w:hAnsi="Arial"/>
          <w:sz w:val="16"/>
          <w:szCs w:val="16"/>
          <w:b w:val="1"/>
          <w:bCs w:val="1"/>
          <w:color w:val="0000CC"/>
        </w:rPr>
        <w:t>Vesting Date:  Cliff Vesting Date</w:t>
      </w:r>
    </w:p>
    <w:p>
      <w:pPr>
        <w:spacing w:after="0" w:line="170" w:lineRule="exact"/>
        <w:rPr>
          <w:rFonts w:ascii="Arial" w:cs="Arial" w:eastAsia="Arial" w:hAnsi="Arial"/>
          <w:sz w:val="16"/>
          <w:szCs w:val="16"/>
          <w:color w:val="auto"/>
        </w:rPr>
      </w:pPr>
    </w:p>
    <w:p>
      <w:pPr>
        <w:jc w:val="both"/>
        <w:ind w:left="320" w:right="320"/>
        <w:spacing w:after="0" w:line="255" w:lineRule="auto"/>
        <w:rPr>
          <w:rFonts w:ascii="Arial" w:cs="Arial" w:eastAsia="Arial" w:hAnsi="Arial"/>
          <w:sz w:val="16"/>
          <w:szCs w:val="16"/>
          <w:color w:val="auto"/>
        </w:rPr>
      </w:pPr>
      <w:r>
        <w:rPr>
          <w:rFonts w:ascii="Arial" w:cs="Arial" w:eastAsia="Arial" w:hAnsi="Arial"/>
          <w:sz w:val="14"/>
          <w:szCs w:val="14"/>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Arial" w:cs="Arial" w:eastAsia="Arial" w:hAnsi="Arial"/>
          <w:sz w:val="14"/>
          <w:szCs w:val="14"/>
          <w:b w:val="1"/>
          <w:bCs w:val="1"/>
          <w:i w:val="1"/>
          <w:iCs w:val="1"/>
          <w:color w:val="auto"/>
        </w:rPr>
        <w:t>must accept</w:t>
      </w:r>
      <w:r>
        <w:rPr>
          <w:rFonts w:ascii="Arial" w:cs="Arial" w:eastAsia="Arial" w:hAnsi="Arial"/>
          <w:sz w:val="14"/>
          <w:szCs w:val="14"/>
          <w:color w:val="auto"/>
        </w:rPr>
        <w:t xml:space="preserve"> this Agreement no later than Grant Custom 4 or </w:t>
      </w:r>
      <w:r>
        <w:rPr>
          <w:rFonts w:ascii="Arial" w:cs="Arial" w:eastAsia="Arial" w:hAnsi="Arial"/>
          <w:sz w:val="14"/>
          <w:szCs w:val="14"/>
          <w:b w:val="1"/>
          <w:bCs w:val="1"/>
          <w:i w:val="1"/>
          <w:iCs w:val="1"/>
          <w:color w:val="auto"/>
        </w:rPr>
        <w:t>this Award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shall terminate and will become null and void</w:t>
      </w:r>
      <w:r>
        <w:rPr>
          <w:rFonts w:ascii="Arial" w:cs="Arial" w:eastAsia="Arial" w:hAnsi="Arial"/>
          <w:sz w:val="14"/>
          <w:szCs w:val="14"/>
          <w:color w:val="auto"/>
        </w:rPr>
        <w:t>. For purposes of this Agreement, the Participant is deemed to reside in the country where his or her Employer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located. In addition, if the Participant resides in Israel, written consent may be required by Grant Custom 3, the Participant should refer to Appendix B for details.</w:t>
      </w:r>
    </w:p>
    <w:p>
      <w:pPr>
        <w:spacing w:after="0" w:line="157" w:lineRule="exact"/>
        <w:rPr>
          <w:rFonts w:ascii="Arial" w:cs="Arial" w:eastAsia="Arial" w:hAnsi="Arial"/>
          <w:sz w:val="16"/>
          <w:szCs w:val="16"/>
          <w:color w:val="auto"/>
        </w:rPr>
      </w:pPr>
    </w:p>
    <w:p>
      <w:pPr>
        <w:jc w:val="both"/>
        <w:ind w:left="320" w:right="320"/>
        <w:spacing w:after="0" w:line="219" w:lineRule="auto"/>
        <w:rPr>
          <w:rFonts w:ascii="Arial" w:cs="Arial" w:eastAsia="Arial" w:hAnsi="Arial"/>
          <w:sz w:val="16"/>
          <w:szCs w:val="16"/>
          <w:color w:val="auto"/>
        </w:rPr>
      </w:pPr>
      <w:r>
        <w:rPr>
          <w:rFonts w:ascii="Arial" w:cs="Arial" w:eastAsia="Arial" w:hAnsi="Arial"/>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70" w:lineRule="exact"/>
        <w:rPr>
          <w:rFonts w:ascii="Arial" w:cs="Arial" w:eastAsia="Arial" w:hAnsi="Arial"/>
          <w:sz w:val="16"/>
          <w:szCs w:val="16"/>
          <w:color w:val="auto"/>
        </w:rPr>
      </w:pPr>
    </w:p>
    <w:p>
      <w:pPr>
        <w:jc w:val="both"/>
        <w:ind w:left="320" w:right="320"/>
        <w:spacing w:after="0" w:line="264" w:lineRule="auto"/>
        <w:rPr>
          <w:rFonts w:ascii="Arial" w:cs="Arial" w:eastAsia="Arial" w:hAnsi="Arial"/>
          <w:sz w:val="16"/>
          <w:szCs w:val="16"/>
          <w:color w:val="auto"/>
        </w:rPr>
      </w:pPr>
      <w:r>
        <w:rPr>
          <w:rFonts w:ascii="Arial" w:cs="Arial" w:eastAsia="Arial" w:hAnsi="Arial"/>
          <w:sz w:val="14"/>
          <w:szCs w:val="14"/>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00" w:lineRule="exact"/>
        <w:rPr>
          <w:rFonts w:ascii="Arial" w:cs="Arial" w:eastAsia="Arial" w:hAnsi="Arial"/>
          <w:sz w:val="16"/>
          <w:szCs w:val="16"/>
          <w:color w:val="auto"/>
        </w:rPr>
      </w:pPr>
    </w:p>
    <w:p>
      <w:pPr>
        <w:ind w:left="320" w:hanging="319"/>
        <w:spacing w:after="0"/>
        <w:tabs>
          <w:tab w:leader="none" w:pos="32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640" w:right="320" w:hanging="323"/>
        <w:spacing w:after="0" w:line="241" w:lineRule="auto"/>
        <w:tabs>
          <w:tab w:leader="none" w:pos="631" w:val="left"/>
        </w:tabs>
        <w:numPr>
          <w:ilvl w:val="1"/>
          <w:numId w:val="114"/>
        </w:numPr>
        <w:rPr>
          <w:rFonts w:ascii="Arial" w:cs="Arial" w:eastAsia="Arial" w:hAnsi="Arial"/>
          <w:sz w:val="14"/>
          <w:szCs w:val="14"/>
          <w:color w:val="auto"/>
        </w:rPr>
      </w:pPr>
      <w:r>
        <w:rPr>
          <w:rFonts w:ascii="Arial" w:cs="Arial" w:eastAsia="Arial" w:hAnsi="Arial"/>
          <w:sz w:val="14"/>
          <w:szCs w:val="14"/>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6" w:lineRule="exact"/>
        <w:rPr>
          <w:rFonts w:ascii="Arial" w:cs="Arial" w:eastAsia="Arial" w:hAnsi="Arial"/>
          <w:sz w:val="14"/>
          <w:szCs w:val="14"/>
          <w:color w:val="auto"/>
        </w:rPr>
      </w:pPr>
    </w:p>
    <w:p>
      <w:pPr>
        <w:jc w:val="both"/>
        <w:ind w:left="640" w:right="320" w:hanging="323"/>
        <w:spacing w:after="0" w:line="219" w:lineRule="auto"/>
        <w:tabs>
          <w:tab w:leader="none" w:pos="6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7" w:lineRule="exact"/>
        <w:rPr>
          <w:rFonts w:ascii="Arial" w:cs="Arial" w:eastAsia="Arial" w:hAnsi="Arial"/>
          <w:sz w:val="16"/>
          <w:szCs w:val="16"/>
          <w:color w:val="auto"/>
        </w:rPr>
      </w:pPr>
    </w:p>
    <w:p>
      <w:pPr>
        <w:jc w:val="both"/>
        <w:ind w:left="640" w:right="320" w:hanging="323"/>
        <w:spacing w:after="0" w:line="224" w:lineRule="auto"/>
        <w:tabs>
          <w:tab w:leader="none" w:pos="631"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In the event of the Participant’s death prior to the end of the Performance Period, the Unvested Performance RSUs shall vest immediately upon death based on the following attainment levels for each of the Performance Measurement Periods: (i) if the death occurs following the last day of a Performance Measurement Period, an attainment level based on the actual attainment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20"/>
          </w:cols>
          <w:pgMar w:left="640" w:top="1440" w:right="339" w:bottom="1440" w:gutter="0" w:footer="0" w:header="0"/>
        </w:sectPr>
      </w:pPr>
    </w:p>
    <w:bookmarkStart w:id="126" w:name="page127"/>
    <w:bookmarkEnd w:id="126"/>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color w:val="auto"/>
        </w:rPr>
        <w:t>level determined by the Compensation Committee of the Board for each of the Performance Measurement Periods ending prior to the Participant’s death; and</w:t>
      </w:r>
    </w:p>
    <w:p>
      <w:pPr>
        <w:spacing w:after="0" w:line="11" w:lineRule="exact"/>
        <w:rPr>
          <w:sz w:val="20"/>
          <w:szCs w:val="20"/>
          <w:color w:val="auto"/>
        </w:rPr>
      </w:pPr>
    </w:p>
    <w:p>
      <w:pPr>
        <w:jc w:val="both"/>
        <w:ind w:left="640" w:hanging="7"/>
        <w:spacing w:after="0" w:line="248" w:lineRule="auto"/>
        <w:tabs>
          <w:tab w:leader="none" w:pos="889" w:val="left"/>
        </w:tabs>
        <w:numPr>
          <w:ilvl w:val="2"/>
          <w:numId w:val="115"/>
        </w:numPr>
        <w:rPr>
          <w:rFonts w:ascii="Arial" w:cs="Arial" w:eastAsia="Arial" w:hAnsi="Arial"/>
          <w:sz w:val="14"/>
          <w:szCs w:val="14"/>
          <w:color w:val="auto"/>
        </w:rPr>
      </w:pPr>
      <w:r>
        <w:rPr>
          <w:rFonts w:ascii="Arial" w:cs="Arial" w:eastAsia="Arial" w:hAnsi="Arial"/>
          <w:sz w:val="14"/>
          <w:szCs w:val="14"/>
          <w:color w:val="auto"/>
        </w:rPr>
        <w:t>if the termination occurs prior to the last day of a Performance Measurement Period, an attainment level equal to 100% for each of the Performance Measurement Periods that end subsequent to the Participant’s death.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w:t>
      </w:r>
    </w:p>
    <w:p>
      <w:pPr>
        <w:spacing w:after="0" w:line="110" w:lineRule="exact"/>
        <w:rPr>
          <w:rFonts w:ascii="Arial" w:cs="Arial" w:eastAsia="Arial" w:hAnsi="Arial"/>
          <w:sz w:val="14"/>
          <w:szCs w:val="14"/>
          <w:color w:val="auto"/>
        </w:rPr>
      </w:pPr>
    </w:p>
    <w:p>
      <w:pPr>
        <w:jc w:val="both"/>
        <w:ind w:left="640" w:hanging="323"/>
        <w:spacing w:after="0" w:line="241" w:lineRule="auto"/>
        <w:tabs>
          <w:tab w:leader="none" w:pos="64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 xml:space="preserve">In the event the Participant becomes </w:t>
      </w:r>
      <w:r>
        <w:rPr>
          <w:rFonts w:ascii="Arial" w:cs="Arial" w:eastAsia="Arial" w:hAnsi="Arial"/>
          <w:sz w:val="14"/>
          <w:szCs w:val="14"/>
          <w:u w:val="single" w:color="auto"/>
          <w:color w:val="auto"/>
        </w:rPr>
        <w:t>Disabled</w:t>
      </w:r>
      <w:r>
        <w:rPr>
          <w:rFonts w:ascii="Arial" w:cs="Arial" w:eastAsia="Arial" w:hAnsi="Arial"/>
          <w:sz w:val="14"/>
          <w:szCs w:val="14"/>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for each of the Performance Periods: (i) if the Participant is determined to be Disabled following the last day of a Performance Measurement Period, an attainment level based on the actual attainment level determined by the Compensation Committee of the Board for each of the Performance Measurement Periods ending prior to the date that the Participant is determined to be Disabled; and (ii) if the Participant is determined to be Disabled prior to the last day of a Performance Measurement Period, an attainment level equal to 100% for each of the Performance Measurement Periods that end subsequent to the date that the Participants is determined to be Disabled.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with respect to the Participant shall have the meaning set forth in Section 409(a)(2)(C) of the Code.</w:t>
      </w:r>
    </w:p>
    <w:p>
      <w:pPr>
        <w:spacing w:after="0" w:line="120" w:lineRule="exact"/>
        <w:rPr>
          <w:rFonts w:ascii="Arial" w:cs="Arial" w:eastAsia="Arial" w:hAnsi="Arial"/>
          <w:sz w:val="14"/>
          <w:szCs w:val="14"/>
          <w:color w:val="auto"/>
        </w:rPr>
      </w:pPr>
    </w:p>
    <w:p>
      <w:pPr>
        <w:jc w:val="both"/>
        <w:ind w:left="640" w:hanging="323"/>
        <w:spacing w:after="0" w:line="231" w:lineRule="auto"/>
        <w:tabs>
          <w:tab w:leader="none" w:pos="631" w:val="left"/>
        </w:tabs>
        <w:numPr>
          <w:ilvl w:val="1"/>
          <w:numId w:val="116"/>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Arial" w:cs="Arial" w:eastAsia="Arial" w:hAnsi="Arial"/>
          <w:sz w:val="15"/>
          <w:szCs w:val="15"/>
          <w:color w:val="auto"/>
        </w:rPr>
      </w:pPr>
    </w:p>
    <w:p>
      <w:pPr>
        <w:ind w:left="640" w:hanging="323"/>
        <w:spacing w:after="0" w:line="233" w:lineRule="auto"/>
        <w:tabs>
          <w:tab w:leader="none" w:pos="6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6" w:lineRule="exact"/>
        <w:rPr>
          <w:rFonts w:ascii="Arial" w:cs="Arial" w:eastAsia="Arial" w:hAnsi="Arial"/>
          <w:sz w:val="16"/>
          <w:szCs w:val="16"/>
          <w:color w:val="auto"/>
        </w:rPr>
      </w:pPr>
    </w:p>
    <w:p>
      <w:pPr>
        <w:ind w:left="320" w:hanging="319"/>
        <w:spacing w:after="0"/>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620" w:hanging="303"/>
        <w:spacing w:after="0"/>
        <w:tabs>
          <w:tab w:leader="none" w:pos="62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The Participant shall not sell, assign, transfer, pledge or otherwise encumber any Performance RSUs, either voluntarily or by operation of law.</w:t>
      </w:r>
    </w:p>
    <w:p>
      <w:pPr>
        <w:spacing w:after="0" w:line="143" w:lineRule="exact"/>
        <w:rPr>
          <w:rFonts w:ascii="Arial" w:cs="Arial" w:eastAsia="Arial" w:hAnsi="Arial"/>
          <w:sz w:val="15"/>
          <w:szCs w:val="15"/>
          <w:color w:val="auto"/>
        </w:rPr>
      </w:pPr>
    </w:p>
    <w:p>
      <w:pPr>
        <w:jc w:val="both"/>
        <w:ind w:left="640" w:hanging="323"/>
        <w:spacing w:after="0" w:line="224" w:lineRule="auto"/>
        <w:tabs>
          <w:tab w:leader="none" w:pos="6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6" w:lineRule="exact"/>
        <w:rPr>
          <w:rFonts w:ascii="Arial" w:cs="Arial" w:eastAsia="Arial" w:hAnsi="Arial"/>
          <w:sz w:val="16"/>
          <w:szCs w:val="16"/>
          <w:color w:val="auto"/>
        </w:rPr>
      </w:pPr>
    </w:p>
    <w:p>
      <w:pPr>
        <w:jc w:val="both"/>
        <w:ind w:left="320" w:hanging="319"/>
        <w:spacing w:after="0" w:line="217" w:lineRule="auto"/>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5" w:lineRule="exact"/>
        <w:rPr>
          <w:rFonts w:ascii="Arial" w:cs="Arial" w:eastAsia="Arial" w:hAnsi="Arial"/>
          <w:sz w:val="16"/>
          <w:szCs w:val="16"/>
          <w:color w:val="auto"/>
        </w:rPr>
      </w:pPr>
    </w:p>
    <w:p>
      <w:pPr>
        <w:jc w:val="both"/>
        <w:ind w:left="320" w:hanging="319"/>
        <w:spacing w:after="0" w:line="255" w:lineRule="auto"/>
        <w:tabs>
          <w:tab w:leader="none" w:pos="320"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Provisions of the Plan</w:t>
      </w:r>
      <w:r>
        <w:rPr>
          <w:rFonts w:ascii="Arial" w:cs="Arial" w:eastAsia="Arial" w:hAnsi="Arial"/>
          <w:sz w:val="14"/>
          <w:szCs w:val="14"/>
          <w:color w:val="auto"/>
        </w:rPr>
        <w:t>. The Performance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05" w:lineRule="exact"/>
        <w:rPr>
          <w:rFonts w:ascii="Arial" w:cs="Arial" w:eastAsia="Arial" w:hAnsi="Arial"/>
          <w:sz w:val="14"/>
          <w:szCs w:val="14"/>
          <w:color w:val="auto"/>
        </w:rPr>
      </w:pPr>
    </w:p>
    <w:p>
      <w:pPr>
        <w:ind w:left="320" w:hanging="319"/>
        <w:spacing w:after="0"/>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640" w:hanging="323"/>
        <w:spacing w:after="0" w:line="225" w:lineRule="auto"/>
        <w:tabs>
          <w:tab w:leader="none" w:pos="631" w:val="left"/>
        </w:tabs>
        <w:numPr>
          <w:ilvl w:val="1"/>
          <w:numId w:val="117"/>
        </w:numPr>
        <w:rPr>
          <w:rFonts w:ascii="Arial" w:cs="Arial" w:eastAsia="Arial" w:hAnsi="Arial"/>
          <w:sz w:val="15"/>
          <w:szCs w:val="15"/>
          <w:color w:val="auto"/>
        </w:rPr>
      </w:pPr>
      <w:r>
        <w:rPr>
          <w:rFonts w:ascii="Arial" w:cs="Arial" w:eastAsia="Arial" w:hAnsi="Arial"/>
          <w:sz w:val="15"/>
          <w:szCs w:val="15"/>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600"/>
          </w:cols>
          <w:pgMar w:left="640" w:top="1440" w:right="659" w:bottom="1440" w:gutter="0" w:footer="0" w:header="0"/>
        </w:sectPr>
      </w:pPr>
    </w:p>
    <w:bookmarkStart w:id="127" w:name="page128"/>
    <w:bookmarkEnd w:id="127"/>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5"/>
          <w:szCs w:val="15"/>
          <w:color w:val="auto"/>
        </w:rPr>
        <w:t>acknowledges that the Company and/or the Employer may be required to withhold or account for Tax-Related Items in more than one jurisdiction.</w:t>
      </w:r>
    </w:p>
    <w:p>
      <w:pPr>
        <w:spacing w:after="0" w:line="143" w:lineRule="exact"/>
        <w:rPr>
          <w:sz w:val="20"/>
          <w:szCs w:val="20"/>
          <w:color w:val="auto"/>
        </w:rPr>
      </w:pPr>
    </w:p>
    <w:p>
      <w:pPr>
        <w:jc w:val="both"/>
        <w:ind w:left="640" w:hanging="323"/>
        <w:spacing w:after="0" w:line="239" w:lineRule="auto"/>
        <w:tabs>
          <w:tab w:leader="none" w:pos="64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6" w:lineRule="exact"/>
        <w:rPr>
          <w:rFonts w:ascii="Arial" w:cs="Arial" w:eastAsia="Arial" w:hAnsi="Arial"/>
          <w:sz w:val="15"/>
          <w:szCs w:val="15"/>
          <w:color w:val="auto"/>
        </w:rPr>
      </w:pPr>
    </w:p>
    <w:p>
      <w:pPr>
        <w:jc w:val="both"/>
        <w:ind w:left="940" w:hanging="307"/>
        <w:spacing w:after="0" w:line="234" w:lineRule="auto"/>
        <w:tabs>
          <w:tab w:leader="none" w:pos="931" w:val="left"/>
        </w:tabs>
        <w:numPr>
          <w:ilvl w:val="2"/>
          <w:numId w:val="118"/>
        </w:numPr>
        <w:rPr>
          <w:rFonts w:ascii="Arial" w:cs="Arial" w:eastAsia="Arial" w:hAnsi="Arial"/>
          <w:sz w:val="15"/>
          <w:szCs w:val="15"/>
          <w:color w:val="auto"/>
        </w:rPr>
      </w:pPr>
      <w:r>
        <w:rPr>
          <w:rFonts w:ascii="Arial" w:cs="Arial" w:eastAsia="Arial" w:hAnsi="Arial"/>
          <w:sz w:val="15"/>
          <w:szCs w:val="15"/>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6" w:lineRule="exact"/>
        <w:rPr>
          <w:rFonts w:ascii="Arial" w:cs="Arial" w:eastAsia="Arial" w:hAnsi="Arial"/>
          <w:sz w:val="15"/>
          <w:szCs w:val="15"/>
          <w:color w:val="auto"/>
        </w:rPr>
      </w:pPr>
    </w:p>
    <w:p>
      <w:pPr>
        <w:ind w:left="940" w:hanging="307"/>
        <w:spacing w:after="0" w:line="233" w:lineRule="auto"/>
        <w:tabs>
          <w:tab w:leader="none" w:pos="936" w:val="left"/>
        </w:tabs>
        <w:numPr>
          <w:ilvl w:val="2"/>
          <w:numId w:val="118"/>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6" w:lineRule="exact"/>
        <w:rPr>
          <w:rFonts w:ascii="Arial" w:cs="Arial" w:eastAsia="Arial" w:hAnsi="Arial"/>
          <w:sz w:val="16"/>
          <w:szCs w:val="16"/>
          <w:color w:val="auto"/>
        </w:rPr>
      </w:pPr>
    </w:p>
    <w:p>
      <w:pPr>
        <w:ind w:left="940" w:hanging="307"/>
        <w:spacing w:after="0" w:line="233" w:lineRule="auto"/>
        <w:tabs>
          <w:tab w:leader="none" w:pos="94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6" w:lineRule="exact"/>
        <w:rPr>
          <w:rFonts w:ascii="Arial" w:cs="Arial" w:eastAsia="Arial" w:hAnsi="Arial"/>
          <w:sz w:val="16"/>
          <w:szCs w:val="16"/>
          <w:color w:val="auto"/>
        </w:rPr>
      </w:pPr>
    </w:p>
    <w:p>
      <w:pPr>
        <w:jc w:val="both"/>
        <w:ind w:left="940"/>
        <w:spacing w:after="0" w:line="219" w:lineRule="auto"/>
        <w:rPr>
          <w:rFonts w:ascii="Arial" w:cs="Arial" w:eastAsia="Arial" w:hAnsi="Arial"/>
          <w:sz w:val="16"/>
          <w:szCs w:val="16"/>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7" w:lineRule="exact"/>
        <w:rPr>
          <w:rFonts w:ascii="Arial" w:cs="Arial" w:eastAsia="Arial" w:hAnsi="Arial"/>
          <w:sz w:val="16"/>
          <w:szCs w:val="16"/>
          <w:color w:val="auto"/>
        </w:rPr>
      </w:pPr>
    </w:p>
    <w:p>
      <w:pPr>
        <w:ind w:left="940" w:hanging="307"/>
        <w:spacing w:after="0"/>
        <w:tabs>
          <w:tab w:leader="none" w:pos="94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other method determined by the Company, to the extent permitted under the Plan and applicable laws.</w:t>
      </w:r>
    </w:p>
    <w:p>
      <w:pPr>
        <w:spacing w:after="0" w:line="131" w:lineRule="exact"/>
        <w:rPr>
          <w:rFonts w:ascii="Arial" w:cs="Arial" w:eastAsia="Arial" w:hAnsi="Arial"/>
          <w:sz w:val="16"/>
          <w:szCs w:val="16"/>
          <w:color w:val="auto"/>
        </w:rPr>
      </w:pPr>
    </w:p>
    <w:p>
      <w:pPr>
        <w:jc w:val="both"/>
        <w:ind w:left="940"/>
        <w:spacing w:after="0" w:line="243" w:lineRule="auto"/>
        <w:rPr>
          <w:rFonts w:ascii="Arial" w:cs="Arial" w:eastAsia="Arial" w:hAnsi="Arial"/>
          <w:sz w:val="16"/>
          <w:szCs w:val="16"/>
          <w:color w:val="auto"/>
        </w:rPr>
      </w:pPr>
      <w:r>
        <w:rPr>
          <w:rFonts w:ascii="Arial" w:cs="Arial" w:eastAsia="Arial" w:hAnsi="Arial"/>
          <w:sz w:val="14"/>
          <w:szCs w:val="14"/>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17" w:lineRule="exact"/>
        <w:rPr>
          <w:rFonts w:ascii="Arial" w:cs="Arial" w:eastAsia="Arial" w:hAnsi="Arial"/>
          <w:sz w:val="16"/>
          <w:szCs w:val="16"/>
          <w:color w:val="auto"/>
        </w:rPr>
      </w:pPr>
    </w:p>
    <w:p>
      <w:pPr>
        <w:jc w:val="both"/>
        <w:ind w:left="940"/>
        <w:spacing w:after="0" w:line="245" w:lineRule="auto"/>
        <w:rPr>
          <w:rFonts w:ascii="Arial" w:cs="Arial" w:eastAsia="Arial" w:hAnsi="Arial"/>
          <w:sz w:val="16"/>
          <w:szCs w:val="16"/>
          <w:color w:val="auto"/>
        </w:rPr>
      </w:pPr>
      <w:r>
        <w:rPr>
          <w:rFonts w:ascii="Arial" w:cs="Arial" w:eastAsia="Arial" w:hAnsi="Arial"/>
          <w:sz w:val="14"/>
          <w:szCs w:val="14"/>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2" w:lineRule="exact"/>
        <w:rPr>
          <w:rFonts w:ascii="Arial" w:cs="Arial" w:eastAsia="Arial" w:hAnsi="Arial"/>
          <w:sz w:val="16"/>
          <w:szCs w:val="16"/>
          <w:color w:val="auto"/>
        </w:rPr>
      </w:pPr>
    </w:p>
    <w:p>
      <w:pPr>
        <w:jc w:val="both"/>
        <w:ind w:left="320" w:hanging="319"/>
        <w:spacing w:after="0" w:line="229" w:lineRule="auto"/>
        <w:tabs>
          <w:tab w:leader="none" w:pos="320"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Arial" w:cs="Arial" w:eastAsia="Arial" w:hAnsi="Arial"/>
          <w:sz w:val="15"/>
          <w:szCs w:val="15"/>
          <w:color w:val="auto"/>
        </w:rPr>
      </w:pPr>
    </w:p>
    <w:p>
      <w:pPr>
        <w:jc w:val="both"/>
        <w:ind w:left="320" w:hanging="319"/>
        <w:spacing w:after="0" w:line="247" w:lineRule="auto"/>
        <w:tabs>
          <w:tab w:leader="none" w:pos="320" w:val="left"/>
        </w:tabs>
        <w:numPr>
          <w:ilvl w:val="0"/>
          <w:numId w:val="119"/>
        </w:numPr>
        <w:rPr>
          <w:rFonts w:ascii="Arial" w:cs="Arial" w:eastAsia="Arial" w:hAnsi="Arial"/>
          <w:sz w:val="14"/>
          <w:szCs w:val="14"/>
          <w:color w:val="auto"/>
        </w:rPr>
      </w:pPr>
      <w:r>
        <w:rPr>
          <w:rFonts w:ascii="Arial" w:cs="Arial" w:eastAsia="Arial" w:hAnsi="Arial"/>
          <w:sz w:val="14"/>
          <w:szCs w:val="14"/>
          <w:u w:val="single" w:color="auto"/>
          <w:color w:val="auto"/>
        </w:rPr>
        <w:t>Repatriation and Other Legal Requirements</w:t>
      </w:r>
      <w:r>
        <w:rPr>
          <w:rFonts w:ascii="Arial" w:cs="Arial" w:eastAsia="Arial" w:hAnsi="Arial"/>
          <w:sz w:val="14"/>
          <w:szCs w:val="14"/>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600"/>
          </w:cols>
          <w:pgMar w:left="640" w:top="1440" w:right="659" w:bottom="1440" w:gutter="0" w:footer="0" w:header="0"/>
        </w:sectPr>
      </w:pPr>
    </w:p>
    <w:bookmarkStart w:id="128" w:name="page129"/>
    <w:bookmarkEnd w:id="128"/>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ind w:left="320" w:hanging="319"/>
        <w:spacing w:after="0"/>
        <w:tabs>
          <w:tab w:leader="none" w:pos="32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jc w:val="both"/>
        <w:ind w:left="640" w:hanging="323"/>
        <w:spacing w:after="0" w:line="250" w:lineRule="auto"/>
        <w:tabs>
          <w:tab w:leader="none" w:pos="631" w:val="left"/>
        </w:tabs>
        <w:numPr>
          <w:ilvl w:val="1"/>
          <w:numId w:val="120"/>
        </w:numPr>
        <w:rPr>
          <w:rFonts w:ascii="Arial" w:cs="Arial" w:eastAsia="Arial" w:hAnsi="Arial"/>
          <w:sz w:val="14"/>
          <w:szCs w:val="14"/>
          <w:color w:val="auto"/>
        </w:rPr>
      </w:pPr>
      <w:r>
        <w:rPr>
          <w:rFonts w:ascii="Arial" w:cs="Arial" w:eastAsia="Arial" w:hAnsi="Arial"/>
          <w:sz w:val="14"/>
          <w:szCs w:val="14"/>
          <w:u w:val="single" w:color="auto"/>
          <w:color w:val="auto"/>
        </w:rPr>
        <w:t>No Rights to Employment</w:t>
      </w:r>
      <w:r>
        <w:rPr>
          <w:rFonts w:ascii="Arial" w:cs="Arial" w:eastAsia="Arial" w:hAnsi="Arial"/>
          <w:sz w:val="14"/>
          <w:szCs w:val="14"/>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08" w:lineRule="exact"/>
        <w:rPr>
          <w:rFonts w:ascii="Arial" w:cs="Arial" w:eastAsia="Arial" w:hAnsi="Arial"/>
          <w:sz w:val="14"/>
          <w:szCs w:val="14"/>
          <w:color w:val="auto"/>
        </w:rPr>
      </w:pPr>
    </w:p>
    <w:p>
      <w:pPr>
        <w:jc w:val="both"/>
        <w:ind w:left="640" w:hanging="323"/>
        <w:spacing w:after="0" w:line="242" w:lineRule="auto"/>
        <w:tabs>
          <w:tab w:leader="none" w:pos="640" w:val="left"/>
        </w:tabs>
        <w:numPr>
          <w:ilvl w:val="1"/>
          <w:numId w:val="120"/>
        </w:numPr>
        <w:rPr>
          <w:rFonts w:ascii="Arial" w:cs="Arial" w:eastAsia="Arial" w:hAnsi="Arial"/>
          <w:sz w:val="14"/>
          <w:szCs w:val="14"/>
          <w:color w:val="auto"/>
        </w:rPr>
      </w:pPr>
      <w:r>
        <w:rPr>
          <w:rFonts w:ascii="Arial" w:cs="Arial" w:eastAsia="Arial" w:hAnsi="Arial"/>
          <w:sz w:val="14"/>
          <w:szCs w:val="14"/>
          <w:u w:val="single" w:color="auto"/>
          <w:color w:val="auto"/>
        </w:rPr>
        <w:t>Discretionary Nature</w:t>
      </w:r>
      <w:r>
        <w:rPr>
          <w:rFonts w:ascii="Arial" w:cs="Arial" w:eastAsia="Arial" w:hAnsi="Arial"/>
          <w:sz w:val="14"/>
          <w:szCs w:val="14"/>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8" w:lineRule="exact"/>
        <w:rPr>
          <w:rFonts w:ascii="Arial" w:cs="Arial" w:eastAsia="Arial" w:hAnsi="Arial"/>
          <w:sz w:val="14"/>
          <w:szCs w:val="14"/>
          <w:color w:val="auto"/>
        </w:rPr>
      </w:pPr>
    </w:p>
    <w:p>
      <w:pPr>
        <w:jc w:val="both"/>
        <w:ind w:left="640" w:hanging="323"/>
        <w:spacing w:after="0" w:line="231" w:lineRule="auto"/>
        <w:tabs>
          <w:tab w:leader="none" w:pos="631" w:val="left"/>
        </w:tabs>
        <w:numPr>
          <w:ilvl w:val="1"/>
          <w:numId w:val="120"/>
        </w:numPr>
        <w:rPr>
          <w:rFonts w:ascii="Arial" w:cs="Arial" w:eastAsia="Arial" w:hAnsi="Arial"/>
          <w:sz w:val="15"/>
          <w:szCs w:val="15"/>
          <w:color w:val="auto"/>
        </w:rPr>
      </w:pPr>
      <w:r>
        <w:rPr>
          <w:rFonts w:ascii="Arial" w:cs="Arial" w:eastAsia="Arial" w:hAnsi="Arial"/>
          <w:sz w:val="15"/>
          <w:szCs w:val="15"/>
          <w:u w:val="single" w:color="auto"/>
          <w:color w:val="auto"/>
        </w:rPr>
        <w:t>Exclusion from Termination Indemnities and Other Benefits</w:t>
      </w:r>
      <w:r>
        <w:rPr>
          <w:rFonts w:ascii="Arial" w:cs="Arial" w:eastAsia="Arial" w:hAnsi="Arial"/>
          <w:sz w:val="15"/>
          <w:szCs w:val="15"/>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Arial" w:cs="Arial" w:eastAsia="Arial" w:hAnsi="Arial"/>
          <w:sz w:val="15"/>
          <w:szCs w:val="15"/>
          <w:color w:val="auto"/>
        </w:rPr>
      </w:pPr>
    </w:p>
    <w:p>
      <w:pPr>
        <w:jc w:val="both"/>
        <w:ind w:left="640" w:hanging="323"/>
        <w:spacing w:after="0" w:line="213" w:lineRule="auto"/>
        <w:tabs>
          <w:tab w:leader="none" w:pos="640"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20" w:lineRule="exact"/>
        <w:rPr>
          <w:rFonts w:ascii="Arial" w:cs="Arial" w:eastAsia="Arial" w:hAnsi="Arial"/>
          <w:sz w:val="16"/>
          <w:szCs w:val="16"/>
          <w:color w:val="auto"/>
        </w:rPr>
      </w:pPr>
    </w:p>
    <w:p>
      <w:pPr>
        <w:jc w:val="both"/>
        <w:ind w:left="640" w:hanging="323"/>
        <w:spacing w:after="0" w:line="219" w:lineRule="auto"/>
        <w:tabs>
          <w:tab w:leader="none" w:pos="631"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7" w:lineRule="exact"/>
        <w:rPr>
          <w:rFonts w:ascii="Arial" w:cs="Arial" w:eastAsia="Arial" w:hAnsi="Arial"/>
          <w:sz w:val="16"/>
          <w:szCs w:val="16"/>
          <w:color w:val="auto"/>
        </w:rPr>
      </w:pPr>
    </w:p>
    <w:p>
      <w:pPr>
        <w:ind w:left="640" w:hanging="323"/>
        <w:spacing w:after="0"/>
        <w:tabs>
          <w:tab w:leader="none" w:pos="640"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31" w:lineRule="exact"/>
        <w:rPr>
          <w:rFonts w:ascii="Arial" w:cs="Arial" w:eastAsia="Arial" w:hAnsi="Arial"/>
          <w:sz w:val="16"/>
          <w:szCs w:val="16"/>
          <w:color w:val="auto"/>
        </w:rPr>
      </w:pPr>
    </w:p>
    <w:p>
      <w:pPr>
        <w:ind w:left="640" w:hanging="323"/>
        <w:spacing w:after="0" w:line="233" w:lineRule="auto"/>
        <w:tabs>
          <w:tab w:leader="none" w:pos="640"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6" w:lineRule="exact"/>
        <w:rPr>
          <w:rFonts w:ascii="Arial" w:cs="Arial" w:eastAsia="Arial" w:hAnsi="Arial"/>
          <w:sz w:val="16"/>
          <w:szCs w:val="16"/>
          <w:color w:val="auto"/>
        </w:rPr>
      </w:pPr>
    </w:p>
    <w:p>
      <w:pPr>
        <w:ind w:left="640" w:hanging="323"/>
        <w:spacing w:after="0" w:line="294" w:lineRule="auto"/>
        <w:tabs>
          <w:tab w:leader="none" w:pos="640" w:val="left"/>
        </w:tabs>
        <w:numPr>
          <w:ilvl w:val="1"/>
          <w:numId w:val="120"/>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9" w:lineRule="exact"/>
        <w:rPr>
          <w:rFonts w:ascii="Arial" w:cs="Arial" w:eastAsia="Arial" w:hAnsi="Arial"/>
          <w:sz w:val="14"/>
          <w:szCs w:val="14"/>
          <w:color w:val="auto"/>
        </w:rPr>
      </w:pPr>
    </w:p>
    <w:p>
      <w:pPr>
        <w:jc w:val="both"/>
        <w:ind w:left="640" w:hanging="323"/>
        <w:spacing w:after="0" w:line="217" w:lineRule="auto"/>
        <w:tabs>
          <w:tab w:leader="none" w:pos="631"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5" w:lineRule="exact"/>
        <w:rPr>
          <w:rFonts w:ascii="Arial" w:cs="Arial" w:eastAsia="Arial" w:hAnsi="Arial"/>
          <w:sz w:val="16"/>
          <w:szCs w:val="16"/>
          <w:color w:val="auto"/>
        </w:rPr>
      </w:pPr>
    </w:p>
    <w:p>
      <w:pPr>
        <w:ind w:left="640" w:hanging="323"/>
        <w:spacing w:after="0" w:line="233" w:lineRule="auto"/>
        <w:tabs>
          <w:tab w:leader="none" w:pos="631"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6" w:lineRule="exact"/>
        <w:rPr>
          <w:rFonts w:ascii="Arial" w:cs="Arial" w:eastAsia="Arial" w:hAnsi="Arial"/>
          <w:sz w:val="16"/>
          <w:szCs w:val="16"/>
          <w:color w:val="auto"/>
        </w:rPr>
      </w:pPr>
    </w:p>
    <w:p>
      <w:pPr>
        <w:ind w:left="640" w:hanging="323"/>
        <w:spacing w:after="0" w:line="233" w:lineRule="auto"/>
        <w:tabs>
          <w:tab w:leader="none" w:pos="640"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6" w:lineRule="exact"/>
        <w:rPr>
          <w:rFonts w:ascii="Arial" w:cs="Arial" w:eastAsia="Arial" w:hAnsi="Arial"/>
          <w:sz w:val="16"/>
          <w:szCs w:val="16"/>
          <w:color w:val="auto"/>
        </w:rPr>
      </w:pPr>
    </w:p>
    <w:p>
      <w:pPr>
        <w:ind w:left="640" w:hanging="323"/>
        <w:spacing w:after="0" w:line="233" w:lineRule="auto"/>
        <w:tabs>
          <w:tab w:leader="none" w:pos="631"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600"/>
          </w:cols>
          <w:pgMar w:left="640" w:top="1440" w:right="659" w:bottom="1440" w:gutter="0" w:footer="0" w:header="0"/>
        </w:sectPr>
      </w:pPr>
    </w:p>
    <w:bookmarkStart w:id="129" w:name="page130"/>
    <w:bookmarkEnd w:id="129"/>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r>
    </w:p>
    <w:p>
      <w:pPr>
        <w:jc w:val="both"/>
        <w:ind w:left="323" w:hanging="323"/>
        <w:spacing w:after="0" w:line="224" w:lineRule="auto"/>
        <w:tabs>
          <w:tab w:leader="none" w:pos="314"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0" w:lineRule="exact"/>
        <w:rPr>
          <w:rFonts w:ascii="Arial" w:cs="Arial" w:eastAsia="Arial" w:hAnsi="Arial"/>
          <w:sz w:val="15"/>
          <w:szCs w:val="15"/>
          <w:color w:val="auto"/>
        </w:rPr>
      </w:pPr>
    </w:p>
    <w:p>
      <w:pPr>
        <w:ind w:left="323" w:hanging="323"/>
        <w:spacing w:after="0" w:line="233" w:lineRule="auto"/>
        <w:tabs>
          <w:tab w:leader="none" w:pos="32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6" w:lineRule="exact"/>
        <w:rPr>
          <w:rFonts w:ascii="Arial" w:cs="Arial" w:eastAsia="Arial" w:hAnsi="Arial"/>
          <w:sz w:val="16"/>
          <w:szCs w:val="16"/>
          <w:color w:val="auto"/>
        </w:rPr>
      </w:pPr>
    </w:p>
    <w:p>
      <w:pPr>
        <w:jc w:val="both"/>
        <w:ind w:left="323" w:hanging="323"/>
        <w:spacing w:after="0" w:line="239" w:lineRule="auto"/>
        <w:tabs>
          <w:tab w:leader="none" w:pos="323"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Participant’s Acceptance</w:t>
      </w:r>
      <w:r>
        <w:rPr>
          <w:rFonts w:ascii="Arial" w:cs="Arial" w:eastAsia="Arial" w:hAnsi="Arial"/>
          <w:sz w:val="15"/>
          <w:szCs w:val="15"/>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6" w:lineRule="exact"/>
        <w:rPr>
          <w:rFonts w:ascii="Arial" w:cs="Arial" w:eastAsia="Arial" w:hAnsi="Arial"/>
          <w:sz w:val="15"/>
          <w:szCs w:val="15"/>
          <w:color w:val="auto"/>
        </w:rPr>
      </w:pPr>
    </w:p>
    <w:p>
      <w:pPr>
        <w:jc w:val="both"/>
        <w:ind w:left="323" w:hanging="323"/>
        <w:spacing w:after="0" w:line="264" w:lineRule="auto"/>
        <w:tabs>
          <w:tab w:leader="none" w:pos="323"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00" w:lineRule="exact"/>
        <w:rPr>
          <w:rFonts w:ascii="Arial" w:cs="Arial" w:eastAsia="Arial" w:hAnsi="Arial"/>
          <w:sz w:val="14"/>
          <w:szCs w:val="14"/>
          <w:color w:val="auto"/>
        </w:rPr>
      </w:pPr>
    </w:p>
    <w:p>
      <w:pPr>
        <w:jc w:val="both"/>
        <w:ind w:left="323" w:hanging="323"/>
        <w:spacing w:after="0" w:line="219" w:lineRule="auto"/>
        <w:tabs>
          <w:tab w:leader="none" w:pos="32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04" w:lineRule="exact"/>
        <w:rPr>
          <w:rFonts w:ascii="Arial" w:cs="Arial" w:eastAsia="Arial" w:hAnsi="Arial"/>
          <w:sz w:val="16"/>
          <w:szCs w:val="16"/>
          <w:color w:val="auto"/>
        </w:rPr>
      </w:pPr>
    </w:p>
    <w:p>
      <w:pPr>
        <w:jc w:val="both"/>
        <w:ind w:left="323" w:hanging="323"/>
        <w:spacing w:after="0" w:line="231" w:lineRule="auto"/>
        <w:tabs>
          <w:tab w:leader="none" w:pos="323"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Appendix B</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Arial" w:cs="Arial" w:eastAsia="Arial" w:hAnsi="Arial"/>
          <w:sz w:val="15"/>
          <w:szCs w:val="15"/>
          <w:color w:val="auto"/>
        </w:rPr>
      </w:pPr>
    </w:p>
    <w:p>
      <w:pPr>
        <w:jc w:val="both"/>
        <w:ind w:left="323" w:hanging="323"/>
        <w:spacing w:after="0" w:line="219" w:lineRule="auto"/>
        <w:tabs>
          <w:tab w:leader="none" w:pos="319"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7" w:lineRule="exact"/>
        <w:rPr>
          <w:rFonts w:ascii="Arial" w:cs="Arial" w:eastAsia="Arial" w:hAnsi="Arial"/>
          <w:sz w:val="16"/>
          <w:szCs w:val="16"/>
          <w:color w:val="auto"/>
        </w:rPr>
      </w:pPr>
    </w:p>
    <w:p>
      <w:pPr>
        <w:jc w:val="both"/>
        <w:ind w:left="323" w:hanging="323"/>
        <w:spacing w:after="0" w:line="219" w:lineRule="auto"/>
        <w:tabs>
          <w:tab w:leader="none" w:pos="314"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Award was granted.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7" w:lineRule="exact"/>
        <w:rPr>
          <w:rFonts w:ascii="Arial" w:cs="Arial" w:eastAsia="Arial" w:hAnsi="Arial"/>
          <w:sz w:val="16"/>
          <w:szCs w:val="16"/>
          <w:color w:val="auto"/>
        </w:rPr>
      </w:pPr>
    </w:p>
    <w:p>
      <w:pPr>
        <w:jc w:val="both"/>
        <w:ind w:left="323" w:hanging="323"/>
        <w:spacing w:after="0" w:line="219" w:lineRule="auto"/>
        <w:tabs>
          <w:tab w:leader="none" w:pos="32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7" w:lineRule="exact"/>
        <w:rPr>
          <w:rFonts w:ascii="Arial" w:cs="Arial" w:eastAsia="Arial" w:hAnsi="Arial"/>
          <w:sz w:val="16"/>
          <w:szCs w:val="16"/>
          <w:color w:val="auto"/>
        </w:rPr>
      </w:pPr>
    </w:p>
    <w:p>
      <w:pPr>
        <w:jc w:val="both"/>
        <w:ind w:left="323" w:hanging="323"/>
        <w:spacing w:after="0" w:line="239" w:lineRule="auto"/>
        <w:tabs>
          <w:tab w:leader="none" w:pos="323"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6" w:lineRule="exact"/>
        <w:rPr>
          <w:rFonts w:ascii="Arial" w:cs="Arial" w:eastAsia="Arial" w:hAnsi="Arial"/>
          <w:sz w:val="15"/>
          <w:szCs w:val="15"/>
          <w:color w:val="auto"/>
        </w:rPr>
      </w:pPr>
    </w:p>
    <w:p>
      <w:pPr>
        <w:jc w:val="both"/>
        <w:ind w:left="323" w:hanging="323"/>
        <w:spacing w:after="0" w:line="250" w:lineRule="auto"/>
        <w:tabs>
          <w:tab w:leader="none" w:pos="319"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Insider Trading Restrictions/Market Abuse Laws</w:t>
      </w:r>
      <w:r>
        <w:rPr>
          <w:rFonts w:ascii="Arial" w:cs="Arial" w:eastAsia="Arial" w:hAnsi="Arial"/>
          <w:sz w:val="14"/>
          <w:szCs w:val="14"/>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4"/>
          <w:szCs w:val="14"/>
          <w:i w:val="1"/>
          <w:iCs w:val="1"/>
          <w:color w:val="auto"/>
        </w:rPr>
        <w:t>e.g.</w:t>
      </w:r>
      <w:r>
        <w:rPr>
          <w:rFonts w:ascii="Arial" w:cs="Arial" w:eastAsia="Arial" w:hAnsi="Arial"/>
          <w:sz w:val="14"/>
          <w:szCs w:val="14"/>
          <w:color w:val="auto"/>
        </w:rPr>
        <w:t>, Performance RSUs), or rights linked to the value of Common Stock (</w:t>
      </w:r>
      <w:r>
        <w:rPr>
          <w:rFonts w:ascii="Arial" w:cs="Arial" w:eastAsia="Arial" w:hAnsi="Arial"/>
          <w:sz w:val="14"/>
          <w:szCs w:val="14"/>
          <w:i w:val="1"/>
          <w:iCs w:val="1"/>
          <w:color w:val="auto"/>
        </w:rPr>
        <w:t>e.g.</w:t>
      </w:r>
      <w:r>
        <w:rPr>
          <w:rFonts w:ascii="Arial" w:cs="Arial" w:eastAsia="Arial" w:hAnsi="Arial"/>
          <w:sz w:val="14"/>
          <w:szCs w:val="14"/>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7"/>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83"/>
          </w:cols>
          <w:pgMar w:left="957" w:top="1440" w:right="659" w:bottom="1440" w:gutter="0" w:footer="0" w:header="0"/>
        </w:sectPr>
      </w:pPr>
    </w:p>
    <w:bookmarkStart w:id="130" w:name="page131"/>
    <w:bookmarkEnd w:id="130"/>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jc w:val="both"/>
        <w:ind w:left="323"/>
        <w:spacing w:after="0" w:line="217" w:lineRule="auto"/>
        <w:rPr>
          <w:sz w:val="20"/>
          <w:szCs w:val="20"/>
          <w:color w:val="auto"/>
        </w:rPr>
      </w:pPr>
      <w:r>
        <w:rPr>
          <w:rFonts w:ascii="Arial" w:cs="Arial" w:eastAsia="Arial" w:hAnsi="Arial"/>
          <w:sz w:val="16"/>
          <w:szCs w:val="16"/>
          <w:color w:val="auto"/>
        </w:rPr>
        <w:t>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6" w:lineRule="exact"/>
        <w:rPr>
          <w:sz w:val="20"/>
          <w:szCs w:val="20"/>
          <w:color w:val="auto"/>
        </w:rPr>
      </w:pPr>
    </w:p>
    <w:p>
      <w:pPr>
        <w:jc w:val="both"/>
        <w:ind w:left="323" w:hanging="323"/>
        <w:spacing w:after="0" w:line="227" w:lineRule="auto"/>
        <w:tabs>
          <w:tab w:leader="none" w:pos="323" w:val="left"/>
        </w:tabs>
        <w:numPr>
          <w:ilvl w:val="0"/>
          <w:numId w:val="122"/>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6" w:lineRule="exact"/>
        <w:rPr>
          <w:rFonts w:ascii="Arial" w:cs="Arial" w:eastAsia="Arial" w:hAnsi="Arial"/>
          <w:sz w:val="15"/>
          <w:szCs w:val="15"/>
          <w:color w:val="auto"/>
        </w:rPr>
      </w:pPr>
    </w:p>
    <w:p>
      <w:pPr>
        <w:ind w:left="323" w:hanging="323"/>
        <w:spacing w:after="0" w:line="233" w:lineRule="auto"/>
        <w:tabs>
          <w:tab w:leader="none" w:pos="32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6" w:lineRule="exact"/>
        <w:rPr>
          <w:rFonts w:ascii="Arial" w:cs="Arial" w:eastAsia="Arial" w:hAnsi="Arial"/>
          <w:sz w:val="16"/>
          <w:szCs w:val="16"/>
          <w:color w:val="auto"/>
        </w:rPr>
      </w:pPr>
    </w:p>
    <w:p>
      <w:pPr>
        <w:jc w:val="both"/>
        <w:ind w:left="323" w:hanging="323"/>
        <w:spacing w:after="0" w:line="217" w:lineRule="auto"/>
        <w:tabs>
          <w:tab w:leader="none" w:pos="314"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523" w:type="dxa"/>
        <w:tblCellMar>
          <w:top w:w="0" w:type="dxa"/>
          <w:left w:w="0" w:type="dxa"/>
          <w:bottom w:w="0" w:type="dxa"/>
          <w:right w:w="0" w:type="dxa"/>
        </w:tblCellMar>
      </w:tblPr>
      <w:tr>
        <w:trPr>
          <w:trHeight w:val="204"/>
        </w:trPr>
        <w:tc>
          <w:tcPr>
            <w:tcW w:w="460" w:type="dxa"/>
            <w:vAlign w:val="bottom"/>
          </w:tcPr>
          <w:p>
            <w:pPr>
              <w:spacing w:after="0"/>
              <w:rPr>
                <w:sz w:val="20"/>
                <w:szCs w:val="20"/>
                <w:color w:val="auto"/>
              </w:rPr>
            </w:pPr>
            <w:r>
              <w:rPr>
                <w:rFonts w:ascii="Arial" w:cs="Arial" w:eastAsia="Arial" w:hAnsi="Arial"/>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Ray Stata</w:t>
            </w:r>
          </w:p>
        </w:tc>
        <w:tc>
          <w:tcPr>
            <w:tcW w:w="1720" w:type="dxa"/>
            <w:vAlign w:val="bottom"/>
          </w:tcPr>
          <w:p>
            <w:pPr>
              <w:ind w:left="1260"/>
              <w:spacing w:after="0"/>
              <w:rPr>
                <w:sz w:val="20"/>
                <w:szCs w:val="20"/>
                <w:color w:val="auto"/>
              </w:rPr>
            </w:pPr>
            <w:r>
              <w:rPr>
                <w:rFonts w:ascii="Arial" w:cs="Arial" w:eastAsia="Arial" w:hAnsi="Arial"/>
                <w:sz w:val="16"/>
                <w:szCs w:val="16"/>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Vincent Roche</w:t>
            </w:r>
          </w:p>
        </w:tc>
      </w:tr>
      <w:tr>
        <w:trPr>
          <w:trHeight w:val="200"/>
        </w:trPr>
        <w:tc>
          <w:tcPr>
            <w:tcW w:w="46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Ray Stata, Chairman of the Board of Directors</w:t>
            </w:r>
          </w:p>
        </w:tc>
        <w:tc>
          <w:tcPr>
            <w:tcW w:w="17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w w:val="95"/>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97"/>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83"/>
          </w:cols>
          <w:pgMar w:left="957" w:top="1440" w:right="659" w:bottom="1440" w:gutter="0" w:footer="0" w:header="0"/>
        </w:sectPr>
      </w:pPr>
    </w:p>
    <w:bookmarkStart w:id="131" w:name="page132"/>
    <w:bookmarkEnd w:id="131"/>
    <w:p>
      <w:pPr>
        <w:ind w:left="4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A TO</w:t>
      </w:r>
    </w:p>
    <w:p>
      <w:pPr>
        <w:spacing w:after="0" w:line="145"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320" w:hanging="319"/>
        <w:spacing w:after="0" w:line="213" w:lineRule="auto"/>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Performance Period</w:t>
      </w:r>
      <w:r>
        <w:rPr>
          <w:rFonts w:ascii="Arial" w:cs="Arial" w:eastAsia="Arial" w:hAnsi="Arial"/>
          <w:sz w:val="16"/>
          <w:szCs w:val="16"/>
          <w:color w:val="auto"/>
        </w:rPr>
        <w:t>. The three-year period beginning on the first day of the first quarter of the Company’s fiscal year 2020 and ending on the last day of the fourth quarter of the Company’s fiscal year 2022 (the “Performance Period”). The Performance Period shall consist of the following three performance measurement periods: (i) the one-year period commencing on the first day of the first quarter and ending on the last day of the fourth quarter of the Company’s fiscal year 2020 (“FY 2020 Period”); (ii) the two-year period beginning on the first day of the first quarter of the Company’s fiscal year 2020 and ending on the last day of the fourth quarter of the Company’s fiscal year 2021 (“Cumulative FY20/21 Period”) and (iii) and the three-year period beginning on the first day of the first quarter of the Company’s fiscal year 2020 and ending on the last day of the fourth quarter of the Company’s fiscal year 2022 (“Cumulative FY20/22 Period,” and collectively, the “Performance Measurement Periods”);</w:t>
      </w:r>
    </w:p>
    <w:p>
      <w:pPr>
        <w:spacing w:after="0" w:line="120" w:lineRule="exact"/>
        <w:rPr>
          <w:rFonts w:ascii="Arial" w:cs="Arial" w:eastAsia="Arial" w:hAnsi="Arial"/>
          <w:sz w:val="16"/>
          <w:szCs w:val="16"/>
          <w:color w:val="auto"/>
        </w:rPr>
      </w:pPr>
    </w:p>
    <w:p>
      <w:pPr>
        <w:ind w:left="320" w:hanging="319"/>
        <w:spacing w:after="0"/>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Cliff Vesting Date.</w:t>
      </w:r>
    </w:p>
    <w:p>
      <w:pPr>
        <w:spacing w:after="0" w:line="131" w:lineRule="exact"/>
        <w:rPr>
          <w:rFonts w:ascii="Arial" w:cs="Arial" w:eastAsia="Arial" w:hAnsi="Arial"/>
          <w:sz w:val="16"/>
          <w:szCs w:val="16"/>
          <w:color w:val="auto"/>
        </w:rPr>
      </w:pPr>
    </w:p>
    <w:p>
      <w:pPr>
        <w:jc w:val="both"/>
        <w:ind w:left="320" w:hanging="319"/>
        <w:spacing w:after="0" w:line="224" w:lineRule="auto"/>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Determination Date</w:t>
      </w:r>
      <w:r>
        <w:rPr>
          <w:rFonts w:ascii="Arial" w:cs="Arial" w:eastAsia="Arial" w:hAnsi="Arial"/>
          <w:sz w:val="16"/>
          <w:szCs w:val="16"/>
          <w:color w:val="auto"/>
        </w:rPr>
        <w:t>: The date the Compensation Committee of the Board determines the level of attainment of the Operating Profit Goals for each of the three corresponding Performance Measurement Periods, which date shall be as soon as practicable following the last day of the applicable Performance Measurement Period.</w:t>
      </w:r>
    </w:p>
    <w:p>
      <w:pPr>
        <w:spacing w:after="0" w:line="116" w:lineRule="exact"/>
        <w:rPr>
          <w:rFonts w:ascii="Arial" w:cs="Arial" w:eastAsia="Arial" w:hAnsi="Arial"/>
          <w:sz w:val="16"/>
          <w:szCs w:val="16"/>
          <w:color w:val="auto"/>
        </w:rPr>
      </w:pPr>
    </w:p>
    <w:p>
      <w:pPr>
        <w:jc w:val="both"/>
        <w:ind w:left="320"/>
        <w:spacing w:after="0" w:line="219" w:lineRule="auto"/>
        <w:rPr>
          <w:rFonts w:ascii="Arial" w:cs="Arial" w:eastAsia="Arial" w:hAnsi="Arial"/>
          <w:sz w:val="16"/>
          <w:szCs w:val="16"/>
          <w:color w:val="auto"/>
        </w:rPr>
      </w:pPr>
      <w:r>
        <w:rPr>
          <w:rFonts w:ascii="Arial" w:cs="Arial" w:eastAsia="Arial" w:hAnsi="Arial"/>
          <w:sz w:val="16"/>
          <w:szCs w:val="16"/>
          <w:color w:val="auto"/>
        </w:rPr>
        <w:t>Subject to Section 2(a) through 2(d) of the Performance Restricted Stock Unit Agreement, the Participant shall vest on the Vesting Date in the number of Performance RSUs, if any, that the Compensation Committee of the Board determines to be eligible to vest based on the attainment level of the Operating Profit Goals and the attainment of the Minimum Profit Margin described in Section 4 below, provided the Participant continues to provide services to the Company or the Employer, or their respective successors, through the Vesting Date.</w:t>
      </w:r>
    </w:p>
    <w:p>
      <w:pPr>
        <w:spacing w:after="0" w:line="117" w:lineRule="exact"/>
        <w:rPr>
          <w:rFonts w:ascii="Arial" w:cs="Arial" w:eastAsia="Arial" w:hAnsi="Arial"/>
          <w:sz w:val="16"/>
          <w:szCs w:val="16"/>
          <w:color w:val="auto"/>
        </w:rPr>
      </w:pPr>
    </w:p>
    <w:p>
      <w:pPr>
        <w:jc w:val="both"/>
        <w:ind w:left="320" w:hanging="319"/>
        <w:spacing w:after="0" w:line="213" w:lineRule="auto"/>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Performance Parameters</w:t>
      </w:r>
      <w:r>
        <w:rPr>
          <w:rFonts w:ascii="Arial" w:cs="Arial" w:eastAsia="Arial" w:hAnsi="Arial"/>
          <w:sz w:val="16"/>
          <w:szCs w:val="16"/>
          <w:color w:val="auto"/>
        </w:rPr>
        <w:t>. The Performance Parameters are based on the attainment of the Operating Profit Goals established for each of the Performance Measurement Periods and the Minimum Profit Margin for each of the Performance Measurement Periods. The attainment level, ranging from 0% to 200%, of the Operating Profit Goal applicable to each Performance Measurement Period shall be measured separately on each corresponding Determination Date and weighted equally. For the avoidance of doubt, a 0% attainment level shall be applied to a Performance Measurement Period if the Minimum Profit Margin with respect to the corresponding Performance Measurement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20" w:lineRule="exact"/>
        <w:rPr>
          <w:rFonts w:ascii="Arial" w:cs="Arial" w:eastAsia="Arial" w:hAnsi="Arial"/>
          <w:sz w:val="16"/>
          <w:szCs w:val="16"/>
          <w:color w:val="auto"/>
        </w:rPr>
      </w:pPr>
    </w:p>
    <w:p>
      <w:pPr>
        <w:ind w:left="940" w:hanging="307"/>
        <w:spacing w:after="0" w:line="233" w:lineRule="auto"/>
        <w:tabs>
          <w:tab w:leader="none" w:pos="93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“Operating Profit Goal” shall mean the goal related to Non-GAAP Operating Profit Before Taxes for each of the Performance Measurement Periods approved by the Compensation Committee of the Board in connection with the grant of the Award.</w:t>
      </w:r>
    </w:p>
    <w:p>
      <w:pPr>
        <w:spacing w:after="0" w:line="116" w:lineRule="exact"/>
        <w:rPr>
          <w:rFonts w:ascii="Arial" w:cs="Arial" w:eastAsia="Arial" w:hAnsi="Arial"/>
          <w:sz w:val="16"/>
          <w:szCs w:val="16"/>
          <w:color w:val="auto"/>
        </w:rPr>
      </w:pPr>
    </w:p>
    <w:p>
      <w:pPr>
        <w:jc w:val="both"/>
        <w:ind w:left="940" w:hanging="307"/>
        <w:spacing w:after="0" w:line="234" w:lineRule="auto"/>
        <w:tabs>
          <w:tab w:leader="none" w:pos="94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“Minimum Profit Margin” means the minimum Profit Margin, as approved by the Compensation Committee of the Board in connection with the grant of the Award, that shall apply to each fiscal year and that must be attained with respect to a fiscal year as a condition to recognizing and applying the attainment level of the Operating Profit Goal for the corresponding Performance Measurement Period. “Profit Margin” means the quotient obtained by dividing Non-GAAP Operating Profit Before Taxes by Revenue for each of the Performance Measurement Periods.</w:t>
      </w:r>
    </w:p>
    <w:p>
      <w:pPr>
        <w:spacing w:after="0" w:line="116" w:lineRule="exact"/>
        <w:rPr>
          <w:rFonts w:ascii="Arial" w:cs="Arial" w:eastAsia="Arial" w:hAnsi="Arial"/>
          <w:sz w:val="15"/>
          <w:szCs w:val="15"/>
          <w:color w:val="auto"/>
        </w:rPr>
      </w:pPr>
    </w:p>
    <w:p>
      <w:pPr>
        <w:jc w:val="both"/>
        <w:ind w:left="940" w:hanging="307"/>
        <w:spacing w:after="0" w:line="264" w:lineRule="auto"/>
        <w:tabs>
          <w:tab w:leader="none" w:pos="931" w:val="left"/>
        </w:tabs>
        <w:numPr>
          <w:ilvl w:val="1"/>
          <w:numId w:val="123"/>
        </w:numPr>
        <w:rPr>
          <w:rFonts w:ascii="Arial" w:cs="Arial" w:eastAsia="Arial" w:hAnsi="Arial"/>
          <w:sz w:val="14"/>
          <w:szCs w:val="14"/>
          <w:color w:val="auto"/>
        </w:rPr>
      </w:pPr>
      <w:r>
        <w:rPr>
          <w:rFonts w:ascii="Arial" w:cs="Arial" w:eastAsia="Arial" w:hAnsi="Arial"/>
          <w:sz w:val="14"/>
          <w:szCs w:val="14"/>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00" w:lineRule="exact"/>
        <w:rPr>
          <w:rFonts w:ascii="Arial" w:cs="Arial" w:eastAsia="Arial" w:hAnsi="Arial"/>
          <w:sz w:val="14"/>
          <w:szCs w:val="14"/>
          <w:color w:val="auto"/>
        </w:rPr>
      </w:pPr>
    </w:p>
    <w:p>
      <w:pPr>
        <w:ind w:left="940" w:hanging="307"/>
        <w:spacing w:after="0" w:line="233" w:lineRule="auto"/>
        <w:tabs>
          <w:tab w:leader="none" w:pos="9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“Revenue” means non-GAAP Revenue, as reported by the Company in its earnings press release furnished to the U.S. Securities and Exchange Commission, which shall be determined in accordance with GAAP and disclosed non-GAAP adjustments.</w:t>
      </w:r>
    </w:p>
    <w:p>
      <w:pPr>
        <w:spacing w:after="0" w:line="116" w:lineRule="exact"/>
        <w:rPr>
          <w:rFonts w:ascii="Arial" w:cs="Arial" w:eastAsia="Arial" w:hAnsi="Arial"/>
          <w:sz w:val="16"/>
          <w:szCs w:val="16"/>
          <w:color w:val="auto"/>
        </w:rPr>
      </w:pPr>
    </w:p>
    <w:p>
      <w:pPr>
        <w:jc w:val="both"/>
        <w:ind w:left="940" w:hanging="307"/>
        <w:spacing w:after="0" w:line="224" w:lineRule="auto"/>
        <w:tabs>
          <w:tab w:leader="none" w:pos="93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pacing w:after="0" w:line="116" w:lineRule="exact"/>
        <w:rPr>
          <w:rFonts w:ascii="Arial" w:cs="Arial" w:eastAsia="Arial" w:hAnsi="Arial"/>
          <w:sz w:val="16"/>
          <w:szCs w:val="16"/>
          <w:color w:val="auto"/>
        </w:rPr>
      </w:pPr>
    </w:p>
    <w:p>
      <w:pPr>
        <w:jc w:val="both"/>
        <w:ind w:left="1420" w:hanging="472"/>
        <w:spacing w:after="0" w:line="224" w:lineRule="auto"/>
        <w:tabs>
          <w:tab w:leader="none" w:pos="1411" w:val="left"/>
        </w:tabs>
        <w:numPr>
          <w:ilvl w:val="2"/>
          <w:numId w:val="123"/>
        </w:numPr>
        <w:rPr>
          <w:rFonts w:ascii="Arial" w:cs="Arial" w:eastAsia="Arial" w:hAnsi="Arial"/>
          <w:sz w:val="16"/>
          <w:szCs w:val="16"/>
          <w:color w:val="auto"/>
        </w:rPr>
      </w:pPr>
      <w:r>
        <w:rPr>
          <w:rFonts w:ascii="Arial" w:cs="Arial" w:eastAsia="Arial" w:hAnsi="Arial"/>
          <w:sz w:val="16"/>
          <w:szCs w:val="16"/>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16" w:lineRule="exact"/>
        <w:rPr>
          <w:rFonts w:ascii="Arial" w:cs="Arial" w:eastAsia="Arial" w:hAnsi="Arial"/>
          <w:sz w:val="16"/>
          <w:szCs w:val="16"/>
          <w:color w:val="auto"/>
        </w:rPr>
      </w:pPr>
    </w:p>
    <w:p>
      <w:pPr>
        <w:ind w:left="1420" w:hanging="472"/>
        <w:spacing w:after="0"/>
        <w:tabs>
          <w:tab w:leader="none" w:pos="142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items relating to unusual or extraordinary corporate transactions, events or developments, or</w:t>
      </w:r>
    </w:p>
    <w:p>
      <w:pPr>
        <w:spacing w:after="0" w:line="131" w:lineRule="exact"/>
        <w:rPr>
          <w:rFonts w:ascii="Arial" w:cs="Arial" w:eastAsia="Arial" w:hAnsi="Arial"/>
          <w:sz w:val="16"/>
          <w:szCs w:val="16"/>
          <w:color w:val="auto"/>
        </w:rPr>
      </w:pPr>
    </w:p>
    <w:p>
      <w:pPr>
        <w:ind w:left="1420" w:hanging="472"/>
        <w:spacing w:after="0"/>
        <w:tabs>
          <w:tab w:leader="none" w:pos="142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items relating to gains or losses for material litigation, arbitration and contractual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0600"/>
          </w:cols>
          <w:pgMar w:left="640" w:top="994" w:right="65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Examples illustrating the application of the Performance Parameters are set forth below, providing that the Minimum Profit Margin is met in each fiscal year:</w:t>
      </w:r>
    </w:p>
    <w:p>
      <w:pPr>
        <w:sectPr>
          <w:pgSz w:w="11900" w:h="16838" w:orient="portrait"/>
          <w:cols w:equalWidth="0" w:num="1">
            <w:col w:w="9940"/>
          </w:cols>
          <w:pgMar w:left="960" w:top="1440" w:right="999" w:bottom="1440" w:gutter="0" w:footer="0" w:header="0"/>
        </w:sectPr>
      </w:pPr>
    </w:p>
    <w:p>
      <w:pPr>
        <w:spacing w:after="0" w:line="184" w:lineRule="exact"/>
        <w:rPr>
          <w:sz w:val="20"/>
          <w:szCs w:val="20"/>
          <w:color w:val="auto"/>
        </w:rPr>
      </w:pPr>
    </w:p>
    <w:tbl>
      <w:tblPr>
        <w:tblLayout w:type="fixed"/>
        <w:tblInd w:w="90" w:type="dxa"/>
        <w:tblCellMar>
          <w:top w:w="0" w:type="dxa"/>
          <w:left w:w="0" w:type="dxa"/>
          <w:bottom w:w="0" w:type="dxa"/>
          <w:right w:w="0" w:type="dxa"/>
        </w:tblCellMar>
      </w:tblPr>
      <w:tr>
        <w:trPr>
          <w:trHeight w:val="174"/>
        </w:trPr>
        <w:tc>
          <w:tcPr>
            <w:tcW w:w="980" w:type="dxa"/>
            <w:vAlign w:val="bottom"/>
            <w:tcBorders>
              <w:top w:val="single" w:sz="8" w:color="auto"/>
              <w:left w:val="single" w:sz="8" w:color="auto"/>
              <w:right w:val="single" w:sz="8" w:color="auto"/>
            </w:tcBorders>
            <w:shd w:val="clear" w:color="auto" w:fill="C6D9F0"/>
          </w:tcPr>
          <w:p>
            <w:pPr>
              <w:ind w:left="280"/>
              <w:spacing w:after="0" w:line="175" w:lineRule="exact"/>
              <w:rPr>
                <w:sz w:val="20"/>
                <w:szCs w:val="20"/>
                <w:color w:val="auto"/>
              </w:rPr>
            </w:pPr>
            <w:r>
              <w:rPr>
                <w:rFonts w:ascii="Arial" w:cs="Arial" w:eastAsia="Arial" w:hAnsi="Arial"/>
                <w:sz w:val="16"/>
                <w:szCs w:val="16"/>
                <w:color w:val="auto"/>
              </w:rPr>
              <w:t>Payout</w:t>
            </w:r>
          </w:p>
        </w:tc>
        <w:tc>
          <w:tcPr>
            <w:tcW w:w="2540" w:type="dxa"/>
            <w:vAlign w:val="bottom"/>
            <w:tcBorders>
              <w:top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16"/>
                <w:szCs w:val="16"/>
                <w:color w:val="auto"/>
                <w:w w:val="90"/>
              </w:rPr>
              <w:t>Number of Potential Shares Attained</w:t>
            </w:r>
          </w:p>
        </w:tc>
        <w:tc>
          <w:tcPr>
            <w:tcW w:w="6220" w:type="dxa"/>
            <w:vAlign w:val="bottom"/>
            <w:tcBorders>
              <w:top w:val="single" w:sz="8" w:color="auto"/>
              <w:right w:val="single" w:sz="8" w:color="auto"/>
            </w:tcBorders>
            <w:vMerge w:val="restart"/>
            <w:shd w:val="clear" w:color="auto" w:fill="C6D9F0"/>
          </w:tcPr>
          <w:p>
            <w:pPr>
              <w:ind w:left="2320"/>
              <w:spacing w:after="0"/>
              <w:rPr>
                <w:sz w:val="20"/>
                <w:szCs w:val="20"/>
                <w:color w:val="auto"/>
              </w:rPr>
            </w:pPr>
            <w:r>
              <w:rPr>
                <w:rFonts w:ascii="Arial" w:cs="Arial" w:eastAsia="Arial" w:hAnsi="Arial"/>
                <w:sz w:val="16"/>
                <w:szCs w:val="16"/>
                <w:color w:val="auto"/>
              </w:rPr>
              <w:t>Performance Parameters</w:t>
            </w:r>
          </w:p>
        </w:tc>
        <w:tc>
          <w:tcPr>
            <w:tcW w:w="0" w:type="dxa"/>
            <w:vAlign w:val="bottom"/>
          </w:tcPr>
          <w:p>
            <w:pPr>
              <w:spacing w:after="0"/>
              <w:rPr>
                <w:sz w:val="1"/>
                <w:szCs w:val="1"/>
                <w:color w:val="auto"/>
              </w:rPr>
            </w:pPr>
          </w:p>
        </w:tc>
      </w:tr>
      <w:tr>
        <w:trPr>
          <w:trHeight w:val="201"/>
        </w:trPr>
        <w:tc>
          <w:tcPr>
            <w:tcW w:w="980" w:type="dxa"/>
            <w:vAlign w:val="bottom"/>
            <w:tcBorders>
              <w:left w:val="single" w:sz="8" w:color="auto"/>
              <w:right w:val="single" w:sz="8" w:color="auto"/>
            </w:tcBorders>
            <w:shd w:val="clear" w:color="auto" w:fill="C6D9F0"/>
          </w:tcPr>
          <w:p>
            <w:pPr>
              <w:ind w:left="260"/>
              <w:spacing w:after="0"/>
              <w:rPr>
                <w:sz w:val="20"/>
                <w:szCs w:val="20"/>
                <w:color w:val="auto"/>
              </w:rPr>
            </w:pPr>
            <w:r>
              <w:rPr>
                <w:rFonts w:ascii="Arial" w:cs="Arial" w:eastAsia="Arial" w:hAnsi="Arial"/>
                <w:sz w:val="16"/>
                <w:szCs w:val="16"/>
                <w:color w:val="auto"/>
              </w:rPr>
              <w:t>Percent</w:t>
            </w:r>
          </w:p>
        </w:tc>
        <w:tc>
          <w:tcPr>
            <w:tcW w:w="2540" w:type="dxa"/>
            <w:vAlign w:val="bottom"/>
            <w:tcBorders>
              <w:right w:val="single" w:sz="8" w:color="auto"/>
            </w:tcBorders>
            <w:vMerge w:val="continue"/>
            <w:shd w:val="clear" w:color="auto" w:fill="C6D9F0"/>
          </w:tcPr>
          <w:p>
            <w:pPr>
              <w:spacing w:after="0"/>
              <w:rPr>
                <w:sz w:val="17"/>
                <w:szCs w:val="17"/>
                <w:color w:val="auto"/>
              </w:rPr>
            </w:pPr>
          </w:p>
        </w:tc>
        <w:tc>
          <w:tcPr>
            <w:tcW w:w="6220" w:type="dxa"/>
            <w:vAlign w:val="bottom"/>
            <w:tcBorders>
              <w:right w:val="single" w:sz="8" w:color="auto"/>
            </w:tcBorders>
            <w:vMerge w:val="continue"/>
            <w:shd w:val="clear" w:color="auto" w:fill="C6D9F0"/>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Borders>
              <w:left w:val="single" w:sz="8" w:color="auto"/>
              <w:bottom w:val="single" w:sz="8" w:color="auto"/>
              <w:right w:val="single" w:sz="8" w:color="auto"/>
            </w:tcBorders>
            <w:shd w:val="clear" w:color="auto" w:fill="C6D9F0"/>
          </w:tcPr>
          <w:p>
            <w:pPr>
              <w:spacing w:after="0"/>
              <w:rPr>
                <w:sz w:val="14"/>
                <w:szCs w:val="14"/>
                <w:color w:val="auto"/>
              </w:rPr>
            </w:pPr>
          </w:p>
        </w:tc>
        <w:tc>
          <w:tcPr>
            <w:tcW w:w="2540" w:type="dxa"/>
            <w:vAlign w:val="bottom"/>
            <w:tcBorders>
              <w:bottom w:val="single" w:sz="8" w:color="auto"/>
              <w:right w:val="single" w:sz="8" w:color="auto"/>
            </w:tcBorders>
            <w:shd w:val="clear" w:color="auto" w:fill="C6D9F0"/>
          </w:tcPr>
          <w:p>
            <w:pPr>
              <w:spacing w:after="0"/>
              <w:rPr>
                <w:sz w:val="14"/>
                <w:szCs w:val="14"/>
                <w:color w:val="auto"/>
              </w:rPr>
            </w:pPr>
          </w:p>
        </w:tc>
        <w:tc>
          <w:tcPr>
            <w:tcW w:w="6220" w:type="dxa"/>
            <w:vAlign w:val="bottom"/>
            <w:tcBorders>
              <w:bottom w:val="single" w:sz="8" w:color="auto"/>
              <w:right w:val="single" w:sz="8" w:color="auto"/>
            </w:tcBorders>
            <w:shd w:val="clear" w:color="auto" w:fill="C6D9F0"/>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6"/>
              </w:rPr>
              <w:t>0%</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0</w:t>
            </w:r>
          </w:p>
        </w:tc>
        <w:tc>
          <w:tcPr>
            <w:tcW w:w="6220" w:type="dxa"/>
            <w:vAlign w:val="bottom"/>
            <w:tcBorders>
              <w:right w:val="single" w:sz="8" w:color="auto"/>
            </w:tcBorders>
          </w:tcPr>
          <w:p>
            <w:pPr>
              <w:ind w:left="140"/>
              <w:spacing w:after="0" w:line="155" w:lineRule="exact"/>
              <w:rPr>
                <w:sz w:val="20"/>
                <w:szCs w:val="20"/>
                <w:color w:val="auto"/>
              </w:rPr>
            </w:pPr>
            <w:r>
              <w:rPr>
                <w:rFonts w:ascii="Arial" w:cs="Arial" w:eastAsia="Arial" w:hAnsi="Arial"/>
                <w:sz w:val="16"/>
                <w:szCs w:val="16"/>
                <w:color w:val="auto"/>
              </w:rPr>
              <w:t>Company Operating Profit Goal does not meet minimum threshold approved by the</w:t>
            </w: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continue"/>
          </w:tcPr>
          <w:p>
            <w:pPr>
              <w:spacing w:after="0"/>
              <w:rPr>
                <w:sz w:val="10"/>
                <w:szCs w:val="10"/>
                <w:color w:val="auto"/>
              </w:rPr>
            </w:pPr>
          </w:p>
        </w:tc>
        <w:tc>
          <w:tcPr>
            <w:tcW w:w="62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Compensation Committee of the Board</w:t>
            </w:r>
          </w:p>
        </w:tc>
        <w:tc>
          <w:tcPr>
            <w:tcW w:w="0" w:type="dxa"/>
            <w:vAlign w:val="bottom"/>
          </w:tcPr>
          <w:p>
            <w:pPr>
              <w:spacing w:after="0"/>
              <w:rPr>
                <w:sz w:val="1"/>
                <w:szCs w:val="1"/>
                <w:color w:val="auto"/>
              </w:rPr>
            </w:pPr>
          </w:p>
        </w:tc>
      </w:tr>
      <w:tr>
        <w:trPr>
          <w:trHeight w:val="79"/>
        </w:trPr>
        <w:tc>
          <w:tcPr>
            <w:tcW w:w="980" w:type="dxa"/>
            <w:vAlign w:val="bottom"/>
            <w:tcBorders>
              <w:left w:val="single" w:sz="8" w:color="auto"/>
              <w:right w:val="single" w:sz="8" w:color="auto"/>
            </w:tcBorders>
          </w:tcPr>
          <w:p>
            <w:pPr>
              <w:spacing w:after="0"/>
              <w:rPr>
                <w:sz w:val="6"/>
                <w:szCs w:val="6"/>
                <w:color w:val="auto"/>
              </w:rPr>
            </w:pPr>
          </w:p>
        </w:tc>
        <w:tc>
          <w:tcPr>
            <w:tcW w:w="2540" w:type="dxa"/>
            <w:vAlign w:val="bottom"/>
            <w:tcBorders>
              <w:right w:val="single" w:sz="8" w:color="auto"/>
            </w:tcBorders>
          </w:tcPr>
          <w:p>
            <w:pPr>
              <w:spacing w:after="0"/>
              <w:rPr>
                <w:sz w:val="6"/>
                <w:szCs w:val="6"/>
                <w:color w:val="auto"/>
              </w:rPr>
            </w:pPr>
          </w:p>
        </w:tc>
        <w:tc>
          <w:tcPr>
            <w:tcW w:w="6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100%</w:t>
            </w:r>
          </w:p>
        </w:tc>
        <w:tc>
          <w:tcPr>
            <w:tcW w:w="2540" w:type="dxa"/>
            <w:vAlign w:val="bottom"/>
            <w:tcBorders>
              <w:right w:val="single" w:sz="8" w:color="auto"/>
            </w:tcBorders>
          </w:tcPr>
          <w:p>
            <w:pPr>
              <w:spacing w:after="0"/>
              <w:rPr>
                <w:sz w:val="13"/>
                <w:szCs w:val="13"/>
                <w:color w:val="auto"/>
              </w:rPr>
            </w:pPr>
          </w:p>
        </w:tc>
        <w:tc>
          <w:tcPr>
            <w:tcW w:w="6220" w:type="dxa"/>
            <w:vAlign w:val="bottom"/>
            <w:tcBorders>
              <w:right w:val="single" w:sz="8" w:color="auto"/>
            </w:tcBorders>
          </w:tcPr>
          <w:p>
            <w:pPr>
              <w:ind w:left="140"/>
              <w:spacing w:after="0" w:line="155" w:lineRule="exact"/>
              <w:rPr>
                <w:sz w:val="20"/>
                <w:szCs w:val="20"/>
                <w:color w:val="auto"/>
              </w:rPr>
            </w:pPr>
            <w:r>
              <w:rPr>
                <w:rFonts w:ascii="Arial" w:cs="Arial" w:eastAsia="Arial" w:hAnsi="Arial"/>
                <w:sz w:val="16"/>
                <w:szCs w:val="16"/>
                <w:color w:val="auto"/>
                <w:w w:val="98"/>
              </w:rPr>
              <w:t>Company Operating Profit Goal meets target approved by Compensation Committee of</w:t>
            </w: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Number of Awards Granted</w:t>
            </w:r>
          </w:p>
        </w:tc>
        <w:tc>
          <w:tcPr>
            <w:tcW w:w="62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the Board</w:t>
            </w:r>
          </w:p>
        </w:tc>
        <w:tc>
          <w:tcPr>
            <w:tcW w:w="0" w:type="dxa"/>
            <w:vAlign w:val="bottom"/>
          </w:tcPr>
          <w:p>
            <w:pPr>
              <w:spacing w:after="0"/>
              <w:rPr>
                <w:sz w:val="1"/>
                <w:szCs w:val="1"/>
                <w:color w:val="auto"/>
              </w:rPr>
            </w:pPr>
          </w:p>
        </w:tc>
      </w:tr>
      <w:tr>
        <w:trPr>
          <w:trHeight w:val="79"/>
        </w:trPr>
        <w:tc>
          <w:tcPr>
            <w:tcW w:w="980" w:type="dxa"/>
            <w:vAlign w:val="bottom"/>
            <w:tcBorders>
              <w:left w:val="single" w:sz="8" w:color="auto"/>
              <w:right w:val="single" w:sz="8" w:color="auto"/>
            </w:tcBorders>
          </w:tcPr>
          <w:p>
            <w:pPr>
              <w:spacing w:after="0"/>
              <w:rPr>
                <w:sz w:val="6"/>
                <w:szCs w:val="6"/>
                <w:color w:val="auto"/>
              </w:rPr>
            </w:pPr>
          </w:p>
        </w:tc>
        <w:tc>
          <w:tcPr>
            <w:tcW w:w="2540" w:type="dxa"/>
            <w:vAlign w:val="bottom"/>
            <w:tcBorders>
              <w:right w:val="single" w:sz="8" w:color="auto"/>
            </w:tcBorders>
            <w:vMerge w:val="continue"/>
          </w:tcPr>
          <w:p>
            <w:pPr>
              <w:spacing w:after="0"/>
              <w:rPr>
                <w:sz w:val="6"/>
                <w:szCs w:val="6"/>
                <w:color w:val="auto"/>
              </w:rPr>
            </w:pPr>
          </w:p>
        </w:tc>
        <w:tc>
          <w:tcPr>
            <w:tcW w:w="6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200%</w:t>
            </w:r>
          </w:p>
        </w:tc>
        <w:tc>
          <w:tcPr>
            <w:tcW w:w="2540" w:type="dxa"/>
            <w:vAlign w:val="bottom"/>
            <w:tcBorders>
              <w:right w:val="single" w:sz="8" w:color="auto"/>
            </w:tcBorders>
          </w:tcPr>
          <w:p>
            <w:pPr>
              <w:spacing w:after="0"/>
              <w:rPr>
                <w:sz w:val="13"/>
                <w:szCs w:val="13"/>
                <w:color w:val="auto"/>
              </w:rPr>
            </w:pPr>
          </w:p>
        </w:tc>
        <w:tc>
          <w:tcPr>
            <w:tcW w:w="6220" w:type="dxa"/>
            <w:vAlign w:val="bottom"/>
            <w:tcBorders>
              <w:right w:val="single" w:sz="8" w:color="auto"/>
            </w:tcBorders>
          </w:tcPr>
          <w:p>
            <w:pPr>
              <w:ind w:left="140"/>
              <w:spacing w:after="0" w:line="155" w:lineRule="exact"/>
              <w:rPr>
                <w:sz w:val="20"/>
                <w:szCs w:val="20"/>
                <w:color w:val="auto"/>
              </w:rPr>
            </w:pPr>
            <w:r>
              <w:rPr>
                <w:rFonts w:ascii="Arial" w:cs="Arial" w:eastAsia="Arial" w:hAnsi="Arial"/>
                <w:sz w:val="16"/>
                <w:szCs w:val="16"/>
                <w:color w:val="auto"/>
                <w:w w:val="97"/>
              </w:rPr>
              <w:t>Company Operating Profit Goal meets or exceeds the maximum target approved by the</w:t>
            </w: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Grant Custom 2</w:t>
            </w:r>
          </w:p>
        </w:tc>
        <w:tc>
          <w:tcPr>
            <w:tcW w:w="62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Compensation Committee of the Board</w:t>
            </w:r>
          </w:p>
        </w:tc>
        <w:tc>
          <w:tcPr>
            <w:tcW w:w="0" w:type="dxa"/>
            <w:vAlign w:val="bottom"/>
          </w:tcPr>
          <w:p>
            <w:pPr>
              <w:spacing w:after="0"/>
              <w:rPr>
                <w:sz w:val="1"/>
                <w:szCs w:val="1"/>
                <w:color w:val="auto"/>
              </w:rPr>
            </w:pPr>
          </w:p>
        </w:tc>
      </w:tr>
      <w:tr>
        <w:trPr>
          <w:trHeight w:val="79"/>
        </w:trPr>
        <w:tc>
          <w:tcPr>
            <w:tcW w:w="980" w:type="dxa"/>
            <w:vAlign w:val="bottom"/>
            <w:tcBorders>
              <w:left w:val="single" w:sz="8" w:color="auto"/>
              <w:right w:val="single" w:sz="8" w:color="auto"/>
            </w:tcBorders>
          </w:tcPr>
          <w:p>
            <w:pPr>
              <w:spacing w:after="0"/>
              <w:rPr>
                <w:sz w:val="6"/>
                <w:szCs w:val="6"/>
                <w:color w:val="auto"/>
              </w:rPr>
            </w:pPr>
          </w:p>
        </w:tc>
        <w:tc>
          <w:tcPr>
            <w:tcW w:w="2540" w:type="dxa"/>
            <w:vAlign w:val="bottom"/>
            <w:tcBorders>
              <w:right w:val="single" w:sz="8" w:color="auto"/>
            </w:tcBorders>
            <w:vMerge w:val="continue"/>
          </w:tcPr>
          <w:p>
            <w:pPr>
              <w:spacing w:after="0"/>
              <w:rPr>
                <w:sz w:val="6"/>
                <w:szCs w:val="6"/>
                <w:color w:val="auto"/>
              </w:rPr>
            </w:pPr>
          </w:p>
        </w:tc>
        <w:tc>
          <w:tcPr>
            <w:tcW w:w="6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9940"/>
          </w:cols>
          <w:pgMar w:left="960" w:top="1440" w:right="999" w:bottom="1440" w:gutter="0" w:footer="0" w:header="0"/>
          <w:type w:val="continuous"/>
        </w:sectPr>
      </w:pPr>
    </w:p>
    <w:bookmarkStart w:id="133" w:name="page134"/>
    <w:bookmarkEnd w:id="133"/>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60" w:right="320"/>
        <w:spacing w:after="0" w:line="239" w:lineRule="auto"/>
        <w:rPr>
          <w:sz w:val="20"/>
          <w:szCs w:val="20"/>
          <w:color w:val="auto"/>
        </w:rPr>
      </w:pPr>
      <w:r>
        <w:rPr>
          <w:rFonts w:ascii="Arial" w:cs="Arial" w:eastAsia="Arial" w:hAnsi="Arial"/>
          <w:sz w:val="15"/>
          <w:szCs w:val="15"/>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November 2021.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08"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left="160" w:right="320"/>
        <w:spacing w:after="0" w:line="239" w:lineRule="auto"/>
        <w:rPr>
          <w:sz w:val="20"/>
          <w:szCs w:val="20"/>
          <w:color w:val="auto"/>
        </w:rPr>
      </w:pPr>
      <w:r>
        <w:rPr>
          <w:rFonts w:ascii="Arial" w:cs="Arial" w:eastAsia="Arial" w:hAnsi="Arial"/>
          <w:sz w:val="15"/>
          <w:szCs w:val="15"/>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15"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6" w:lineRule="exact"/>
        <w:rPr>
          <w:sz w:val="20"/>
          <w:szCs w:val="20"/>
          <w:color w:val="auto"/>
        </w:rPr>
      </w:pPr>
    </w:p>
    <w:p>
      <w:pPr>
        <w:jc w:val="both"/>
        <w:ind w:left="480" w:hanging="319"/>
        <w:spacing w:after="0" w:line="229" w:lineRule="auto"/>
        <w:tabs>
          <w:tab w:leader="none" w:pos="471" w:val="left"/>
        </w:tabs>
        <w:numPr>
          <w:ilvl w:val="0"/>
          <w:numId w:val="124"/>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Collection and Usage</w:t>
      </w:r>
      <w:r>
        <w:rPr>
          <w:rFonts w:ascii="Arial" w:cs="Arial" w:eastAsia="Arial" w:hAnsi="Arial"/>
          <w:sz w:val="15"/>
          <w:szCs w:val="15"/>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7" w:lineRule="exact"/>
        <w:rPr>
          <w:rFonts w:ascii="Arial" w:cs="Arial" w:eastAsia="Arial" w:hAnsi="Arial"/>
          <w:sz w:val="15"/>
          <w:szCs w:val="15"/>
          <w:color w:val="auto"/>
        </w:rPr>
      </w:pPr>
    </w:p>
    <w:p>
      <w:pPr>
        <w:jc w:val="both"/>
        <w:ind w:left="480" w:hanging="319"/>
        <w:spacing w:after="0" w:line="250" w:lineRule="auto"/>
        <w:tabs>
          <w:tab w:leader="none" w:pos="480" w:val="left"/>
        </w:tabs>
        <w:numPr>
          <w:ilvl w:val="0"/>
          <w:numId w:val="124"/>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08" w:lineRule="exact"/>
        <w:rPr>
          <w:rFonts w:ascii="Arial" w:cs="Arial" w:eastAsia="Arial" w:hAnsi="Arial"/>
          <w:sz w:val="14"/>
          <w:szCs w:val="14"/>
          <w:color w:val="auto"/>
        </w:rPr>
      </w:pPr>
    </w:p>
    <w:p>
      <w:pPr>
        <w:jc w:val="both"/>
        <w:ind w:left="480" w:hanging="319"/>
        <w:spacing w:after="0" w:line="227" w:lineRule="auto"/>
        <w:tabs>
          <w:tab w:leader="none" w:pos="471" w:val="left"/>
        </w:tabs>
        <w:numPr>
          <w:ilvl w:val="0"/>
          <w:numId w:val="124"/>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6" w:lineRule="exact"/>
        <w:rPr>
          <w:rFonts w:ascii="Arial" w:cs="Arial" w:eastAsia="Arial" w:hAnsi="Arial"/>
          <w:sz w:val="15"/>
          <w:szCs w:val="15"/>
          <w:color w:val="auto"/>
        </w:rPr>
      </w:pPr>
    </w:p>
    <w:p>
      <w:pPr>
        <w:jc w:val="both"/>
        <w:ind w:left="480" w:hanging="319"/>
        <w:spacing w:after="0" w:line="264" w:lineRule="auto"/>
        <w:tabs>
          <w:tab w:leader="none" w:pos="480" w:val="left"/>
        </w:tabs>
        <w:numPr>
          <w:ilvl w:val="0"/>
          <w:numId w:val="124"/>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0" w:lineRule="exact"/>
        <w:rPr>
          <w:rFonts w:ascii="Arial" w:cs="Arial" w:eastAsia="Arial" w:hAnsi="Arial"/>
          <w:sz w:val="14"/>
          <w:szCs w:val="14"/>
          <w:color w:val="auto"/>
        </w:rPr>
      </w:pPr>
    </w:p>
    <w:p>
      <w:pPr>
        <w:jc w:val="both"/>
        <w:ind w:left="480" w:hanging="319"/>
        <w:spacing w:after="0" w:line="224" w:lineRule="auto"/>
        <w:tabs>
          <w:tab w:leader="none" w:pos="471"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APPENDIX B - 1</w:t>
      </w:r>
    </w:p>
    <w:p>
      <w:pPr>
        <w:sectPr>
          <w:pgSz w:w="11900" w:h="16838" w:orient="portrait"/>
          <w:cols w:equalWidth="0" w:num="1">
            <w:col w:w="11080"/>
          </w:cols>
          <w:pgMar w:left="480" w:top="994" w:right="339" w:bottom="1440" w:gutter="0" w:footer="0" w:header="0"/>
        </w:sectPr>
      </w:pPr>
    </w:p>
    <w:bookmarkStart w:id="134" w:name="page135"/>
    <w:bookmarkEnd w:id="134"/>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Participant’s salary from or employment with the Employer; the Participant would merely forfeit the opportunities associated with the Plan.</w:t>
      </w:r>
    </w:p>
    <w:p>
      <w:pPr>
        <w:spacing w:after="0" w:line="132" w:lineRule="exact"/>
        <w:rPr>
          <w:sz w:val="20"/>
          <w:szCs w:val="20"/>
          <w:color w:val="auto"/>
        </w:rPr>
      </w:pPr>
    </w:p>
    <w:p>
      <w:pPr>
        <w:jc w:val="both"/>
        <w:ind w:left="480" w:hanging="319"/>
        <w:spacing w:after="0" w:line="215" w:lineRule="auto"/>
        <w:tabs>
          <w:tab w:leader="none" w:pos="480" w:val="left"/>
        </w:tabs>
        <w:numPr>
          <w:ilvl w:val="0"/>
          <w:numId w:val="12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6"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9" w:lineRule="exact"/>
        <w:rPr>
          <w:sz w:val="20"/>
          <w:szCs w:val="20"/>
          <w:color w:val="auto"/>
        </w:rPr>
      </w:pPr>
    </w:p>
    <w:p>
      <w:pPr>
        <w:jc w:val="both"/>
        <w:ind w:left="160" w:right="320"/>
        <w:spacing w:after="0" w:line="233" w:lineRule="auto"/>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AUSTRALIA</w:t>
      </w:r>
    </w:p>
    <w:p>
      <w:pPr>
        <w:spacing w:after="0" w:line="215"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u w:val="single" w:color="auto"/>
          <w:color w:val="auto"/>
        </w:rPr>
        <w:t>Australian Offer Documen</w:t>
      </w:r>
      <w:r>
        <w:rPr>
          <w:rFonts w:ascii="Arial" w:cs="Arial" w:eastAsia="Arial" w:hAnsi="Arial"/>
          <w:sz w:val="16"/>
          <w:szCs w:val="16"/>
          <w:color w:val="auto"/>
        </w:rPr>
        <w:t>t. This offer of Performance RSUs is intended to comply with the provisions of the Corporations Act 2001, ASIC Regulatory Guide 49 and ASIC Class Order CO 14/1000. Additional details are set forth in the Offer Document for the offer of Performance RSUs to Australian resident employees, which is attached hereto as Appendix C.</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Tax Information</w:t>
      </w:r>
      <w:r>
        <w:rPr>
          <w:rFonts w:ascii="Arial" w:cs="Arial" w:eastAsia="Arial" w:hAnsi="Arial"/>
          <w:sz w:val="16"/>
          <w:szCs w:val="16"/>
          <w:color w:val="auto"/>
        </w:rPr>
        <w:t>. The Plan is a plan to which Subdivision 83A-C of the Income Tax Assessment Act (Cth) applies (subject to the conditions in the Act).</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AUSTRIA</w:t>
      </w:r>
    </w:p>
    <w:p>
      <w:pPr>
        <w:spacing w:after="0" w:line="228" w:lineRule="exact"/>
        <w:rPr>
          <w:sz w:val="20"/>
          <w:szCs w:val="20"/>
          <w:color w:val="auto"/>
        </w:rPr>
      </w:pPr>
    </w:p>
    <w:p>
      <w:pPr>
        <w:jc w:val="both"/>
        <w:ind w:left="160" w:right="320"/>
        <w:spacing w:after="0" w:line="234"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5"/>
          <w:szCs w:val="15"/>
          <w:i w:val="1"/>
          <w:iCs w:val="1"/>
          <w:color w:val="auto"/>
        </w:rPr>
        <w:t>Standmeldung/Wertpapiere</w:t>
      </w:r>
      <w:r>
        <w:rPr>
          <w:rFonts w:ascii="Arial" w:cs="Arial" w:eastAsia="Arial" w:hAnsi="Arial"/>
          <w:sz w:val="15"/>
          <w:szCs w:val="15"/>
          <w:color w:val="auto"/>
        </w:rPr>
        <w:t>.” An exemption applies if the value of the securities held outside Austria as of December 31 does not exceed certain thresholds. These thresholds may be subject to change effective January 2022. If applicable, the deadline for filing the annual report is January 31 of the following year.</w:t>
      </w:r>
    </w:p>
    <w:p>
      <w:pPr>
        <w:spacing w:after="0" w:line="209"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6"/>
          <w:szCs w:val="16"/>
          <w:i w:val="1"/>
          <w:iCs w:val="1"/>
          <w:color w:val="auto"/>
        </w:rPr>
        <w:t>Meldungen SI-Forderungen</w:t>
      </w:r>
      <w:r>
        <w:rPr>
          <w:rFonts w:ascii="Arial" w:cs="Arial" w:eastAsia="Arial" w:hAnsi="Arial"/>
          <w:sz w:val="16"/>
          <w:szCs w:val="16"/>
          <w:color w:val="auto"/>
        </w:rPr>
        <w:t xml:space="preserve"> </w:t>
      </w:r>
      <w:r>
        <w:rPr>
          <w:rFonts w:ascii="Arial" w:cs="Arial" w:eastAsia="Arial" w:hAnsi="Arial"/>
          <w:sz w:val="16"/>
          <w:szCs w:val="16"/>
          <w:i w:val="1"/>
          <w:iCs w:val="1"/>
          <w:color w:val="auto"/>
        </w:rPr>
        <w:t>und/oder SI-Verpflichtungen</w:t>
      </w:r>
      <w:r>
        <w:rPr>
          <w:rFonts w:ascii="Arial" w:cs="Arial" w:eastAsia="Arial" w:hAnsi="Arial"/>
          <w:sz w:val="16"/>
          <w:szCs w:val="16"/>
          <w:color w:val="auto"/>
        </w:rPr>
        <w:t>.”</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BELGIUM</w:t>
      </w:r>
    </w:p>
    <w:p>
      <w:pPr>
        <w:spacing w:after="0" w:line="228" w:lineRule="exact"/>
        <w:rPr>
          <w:sz w:val="20"/>
          <w:szCs w:val="20"/>
          <w:color w:val="auto"/>
        </w:rPr>
      </w:pPr>
    </w:p>
    <w:p>
      <w:pPr>
        <w:jc w:val="both"/>
        <w:ind w:left="160" w:right="32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10"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u w:val="single" w:color="auto"/>
          <w:color w:val="auto"/>
        </w:rPr>
        <w:t>Stock Exchange Tax</w:t>
      </w:r>
      <w:r>
        <w:rPr>
          <w:rFonts w:ascii="Arial" w:cs="Arial" w:eastAsia="Arial" w:hAnsi="Arial"/>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08" w:lineRule="exact"/>
        <w:rPr>
          <w:sz w:val="20"/>
          <w:szCs w:val="20"/>
          <w:color w:val="auto"/>
        </w:rPr>
      </w:pPr>
    </w:p>
    <w:p>
      <w:pPr>
        <w:jc w:val="both"/>
        <w:ind w:left="160" w:right="320"/>
        <w:spacing w:after="0" w:line="219" w:lineRule="auto"/>
        <w:rPr>
          <w:sz w:val="20"/>
          <w:szCs w:val="20"/>
          <w:color w:val="auto"/>
        </w:rPr>
      </w:pPr>
      <w:r>
        <w:rPr>
          <w:rFonts w:ascii="Arial" w:cs="Arial" w:eastAsia="Arial" w:hAnsi="Arial"/>
          <w:sz w:val="16"/>
          <w:szCs w:val="16"/>
          <w:u w:val="single" w:color="auto"/>
          <w:color w:val="auto"/>
        </w:rPr>
        <w:t>Annual Securities Accounts Tax</w:t>
      </w:r>
      <w:r>
        <w:rPr>
          <w:rFonts w:ascii="Arial" w:cs="Arial" w:eastAsia="Arial" w:hAnsi="Arial"/>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1080"/>
          </w:cols>
          <w:pgMar w:left="480" w:top="994" w:right="339" w:bottom="1440" w:gutter="0" w:footer="0" w:header="0"/>
        </w:sectPr>
      </w:pPr>
    </w:p>
    <w:bookmarkStart w:id="135" w:name="page136"/>
    <w:bookmarkEnd w:id="135"/>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CANADA</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This provision supplements Section 2 of the Agreement:</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Notwithstanding any discretion in the Plan or the Agreement to the contrary, upon vesting of the Performance RSUs, Shares will be issued as set forth in this section.</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no event will the Performance RSUs be paid to the Participant in the form of cash.</w:t>
      </w:r>
    </w:p>
    <w:p>
      <w:pPr>
        <w:spacing w:after="0" w:line="197"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following supplements Section 2 of the Agreement (except Section 2(d) regarding disability) as well as any other section required to give effect to the same:</w:t>
      </w:r>
    </w:p>
    <w:p>
      <w:pPr>
        <w:spacing w:after="0" w:line="209"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09"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10" w:lineRule="exact"/>
        <w:rPr>
          <w:sz w:val="20"/>
          <w:szCs w:val="20"/>
          <w:color w:val="auto"/>
        </w:rPr>
      </w:pPr>
    </w:p>
    <w:p>
      <w:pPr>
        <w:jc w:val="both"/>
        <w:ind w:left="160"/>
        <w:spacing w:after="0" w:line="228"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The following terms and conditions apply if the Participant is in Quebec:</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the Data Privacy Information and Consent provision in the Terms and Conditions for Participants Outside the U.S. set forth above:</w:t>
      </w:r>
    </w:p>
    <w:p>
      <w:pPr>
        <w:spacing w:after="0" w:line="209"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French Language Acknowledgment</w:t>
      </w:r>
      <w:r>
        <w:rPr>
          <w:rFonts w:ascii="Arial" w:cs="Arial" w:eastAsia="Arial" w:hAnsi="Arial"/>
          <w:sz w:val="16"/>
          <w:szCs w:val="16"/>
          <w:color w:val="auto"/>
        </w:rPr>
        <w:t>. This provision supplements Section 9(q) of the Agreement:</w:t>
      </w:r>
    </w:p>
    <w:p>
      <w:pPr>
        <w:spacing w:after="0" w:line="211"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CHINA</w:t>
      </w:r>
    </w:p>
    <w:p>
      <w:pPr>
        <w:spacing w:after="0" w:line="228"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APPENDIX B - 3</w:t>
      </w:r>
    </w:p>
    <w:p>
      <w:pPr>
        <w:sectPr>
          <w:pgSz w:w="11900" w:h="16838" w:orient="portrait"/>
          <w:cols w:equalWidth="0" w:num="1">
            <w:col w:w="10760"/>
          </w:cols>
          <w:pgMar w:left="480" w:top="994" w:right="659" w:bottom="1440" w:gutter="0" w:footer="0" w:header="0"/>
          <w:type w:val="continuous"/>
        </w:sectPr>
      </w:pPr>
    </w:p>
    <w:bookmarkStart w:id="136" w:name="page137"/>
    <w:bookmarkEnd w:id="136"/>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13" w:lineRule="auto"/>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12" w:lineRule="exact"/>
        <w:rPr>
          <w:sz w:val="20"/>
          <w:szCs w:val="20"/>
          <w:color w:val="auto"/>
        </w:rPr>
      </w:pPr>
    </w:p>
    <w:p>
      <w:pPr>
        <w:jc w:val="both"/>
        <w:ind w:left="160"/>
        <w:spacing w:after="0" w:line="243" w:lineRule="auto"/>
        <w:rPr>
          <w:sz w:val="20"/>
          <w:szCs w:val="20"/>
          <w:color w:val="auto"/>
        </w:rPr>
      </w:pPr>
      <w:r>
        <w:rPr>
          <w:rFonts w:ascii="Arial" w:cs="Arial" w:eastAsia="Arial" w:hAnsi="Arial"/>
          <w:sz w:val="14"/>
          <w:szCs w:val="14"/>
          <w:u w:val="single" w:color="auto"/>
          <w:color w:val="auto"/>
        </w:rPr>
        <w:t>Exchange Control Requirements</w:t>
      </w:r>
      <w:r>
        <w:rPr>
          <w:rFonts w:ascii="Arial" w:cs="Arial" w:eastAsia="Arial" w:hAnsi="Arial"/>
          <w:sz w:val="14"/>
          <w:szCs w:val="14"/>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9" w:lineRule="exact"/>
        <w:rPr>
          <w:sz w:val="20"/>
          <w:szCs w:val="20"/>
          <w:color w:val="auto"/>
        </w:rPr>
      </w:pPr>
    </w:p>
    <w:p>
      <w:pPr>
        <w:jc w:val="both"/>
        <w:ind w:left="160"/>
        <w:spacing w:after="0" w:line="264" w:lineRule="auto"/>
        <w:rPr>
          <w:sz w:val="20"/>
          <w:szCs w:val="20"/>
          <w:color w:val="auto"/>
        </w:rPr>
      </w:pPr>
      <w:r>
        <w:rPr>
          <w:rFonts w:ascii="Arial" w:cs="Arial" w:eastAsia="Arial" w:hAnsi="Arial"/>
          <w:sz w:val="14"/>
          <w:szCs w:val="14"/>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79"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DENMARK</w:t>
      </w:r>
    </w:p>
    <w:p>
      <w:pPr>
        <w:spacing w:after="0" w:line="228"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u w:val="single" w:color="auto"/>
          <w:color w:val="auto"/>
        </w:rPr>
        <w:t>Danish Stock Option Act</w:t>
      </w:r>
      <w:r>
        <w:rPr>
          <w:rFonts w:ascii="Arial" w:cs="Arial" w:eastAsia="Arial" w:hAnsi="Arial"/>
          <w:sz w:val="15"/>
          <w:szCs w:val="15"/>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D.</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in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19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EGYPT</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If the Participant transfers funds into Egypt in connection with the sale of Shares, the Participant is required to transfer the funds through a registered bank in Egypt.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ESTONIA</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224" w:lineRule="exact"/>
        <w:rPr>
          <w:sz w:val="20"/>
          <w:szCs w:val="20"/>
          <w:color w:val="auto"/>
        </w:rPr>
      </w:pPr>
    </w:p>
    <w:p>
      <w:pPr>
        <w:jc w:val="both"/>
        <w:ind w:left="160"/>
        <w:spacing w:after="0" w:line="229" w:lineRule="auto"/>
        <w:rPr>
          <w:sz w:val="20"/>
          <w:szCs w:val="20"/>
          <w:color w:val="auto"/>
        </w:rPr>
      </w:pPr>
      <w:r>
        <w:rPr>
          <w:rFonts w:ascii="Arial" w:cs="Arial" w:eastAsia="Arial" w:hAnsi="Arial"/>
          <w:sz w:val="15"/>
          <w:szCs w:val="15"/>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APPENDIX B - 4</w:t>
      </w:r>
    </w:p>
    <w:p>
      <w:pPr>
        <w:sectPr>
          <w:pgSz w:w="11900" w:h="16838" w:orient="portrait"/>
          <w:cols w:equalWidth="0" w:num="1">
            <w:col w:w="10760"/>
          </w:cols>
          <w:pgMar w:left="480" w:top="994" w:right="659" w:bottom="1440" w:gutter="0" w:footer="0" w:header="0"/>
        </w:sectPr>
      </w:pPr>
    </w:p>
    <w:bookmarkStart w:id="137" w:name="page138"/>
    <w:bookmarkEnd w:id="137"/>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09"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xml:space="preserve">. </w:t>
      </w:r>
      <w:r>
        <w:rPr>
          <w:rFonts w:ascii="Arial" w:cs="Arial" w:eastAsia="Arial" w:hAnsi="Arial"/>
          <w:sz w:val="16"/>
          <w:szCs w:val="16"/>
          <w:i w:val="1"/>
          <w:iCs w:val="1"/>
          <w:color w:val="auto"/>
        </w:rPr>
        <w:t>Võttes vastu piiratud aktsiaühikute (RSUs) pakkumise, kinnitab Osaleja, et ta on ingliskeelsena esitatud pakkumisega seotud dokumendid</w:t>
      </w:r>
      <w:r>
        <w:rPr>
          <w:rFonts w:ascii="Arial" w:cs="Arial" w:eastAsia="Arial" w:hAnsi="Arial"/>
          <w:sz w:val="16"/>
          <w:szCs w:val="16"/>
          <w:color w:val="auto"/>
        </w:rPr>
        <w:t xml:space="preserve"> </w:t>
      </w:r>
      <w:r>
        <w:rPr>
          <w:rFonts w:ascii="Arial" w:cs="Arial" w:eastAsia="Arial" w:hAnsi="Arial"/>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6"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FINLAND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FRANCE</w:t>
      </w:r>
    </w:p>
    <w:p>
      <w:pPr>
        <w:spacing w:after="0" w:line="228" w:lineRule="exact"/>
        <w:rPr>
          <w:sz w:val="20"/>
          <w:szCs w:val="20"/>
          <w:color w:val="auto"/>
        </w:rPr>
      </w:pPr>
    </w:p>
    <w:p>
      <w:pPr>
        <w:jc w:val="both"/>
        <w:ind w:left="160"/>
        <w:spacing w:after="0" w:line="229" w:lineRule="auto"/>
        <w:rPr>
          <w:sz w:val="20"/>
          <w:szCs w:val="20"/>
          <w:color w:val="auto"/>
        </w:rPr>
      </w:pPr>
      <w:r>
        <w:rPr>
          <w:rFonts w:ascii="Arial" w:cs="Arial" w:eastAsia="Arial" w:hAnsi="Arial"/>
          <w:sz w:val="15"/>
          <w:szCs w:val="15"/>
          <w:u w:val="single" w:color="auto"/>
          <w:color w:val="auto"/>
        </w:rPr>
        <w:t>French-Qualified Performance RSUs</w:t>
      </w:r>
      <w:r>
        <w:rPr>
          <w:rFonts w:ascii="Arial" w:cs="Arial" w:eastAsia="Arial" w:hAnsi="Arial"/>
          <w:sz w:val="15"/>
          <w:szCs w:val="15"/>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197"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Plan Terms</w:t>
      </w:r>
      <w:r>
        <w:rPr>
          <w:rFonts w:ascii="Arial" w:cs="Arial" w:eastAsia="Arial" w:hAnsi="Arial"/>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 in the Agreement:</w:t>
      </w:r>
    </w:p>
    <w:p>
      <w:pPr>
        <w:spacing w:after="0" w:line="224"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This provision supplements Section 2(d) in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Restriction on Transfer and Sale of Shares</w:t>
      </w:r>
      <w:r>
        <w:rPr>
          <w:rFonts w:ascii="Arial" w:cs="Arial" w:eastAsia="Arial" w:hAnsi="Arial"/>
          <w:sz w:val="16"/>
          <w:szCs w:val="16"/>
          <w:color w:val="auto"/>
        </w:rPr>
        <w:t>. This provision supplements Section 3 in the Agreement:</w:t>
      </w:r>
    </w:p>
    <w:p>
      <w:pPr>
        <w:spacing w:after="0" w:line="211" w:lineRule="exact"/>
        <w:rPr>
          <w:sz w:val="20"/>
          <w:szCs w:val="20"/>
          <w:color w:val="auto"/>
        </w:rPr>
      </w:pPr>
    </w:p>
    <w:p>
      <w:pPr>
        <w:jc w:val="both"/>
        <w:ind w:left="160"/>
        <w:spacing w:after="0" w:line="227" w:lineRule="auto"/>
        <w:rPr>
          <w:sz w:val="20"/>
          <w:szCs w:val="20"/>
          <w:color w:val="auto"/>
        </w:rPr>
      </w:pPr>
      <w:r>
        <w:rPr>
          <w:rFonts w:ascii="Arial" w:cs="Arial" w:eastAsia="Arial" w:hAnsi="Arial"/>
          <w:sz w:val="15"/>
          <w:szCs w:val="15"/>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8"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APPENDIX B - 5</w:t>
      </w:r>
    </w:p>
    <w:p>
      <w:pPr>
        <w:sectPr>
          <w:pgSz w:w="11900" w:h="16838" w:orient="portrait"/>
          <w:cols w:equalWidth="0" w:num="1">
            <w:col w:w="10760"/>
          </w:cols>
          <w:pgMar w:left="480" w:top="994" w:right="659" w:bottom="1440" w:gutter="0" w:footer="0" w:header="0"/>
          <w:type w:val="continuous"/>
        </w:sectPr>
      </w:pPr>
    </w:p>
    <w:bookmarkStart w:id="138" w:name="page139"/>
    <w:bookmarkEnd w:id="138"/>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This provision supplements Section 9(u) in the Agreement:</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Certain adjustments may disqualify the Performance RSUs, in which case they may no longer benefit from favorable tax and social security treatment in France.</w:t>
      </w:r>
    </w:p>
    <w:p>
      <w:pPr>
        <w:spacing w:after="0" w:line="247"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9"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i w:val="1"/>
          <w:iCs w:val="1"/>
          <w:u w:val="single" w:color="auto"/>
          <w:color w:val="auto"/>
        </w:rPr>
        <w:t>Consentement a la Langue</w:t>
      </w:r>
      <w:r>
        <w:rPr>
          <w:rFonts w:ascii="Arial" w:cs="Arial" w:eastAsia="Arial" w:hAnsi="Arial"/>
          <w:sz w:val="15"/>
          <w:szCs w:val="15"/>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95"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GERMANY</w:t>
      </w:r>
    </w:p>
    <w:p>
      <w:pPr>
        <w:spacing w:after="0" w:line="22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can be accessed via the Bundesbank’s website (www.bundesbank.de) and is available in both German and English. It is the Participant’s responsibility to comply with this reporting obligation and the Participant should consult with his or her personal tax advisor in this regard.</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HONG KONG</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3"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Securities Law Notice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WARNING</w:t>
      </w:r>
      <w:r>
        <w:rPr>
          <w:rFonts w:ascii="Arial" w:cs="Arial" w:eastAsia="Arial" w:hAnsi="Arial"/>
          <w:sz w:val="14"/>
          <w:szCs w:val="14"/>
          <w:i w:val="1"/>
          <w:iCs w:val="1"/>
          <w:color w:val="auto"/>
        </w:rPr>
        <w:t>: The contents of this document have not been reviewed by any regulatory authority in Hong Kong. The Participant should exercise</w:t>
      </w:r>
      <w:r>
        <w:rPr>
          <w:rFonts w:ascii="Arial" w:cs="Arial" w:eastAsia="Arial" w:hAnsi="Arial"/>
          <w:sz w:val="14"/>
          <w:szCs w:val="14"/>
          <w:color w:val="auto"/>
        </w:rPr>
        <w:t xml:space="preserve"> </w:t>
      </w:r>
      <w:r>
        <w:rPr>
          <w:rFonts w:ascii="Arial" w:cs="Arial" w:eastAsia="Arial" w:hAnsi="Arial"/>
          <w:sz w:val="14"/>
          <w:szCs w:val="14"/>
          <w:i w:val="1"/>
          <w:iCs w:val="1"/>
          <w:color w:val="auto"/>
        </w:rPr>
        <w:t>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HUNGARY</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INDIA</w:t>
      </w:r>
    </w:p>
    <w:p>
      <w:pPr>
        <w:spacing w:after="0" w:line="215" w:lineRule="exact"/>
        <w:rPr>
          <w:sz w:val="20"/>
          <w:szCs w:val="20"/>
          <w:color w:val="auto"/>
        </w:rPr>
      </w:pPr>
    </w:p>
    <w:p>
      <w:pPr>
        <w:jc w:val="both"/>
        <w:ind w:left="160"/>
        <w:spacing w:after="0" w:line="255" w:lineRule="auto"/>
        <w:rPr>
          <w:sz w:val="20"/>
          <w:szCs w:val="20"/>
          <w:color w:val="auto"/>
        </w:rPr>
      </w:pPr>
      <w:r>
        <w:rPr>
          <w:rFonts w:ascii="Arial" w:cs="Arial" w:eastAsia="Arial" w:hAnsi="Arial"/>
          <w:sz w:val="14"/>
          <w:szCs w:val="14"/>
          <w:u w:val="single" w:color="auto"/>
          <w:color w:val="auto"/>
        </w:rPr>
        <w:t>Exchange Control Notification</w:t>
      </w:r>
      <w:r>
        <w:rPr>
          <w:rFonts w:ascii="Arial" w:cs="Arial" w:eastAsia="Arial" w:hAnsi="Arial"/>
          <w:sz w:val="14"/>
          <w:szCs w:val="14"/>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97"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IRELAND</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APPENDIX B - 6</w:t>
      </w:r>
    </w:p>
    <w:p>
      <w:pPr>
        <w:sectPr>
          <w:pgSz w:w="11900" w:h="16838" w:orient="portrait"/>
          <w:cols w:equalWidth="0" w:num="1">
            <w:col w:w="10760"/>
          </w:cols>
          <w:pgMar w:left="480" w:top="994" w:right="659" w:bottom="1440" w:gutter="0" w:footer="0" w:header="0"/>
          <w:type w:val="continuous"/>
        </w:sectPr>
      </w:pPr>
    </w:p>
    <w:bookmarkStart w:id="139" w:name="page140"/>
    <w:bookmarkEnd w:id="139"/>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of the Agreement:</w:t>
      </w:r>
    </w:p>
    <w:p>
      <w:pPr>
        <w:spacing w:after="0" w:line="132"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ISRAEL</w:t>
      </w:r>
    </w:p>
    <w:p>
      <w:pPr>
        <w:spacing w:after="0" w:line="228" w:lineRule="exact"/>
        <w:rPr>
          <w:sz w:val="20"/>
          <w:szCs w:val="20"/>
          <w:color w:val="auto"/>
        </w:rPr>
      </w:pPr>
    </w:p>
    <w:p>
      <w:pPr>
        <w:jc w:val="both"/>
        <w:ind w:left="160"/>
        <w:spacing w:after="0" w:line="234" w:lineRule="auto"/>
        <w:rPr>
          <w:sz w:val="20"/>
          <w:szCs w:val="20"/>
          <w:color w:val="auto"/>
        </w:rPr>
      </w:pPr>
      <w:r>
        <w:rPr>
          <w:rFonts w:ascii="Arial" w:cs="Arial" w:eastAsia="Arial" w:hAnsi="Arial"/>
          <w:sz w:val="15"/>
          <w:szCs w:val="15"/>
          <w:u w:val="single" w:color="auto"/>
          <w:color w:val="auto"/>
        </w:rPr>
        <w:t>Trust Arrangement</w:t>
      </w:r>
      <w:r>
        <w:rPr>
          <w:rFonts w:ascii="Arial" w:cs="Arial" w:eastAsia="Arial" w:hAnsi="Arial"/>
          <w:sz w:val="15"/>
          <w:szCs w:val="15"/>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09"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E within 45 days to: Stock Plan Administrator, Analog Devices, Inc., One Analog Way, Wilmington, Massachusetts, 01887 U.S.A. If Analog Devices, (Israel) Ltd. or Analog Devices, Inc. does not receive the signed Israeli Appendix within 45 days, the Performance RSUs shall terminate and will become null and void.</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2(a) in the Agreement:</w:t>
      </w:r>
    </w:p>
    <w:p>
      <w:pPr>
        <w:spacing w:after="0" w:line="211"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This provision supplements Section 3(a) in the Agreement:</w:t>
      </w:r>
    </w:p>
    <w:p>
      <w:pPr>
        <w:spacing w:after="0" w:line="224"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This grant does not constitute a public offering under the Securities Law, 1968.</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ITALY</w:t>
      </w:r>
    </w:p>
    <w:p>
      <w:pPr>
        <w:spacing w:after="0" w:line="215"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9" w:lineRule="exact"/>
        <w:rPr>
          <w:sz w:val="20"/>
          <w:szCs w:val="20"/>
          <w:color w:val="auto"/>
        </w:rPr>
      </w:pPr>
    </w:p>
    <w:p>
      <w:pPr>
        <w:jc w:val="both"/>
        <w:ind w:left="160"/>
        <w:spacing w:after="0" w:line="264" w:lineRule="auto"/>
        <w:rPr>
          <w:sz w:val="20"/>
          <w:szCs w:val="20"/>
          <w:color w:val="auto"/>
        </w:rPr>
      </w:pPr>
      <w:r>
        <w:rPr>
          <w:rFonts w:ascii="Arial" w:cs="Arial" w:eastAsia="Arial" w:hAnsi="Arial"/>
          <w:sz w:val="14"/>
          <w:szCs w:val="14"/>
          <w:u w:val="single" w:color="auto"/>
          <w:color w:val="auto"/>
        </w:rPr>
        <w:t>Foreign Asset Tax</w:t>
      </w:r>
      <w:r>
        <w:rPr>
          <w:rFonts w:ascii="Arial" w:cs="Arial" w:eastAsia="Arial" w:hAnsi="Arial"/>
          <w:sz w:val="14"/>
          <w:szCs w:val="14"/>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192"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APPENDIX B - 7</w:t>
      </w:r>
    </w:p>
    <w:p>
      <w:pPr>
        <w:sectPr>
          <w:pgSz w:w="11900" w:h="16838" w:orient="portrait"/>
          <w:cols w:equalWidth="0" w:num="1">
            <w:col w:w="10760"/>
          </w:cols>
          <w:pgMar w:left="480" w:top="994" w:right="659" w:bottom="1440" w:gutter="0" w:footer="0" w:header="0"/>
          <w:type w:val="continuous"/>
        </w:sectPr>
      </w:pPr>
    </w:p>
    <w:bookmarkStart w:id="140" w:name="page141"/>
    <w:bookmarkEnd w:id="140"/>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JAPAN</w:t>
      </w:r>
    </w:p>
    <w:p>
      <w:pPr>
        <w:spacing w:after="0" w:line="228"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KOREA</w:t>
      </w:r>
    </w:p>
    <w:p>
      <w:pPr>
        <w:spacing w:after="0" w:line="215"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MALAYSIA</w:t>
      </w:r>
    </w:p>
    <w:p>
      <w:pPr>
        <w:spacing w:after="0" w:line="188"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APPENDIX B - 8</w:t>
      </w:r>
    </w:p>
    <w:p>
      <w:pPr>
        <w:sectPr>
          <w:pgSz w:w="11900" w:h="16838" w:orient="portrait"/>
          <w:cols w:equalWidth="0" w:num="1">
            <w:col w:w="10760"/>
          </w:cols>
          <w:pgMar w:left="480" w:top="994" w:right="659" w:bottom="1440" w:gutter="0" w:footer="0" w:header="0"/>
        </w:sectPr>
      </w:pPr>
    </w:p>
    <w:bookmarkStart w:id="141" w:name="page142"/>
    <w:bookmarkEnd w:id="141"/>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spacing w:after="0" w:line="233"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6686550</wp:posOffset>
            </wp:positionH>
            <wp:positionV relativeFrom="paragraph">
              <wp:posOffset>71755</wp:posOffset>
            </wp:positionV>
            <wp:extent cx="8255" cy="1651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71755</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71755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71755</wp:posOffset>
            </wp:positionV>
            <wp:extent cx="8255" cy="1651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71755</wp:posOffset>
            </wp:positionV>
            <wp:extent cx="8255" cy="1651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4700" w:type="dxa"/>
            <w:vAlign w:val="bottom"/>
            <w:tcBorders>
              <w:top w:val="single" w:sz="8" w:color="auto"/>
            </w:tcBorders>
          </w:tcPr>
          <w:p>
            <w:pPr>
              <w:ind w:left="80"/>
              <w:spacing w:after="0" w:line="175" w:lineRule="exact"/>
              <w:rPr>
                <w:sz w:val="20"/>
                <w:szCs w:val="20"/>
                <w:color w:val="auto"/>
              </w:rPr>
            </w:pPr>
            <w:r>
              <w:rPr>
                <w:rFonts w:ascii="Arial" w:cs="Arial" w:eastAsia="Arial" w:hAnsi="Arial"/>
                <w:sz w:val="16"/>
                <w:szCs w:val="16"/>
                <w:b w:val="1"/>
                <w:bCs w:val="1"/>
                <w:i w:val="1"/>
                <w:iCs w:val="1"/>
                <w:color w:val="auto"/>
                <w:w w:val="87"/>
              </w:rPr>
              <w:t>The Participant hereby explicitly and unambiguously consents to the</w:t>
            </w:r>
          </w:p>
        </w:tc>
        <w:tc>
          <w:tcPr>
            <w:tcW w:w="100" w:type="dxa"/>
            <w:vAlign w:val="bottom"/>
          </w:tcPr>
          <w:p>
            <w:pPr>
              <w:spacing w:after="0"/>
              <w:rPr>
                <w:sz w:val="15"/>
                <w:szCs w:val="15"/>
                <w:color w:val="auto"/>
              </w:rPr>
            </w:pPr>
          </w:p>
        </w:tc>
        <w:tc>
          <w:tcPr>
            <w:tcW w:w="55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i w:val="1"/>
                <w:iCs w:val="1"/>
                <w:color w:val="auto"/>
                <w:w w:val="88"/>
              </w:rPr>
              <w:t>Peserta dengan ini secara eksplicit, secara sukarela dan tanpa sebarang keraguan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collection, use and transfer, in electronic or other form, of his or her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mengizinkan  pengumpulan,  penggunaan  dan  pemindahan,  dalam  bentuk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personal data as described in this document by and among, as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8"/>
              </w:rPr>
              <w:t>elektronik atau lain-lain, data peribadinya seperti yang dinyatakan dalam dokumen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applicable, the Employer, and the Company and its subsidiaries for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ini, oleh dan di antara, sebagaimana yang berkenaan, Majikan, Syarikat, dan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the exclusive purpose of implementing, administering and managing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mana-mana  anak  Syarikatnya  bagi  tujuan  ekslusif  untuk  membantu  dalam</w:t>
            </w:r>
          </w:p>
        </w:tc>
      </w:tr>
      <w:tr>
        <w:trPr>
          <w:trHeight w:val="201"/>
        </w:trPr>
        <w:tc>
          <w:tcPr>
            <w:tcW w:w="18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the Participant’s participation in the Plan.</w:t>
            </w:r>
          </w:p>
        </w:tc>
        <w:tc>
          <w:tcPr>
            <w:tcW w:w="10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b w:val="1"/>
                <w:bCs w:val="1"/>
                <w:i w:val="1"/>
                <w:iCs w:val="1"/>
                <w:color w:val="auto"/>
                <w:w w:val="95"/>
              </w:rPr>
              <w:t>pelaksanaan, pentadbiran dan pengurusan penyertaan Peserta dalam Pelan.</w:t>
            </w:r>
          </w:p>
        </w:tc>
      </w:tr>
      <w:tr>
        <w:trPr>
          <w:trHeight w:val="349"/>
        </w:trPr>
        <w:tc>
          <w:tcPr>
            <w:tcW w:w="18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w w:val="86"/>
              </w:rPr>
              <w:t>The Participant understands that the Company and the Employer may</w:t>
            </w:r>
          </w:p>
        </w:tc>
        <w:tc>
          <w:tcPr>
            <w:tcW w:w="10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6"/>
                <w:szCs w:val="16"/>
                <w:b w:val="1"/>
                <w:bCs w:val="1"/>
                <w:i w:val="1"/>
                <w:iCs w:val="1"/>
                <w:color w:val="auto"/>
                <w:w w:val="90"/>
              </w:rPr>
              <w:t>Peserta memahami bahawa Syarikat dan Majikan mungkin memegang maklumat</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hold certain personal information about the Participant, including,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peribadi tertentu tentang Peserta, termasuk, tetapi tidak terhad kepada, namanya,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but not limited to, his or her name, home address and telephone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alamat rumah dan nombor telefon, tarikh lahir, nombor insurans sosial atau</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number, date of birth, social insurance number or other identification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nombor pengenalan lain, gaji, kewarganegaraan, jawatan, apa-apa syer dalam</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number,  salary,  nationality,  job  title,  any  shares  of  stock  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saham atau jawatan pengarah yang dipegang dalam Syarikat, butir-butir semua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directorships held in the Company, details of all Performance RSUs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Performance  RSUs  atau  apa-apa  hak  lain  untuk  syer  dalam  saham  yang</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0"/>
              </w:rPr>
              <w:t>or  any  other  entitlement  to shares  of  stock  awarded, canceled,</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0"/>
              </w:rPr>
              <w:t>dianugerahkan, dibatalkan, dilaksanakan, terletak hak, tidak diletak hak ataupun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exercised, vested, unvested or outstanding in the Participant’s favor,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4"/>
              </w:rPr>
              <w:t>yang  belum  dijelaskan  bagi  faedah  Peserta,  untuk  tujuan  eksklusif  bagi</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for the purpose of implementing, administering and managing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melaksanakan, mentadbir dan menguruskan Pelan (“Data”). Sumber Data adalah</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5"/>
              </w:rPr>
              <w:t>Plan (“Data”). The source of the Data is the Employer as well as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daripada Majikan dan juga daripada maklumat yang dibekalkan oleh 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information the Participant is providing to the Company and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kepada Syarikat dan Majikan berkenaan dengan Performance RSUs. Penerima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Employer in connection with the Performance RSUs. The Participant</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Anugerah juga memahami bahawa Data mungkin dipindahkan kepada Fidelity</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3"/>
              </w:rPr>
              <w:t>understands that Data may be transferred to Fidelity or any other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5"/>
              </w:rPr>
              <w:t>atau mana-mana pihak ketiga yang mungkin dipilih oleh Syarikat pada masa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third parties as may be selected by the Company in the future, which</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0"/>
              </w:rPr>
              <w:t xml:space="preserve">depan, </w:t>
            </w:r>
            <w:r>
              <w:rPr>
                <w:rFonts w:ascii="Arial" w:cs="Arial" w:eastAsia="Arial" w:hAnsi="Arial"/>
                <w:sz w:val="16"/>
                <w:szCs w:val="16"/>
                <w:b w:val="1"/>
                <w:bCs w:val="1"/>
                <w:i w:val="1"/>
                <w:iCs w:val="1"/>
                <w:color w:val="222222"/>
                <w:w w:val="90"/>
              </w:rPr>
              <w:t>yang membantu dalam pelaksanaan, pentadbiran dan pengurusan Pelan,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are assisting in the implementation, administration and management</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0"/>
              </w:rPr>
              <w:t>bahawa penerima-penerima ini mungkin berada di negara Peserta atau di tempat</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of the Plan, that these recipients may be located in the Participant’s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lain,  dan  bahawa  negara  penerima  (contohnya,  Amerika  Syarikat)  mungkin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country or elsewhere and that the recipients’ country (e.g., the United</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88"/>
              </w:rPr>
              <w:t>mempunyai undang-undang privasi data dan perlindungan yang berbeza daripada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States) may have different data privacy laws and protections than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89"/>
              </w:rPr>
              <w:t>negara Peserta. Peserta memahami bahawa dia boleh meminta senarai nama dan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Participant’s country. The Participant understands that he or she may</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alamat mana-mana penerima Data dengan menghubungi wakil sumber manusia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5"/>
              </w:rPr>
              <w:t>request a list with the names and addresses of any potential recipients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0"/>
              </w:rPr>
              <w:t xml:space="preserve">tempatannya. </w:t>
            </w:r>
            <w:r>
              <w:rPr>
                <w:rFonts w:ascii="Arial" w:cs="Arial" w:eastAsia="Arial" w:hAnsi="Arial"/>
                <w:sz w:val="16"/>
                <w:szCs w:val="16"/>
                <w:b w:val="1"/>
                <w:bCs w:val="1"/>
                <w:i w:val="1"/>
                <w:iCs w:val="1"/>
                <w:color w:val="000000"/>
                <w:w w:val="90"/>
              </w:rPr>
              <w:t>Peserta memberi kuasa kepada Syarikat, Fidelity, dan mana-mana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3"/>
              </w:rPr>
              <w:t>of  the  Data  by  contacting  his  or  her  local  human  resources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penerima lain yang mungkin membantu Syarikat (masa sekarang atau pada masa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representative. The Participant authorizes the Company, Fidelity and</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2"/>
              </w:rPr>
              <w:t>depan) untuk melaksanakan, mentadbir dan menguruskan penyertaan 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4"/>
              </w:rPr>
              <w:t>any other possible recipients which may assist the Company (presently</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4"/>
              </w:rPr>
              <w:t>dalam  Pelan  untuk  menerima,  memiliki,  menggunakan,  mengekalkan  dan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or in the future) with implementing, administering and managing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0"/>
              </w:rPr>
              <w:t>memindahkan Data, dalam bentuk elektronik atau lain-lain, semata-mata dengan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0"/>
              </w:rPr>
              <w:t>Plan  to  receive,  possess,  use,  retain  and  transfer  the  Data,  in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3"/>
              </w:rPr>
              <w:t>tujuan untuk melaksanakan, mentadbir dan menguruskan penyertaan 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electronic or other form, for the sole purpose of implementing,</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dalam Pelan, termasuk apa-apa pemindahan Data yang diperlukan kepada broker</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administering and managing his or her participation in the Plan,</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atau pihak ketiga dengan siapa Peserta mungkin pilih untuk mendepositkan apa-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including any requisite transfer of such Data as may be required to a</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 xml:space="preserve">apa Saham yang diperolehi di atas penyelesaian Anugerah. </w:t>
            </w:r>
            <w:r>
              <w:rPr>
                <w:rFonts w:ascii="Arial" w:cs="Arial" w:eastAsia="Arial" w:hAnsi="Arial"/>
                <w:sz w:val="16"/>
                <w:szCs w:val="16"/>
                <w:b w:val="1"/>
                <w:bCs w:val="1"/>
                <w:i w:val="1"/>
                <w:iCs w:val="1"/>
                <w:color w:val="222222"/>
                <w:w w:val="91"/>
              </w:rPr>
              <w:t>Peserta memahami</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broker or other third party with whom the Participant may elect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3"/>
              </w:rPr>
              <w:t>bahawa  Data  akan  dipegang  hanya  untuk  tempoh  yang  diperlukan  untuk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deposit any Shares acquired upon settlement of the Award.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88"/>
              </w:rPr>
              <w:t xml:space="preserve">melaksanakan, mentadbir dan menguruskan penyertaannya dalam </w:t>
            </w:r>
            <w:r>
              <w:rPr>
                <w:rFonts w:ascii="Arial" w:cs="Arial" w:eastAsia="Arial" w:hAnsi="Arial"/>
                <w:sz w:val="16"/>
                <w:szCs w:val="16"/>
                <w:b w:val="1"/>
                <w:bCs w:val="1"/>
                <w:i w:val="1"/>
                <w:iCs w:val="1"/>
                <w:color w:val="000000"/>
                <w:w w:val="88"/>
              </w:rPr>
              <w:t>Pelan tersebut</w:t>
            </w:r>
            <w:r>
              <w:rPr>
                <w:rFonts w:ascii="Arial" w:cs="Arial" w:eastAsia="Arial" w:hAnsi="Arial"/>
                <w:sz w:val="16"/>
                <w:szCs w:val="16"/>
                <w:b w:val="1"/>
                <w:bCs w:val="1"/>
                <w:i w:val="1"/>
                <w:iCs w:val="1"/>
                <w:color w:val="222222"/>
                <w:w w:val="88"/>
              </w:rPr>
              <w:t>.</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4"/>
              </w:rPr>
              <w:t>Participant understands that Data will be held only as long as is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89"/>
              </w:rPr>
              <w:t xml:space="preserve">Peserta memahami bahawa dia boleh, pada bila-bila masa, </w:t>
            </w:r>
            <w:r>
              <w:rPr>
                <w:rFonts w:ascii="Arial" w:cs="Arial" w:eastAsia="Arial" w:hAnsi="Arial"/>
                <w:sz w:val="16"/>
                <w:szCs w:val="16"/>
                <w:b w:val="1"/>
                <w:bCs w:val="1"/>
                <w:i w:val="1"/>
                <w:iCs w:val="1"/>
                <w:color w:val="222222"/>
                <w:w w:val="89"/>
              </w:rPr>
              <w:t>melihat data, meminta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2"/>
              </w:rPr>
              <w:t>necessary to implement, administer and manage the Participant’s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2"/>
              </w:rPr>
              <w:t>maklumat tambahan mengenai penyimpanan dan pemprosesan Data, meminta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participation in the Plan. The Participant understands that he or she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bahawa pindaan-pindaan dilaksanakan ke atas Data atau menolak atau menarik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7"/>
              </w:rPr>
              <w:t>may, at any time, view Data, request additional information about the</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6"/>
              </w:rPr>
              <w:t>balik  persetujuan  dalam  ini,  dalam  mana-mana  kes,  tanpa  kos,  dengan</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5"/>
              </w:rPr>
              <w:t>storage and processing of Data, require any necessary amendments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2"/>
              </w:rPr>
              <w:t>menghubungi  secara  bertulis  wakil  sumber  manusia  tempatannya.  Peserta</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9"/>
              </w:rPr>
              <w:t>Data or refuse or withdraw the consents herein, in any case without</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auto"/>
                <w:w w:val="91"/>
              </w:rPr>
              <w:t xml:space="preserve">memahami  </w:t>
            </w:r>
            <w:r>
              <w:rPr>
                <w:rFonts w:ascii="Arial" w:cs="Arial" w:eastAsia="Arial" w:hAnsi="Arial"/>
                <w:sz w:val="16"/>
                <w:szCs w:val="16"/>
                <w:b w:val="1"/>
                <w:bCs w:val="1"/>
                <w:i w:val="1"/>
                <w:iCs w:val="1"/>
                <w:color w:val="222222"/>
                <w:w w:val="91"/>
              </w:rPr>
              <w:t>bahawa  keengganan  atau  penarikan  balik  persetujuannya  boleh</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6"/>
              </w:rPr>
              <w:t>cost, by contacting in writing his or her local human resources</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1"/>
              </w:rPr>
              <w:t xml:space="preserve">menjejaskan  keupayaannya  untuk  mengambil  bahagian  dalam  </w:t>
            </w:r>
            <w:r>
              <w:rPr>
                <w:rFonts w:ascii="Arial" w:cs="Arial" w:eastAsia="Arial" w:hAnsi="Arial"/>
                <w:sz w:val="16"/>
                <w:szCs w:val="16"/>
                <w:b w:val="1"/>
                <w:bCs w:val="1"/>
                <w:i w:val="1"/>
                <w:iCs w:val="1"/>
                <w:color w:val="000000"/>
                <w:w w:val="91"/>
              </w:rPr>
              <w:t>Pelan</w:t>
            </w:r>
            <w:r>
              <w:rPr>
                <w:rFonts w:ascii="Arial" w:cs="Arial" w:eastAsia="Arial" w:hAnsi="Arial"/>
                <w:sz w:val="16"/>
                <w:szCs w:val="16"/>
                <w:b w:val="1"/>
                <w:bCs w:val="1"/>
                <w:i w:val="1"/>
                <w:iCs w:val="1"/>
                <w:color w:val="222222"/>
                <w:w w:val="91"/>
              </w:rPr>
              <w:t>.  Untuk</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representative. The Participant understands, however, that refusing or</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87"/>
              </w:rPr>
              <w:t>maklumat lanjut mengenai akibat keengganan</w:t>
            </w:r>
            <w:r>
              <w:rPr>
                <w:rFonts w:ascii="Arial" w:cs="Arial" w:eastAsia="Arial" w:hAnsi="Arial"/>
                <w:sz w:val="16"/>
                <w:szCs w:val="16"/>
                <w:b w:val="1"/>
                <w:bCs w:val="1"/>
                <w:i w:val="1"/>
                <w:iCs w:val="1"/>
                <w:color w:val="000000"/>
                <w:w w:val="87"/>
              </w:rPr>
              <w:t>nya</w:t>
            </w:r>
            <w:r>
              <w:rPr>
                <w:rFonts w:ascii="Arial" w:cs="Arial" w:eastAsia="Arial" w:hAnsi="Arial"/>
                <w:sz w:val="16"/>
                <w:szCs w:val="16"/>
                <w:b w:val="1"/>
                <w:bCs w:val="1"/>
                <w:i w:val="1"/>
                <w:iCs w:val="1"/>
                <w:color w:val="222222"/>
                <w:w w:val="87"/>
              </w:rPr>
              <w:t xml:space="preserve"> untuk memberikan keizinan atau</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8"/>
              </w:rPr>
              <w:t>withdrawing his or her consent may affect the Participant’s ability to</w:t>
            </w:r>
          </w:p>
        </w:tc>
        <w:tc>
          <w:tcPr>
            <w:tcW w:w="100" w:type="dxa"/>
            <w:vAlign w:val="bottom"/>
          </w:tcPr>
          <w:p>
            <w:pPr>
              <w:spacing w:after="0"/>
              <w:rPr>
                <w:sz w:val="13"/>
                <w:szCs w:val="13"/>
                <w:color w:val="auto"/>
              </w:rPr>
            </w:pPr>
          </w:p>
        </w:tc>
        <w:tc>
          <w:tcPr>
            <w:tcW w:w="5540" w:type="dxa"/>
            <w:vAlign w:val="bottom"/>
          </w:tcPr>
          <w:p>
            <w:pPr>
              <w:spacing w:after="0" w:line="158" w:lineRule="exact"/>
              <w:rPr>
                <w:sz w:val="20"/>
                <w:szCs w:val="20"/>
                <w:color w:val="auto"/>
              </w:rPr>
            </w:pPr>
            <w:r>
              <w:rPr>
                <w:rFonts w:ascii="Arial" w:cs="Arial" w:eastAsia="Arial" w:hAnsi="Arial"/>
                <w:sz w:val="16"/>
                <w:szCs w:val="16"/>
                <w:b w:val="1"/>
                <w:bCs w:val="1"/>
                <w:i w:val="1"/>
                <w:iCs w:val="1"/>
                <w:color w:val="222222"/>
                <w:w w:val="93"/>
              </w:rPr>
              <w:t>penarikan  balik  keizinan,  Peserta  fahami  bahawa  dia  boleh  menghubungi</w:t>
            </w:r>
          </w:p>
        </w:tc>
      </w:tr>
      <w:tr>
        <w:trPr>
          <w:trHeight w:val="161"/>
        </w:trPr>
        <w:tc>
          <w:tcPr>
            <w:tcW w:w="180" w:type="dxa"/>
            <w:vAlign w:val="bottom"/>
          </w:tcPr>
          <w:p>
            <w:pPr>
              <w:spacing w:after="0"/>
              <w:rPr>
                <w:sz w:val="14"/>
                <w:szCs w:val="14"/>
                <w:color w:val="auto"/>
              </w:rPr>
            </w:pPr>
          </w:p>
        </w:tc>
        <w:tc>
          <w:tcPr>
            <w:tcW w:w="4700" w:type="dxa"/>
            <w:vAlign w:val="bottom"/>
          </w:tcPr>
          <w:p>
            <w:pPr>
              <w:ind w:left="80"/>
              <w:spacing w:after="0" w:line="161" w:lineRule="exact"/>
              <w:rPr>
                <w:sz w:val="20"/>
                <w:szCs w:val="20"/>
                <w:color w:val="auto"/>
              </w:rPr>
            </w:pPr>
            <w:r>
              <w:rPr>
                <w:rFonts w:ascii="Arial" w:cs="Arial" w:eastAsia="Arial" w:hAnsi="Arial"/>
                <w:sz w:val="16"/>
                <w:szCs w:val="16"/>
                <w:b w:val="1"/>
                <w:bCs w:val="1"/>
                <w:i w:val="1"/>
                <w:iCs w:val="1"/>
                <w:color w:val="auto"/>
                <w:w w:val="87"/>
              </w:rPr>
              <w:t>participate in the Plan. For more information on the consequences of</w:t>
            </w:r>
          </w:p>
        </w:tc>
        <w:tc>
          <w:tcPr>
            <w:tcW w:w="100" w:type="dxa"/>
            <w:vAlign w:val="bottom"/>
          </w:tcPr>
          <w:p>
            <w:pPr>
              <w:spacing w:after="0"/>
              <w:rPr>
                <w:sz w:val="14"/>
                <w:szCs w:val="14"/>
                <w:color w:val="auto"/>
              </w:rPr>
            </w:pPr>
          </w:p>
        </w:tc>
        <w:tc>
          <w:tcPr>
            <w:tcW w:w="5540" w:type="dxa"/>
            <w:vAlign w:val="bottom"/>
          </w:tcPr>
          <w:p>
            <w:pPr>
              <w:spacing w:after="0" w:line="161" w:lineRule="exact"/>
              <w:rPr>
                <w:sz w:val="20"/>
                <w:szCs w:val="20"/>
                <w:color w:val="auto"/>
              </w:rPr>
            </w:pPr>
            <w:r>
              <w:rPr>
                <w:rFonts w:ascii="Arial" w:cs="Arial" w:eastAsia="Arial" w:hAnsi="Arial"/>
                <w:sz w:val="16"/>
                <w:szCs w:val="16"/>
                <w:b w:val="1"/>
                <w:bCs w:val="1"/>
                <w:i w:val="1"/>
                <w:iCs w:val="1"/>
                <w:color w:val="222222"/>
              </w:rPr>
              <w:t xml:space="preserve">pentadbir pelan saham serantau di </w:t>
            </w:r>
            <w:r>
              <w:rPr>
                <w:rFonts w:ascii="Arial" w:cs="Arial" w:eastAsia="Arial" w:hAnsi="Arial"/>
                <w:sz w:val="16"/>
                <w:szCs w:val="16"/>
                <w:b w:val="1"/>
                <w:bCs w:val="1"/>
                <w:i w:val="1"/>
                <w:iCs w:val="1"/>
                <w:color w:val="000000"/>
              </w:rPr>
              <w:t>Stock_Plan_Admin@Analog.com</w:t>
            </w:r>
            <w:r>
              <w:rPr>
                <w:rFonts w:ascii="Arial" w:cs="Arial" w:eastAsia="Arial" w:hAnsi="Arial"/>
                <w:sz w:val="16"/>
                <w:szCs w:val="16"/>
                <w:b w:val="1"/>
                <w:bCs w:val="1"/>
                <w:i w:val="1"/>
                <w:iCs w:val="1"/>
                <w:color w:val="222222"/>
              </w:rPr>
              <w:t>.</w:t>
            </w: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91"/>
              </w:rPr>
              <w:t>a  refusal  to  consent  or  withdrawal  of  consent,  the  Participant</w:t>
            </w: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158"/>
        </w:trPr>
        <w:tc>
          <w:tcPr>
            <w:tcW w:w="180" w:type="dxa"/>
            <w:vAlign w:val="bottom"/>
          </w:tcPr>
          <w:p>
            <w:pPr>
              <w:spacing w:after="0"/>
              <w:rPr>
                <w:sz w:val="13"/>
                <w:szCs w:val="13"/>
                <w:color w:val="auto"/>
              </w:rPr>
            </w:pPr>
          </w:p>
        </w:tc>
        <w:tc>
          <w:tcPr>
            <w:tcW w:w="4700" w:type="dxa"/>
            <w:vAlign w:val="bottom"/>
          </w:tcPr>
          <w:p>
            <w:pPr>
              <w:ind w:left="80"/>
              <w:spacing w:after="0" w:line="158" w:lineRule="exact"/>
              <w:rPr>
                <w:sz w:val="20"/>
                <w:szCs w:val="20"/>
                <w:color w:val="auto"/>
              </w:rPr>
            </w:pPr>
            <w:r>
              <w:rPr>
                <w:rFonts w:ascii="Arial" w:cs="Arial" w:eastAsia="Arial" w:hAnsi="Arial"/>
                <w:sz w:val="16"/>
                <w:szCs w:val="16"/>
                <w:b w:val="1"/>
                <w:bCs w:val="1"/>
                <w:i w:val="1"/>
                <w:iCs w:val="1"/>
                <w:color w:val="auto"/>
                <w:w w:val="86"/>
              </w:rPr>
              <w:t>understands that he or she may contact his or her regional stock plan</w:t>
            </w: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201"/>
        </w:trPr>
        <w:tc>
          <w:tcPr>
            <w:tcW w:w="18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administrator at Stock_Plan_Admin@Analog.com.</w:t>
            </w:r>
          </w:p>
        </w:tc>
        <w:tc>
          <w:tcPr>
            <w:tcW w:w="10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908"/>
        </w:trPr>
        <w:tc>
          <w:tcPr>
            <w:tcW w:w="4880" w:type="dxa"/>
            <w:vAlign w:val="bottom"/>
            <w:gridSpan w:val="2"/>
          </w:tcPr>
          <w:p>
            <w:pPr>
              <w:spacing w:after="0"/>
              <w:rPr>
                <w:sz w:val="20"/>
                <w:szCs w:val="20"/>
                <w:color w:val="auto"/>
              </w:rPr>
            </w:pPr>
            <w:r>
              <w:rPr>
                <w:rFonts w:ascii="Arial" w:cs="Arial" w:eastAsia="Arial" w:hAnsi="Arial"/>
                <w:sz w:val="16"/>
                <w:szCs w:val="16"/>
                <w:color w:val="auto"/>
              </w:rPr>
              <w:t>APPENDIX B - 9</w:t>
            </w:r>
          </w:p>
        </w:tc>
        <w:tc>
          <w:tcPr>
            <w:tcW w:w="100" w:type="dxa"/>
            <w:vAlign w:val="bottom"/>
          </w:tcPr>
          <w:p>
            <w:pPr>
              <w:spacing w:after="0"/>
              <w:rPr>
                <w:sz w:val="24"/>
                <w:szCs w:val="24"/>
                <w:color w:val="auto"/>
              </w:rPr>
            </w:pPr>
          </w:p>
        </w:tc>
        <w:tc>
          <w:tcPr>
            <w:tcW w:w="5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-571500</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-571500</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-571500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-571500</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-571500</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-571500</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-571500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-571500</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-571500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-571500</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-571500</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-571500</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-571500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-571500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-571500</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-571500</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3394710</wp:posOffset>
            </wp:positionH>
            <wp:positionV relativeFrom="paragraph">
              <wp:posOffset>-571500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-571500</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-571500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-571500</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-571500</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-571500</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-571500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-571500</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-571500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-571500</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-571500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-571500</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-571500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-571500</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-571500</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-571500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-571500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-571500</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-571500</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-571500</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-571500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-571500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-571500</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-571500</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-571500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-571500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-571500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-571500</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-571500</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-571500</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-571500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-571500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-571500</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-571500</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-571500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-571500</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-571500</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-571500</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-571500</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-571500</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-571500</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4079875</wp:posOffset>
            </wp:positionH>
            <wp:positionV relativeFrom="paragraph">
              <wp:posOffset>-571500</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-571500</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-571500</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-571500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-571500</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-571500</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-571500</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-571500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-571500</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-571500</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-571500</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-571500</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-571500</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-571500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-571500</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-571500</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-571500</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4363720</wp:posOffset>
            </wp:positionH>
            <wp:positionV relativeFrom="paragraph">
              <wp:posOffset>-571500</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-571500</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-571500</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-571500</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-571500</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-571500</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-571500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-571500</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-571500</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-571500</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-571500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-571500</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4564380</wp:posOffset>
            </wp:positionH>
            <wp:positionV relativeFrom="paragraph">
              <wp:posOffset>-571500</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-571500</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-571500</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-571500</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-571500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4647565</wp:posOffset>
            </wp:positionH>
            <wp:positionV relativeFrom="paragraph">
              <wp:posOffset>-571500</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-571500</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-571500</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-571500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-571500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-571500</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-571500</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-571500</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-571500</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-571500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-571500</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-571500</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-571500</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-571500</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-571500</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-571500</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-571500</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-571500</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-571500</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4965065</wp:posOffset>
            </wp:positionH>
            <wp:positionV relativeFrom="paragraph">
              <wp:posOffset>-571500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4982210</wp:posOffset>
            </wp:positionH>
            <wp:positionV relativeFrom="paragraph">
              <wp:posOffset>-571500</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-571500</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-571500</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-571500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-571500</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-571500</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-571500</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-571500</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-571500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-571500</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-571500</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-571500</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-571500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-571500</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-571500</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-571500</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-571500</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-571500</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5282565</wp:posOffset>
            </wp:positionH>
            <wp:positionV relativeFrom="paragraph">
              <wp:posOffset>-571500</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-571500</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-571500</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-571500</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-571500</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-571500</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-571500</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5400040</wp:posOffset>
            </wp:positionH>
            <wp:positionV relativeFrom="paragraph">
              <wp:posOffset>-571500</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-571500</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5433060</wp:posOffset>
            </wp:positionH>
            <wp:positionV relativeFrom="paragraph">
              <wp:posOffset>-571500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-571500</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-571500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-571500</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-571500</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-571500</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-571500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5549900</wp:posOffset>
            </wp:positionH>
            <wp:positionV relativeFrom="paragraph">
              <wp:posOffset>-571500</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-571500</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-571500</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-571500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5617210</wp:posOffset>
            </wp:positionH>
            <wp:positionV relativeFrom="paragraph">
              <wp:posOffset>-571500</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-571500</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-571500</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-571500</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-571500</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-571500</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-571500</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-571500</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-571500</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-571500</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-571500</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-571500</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-571500</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-571500</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-571500</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-571500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-571500</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-571500</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-571500</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-571500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5951220</wp:posOffset>
            </wp:positionH>
            <wp:positionV relativeFrom="paragraph">
              <wp:posOffset>-571500</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5967730</wp:posOffset>
            </wp:positionH>
            <wp:positionV relativeFrom="paragraph">
              <wp:posOffset>-571500</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-571500</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-571500</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-571500</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-571500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-571500</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-571500</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-571500</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-571500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-571500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-571500</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-571500</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-571500</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-571500</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6202045</wp:posOffset>
            </wp:positionH>
            <wp:positionV relativeFrom="paragraph">
              <wp:posOffset>-571500</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6218555</wp:posOffset>
            </wp:positionH>
            <wp:positionV relativeFrom="paragraph">
              <wp:posOffset>-571500</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-571500</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-571500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-571500</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-571500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-571500</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6318885</wp:posOffset>
            </wp:positionH>
            <wp:positionV relativeFrom="paragraph">
              <wp:posOffset>-571500</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-571500</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-571500</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-571500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-571500</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-571500</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-571500</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6435725</wp:posOffset>
            </wp:positionH>
            <wp:positionV relativeFrom="paragraph">
              <wp:posOffset>-571500</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-571500</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-571500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-571500</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-571500</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-571500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6536055</wp:posOffset>
            </wp:positionH>
            <wp:positionV relativeFrom="paragraph">
              <wp:posOffset>-571500</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6553200</wp:posOffset>
            </wp:positionH>
            <wp:positionV relativeFrom="paragraph">
              <wp:posOffset>-571500</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-571500</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-571500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6602730</wp:posOffset>
            </wp:positionH>
            <wp:positionV relativeFrom="paragraph">
              <wp:posOffset>-571500</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-571500</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-571500</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-571500</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6670040</wp:posOffset>
            </wp:positionH>
            <wp:positionV relativeFrom="paragraph">
              <wp:posOffset>-571500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-5652135</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-5634990</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-5618480</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-5601970</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-5584825</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-5568315</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-5551805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-5535295</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-5518150</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-5501640</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-5485130</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-5467985</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-5451475</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-5434965</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-5417820</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-5401310</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-5384800</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-5367655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-5351145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-5334635</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-5317490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-5300980</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-5284470</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-5267325</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-5250815</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-5234305</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-5217795</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-5200650</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-5184140</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-5167630</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-5150485</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-5133975</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-5117465</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-5100320</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-5083810</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-5067300</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-5050155</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-5033645</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-5017135</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-4999990</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-4983480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-4966970</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-4949825</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-4933315</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-4916805</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-4899660</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-4883150</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-4866640</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-4850130</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-4832985</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-4816475</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-4799965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-4782820</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-4766310</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-4749800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-4732655</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-4716145</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-4699635</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-4682490</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-4665980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-4649470</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-4632325</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-4615815</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-4599305</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-4582160</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-4565650</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-4549140</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-4531995</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-4515485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-4498975</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-4482465</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-4465320</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-4448810</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-4432300</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-4415155</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-4398645</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-4382135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-4364990</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-4348480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-4331970</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-4314825</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-4298315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-4281805</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-4264660</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-4248150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-4231640</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-4214495</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-4197985</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-4181475</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-4164965</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-4147820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-4131310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-4114800</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-4097655</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-4081145</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-4064635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-4047490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-4030980</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-4014470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-3997325</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-3980815</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-3964305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-3947160</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-3930650</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-3914140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-3896995</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-3880485</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-3863975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-3846830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-3830320</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-3813810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-3797300</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-3780155</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-3763645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-3747135</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-3729990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-3713480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-3696970</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-3679825</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-3663315</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-3646805</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-3629660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-3613150</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-3596640</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-3579495</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-3562985</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-3546475</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-3529330</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-3512820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-3496310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-3479800</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-3462655</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-3446145</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-3429635</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-3412490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-3395980</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-3379470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-3362325</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-3345815</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-3329305</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-3312160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-3295650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-3279140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-3261995</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-3245485</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-3228975</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-3211830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-3195320</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-3178810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-3161665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-3145155</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-3128645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-3112135</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-3094990</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-3078480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-3061970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-3044825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-3028315</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-3011805</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-2994660</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-2978150</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-2961640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-2944495</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-2927985</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-2911475</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-2894330</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-2877820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-2861310</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-2844165</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-2827655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-2811145</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-2794635</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-2777490</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-2760980</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-2744470</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-2727325</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-2710815</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-2694305</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-2677160</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-2660650</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-2644140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-2626995</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-2610485</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-2593975</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-2576830</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-2560320</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-2543810</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-2526665</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-2510155</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-2493645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-2476500</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-2459990</wp:posOffset>
            </wp:positionV>
            <wp:extent cx="825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-2443480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-2426970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-2409825</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-2393315</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-2376805</wp:posOffset>
            </wp:positionV>
            <wp:extent cx="825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-2359660</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-2343150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-2326640</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-2309495</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-2292985</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-2276475</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-2259330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-2242820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-2226310</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-2209165</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-2192655</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-2176145</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-2159000</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-2142490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-2125980</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-2108835</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-2092325</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-2075815</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-2059305</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-2042160</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-2025650</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-2009140</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-1991995</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-1975485</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-1958975</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-1941830</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-1925320</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-1908810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-1891665</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-1875155</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-1858645</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-1841500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-1824990</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-1808480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-1791335</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-1774825</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-1758315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-1741805</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-1724660</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-1708150</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-1691640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-1674495</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-1657985</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-1641475</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-1624330</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-1607820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-1591310</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-1574165</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-1557655</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-1541145</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-1524000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-1507490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-1490980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-1473835</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-1457325</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-1440815</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-1423670</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-1407160</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-1390650</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-1374140</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-1356995</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-1340485</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-1323975</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-1306830</wp:posOffset>
            </wp:positionV>
            <wp:extent cx="825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-1290320</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-1273810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-1256665</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-1240155</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-1223645</wp:posOffset>
            </wp:positionV>
            <wp:extent cx="825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-1206500</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-1189990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-1173480</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-1156335</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-1139825</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-1123315</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-1106170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-1089660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-1073150</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-1056640</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-1039495</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-1022985</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-1006475</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-989330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-972820</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-956310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-939165</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-922655</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-906145</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-889000</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-872490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-855980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-838835</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-822325</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-805815</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-788670</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-772160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-755650</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-738505</wp:posOffset>
            </wp:positionV>
            <wp:extent cx="825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-721995</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-705485</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-688975</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-671830</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-655320</wp:posOffset>
            </wp:positionV>
            <wp:extent cx="8255"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-638810</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-621665</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-605155</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-588645</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-571500</wp:posOffset>
            </wp:positionV>
            <wp:extent cx="8255"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-5652135</wp:posOffset>
            </wp:positionV>
            <wp:extent cx="3007995" cy="508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3007995" cy="5088890"/>
                    </a:xfrm>
                    <a:prstGeom prst="rect">
                      <a:avLst/>
                    </a:prstGeom>
                    <a:noFill/>
                  </pic:spPr>
                </pic:pic>
              </a:graphicData>
            </a:graphic>
          </wp:anchor>
        </w:drawing>
      </w:r>
    </w:p>
    <w:p>
      <w:pPr>
        <w:sectPr>
          <w:pgSz w:w="11900" w:h="16838" w:orient="portrait"/>
          <w:cols w:equalWidth="0" w:num="1">
            <w:col w:w="10760"/>
          </w:cols>
          <w:pgMar w:left="480" w:top="994" w:right="659" w:bottom="1440" w:gutter="0" w:footer="0" w:header="0"/>
        </w:sectPr>
      </w:pPr>
    </w:p>
    <w:bookmarkStart w:id="142" w:name="page143"/>
    <w:bookmarkEnd w:id="142"/>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MEXICO</w:t>
      </w:r>
    </w:p>
    <w:p>
      <w:pPr>
        <w:spacing w:after="0" w:line="215" w:lineRule="exact"/>
        <w:rPr>
          <w:sz w:val="20"/>
          <w:szCs w:val="20"/>
          <w:color w:val="auto"/>
        </w:rPr>
      </w:pPr>
    </w:p>
    <w:p>
      <w:pPr>
        <w:jc w:val="both"/>
        <w:ind w:left="160"/>
        <w:spacing w:after="0" w:line="250" w:lineRule="auto"/>
        <w:rPr>
          <w:sz w:val="20"/>
          <w:szCs w:val="20"/>
          <w:color w:val="auto"/>
        </w:rPr>
      </w:pPr>
      <w:r>
        <w:rPr>
          <w:rFonts w:ascii="Arial" w:cs="Arial" w:eastAsia="Arial" w:hAnsi="Arial"/>
          <w:sz w:val="14"/>
          <w:szCs w:val="14"/>
          <w:u w:val="single" w:color="auto"/>
          <w:color w:val="auto"/>
        </w:rPr>
        <w:t>Acknowledgment of the Agreement</w:t>
      </w:r>
      <w:r>
        <w:rPr>
          <w:rFonts w:ascii="Arial" w:cs="Arial" w:eastAsia="Arial" w:hAnsi="Arial"/>
          <w:sz w:val="14"/>
          <w:szCs w:val="14"/>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8" w:lineRule="exact"/>
        <w:rPr>
          <w:sz w:val="20"/>
          <w:szCs w:val="20"/>
          <w:color w:val="auto"/>
        </w:rPr>
      </w:pPr>
    </w:p>
    <w:p>
      <w:pPr>
        <w:jc w:val="both"/>
        <w:ind w:left="160"/>
        <w:spacing w:after="0" w:line="247" w:lineRule="auto"/>
        <w:rPr>
          <w:sz w:val="20"/>
          <w:szCs w:val="20"/>
          <w:color w:val="auto"/>
        </w:rPr>
      </w:pPr>
      <w:r>
        <w:rPr>
          <w:rFonts w:ascii="Arial" w:cs="Arial" w:eastAsia="Arial" w:hAnsi="Arial"/>
          <w:sz w:val="14"/>
          <w:szCs w:val="14"/>
          <w:u w:val="single" w:color="auto"/>
          <w:color w:val="auto"/>
        </w:rPr>
        <w:t>Labor Law Policy and Acknowledgment</w:t>
      </w:r>
      <w:r>
        <w:rPr>
          <w:rFonts w:ascii="Arial" w:cs="Arial" w:eastAsia="Arial" w:hAnsi="Arial"/>
          <w:sz w:val="14"/>
          <w:szCs w:val="14"/>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38"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42" w:lineRule="exact"/>
        <w:rPr>
          <w:sz w:val="20"/>
          <w:szCs w:val="20"/>
          <w:color w:val="auto"/>
        </w:rPr>
      </w:pPr>
    </w:p>
    <w:p>
      <w:pPr>
        <w:jc w:val="both"/>
        <w:ind w:left="160"/>
        <w:spacing w:after="0" w:line="239" w:lineRule="auto"/>
        <w:rPr>
          <w:sz w:val="20"/>
          <w:szCs w:val="20"/>
          <w:color w:val="auto"/>
        </w:rPr>
      </w:pPr>
      <w:r>
        <w:rPr>
          <w:rFonts w:ascii="Arial" w:cs="Arial" w:eastAsia="Arial" w:hAnsi="Arial"/>
          <w:sz w:val="15"/>
          <w:szCs w:val="15"/>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6" w:lineRule="exact"/>
        <w:rPr>
          <w:sz w:val="20"/>
          <w:szCs w:val="20"/>
          <w:color w:val="auto"/>
        </w:rPr>
      </w:pPr>
    </w:p>
    <w:p>
      <w:pPr>
        <w:jc w:val="both"/>
        <w:ind w:left="160"/>
        <w:spacing w:after="0" w:line="250" w:lineRule="auto"/>
        <w:rPr>
          <w:sz w:val="20"/>
          <w:szCs w:val="20"/>
          <w:color w:val="auto"/>
        </w:rPr>
      </w:pPr>
      <w:r>
        <w:rPr>
          <w:rFonts w:ascii="Arial" w:cs="Arial" w:eastAsia="Arial" w:hAnsi="Arial"/>
          <w:sz w:val="14"/>
          <w:szCs w:val="14"/>
          <w:i w:val="1"/>
          <w:iCs w:val="1"/>
          <w:u w:val="single" w:color="auto"/>
          <w:color w:val="auto"/>
        </w:rPr>
        <w:t>Reconocimiento del Contrato</w:t>
      </w:r>
      <w:r>
        <w:rPr>
          <w:rFonts w:ascii="Arial" w:cs="Arial" w:eastAsia="Arial" w:hAnsi="Arial"/>
          <w:sz w:val="14"/>
          <w:szCs w:val="14"/>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35" w:lineRule="exact"/>
        <w:rPr>
          <w:sz w:val="20"/>
          <w:szCs w:val="20"/>
          <w:color w:val="auto"/>
        </w:rPr>
      </w:pPr>
    </w:p>
    <w:p>
      <w:pPr>
        <w:jc w:val="both"/>
        <w:ind w:left="160"/>
        <w:spacing w:after="0" w:line="229" w:lineRule="auto"/>
        <w:rPr>
          <w:sz w:val="20"/>
          <w:szCs w:val="20"/>
          <w:color w:val="auto"/>
        </w:rPr>
      </w:pPr>
      <w:r>
        <w:rPr>
          <w:rFonts w:ascii="Arial" w:cs="Arial" w:eastAsia="Arial" w:hAnsi="Arial"/>
          <w:sz w:val="15"/>
          <w:szCs w:val="15"/>
          <w:i w:val="1"/>
          <w:iCs w:val="1"/>
          <w:u w:val="single" w:color="auto"/>
          <w:color w:val="auto"/>
        </w:rPr>
        <w:t>Política de Legislación Laboral y Reconocimiento</w:t>
      </w:r>
      <w:r>
        <w:rPr>
          <w:rFonts w:ascii="Arial" w:cs="Arial" w:eastAsia="Arial" w:hAnsi="Arial"/>
          <w:sz w:val="15"/>
          <w:szCs w:val="15"/>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7" w:lineRule="exact"/>
        <w:rPr>
          <w:sz w:val="20"/>
          <w:szCs w:val="20"/>
          <w:color w:val="auto"/>
        </w:rPr>
      </w:pPr>
    </w:p>
    <w:p>
      <w:pPr>
        <w:jc w:val="both"/>
        <w:ind w:left="160"/>
        <w:spacing w:after="0" w:line="258" w:lineRule="auto"/>
        <w:rPr>
          <w:sz w:val="20"/>
          <w:szCs w:val="20"/>
          <w:color w:val="auto"/>
        </w:rPr>
      </w:pPr>
      <w:r>
        <w:rPr>
          <w:rFonts w:ascii="Arial" w:cs="Arial" w:eastAsia="Arial" w:hAnsi="Arial"/>
          <w:sz w:val="15"/>
          <w:szCs w:val="15"/>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29" w:lineRule="exact"/>
        <w:rPr>
          <w:sz w:val="20"/>
          <w:szCs w:val="20"/>
          <w:color w:val="auto"/>
        </w:rPr>
      </w:pPr>
    </w:p>
    <w:p>
      <w:pPr>
        <w:jc w:val="both"/>
        <w:ind w:left="160" w:right="320"/>
        <w:spacing w:after="0" w:line="219" w:lineRule="auto"/>
        <w:rPr>
          <w:sz w:val="20"/>
          <w:szCs w:val="20"/>
          <w:color w:val="auto"/>
        </w:rPr>
      </w:pPr>
      <w:r>
        <w:rPr>
          <w:rFonts w:ascii="Arial" w:cs="Arial" w:eastAsia="Arial" w:hAnsi="Arial"/>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60" w:right="320"/>
        <w:spacing w:after="0" w:line="24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APPENDIX B - 10</w:t>
      </w:r>
    </w:p>
    <w:p>
      <w:pPr>
        <w:sectPr>
          <w:pgSz w:w="11900" w:h="16838" w:orient="portrait"/>
          <w:cols w:equalWidth="0" w:num="1">
            <w:col w:w="11080"/>
          </w:cols>
          <w:pgMar w:left="480" w:top="994" w:right="339" w:bottom="1440" w:gutter="0" w:footer="0" w:header="0"/>
        </w:sectPr>
      </w:pPr>
    </w:p>
    <w:bookmarkStart w:id="143" w:name="page144"/>
    <w:bookmarkEnd w:id="143"/>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NETHERLANDS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NORWAY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PHILIPPINES</w:t>
      </w:r>
    </w:p>
    <w:p>
      <w:pPr>
        <w:spacing w:after="0" w:line="228" w:lineRule="exact"/>
        <w:rPr>
          <w:sz w:val="20"/>
          <w:szCs w:val="20"/>
          <w:color w:val="auto"/>
        </w:rPr>
      </w:pPr>
    </w:p>
    <w:p>
      <w:pPr>
        <w:jc w:val="both"/>
        <w:ind w:left="160" w:right="32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securities being offered or sold herein have not been registered with the Philippines Securities and Exchange Commission (“PSEC”) under its Securities Regulation Code (the “SRC”).</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grant of Performance RSUs is being made pursuant to an exemption from registration under Section 10.2 of the SRC that has been approved by the PSEC.</w:t>
      </w:r>
    </w:p>
    <w:p>
      <w:pPr>
        <w:spacing w:after="0" w:line="235" w:lineRule="exact"/>
        <w:rPr>
          <w:sz w:val="20"/>
          <w:szCs w:val="20"/>
          <w:color w:val="auto"/>
        </w:rPr>
      </w:pPr>
    </w:p>
    <w:p>
      <w:pPr>
        <w:jc w:val="both"/>
        <w:ind w:left="160" w:right="320"/>
        <w:spacing w:after="0" w:line="215" w:lineRule="auto"/>
        <w:rPr>
          <w:sz w:val="20"/>
          <w:szCs w:val="20"/>
          <w:color w:val="auto"/>
        </w:rPr>
      </w:pPr>
      <w:r>
        <w:rPr>
          <w:rFonts w:ascii="Arial" w:cs="Arial" w:eastAsia="Arial" w:hAnsi="Arial"/>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95" w:lineRule="exact"/>
        <w:rPr>
          <w:sz w:val="20"/>
          <w:szCs w:val="20"/>
          <w:color w:val="auto"/>
        </w:rPr>
      </w:pPr>
    </w:p>
    <w:p>
      <w:pPr>
        <w:jc w:val="both"/>
        <w:ind w:left="160" w:right="320"/>
        <w:spacing w:after="0" w:line="224" w:lineRule="auto"/>
        <w:rPr>
          <w:sz w:val="20"/>
          <w:szCs w:val="20"/>
          <w:color w:val="auto"/>
        </w:rPr>
      </w:pPr>
      <w:r>
        <w:rPr>
          <w:rFonts w:ascii="Arial" w:cs="Arial" w:eastAsia="Arial" w:hAnsi="Arial"/>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Arial" w:cs="Arial" w:eastAsia="Arial" w:hAnsi="Arial"/>
          <w:sz w:val="16"/>
          <w:szCs w:val="16"/>
          <w:i w:val="1"/>
          <w:iCs w:val="1"/>
          <w:color w:val="auto"/>
        </w:rPr>
        <w:t>If the</w:t>
      </w:r>
      <w:r>
        <w:rPr>
          <w:rFonts w:ascii="Arial" w:cs="Arial" w:eastAsia="Arial" w:hAnsi="Arial"/>
          <w:sz w:val="16"/>
          <w:szCs w:val="16"/>
          <w:color w:val="auto"/>
        </w:rPr>
        <w:t xml:space="preserve"> </w:t>
      </w:r>
      <w:r>
        <w:rPr>
          <w:rFonts w:ascii="Arial" w:cs="Arial" w:eastAsia="Arial" w:hAnsi="Arial"/>
          <w:sz w:val="16"/>
          <w:szCs w:val="16"/>
          <w:i w:val="1"/>
          <w:iCs w:val="1"/>
          <w:color w:val="auto"/>
        </w:rPr>
        <w:t>Participant has questions with regard to the application of Philippines securities laws to the disposal or sale of Shares acquired under the Plan the Participant should consult with his or her legal advisor.</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POLAND</w:t>
      </w:r>
    </w:p>
    <w:p>
      <w:pPr>
        <w:spacing w:after="0" w:line="215" w:lineRule="exact"/>
        <w:rPr>
          <w:sz w:val="20"/>
          <w:szCs w:val="20"/>
          <w:color w:val="auto"/>
        </w:rPr>
      </w:pPr>
    </w:p>
    <w:p>
      <w:pPr>
        <w:jc w:val="both"/>
        <w:ind w:left="160"/>
        <w:spacing w:after="0" w:line="264"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00" w:lineRule="exact"/>
        <w:rPr>
          <w:sz w:val="20"/>
          <w:szCs w:val="20"/>
          <w:color w:val="auto"/>
        </w:rPr>
      </w:pPr>
    </w:p>
    <w:p>
      <w:pPr>
        <w:jc w:val="both"/>
        <w:ind w:left="160" w:right="320"/>
        <w:spacing w:after="0" w:line="217"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ROMANIA</w:t>
      </w:r>
    </w:p>
    <w:p>
      <w:pPr>
        <w:spacing w:after="0" w:line="228" w:lineRule="exact"/>
        <w:rPr>
          <w:sz w:val="20"/>
          <w:szCs w:val="20"/>
          <w:color w:val="auto"/>
        </w:rPr>
      </w:pPr>
    </w:p>
    <w:p>
      <w:pPr>
        <w:jc w:val="both"/>
        <w:ind w:left="160" w:right="320"/>
        <w:spacing w:after="0" w:line="239"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SERBIA</w:t>
      </w:r>
    </w:p>
    <w:p>
      <w:pPr>
        <w:spacing w:after="0" w:line="215" w:lineRule="exact"/>
        <w:rPr>
          <w:sz w:val="20"/>
          <w:szCs w:val="20"/>
          <w:color w:val="auto"/>
        </w:rPr>
      </w:pPr>
    </w:p>
    <w:p>
      <w:pPr>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Performance RSUs and the issuance of any Shares are not subject to the regulations concerning public offers and private placements under the Law on Capital Markets.</w:t>
      </w:r>
    </w:p>
    <w:p>
      <w:pPr>
        <w:sectPr>
          <w:pgSz w:w="11900" w:h="16838" w:orient="portrait"/>
          <w:cols w:equalWidth="0" w:num="1">
            <w:col w:w="11080"/>
          </w:cols>
          <w:pgMar w:left="48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APPENDIX B - 11</w:t>
      </w:r>
    </w:p>
    <w:p>
      <w:pPr>
        <w:sectPr>
          <w:pgSz w:w="11900" w:h="16838" w:orient="portrait"/>
          <w:cols w:equalWidth="0" w:num="1">
            <w:col w:w="11080"/>
          </w:cols>
          <w:pgMar w:left="480" w:top="994" w:right="339" w:bottom="1440" w:gutter="0" w:footer="0" w:header="0"/>
          <w:type w:val="continuous"/>
        </w:sectPr>
      </w:pPr>
    </w:p>
    <w:bookmarkStart w:id="144" w:name="page145"/>
    <w:bookmarkEnd w:id="144"/>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SINGAPORE</w:t>
      </w:r>
    </w:p>
    <w:p>
      <w:pPr>
        <w:spacing w:after="0" w:line="228" w:lineRule="exact"/>
        <w:rPr>
          <w:sz w:val="20"/>
          <w:szCs w:val="20"/>
          <w:color w:val="auto"/>
        </w:rPr>
      </w:pPr>
    </w:p>
    <w:p>
      <w:pPr>
        <w:jc w:val="both"/>
        <w:ind w:left="160"/>
        <w:spacing w:after="0" w:line="25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188" w:lineRule="exact"/>
        <w:rPr>
          <w:sz w:val="20"/>
          <w:szCs w:val="20"/>
          <w:color w:val="auto"/>
        </w:rPr>
      </w:pPr>
    </w:p>
    <w:p>
      <w:pPr>
        <w:jc w:val="both"/>
        <w:ind w:left="160"/>
        <w:spacing w:after="0" w:line="226"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5"/>
          <w:szCs w:val="15"/>
          <w:i w:val="1"/>
          <w:iCs w:val="1"/>
          <w:color w:val="auto"/>
        </w:rPr>
        <w:t>e.g.</w:t>
      </w:r>
      <w:r>
        <w:rPr>
          <w:rFonts w:ascii="Arial" w:cs="Arial" w:eastAsia="Arial" w:hAnsi="Arial"/>
          <w:sz w:val="15"/>
          <w:szCs w:val="15"/>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SPAIN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32" w:lineRule="exact"/>
        <w:rPr>
          <w:sz w:val="20"/>
          <w:szCs w:val="20"/>
          <w:color w:val="auto"/>
        </w:rPr>
      </w:pPr>
    </w:p>
    <w:p>
      <w:pPr>
        <w:jc w:val="both"/>
        <w:ind w:left="160"/>
        <w:spacing w:after="0" w:line="242" w:lineRule="auto"/>
        <w:rPr>
          <w:sz w:val="20"/>
          <w:szCs w:val="20"/>
          <w:color w:val="auto"/>
        </w:rPr>
      </w:pPr>
      <w:r>
        <w:rPr>
          <w:rFonts w:ascii="Arial" w:cs="Arial" w:eastAsia="Arial" w:hAnsi="Arial"/>
          <w:sz w:val="14"/>
          <w:szCs w:val="14"/>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197" w:lineRule="exact"/>
        <w:rPr>
          <w:sz w:val="20"/>
          <w:szCs w:val="20"/>
          <w:color w:val="auto"/>
        </w:rPr>
      </w:pPr>
    </w:p>
    <w:p>
      <w:pPr>
        <w:jc w:val="both"/>
        <w:ind w:left="160"/>
        <w:spacing w:after="0" w:line="241" w:lineRule="auto"/>
        <w:rPr>
          <w:sz w:val="20"/>
          <w:szCs w:val="20"/>
          <w:color w:val="auto"/>
        </w:rPr>
      </w:pPr>
      <w:r>
        <w:rPr>
          <w:rFonts w:ascii="Arial" w:cs="Arial" w:eastAsia="Arial" w:hAnsi="Arial"/>
          <w:sz w:val="14"/>
          <w:szCs w:val="14"/>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Arial" w:cs="Arial" w:eastAsia="Arial" w:hAnsi="Arial"/>
          <w:sz w:val="14"/>
          <w:szCs w:val="14"/>
          <w:i w:val="1"/>
          <w:iCs w:val="1"/>
          <w:color w:val="auto"/>
        </w:rPr>
        <w:t>despido improcedente</w:t>
      </w:r>
      <w:r>
        <w:rPr>
          <w:rFonts w:ascii="Arial" w:cs="Arial" w:eastAsia="Arial" w:hAnsi="Arial"/>
          <w:sz w:val="14"/>
          <w:szCs w:val="14"/>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Participant acknowledges that he or she has read and specifically accepts the conditions referred to in Section 2 of the Agreement.</w:t>
      </w:r>
    </w:p>
    <w:p>
      <w:pPr>
        <w:spacing w:after="0" w:line="224"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APPENDIX B - 12</w:t>
      </w:r>
    </w:p>
    <w:p>
      <w:pPr>
        <w:sectPr>
          <w:pgSz w:w="11900" w:h="16838" w:orient="portrait"/>
          <w:cols w:equalWidth="0" w:num="1">
            <w:col w:w="10760"/>
          </w:cols>
          <w:pgMar w:left="480" w:top="994" w:right="659" w:bottom="1440" w:gutter="0" w:footer="0" w:header="0"/>
        </w:sectPr>
      </w:pPr>
    </w:p>
    <w:bookmarkStart w:id="145" w:name="page146"/>
    <w:bookmarkEnd w:id="145"/>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xml:space="preserve">. The Participant acknowledges that he or she must declare any Shares that are acquired under the Plan to the </w:t>
      </w:r>
      <w:r>
        <w:rPr>
          <w:rFonts w:ascii="Arial" w:cs="Arial" w:eastAsia="Arial" w:hAnsi="Arial"/>
          <w:sz w:val="16"/>
          <w:szCs w:val="16"/>
          <w:i w:val="1"/>
          <w:iCs w:val="1"/>
          <w:color w:val="auto"/>
        </w:rPr>
        <w:t>Dirección General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Comercio e Inversiones </w:t>
      </w:r>
      <w:r>
        <w:rPr>
          <w:rFonts w:ascii="Arial" w:cs="Arial" w:eastAsia="Arial" w:hAnsi="Arial"/>
          <w:sz w:val="16"/>
          <w:szCs w:val="16"/>
          <w:color w:val="auto"/>
        </w:rPr>
        <w:t>of the Ministry of Economy and Competitiveness (the “DGCI”). After the initial declaration, the declaration must be filed with the DGCI on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each January while the shares are owned; however, if the value of the Shares or the sale proceeds exceed a certain amount, a declaration must be filed within one month of the acquisition or sale, as applicable.</w:t>
      </w:r>
    </w:p>
    <w:p>
      <w:pPr>
        <w:spacing w:after="0" w:line="210" w:lineRule="exact"/>
        <w:rPr>
          <w:sz w:val="20"/>
          <w:szCs w:val="20"/>
          <w:color w:val="auto"/>
        </w:rPr>
      </w:pPr>
    </w:p>
    <w:p>
      <w:pPr>
        <w:jc w:val="both"/>
        <w:ind w:left="160"/>
        <w:spacing w:after="0" w:line="229"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0"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SWEDEN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Authorization to Withhold</w:t>
      </w:r>
      <w:r>
        <w:rPr>
          <w:rFonts w:ascii="Arial" w:cs="Arial" w:eastAsia="Arial" w:hAnsi="Arial"/>
          <w:sz w:val="16"/>
          <w:szCs w:val="16"/>
          <w:color w:val="auto"/>
        </w:rPr>
        <w:t>. This provision supplements Section 6 of the Agreement:</w:t>
      </w:r>
    </w:p>
    <w:p>
      <w:pPr>
        <w:spacing w:after="0" w:line="224"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SWITZERLAND</w:t>
      </w:r>
    </w:p>
    <w:p>
      <w:pPr>
        <w:spacing w:after="0" w:line="22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TAIWAN</w:t>
      </w:r>
    </w:p>
    <w:p>
      <w:pPr>
        <w:spacing w:after="0" w:line="228"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9"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Individuals may acquire foreign currency (including proceeds from the sale of Shares) into Taiwan up to US$5,000,000 per year without justification.</w:t>
      </w:r>
    </w:p>
    <w:p>
      <w:pPr>
        <w:spacing w:after="0" w:line="195"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THAILAND</w:t>
      </w:r>
    </w:p>
    <w:p>
      <w:pPr>
        <w:spacing w:after="0" w:line="228"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w:t>
      </w:r>
    </w:p>
    <w:p>
      <w:pPr>
        <w:sectPr>
          <w:pgSz w:w="11900" w:h="16838" w:orient="portrait"/>
          <w:cols w:equalWidth="0" w:num="1">
            <w:col w:w="10760"/>
          </w:cols>
          <w:pgMar w:left="480" w:top="994" w:right="6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APPENDIX B - 13</w:t>
      </w:r>
    </w:p>
    <w:p>
      <w:pPr>
        <w:sectPr>
          <w:pgSz w:w="11900" w:h="16838" w:orient="portrait"/>
          <w:cols w:equalWidth="0" w:num="1">
            <w:col w:w="10760"/>
          </w:cols>
          <w:pgMar w:left="480" w:top="994" w:right="659" w:bottom="1440" w:gutter="0" w:footer="0" w:header="0"/>
          <w:type w:val="continuous"/>
        </w:sectPr>
      </w:pPr>
    </w:p>
    <w:bookmarkStart w:id="146" w:name="page147"/>
    <w:bookmarkEnd w:id="146"/>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t>APPENDIX B TO</w:t>
      </w:r>
    </w:p>
    <w:p>
      <w:pPr>
        <w:spacing w:after="0" w:line="14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2020 EQUITY INCENTIVE PLAN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report the inward remittance to the Bank of Thailand on a Foreign Exchange Transaction Form. The Participant is responsible for ensuring compliance with all exchange control laws in Thailand.</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TURKEY</w:t>
      </w:r>
    </w:p>
    <w:p>
      <w:pPr>
        <w:spacing w:after="0" w:line="228"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5"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158" w:lineRule="exact"/>
        <w:rPr>
          <w:sz w:val="20"/>
          <w:szCs w:val="20"/>
          <w:color w:val="auto"/>
        </w:rPr>
      </w:pPr>
    </w:p>
    <w:p>
      <w:pPr>
        <w:jc w:val="both"/>
        <w:ind w:left="160"/>
        <w:spacing w:after="0" w:line="255" w:lineRule="auto"/>
        <w:rPr>
          <w:sz w:val="20"/>
          <w:szCs w:val="20"/>
          <w:color w:val="auto"/>
        </w:rPr>
      </w:pPr>
      <w:r>
        <w:rPr>
          <w:rFonts w:ascii="Arial" w:cs="Arial" w:eastAsia="Arial" w:hAnsi="Arial"/>
          <w:sz w:val="14"/>
          <w:szCs w:val="14"/>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45" w:lineRule="exact"/>
        <w:rPr>
          <w:sz w:val="20"/>
          <w:szCs w:val="20"/>
          <w:color w:val="auto"/>
        </w:rPr>
      </w:pPr>
    </w:p>
    <w:p>
      <w:pPr>
        <w:jc w:val="both"/>
        <w:ind w:left="160"/>
        <w:spacing w:after="0" w:line="213" w:lineRule="auto"/>
        <w:rPr>
          <w:sz w:val="20"/>
          <w:szCs w:val="20"/>
          <w:color w:val="auto"/>
        </w:rPr>
      </w:pPr>
      <w:r>
        <w:rPr>
          <w:rFonts w:ascii="Arial" w:cs="Arial" w:eastAsia="Arial" w:hAnsi="Arial"/>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24" w:lineRule="exact"/>
        <w:rPr>
          <w:sz w:val="20"/>
          <w:szCs w:val="20"/>
          <w:color w:val="auto"/>
        </w:rPr>
      </w:pPr>
    </w:p>
    <w:p>
      <w:pPr>
        <w:jc w:val="both"/>
        <w:ind w:left="160"/>
        <w:spacing w:after="0" w:line="233"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95"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171" w:lineRule="exact"/>
        <w:rPr>
          <w:sz w:val="20"/>
          <w:szCs w:val="20"/>
          <w:color w:val="auto"/>
        </w:rPr>
      </w:pPr>
    </w:p>
    <w:p>
      <w:pPr>
        <w:jc w:val="both"/>
        <w:ind w:left="160"/>
        <w:spacing w:after="0" w:line="224"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09" w:lineRule="exact"/>
        <w:rPr>
          <w:sz w:val="20"/>
          <w:szCs w:val="20"/>
          <w:color w:val="auto"/>
        </w:rPr>
      </w:pPr>
    </w:p>
    <w:p>
      <w:pPr>
        <w:jc w:val="both"/>
        <w:ind w:left="160"/>
        <w:spacing w:after="0" w:line="215"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09" w:lineRule="exact"/>
        <w:rPr>
          <w:sz w:val="20"/>
          <w:szCs w:val="20"/>
          <w:color w:val="auto"/>
        </w:rPr>
      </w:pPr>
    </w:p>
    <w:p>
      <w:pPr>
        <w:jc w:val="both"/>
        <w:ind w:left="160"/>
        <w:spacing w:after="0" w:line="294" w:lineRule="auto"/>
        <w:rPr>
          <w:sz w:val="20"/>
          <w:szCs w:val="20"/>
          <w:color w:val="auto"/>
        </w:rPr>
      </w:pPr>
      <w:r>
        <w:rPr>
          <w:rFonts w:ascii="Arial" w:cs="Arial" w:eastAsia="Arial" w:hAnsi="Arial"/>
          <w:sz w:val="14"/>
          <w:szCs w:val="14"/>
          <w:i w:val="1"/>
          <w:iCs w:val="1"/>
          <w:color w:val="auto"/>
        </w:rPr>
        <w:t>The Joint Election is attached hereto as Appendix F.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APPENDIX B - 14</w:t>
      </w:r>
    </w:p>
    <w:p>
      <w:pPr>
        <w:sectPr>
          <w:pgSz w:w="11900" w:h="16838" w:orient="portrait"/>
          <w:cols w:equalWidth="0" w:num="1">
            <w:col w:w="10760"/>
          </w:cols>
          <w:pgMar w:left="480" w:top="994" w:right="659" w:bottom="1440" w:gutter="0" w:footer="0" w:header="0"/>
        </w:sectPr>
      </w:pPr>
    </w:p>
    <w:bookmarkStart w:id="147" w:name="page148"/>
    <w:bookmarkEnd w:id="14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C</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OFFER OF PERFORMANCE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9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1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16"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We are pleased to provide you with this offer to participate in the Analog Devices, Inc. 2020 Equity Incentive Plan (the “Plan”). This Offer Document sets out information regarding the grant of performance restricted stock units (“Performance RSUs”) over shares of common stock (“Shares”) of Analog Devices, Inc. (the “Company”) to Australian resident employees and directors of the Company and its Australian Subsidiary.</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Any capitalized term used but not defined herein shall have the meaning ascribed to such term in the Plan.</w:t>
      </w:r>
    </w:p>
    <w:p>
      <w:pPr>
        <w:spacing w:after="0" w:line="180" w:lineRule="exact"/>
        <w:rPr>
          <w:sz w:val="20"/>
          <w:szCs w:val="20"/>
          <w:color w:val="auto"/>
        </w:rPr>
      </w:pPr>
    </w:p>
    <w:p>
      <w:pPr>
        <w:ind w:left="280" w:hanging="275"/>
        <w:spacing w:after="0"/>
        <w:tabs>
          <w:tab w:leader="none" w:pos="28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OFFER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This is an Offer of Performance RSUs, as may be granted from time to time by the Company, to certain eligible employees in accordance with the Plan.</w:t>
      </w:r>
    </w:p>
    <w:p>
      <w:pPr>
        <w:spacing w:after="0" w:line="18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5"/>
          <w:szCs w:val="15"/>
          <w:b w:val="1"/>
          <w:bCs w:val="1"/>
          <w:color w:val="auto"/>
        </w:rPr>
        <w:t>TERMS OF GRANT</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terms of the grant of Performance RSUs incorporate the rules of the Plan, this Offer Document and the Global Performance Restricted Stock Unit Agreement, and Appendix A thereto (the “Agreement”). By accepting a grant of Performance RSUs, you will be bound by the rules of the Plan, this Offer Document and the Agreement.</w:t>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tab/>
        <w:t>ADDITIONAL DOCUMENTS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information set out in this Offer Document, attached are copies of the following documents:</w:t>
      </w:r>
    </w:p>
    <w:p>
      <w:pPr>
        <w:spacing w:after="0" w:line="184" w:lineRule="exact"/>
        <w:rPr>
          <w:sz w:val="20"/>
          <w:szCs w:val="20"/>
          <w:color w:val="auto"/>
        </w:rPr>
      </w:pPr>
    </w:p>
    <w:p>
      <w:pPr>
        <w:ind w:left="660" w:hanging="655"/>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Plan;</w:t>
      </w:r>
    </w:p>
    <w:p>
      <w:pPr>
        <w:spacing w:after="0" w:line="184" w:lineRule="exact"/>
        <w:rPr>
          <w:rFonts w:ascii="Arial" w:cs="Arial" w:eastAsia="Arial" w:hAnsi="Arial"/>
          <w:sz w:val="16"/>
          <w:szCs w:val="16"/>
          <w:color w:val="auto"/>
        </w:rPr>
      </w:pPr>
    </w:p>
    <w:p>
      <w:pPr>
        <w:ind w:left="660" w:hanging="655"/>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Plan Prospectus; and</w:t>
      </w:r>
    </w:p>
    <w:p>
      <w:pPr>
        <w:spacing w:after="0" w:line="184" w:lineRule="exact"/>
        <w:rPr>
          <w:rFonts w:ascii="Arial" w:cs="Arial" w:eastAsia="Arial" w:hAnsi="Arial"/>
          <w:sz w:val="16"/>
          <w:szCs w:val="16"/>
          <w:color w:val="auto"/>
        </w:rPr>
      </w:pPr>
    </w:p>
    <w:p>
      <w:pPr>
        <w:ind w:left="660" w:hanging="655"/>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“Additional Documents”).</w:t>
      </w:r>
    </w:p>
    <w:p>
      <w:pPr>
        <w:spacing w:after="0" w:line="18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Agreement sets out, among other details, the vesting conditions applicable to your Performance RSUs, information on the settlement of your Performance RSUs and the consequences of a change in the nature or status of your employment.</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Arial" w:cs="Arial" w:eastAsia="Arial" w:hAnsi="Arial"/>
          <w:sz w:val="16"/>
          <w:szCs w:val="16"/>
          <w:i w:val="1"/>
          <w:iCs w:val="1"/>
          <w:color w:val="auto"/>
        </w:rPr>
        <w:t>Corporations Act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- 1</w:t>
      </w:r>
    </w:p>
    <w:p>
      <w:pPr>
        <w:sectPr>
          <w:pgSz w:w="11900" w:h="16838" w:orient="portrait"/>
          <w:cols w:equalWidth="0" w:num="1">
            <w:col w:w="11240"/>
          </w:cols>
          <w:pgMar w:left="320" w:top="994" w:right="339" w:bottom="1440" w:gutter="0" w:footer="0" w:header="0"/>
        </w:sectPr>
      </w:pPr>
    </w:p>
    <w:bookmarkStart w:id="148" w:name="page149"/>
    <w:bookmarkEnd w:id="14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C</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OFFER OF PERFORMANCE RESTRICTED STOCK UNITS</w:t>
      </w:r>
    </w:p>
    <w:p>
      <w:pPr>
        <w:jc w:val="center"/>
        <w:ind w:right="-19"/>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hanging="275"/>
        <w:spacing w:after="0"/>
        <w:tabs>
          <w:tab w:leader="none" w:pos="28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RELIANCE ON STATEMENTS</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5"/>
          <w:szCs w:val="15"/>
          <w:b w:val="1"/>
          <w:bCs w:val="1"/>
          <w:color w:val="auto"/>
        </w:rPr>
        <w:t>WHO IS ELIGIBLE TO PARTICIPATE?</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5" w:lineRule="exact"/>
        <w:rPr>
          <w:sz w:val="20"/>
          <w:szCs w:val="20"/>
          <w:color w:val="auto"/>
        </w:rPr>
      </w:pPr>
    </w:p>
    <w:p>
      <w:pPr>
        <w:ind w:left="280" w:hanging="275"/>
        <w:spacing w:after="0"/>
        <w:tabs>
          <w:tab w:leader="none" w:pos="28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ACCEPTING AN AWARD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Agreement sets out additional terms and conditions of your Performance RSU award. You are required to affirmatively accept your Performance RSU award.</w:t>
      </w:r>
    </w:p>
    <w:p>
      <w:pPr>
        <w:spacing w:after="0" w:line="192" w:lineRule="exact"/>
        <w:rPr>
          <w:sz w:val="20"/>
          <w:szCs w:val="20"/>
          <w:color w:val="auto"/>
        </w:rPr>
      </w:pPr>
    </w:p>
    <w:p>
      <w:pPr>
        <w:ind w:left="280" w:hanging="275"/>
        <w:spacing w:after="0"/>
        <w:tabs>
          <w:tab w:leader="none" w:pos="28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MATERIAL TERMS OF THE PERFORMANCE RSUs?</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are Performance RSUs?</w:t>
      </w:r>
    </w:p>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Performance RSUs represent the right to receive Shares upon fulfilment of the vesting conditions set out in your Agreement. The Performance RSUs are considered “restricted” because they are subject to forfeiture and restrictions on transfer until they vest. The restrictions are set forth in your Agreement. When your Performance RSUs vest, you will be issued Shares at no monetary cost (other than applicable taxes) to you. Notwithstanding anything to the contrary in the Plan, the Agreement, or any related document, your Performance RSUs will be settled in Shares.</w:t>
      </w:r>
    </w:p>
    <w:p>
      <w:pPr>
        <w:spacing w:after="0" w:line="167" w:lineRule="exact"/>
        <w:rPr>
          <w:sz w:val="20"/>
          <w:szCs w:val="20"/>
          <w:color w:val="auto"/>
        </w:rPr>
      </w:pPr>
    </w:p>
    <w:p>
      <w:pPr>
        <w:ind w:left="360" w:hanging="355"/>
        <w:spacing w:after="0"/>
        <w:tabs>
          <w:tab w:leader="none" w:pos="36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Do I have to pay any money to receive the Performance RSUs?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No. You pay no monetary consideration to receive the Performance RSUs, nor do you pay anything to receive the Shares upon vesting (other than applicable taxes).</w:t>
      </w:r>
    </w:p>
    <w:p>
      <w:pPr>
        <w:spacing w:after="0" w:line="19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How many Shares will I receive upon vesting of my Performance RSUs?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your Performance RSUs and the number of Shares subject to the award are set out in the Agreement.</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When do I become a stockholder?</w:t>
      </w:r>
    </w:p>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You are not a stockholder merely as a result of holding Performance RSUs. The Performance RSUs will not entitle you to any shareholder rights, including the right to vote the Shares or receive dividends, notices of meetings, proxy statements and other materials provided to stockholders, until the restrictions lapse at vesting and the Performance RSUs are paid out in Shares. In this regard, you are not recorded as the owner of the Shares prior to vesting. You should refer to your Agreement for details of the consequences of a change in the nature of your employment.</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4"/>
          <w:szCs w:val="14"/>
          <w:b w:val="1"/>
          <w:bCs w:val="1"/>
          <w:color w:val="auto"/>
        </w:rPr>
        <w:t>Can I transfer the Performance RSUs to someone else?</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No. The Performance RSUs are generally non-transferable, unless otherwise provided in your Agreement; however, once Shares are issued upon vesting, the Shares will be freely tradeable (subject to the Company’s policies and applicable laws regarding insider trading).</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(f)</w:t>
      </w:r>
      <w:r>
        <w:rPr>
          <w:sz w:val="20"/>
          <w:szCs w:val="20"/>
          <w:color w:val="auto"/>
        </w:rPr>
        <w:tab/>
      </w:r>
      <w:r>
        <w:rPr>
          <w:rFonts w:ascii="Arial" w:cs="Arial" w:eastAsia="Arial" w:hAnsi="Arial"/>
          <w:sz w:val="14"/>
          <w:szCs w:val="14"/>
          <w:b w:val="1"/>
          <w:bCs w:val="1"/>
          <w:color w:val="auto"/>
        </w:rPr>
        <w:t>What happens if my employment with the Company or Australian Subsidiary terminates?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Your right to any unvested Performance RSUs will terminate when you terminate employment with the Company or any subsidiary of the Company for reasons including, but not limited to, retirement, resignation, lay-off, discharge, or other change of employment status.</w:t>
      </w:r>
    </w:p>
    <w:p>
      <w:pPr>
        <w:spacing w:after="0" w:line="165" w:lineRule="exact"/>
        <w:rPr>
          <w:sz w:val="20"/>
          <w:szCs w:val="20"/>
          <w:color w:val="auto"/>
        </w:rPr>
      </w:pPr>
    </w:p>
    <w:p>
      <w:pPr>
        <w:ind w:left="280" w:hanging="275"/>
        <w:spacing w:after="0"/>
        <w:tabs>
          <w:tab w:leader="none" w:pos="28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SHARE IN THE COMPANY</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Common stock of a U.S. corporation is analogous to an ordinary share of an Australian corporation. Each holder of a Share is entitled to one vote for every Share held in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Dividends may be paid on the Shares out of any funds of the Company legally available for dividends at the discretion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- 2</w:t>
      </w:r>
    </w:p>
    <w:p>
      <w:pPr>
        <w:sectPr>
          <w:pgSz w:w="11900" w:h="16838" w:orient="portrait"/>
          <w:cols w:equalWidth="0" w:num="1">
            <w:col w:w="11240"/>
          </w:cols>
          <w:pgMar w:left="320" w:top="994" w:right="339" w:bottom="1440" w:gutter="0" w:footer="0" w:header="0"/>
        </w:sectPr>
      </w:pPr>
    </w:p>
    <w:bookmarkStart w:id="149" w:name="page150"/>
    <w:bookmarkEnd w:id="14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C</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OFFER OF PERFORMANCE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The Shares are traded on the Nasdaq Global Select Market in the United States of America and are traded under the symbol “ADI”.</w:t>
      </w:r>
    </w:p>
    <w:p>
      <w:pPr>
        <w:spacing w:after="0" w:line="18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5" w:lineRule="exact"/>
        <w:rPr>
          <w:sz w:val="20"/>
          <w:szCs w:val="20"/>
          <w:color w:val="auto"/>
        </w:rPr>
      </w:pPr>
    </w:p>
    <w:p>
      <w:pPr>
        <w:ind w:left="280" w:hanging="275"/>
        <w:spacing w:after="0"/>
        <w:tabs>
          <w:tab w:leader="none" w:pos="28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OBTAIN UPDATED INDICATIVE EXAMPLES OF THE CURRENT MARKET PRICE IN AUSTRALIAN DOLLARS?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may ascertain the current market price of the Shares as traded on the Nasdaq at http://www.nasdaq.com under the code “ADI”. The Australian dollar equivalent of that price can be obtained at: http://www.rba.gov.au/statistics/frequency/exchange-rates.html.</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This will not be a prediction of what the market price per Share will be when the Performance RSUs vest or settle or of the applicable exchange rate on the actual date of vesting or settlement.</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5"/>
          <w:szCs w:val="15"/>
          <w:b w:val="1"/>
          <w:bCs w:val="1"/>
          <w:color w:val="auto"/>
        </w:rPr>
        <w:t>WHAT ADDITIONAL RISK FACTORS APPLY TO AUSTRALIAN RESIDENTS’ PARTICIPATION IN THE PLAN?</w:t>
      </w:r>
    </w:p>
    <w:p>
      <w:pPr>
        <w:spacing w:after="0" w:line="188"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http://www.sec.gov/, on the Company’s “Investor Relations” page at http://investor.analog.com/, and upon request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In addition, you should be aware that the Australian dollar value of the Shares you may acquire at vesting will be affected by the U.S. dollar/Australian dollar exchange rate.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the Plan involves certain risks related to fluctuations in this rate of exchange.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PLAN MODIFICATION, TERMINATION ETC.</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65" w:lineRule="exact"/>
        <w:rPr>
          <w:sz w:val="20"/>
          <w:szCs w:val="20"/>
          <w:color w:val="auto"/>
        </w:rPr>
      </w:pPr>
    </w:p>
    <w:p>
      <w:pPr>
        <w:ind w:left="360" w:hanging="355"/>
        <w:spacing w:after="0"/>
        <w:tabs>
          <w:tab w:leader="none" w:pos="360"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AUSTRALIAN TAX CONSEQUENCES OF PARTICIPATION IN THE PLAN?</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following is a summary of the tax consequences as of November 2021 for an Australian resident employee who receives Performance RSUs under the Plan. You may also be subject to Medicare levy and surcharge.</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We note that for Performance RSUs granted under the Plan prior to 1 July 2015, different employee share scheme rules apply. The following taxation summary applies only to Performance RSUs granted on or after 1 July 2015. If you hold Performance RSUs granted before 1 July 2015, please consult with your personal tax advisor on the applicable tax treatment.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This summary is necessarily general in nature and does not purport to be tax advice in relation to an actual or potential recipient of Performance RSUs.</w:t>
      </w:r>
    </w:p>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If you are a citizen or resident of another country for local tax law purposes or if you transfer employment to another country after the Performance RSUs are granted to you, the information contained in this summary may not be applicable to you. </w:t>
      </w:r>
      <w:r>
        <w:rPr>
          <w:rFonts w:ascii="Arial" w:cs="Arial" w:eastAsia="Arial" w:hAnsi="Arial"/>
          <w:sz w:val="16"/>
          <w:szCs w:val="16"/>
          <w:i w:val="1"/>
          <w:iCs w:val="1"/>
          <w:color w:val="auto"/>
        </w:rPr>
        <w:t>You should seek appropriate professional advice as to how the tax or other laws in Australia and in your</w:t>
      </w:r>
      <w:r>
        <w:rPr>
          <w:rFonts w:ascii="Arial" w:cs="Arial" w:eastAsia="Arial" w:hAnsi="Arial"/>
          <w:sz w:val="16"/>
          <w:szCs w:val="16"/>
          <w:color w:val="auto"/>
        </w:rPr>
        <w:t xml:space="preserve"> </w:t>
      </w:r>
      <w:r>
        <w:rPr>
          <w:rFonts w:ascii="Arial" w:cs="Arial" w:eastAsia="Arial" w:hAnsi="Arial"/>
          <w:sz w:val="16"/>
          <w:szCs w:val="16"/>
          <w:i w:val="1"/>
          <w:iCs w:val="1"/>
          <w:color w:val="auto"/>
        </w:rPr>
        <w:t>country apply to your specific situation.</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If you are awarded Performance RSUs under the Plan, you should not rely on this summary as anything other than a broad guide, and you should obtain independent taxation advice specific to your particular circumstances before making the decision to accept the Performance RSUs.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- 3</w:t>
      </w:r>
    </w:p>
    <w:p>
      <w:pPr>
        <w:sectPr>
          <w:pgSz w:w="11900" w:h="16838" w:orient="portrait"/>
          <w:cols w:equalWidth="0" w:num="1">
            <w:col w:w="11240"/>
          </w:cols>
          <w:pgMar w:left="320" w:top="994" w:right="339" w:bottom="1440" w:gutter="0" w:footer="0" w:header="0"/>
        </w:sectPr>
      </w:pPr>
    </w:p>
    <w:bookmarkStart w:id="150" w:name="page151"/>
    <w:bookmarkEnd w:id="15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C</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OFFER OF PERFORMANCE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is the effect of the grant of the Performance RSUs?</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The Australian tax legislation contains specific rules, in Division 83A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governing the taxation of shares and rights (called “ESS interests”) acquired by employees under employee share schemes. The Performance RSUs granted under the Plan should be regarded as a right to acquire shares and accordingly, an ESS interest for these purposes.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Your assessable income includes the ESS interest at grant, unless the ESS interest is subject to a “real risk of forfeiture,” in which case you will be subject to deferred taxation.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the Performance RSUs, the “real risk of forfeiture” test requires that:</w:t>
      </w:r>
    </w:p>
    <w:p>
      <w:pPr>
        <w:spacing w:after="0" w:line="184" w:lineRule="exact"/>
        <w:rPr>
          <w:sz w:val="20"/>
          <w:szCs w:val="20"/>
          <w:color w:val="auto"/>
        </w:rPr>
      </w:pPr>
    </w:p>
    <w:p>
      <w:pPr>
        <w:ind w:left="640" w:hanging="3"/>
        <w:spacing w:after="0" w:line="233" w:lineRule="auto"/>
        <w:tabs>
          <w:tab w:leader="none" w:pos="102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there must be a real risk that, under the conditions of the Plan, you will forfeit the Performance RSUs or lose them (other than by disposing of them or in connection with the vesting of the Performance RSUs); or</w:t>
      </w:r>
    </w:p>
    <w:p>
      <w:pPr>
        <w:spacing w:after="0" w:line="169" w:lineRule="exact"/>
        <w:rPr>
          <w:rFonts w:ascii="Arial" w:cs="Arial" w:eastAsia="Arial" w:hAnsi="Arial"/>
          <w:sz w:val="16"/>
          <w:szCs w:val="16"/>
          <w:color w:val="auto"/>
        </w:rPr>
      </w:pPr>
    </w:p>
    <w:p>
      <w:pPr>
        <w:ind w:left="640" w:hanging="3"/>
        <w:spacing w:after="0" w:line="233" w:lineRule="auto"/>
        <w:tabs>
          <w:tab w:leader="none" w:pos="101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there must be a real risk that if your Performance RSUs vest, under the conditions of the Plan, you will forfeit the underlying Shares or lose them other than by disposing of them.</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terms of your Performance RSU award are set out in the Additional Documents. It is understood that your Performance RSUs will satisfy the real risk of forfeiture test and that you will be subject to deferred taxation (</w:t>
      </w:r>
      <w:r>
        <w:rPr>
          <w:rFonts w:ascii="Arial" w:cs="Arial" w:eastAsia="Arial" w:hAnsi="Arial"/>
          <w:sz w:val="16"/>
          <w:szCs w:val="16"/>
          <w:i w:val="1"/>
          <w:iCs w:val="1"/>
          <w:color w:val="auto"/>
        </w:rPr>
        <w:t>i.e.</w:t>
      </w:r>
      <w:r>
        <w:rPr>
          <w:rFonts w:ascii="Arial" w:cs="Arial" w:eastAsia="Arial" w:hAnsi="Arial"/>
          <w:sz w:val="16"/>
          <w:szCs w:val="16"/>
          <w:color w:val="auto"/>
        </w:rPr>
        <w:t>, you generally should not be subject to tax when the Performance RSUs are granted to you).</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When will you be taxed if your Performance RSUs are subject to a real risk of forfeiture?</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You will be required to include an amount in your assessable income for the income year (</w:t>
      </w:r>
      <w:r>
        <w:rPr>
          <w:rFonts w:ascii="Arial" w:cs="Arial" w:eastAsia="Arial" w:hAnsi="Arial"/>
          <w:sz w:val="16"/>
          <w:szCs w:val="16"/>
          <w:i w:val="1"/>
          <w:iCs w:val="1"/>
          <w:color w:val="auto"/>
        </w:rPr>
        <w:t>i.e.</w:t>
      </w:r>
      <w:r>
        <w:rPr>
          <w:rFonts w:ascii="Arial" w:cs="Arial" w:eastAsia="Arial" w:hAnsi="Arial"/>
          <w:sz w:val="16"/>
          <w:szCs w:val="16"/>
          <w:color w:val="auto"/>
        </w:rPr>
        <w:t>, the financial year ending 30 June) in which the earliest of the following events occurs in relation to the Performance RSUs (the “ESS deferred taxing point”).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Your ESS deferred taxing point will be the earliest of the following:</w:t>
      </w:r>
    </w:p>
    <w:p>
      <w:pPr>
        <w:spacing w:after="0" w:line="184" w:lineRule="exact"/>
        <w:rPr>
          <w:sz w:val="20"/>
          <w:szCs w:val="20"/>
          <w:color w:val="auto"/>
        </w:rPr>
      </w:pPr>
    </w:p>
    <w:p>
      <w:pPr>
        <w:ind w:left="940" w:hanging="303"/>
        <w:spacing w:after="0"/>
        <w:tabs>
          <w:tab w:leader="none" w:pos="9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when there are no longer any genuine restrictions on the vesting of the Performance RSUs and there is no real risk of you forfeiting your Performance RSUs;</w:t>
      </w:r>
    </w:p>
    <w:p>
      <w:pPr>
        <w:spacing w:after="0" w:line="207" w:lineRule="exact"/>
        <w:rPr>
          <w:rFonts w:ascii="Arial" w:cs="Arial" w:eastAsia="Arial" w:hAnsi="Arial"/>
          <w:sz w:val="14"/>
          <w:szCs w:val="14"/>
          <w:color w:val="auto"/>
        </w:rPr>
      </w:pPr>
    </w:p>
    <w:p>
      <w:pPr>
        <w:ind w:left="980" w:hanging="343"/>
        <w:spacing w:after="0"/>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when the Performance RSUs are settled and there is no genuine restriction on the disposal of the underlying Shares; and</w:t>
      </w:r>
    </w:p>
    <w:p>
      <w:pPr>
        <w:spacing w:after="0" w:line="184" w:lineRule="exact"/>
        <w:rPr>
          <w:rFonts w:ascii="Arial" w:cs="Arial" w:eastAsia="Arial" w:hAnsi="Arial"/>
          <w:sz w:val="16"/>
          <w:szCs w:val="16"/>
          <w:color w:val="auto"/>
        </w:rPr>
      </w:pPr>
    </w:p>
    <w:p>
      <w:pPr>
        <w:ind w:left="1040" w:hanging="403"/>
        <w:spacing w:after="0"/>
        <w:tabs>
          <w:tab w:leader="none" w:pos="10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your cessation of employment (but see Section 11(e) below).</w:t>
      </w:r>
    </w:p>
    <w:p>
      <w:pPr>
        <w:spacing w:after="0" w:line="184"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Generally, this means that you will be subject to tax when your Performance RSUs vest. However, the ESS deferred taxing point for your Performance RSUs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income taxes, the assessable amount may also be subject to Medicare Levy and surcharge (if applicable).</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2"/>
          <w:szCs w:val="12"/>
          <w:b w:val="1"/>
          <w:bCs w:val="1"/>
          <w:color w:val="auto"/>
        </w:rPr>
        <w:t>What is the amount to be included in your assessable income if an ESS deferred taxing point occurs?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amount you must include in your assessable income in the income year (</w:t>
      </w:r>
      <w:r>
        <w:rPr>
          <w:rFonts w:ascii="Arial" w:cs="Arial" w:eastAsia="Arial" w:hAnsi="Arial"/>
          <w:sz w:val="15"/>
          <w:szCs w:val="15"/>
          <w:i w:val="1"/>
          <w:iCs w:val="1"/>
          <w:color w:val="auto"/>
        </w:rPr>
        <w:t>i.e.</w:t>
      </w:r>
      <w:r>
        <w:rPr>
          <w:rFonts w:ascii="Arial" w:cs="Arial" w:eastAsia="Arial" w:hAnsi="Arial"/>
          <w:sz w:val="15"/>
          <w:szCs w:val="15"/>
          <w:color w:val="auto"/>
        </w:rPr>
        <w:t>, the financial year ending 30 June) in which the ESS deferred taxing point occurs in relation to your Performance RSUs (</w:t>
      </w:r>
      <w:r>
        <w:rPr>
          <w:rFonts w:ascii="Arial" w:cs="Arial" w:eastAsia="Arial" w:hAnsi="Arial"/>
          <w:sz w:val="15"/>
          <w:szCs w:val="15"/>
          <w:i w:val="1"/>
          <w:iCs w:val="1"/>
          <w:color w:val="auto"/>
        </w:rPr>
        <w:t>i.e.,</w:t>
      </w:r>
      <w:r>
        <w:rPr>
          <w:rFonts w:ascii="Arial" w:cs="Arial" w:eastAsia="Arial" w:hAnsi="Arial"/>
          <w:sz w:val="15"/>
          <w:szCs w:val="15"/>
          <w:color w:val="auto"/>
        </w:rPr>
        <w:t xml:space="preserve"> typically at vesting) will be the difference between the “market value” of the underlying Shares at the ESS deferred taxing point and the cost base of the Performance RSUs (which should be nil because you do not have to pay anything to acquire the Performance RSUs or the underlying Shares).</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Performance RSUs (which, again, should be nil).</w:t>
      </w:r>
    </w:p>
    <w:p>
      <w:pPr>
        <w:spacing w:after="0" w:line="165" w:lineRule="exact"/>
        <w:rPr>
          <w:sz w:val="20"/>
          <w:szCs w:val="20"/>
          <w:color w:val="auto"/>
        </w:rPr>
      </w:pPr>
    </w:p>
    <w:p>
      <w:pPr>
        <w:ind w:left="400" w:hanging="395"/>
        <w:spacing w:after="0"/>
        <w:tabs>
          <w:tab w:leader="none" w:pos="40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market value of the Underlying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- 4</w:t>
      </w:r>
    </w:p>
    <w:p>
      <w:pPr>
        <w:sectPr>
          <w:pgSz w:w="11900" w:h="16838" w:orient="portrait"/>
          <w:cols w:equalWidth="0" w:num="1">
            <w:col w:w="11240"/>
          </w:cols>
          <w:pgMar w:left="320" w:top="994" w:right="339" w:bottom="1440" w:gutter="0" w:footer="0" w:header="0"/>
        </w:sectPr>
      </w:pPr>
    </w:p>
    <w:bookmarkStart w:id="151" w:name="page152"/>
    <w:bookmarkEnd w:id="15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t>APPENDIX C</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OFFER OF PERFORMANCE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“market value” of the Performance RSUs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32"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Performance RSUs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67" w:lineRule="exact"/>
        <w:rPr>
          <w:sz w:val="20"/>
          <w:szCs w:val="20"/>
          <w:color w:val="auto"/>
        </w:rPr>
      </w:pPr>
    </w:p>
    <w:p>
      <w:pPr>
        <w:ind w:left="380" w:hanging="375"/>
        <w:spacing w:after="0"/>
        <w:tabs>
          <w:tab w:leader="none" w:pos="38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cease employment before my Performance RSUs vest?</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 cease employment with your employer prior to the vesting date of some or all of your Performance RSUs and the Performance RSUs do not vest upon termination of employment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they are forfeited), you may be treated as having never acquired the forfeited Performance RSUs in which case, no amount will be included in your assessable income.</w:t>
      </w:r>
    </w:p>
    <w:p>
      <w:pPr>
        <w:spacing w:after="0" w:line="165" w:lineRule="exact"/>
        <w:rPr>
          <w:sz w:val="20"/>
          <w:szCs w:val="20"/>
          <w:color w:val="auto"/>
        </w:rPr>
      </w:pPr>
    </w:p>
    <w:p>
      <w:pPr>
        <w:ind w:left="360" w:hanging="355"/>
        <w:spacing w:after="0"/>
        <w:tabs>
          <w:tab w:leader="none" w:pos="36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What tax consequences will arise when I sell my Shares?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If you sell the Shares acquired upon vesting of your Performance RSUs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If you sell the Shares acquired upon vesting of your Performance RSUs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are responsible for reporting any income you realize from the sale of Shares acquired upon vesting of Performance RSUs and paying any applicable taxes due on such income.</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6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(g)</w:t>
      </w:r>
      <w:r>
        <w:rPr>
          <w:sz w:val="20"/>
          <w:szCs w:val="20"/>
          <w:color w:val="auto"/>
        </w:rPr>
        <w:tab/>
      </w:r>
      <w:r>
        <w:rPr>
          <w:rFonts w:ascii="Arial" w:cs="Arial" w:eastAsia="Arial" w:hAnsi="Arial"/>
          <w:sz w:val="14"/>
          <w:szCs w:val="14"/>
          <w:b w:val="1"/>
          <w:bCs w:val="1"/>
          <w:color w:val="auto"/>
        </w:rPr>
        <w:t>What are the taxation consequences if a dividend is paid on the Shares?</w:t>
      </w:r>
    </w:p>
    <w:p>
      <w:pPr>
        <w:spacing w:after="0" w:line="188"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If you vest in the Performance RSUs and become a Company stockholder, you may be entitled to receive dividends on the Shares obtained from vesting in the Performance RSUs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6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(h)</w:t>
      </w:r>
      <w:r>
        <w:rPr>
          <w:sz w:val="20"/>
          <w:szCs w:val="20"/>
          <w:color w:val="auto"/>
        </w:rPr>
        <w:tab/>
      </w:r>
      <w:r>
        <w:rPr>
          <w:rFonts w:ascii="Arial" w:cs="Arial" w:eastAsia="Arial" w:hAnsi="Arial"/>
          <w:sz w:val="14"/>
          <w:szCs w:val="14"/>
          <w:b w:val="1"/>
          <w:bCs w:val="1"/>
          <w:color w:val="auto"/>
        </w:rPr>
        <w:t>What are the tax withholding and reporting obligations associated with the Performance RSUs?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 will be responsible for reporting on your tax return and paying any tax liability in relation to the Performance RSUs and any Shares issued to you at vesting. It is also your responsibility to report and pay any tax liability on the sale of any Shares acquired under the Plan any dividends received.</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Your employer will be required to withhold tax due on the Performance RSUs only if you have not provided your Tax File Number or Australian Business Number, as applicable, to your employer.</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- 5</w:t>
      </w:r>
    </w:p>
    <w:p>
      <w:pPr>
        <w:sectPr>
          <w:pgSz w:w="11900" w:h="16838" w:orient="portrait"/>
          <w:cols w:equalWidth="0" w:num="1">
            <w:col w:w="11240"/>
          </w:cols>
          <w:pgMar w:left="320" w:top="994" w:right="339" w:bottom="1440" w:gutter="0" w:footer="0" w:header="0"/>
        </w:sectPr>
      </w:pPr>
    </w:p>
    <w:bookmarkStart w:id="152" w:name="page153"/>
    <w:bookmarkEnd w:id="15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C</w:t>
      </w:r>
    </w:p>
    <w:p>
      <w:pPr>
        <w:spacing w:after="0" w:line="132"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OFFER DOCUMENT</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OFFER OF PERFORMANCE RESTRICTED STOCK UNITS</w:t>
      </w: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 xml:space="preserve">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5"/>
          <w:szCs w:val="15"/>
          <w:i w:val="1"/>
          <w:iCs w:val="1"/>
          <w:color w:val="auto"/>
        </w:rPr>
        <w:t>You will be responsible for determining this amount and calculating your tax accordingly.</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5"/>
          <w:szCs w:val="15"/>
          <w:b w:val="1"/>
          <w:bCs w:val="1"/>
          <w:color w:val="auto"/>
        </w:rPr>
        <w:t>WHAT ARE THE U.S. TAX CONSEQUENCES OF PARTICIPATION IN THE PLAN?</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Australian residents who are not U.S. citizens or tax residents should not be subject to U.S. tax by reason only of the award or vesting of the Performance RSUs and/or the sale of Shares, except with respect to dividends as described above. However, liability for U.S. tax may accrue if an Australian resident is otherwise subject to U.S. tax.</w:t>
      </w:r>
    </w:p>
    <w:p>
      <w:pPr>
        <w:spacing w:after="0" w:line="13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is only an indication of the likely U.S. tax consequences for an Australian resident who is awarded Performance RSUs under the Plan. Each Australian resident should seek his or her own advice as to the U.S. tax consequences of the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urge you to carefully review the information contained in this Offer Document and the Additional Documents.</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- 6</w:t>
      </w:r>
    </w:p>
    <w:p>
      <w:pPr>
        <w:sectPr>
          <w:pgSz w:w="11900" w:h="16838" w:orient="portrait"/>
          <w:cols w:equalWidth="0" w:num="1">
            <w:col w:w="11240"/>
          </w:cols>
          <w:pgMar w:left="320" w:top="994"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D</w:t>
      </w:r>
    </w:p>
    <w:p>
      <w:pPr>
        <w:spacing w:after="0" w:line="176"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EMPLOYER INFORMATION STATEMENT – DENMARK</w:t>
      </w:r>
    </w:p>
    <w:p>
      <w:pPr>
        <w:ind w:left="3620"/>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2" w:lineRule="exact"/>
        <w:rPr>
          <w:sz w:val="20"/>
          <w:szCs w:val="20"/>
          <w:color w:val="auto"/>
        </w:rPr>
      </w:pPr>
    </w:p>
    <w:p>
      <w:pPr>
        <w:ind w:left="280" w:hanging="275"/>
        <w:spacing w:after="0"/>
        <w:tabs>
          <w:tab w:leader="none" w:pos="28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Date of Grant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Company approved the grant of Performance RSUs under the Plan on Grant Date. On this basis, the Date of Grant for your Performance RSUs is Grant Date.</w:t>
      </w:r>
    </w:p>
    <w:p>
      <w:pPr>
        <w:spacing w:after="0" w:line="151"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Terms and Conditions of the Performance RSU Grant</w:t>
      </w:r>
    </w:p>
    <w:p>
      <w:pPr>
        <w:spacing w:after="0" w:line="136" w:lineRule="exact"/>
        <w:rPr>
          <w:sz w:val="20"/>
          <w:szCs w:val="20"/>
          <w:color w:val="auto"/>
        </w:rPr>
      </w:pPr>
    </w:p>
    <w:p>
      <w:pPr>
        <w:jc w:val="both"/>
        <w:ind w:left="640"/>
        <w:spacing w:after="0" w:line="229" w:lineRule="auto"/>
        <w:rPr>
          <w:sz w:val="20"/>
          <w:szCs w:val="20"/>
          <w:color w:val="auto"/>
        </w:rPr>
      </w:pPr>
      <w:r>
        <w:rPr>
          <w:rFonts w:ascii="Arial" w:cs="Arial" w:eastAsia="Arial" w:hAnsi="Arial"/>
          <w:sz w:val="15"/>
          <w:szCs w:val="15"/>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Vesting Date of Performance RSUs</w:t>
      </w:r>
    </w:p>
    <w:p>
      <w:pPr>
        <w:spacing w:after="0" w:line="136" w:lineRule="exact"/>
        <w:rPr>
          <w:sz w:val="20"/>
          <w:szCs w:val="20"/>
          <w:color w:val="auto"/>
        </w:rPr>
      </w:pPr>
    </w:p>
    <w:p>
      <w:pPr>
        <w:jc w:val="both"/>
        <w:ind w:left="640"/>
        <w:spacing w:after="0" w:line="239" w:lineRule="auto"/>
        <w:rPr>
          <w:sz w:val="20"/>
          <w:szCs w:val="20"/>
          <w:color w:val="auto"/>
        </w:rPr>
      </w:pPr>
      <w:r>
        <w:rPr>
          <w:rFonts w:ascii="Arial" w:cs="Arial" w:eastAsia="Arial" w:hAnsi="Arial"/>
          <w:sz w:val="15"/>
          <w:szCs w:val="15"/>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When your Performance RSUs vest, the Company will issue one share of the Company’s common stock to you in settlement of each vested Performance RSU.</w:t>
      </w:r>
    </w:p>
    <w:p>
      <w:pPr>
        <w:spacing w:after="0" w:line="139" w:lineRule="exact"/>
        <w:rPr>
          <w:sz w:val="20"/>
          <w:szCs w:val="20"/>
          <w:color w:val="auto"/>
        </w:rPr>
      </w:pPr>
    </w:p>
    <w:p>
      <w:pPr>
        <w:ind w:left="280" w:hanging="275"/>
        <w:spacing w:after="0"/>
        <w:tabs>
          <w:tab w:leader="none" w:pos="28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Price</w:t>
      </w:r>
    </w:p>
    <w:p>
      <w:pPr>
        <w:spacing w:after="0" w:line="136" w:lineRule="exact"/>
        <w:rPr>
          <w:sz w:val="20"/>
          <w:szCs w:val="20"/>
          <w:color w:val="auto"/>
        </w:rPr>
      </w:pPr>
    </w:p>
    <w:p>
      <w:pPr>
        <w:ind w:left="640"/>
        <w:spacing w:after="0" w:line="233" w:lineRule="auto"/>
        <w:rPr>
          <w:sz w:val="20"/>
          <w:szCs w:val="20"/>
          <w:color w:val="auto"/>
        </w:rPr>
      </w:pPr>
      <w:r>
        <w:rPr>
          <w:rFonts w:ascii="Arial" w:cs="Arial" w:eastAsia="Arial" w:hAnsi="Arial"/>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1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Your Rights upon Termination of Service</w:t>
      </w:r>
    </w:p>
    <w:p>
      <w:pPr>
        <w:spacing w:after="0" w:line="136" w:lineRule="exact"/>
        <w:rPr>
          <w:sz w:val="20"/>
          <w:szCs w:val="20"/>
          <w:color w:val="auto"/>
        </w:rPr>
      </w:pPr>
    </w:p>
    <w:p>
      <w:pPr>
        <w:ind w:left="640"/>
        <w:spacing w:after="0" w:line="233" w:lineRule="auto"/>
        <w:rPr>
          <w:sz w:val="20"/>
          <w:szCs w:val="20"/>
          <w:color w:val="auto"/>
        </w:rPr>
      </w:pPr>
      <w:r>
        <w:rPr>
          <w:rFonts w:ascii="Arial" w:cs="Arial" w:eastAsia="Arial" w:hAnsi="Arial"/>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12" w:lineRule="exact"/>
        <w:rPr>
          <w:sz w:val="20"/>
          <w:szCs w:val="20"/>
          <w:color w:val="auto"/>
        </w:rPr>
      </w:pPr>
    </w:p>
    <w:p>
      <w:pPr>
        <w:ind w:left="280" w:hanging="275"/>
        <w:spacing w:after="0"/>
        <w:tabs>
          <w:tab w:leader="none" w:pos="28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Aspects of Participating in the Plan</w:t>
      </w:r>
    </w:p>
    <w:p>
      <w:pPr>
        <w:spacing w:after="0" w:line="136" w:lineRule="exact"/>
        <w:rPr>
          <w:sz w:val="20"/>
          <w:szCs w:val="20"/>
          <w:color w:val="auto"/>
        </w:rPr>
      </w:pPr>
    </w:p>
    <w:p>
      <w:pPr>
        <w:jc w:val="both"/>
        <w:ind w:left="640"/>
        <w:spacing w:after="0" w:line="224" w:lineRule="auto"/>
        <w:rPr>
          <w:sz w:val="20"/>
          <w:szCs w:val="20"/>
          <w:color w:val="auto"/>
        </w:rPr>
      </w:pPr>
      <w:r>
        <w:rPr>
          <w:rFonts w:ascii="Arial" w:cs="Arial" w:eastAsia="Arial" w:hAnsi="Arial"/>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6" w:lineRule="exact"/>
        <w:rPr>
          <w:sz w:val="20"/>
          <w:szCs w:val="20"/>
          <w:color w:val="auto"/>
        </w:rPr>
      </w:pPr>
    </w:p>
    <w:p>
      <w:pPr>
        <w:jc w:val="both"/>
        <w:ind w:left="640"/>
        <w:spacing w:after="0" w:line="239" w:lineRule="auto"/>
        <w:rPr>
          <w:sz w:val="20"/>
          <w:szCs w:val="20"/>
          <w:color w:val="auto"/>
        </w:rPr>
      </w:pPr>
      <w:r>
        <w:rPr>
          <w:rFonts w:ascii="Arial" w:cs="Arial" w:eastAsia="Arial" w:hAnsi="Arial"/>
          <w:sz w:val="15"/>
          <w:szCs w:val="15"/>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12" w:lineRule="exact"/>
        <w:rPr>
          <w:sz w:val="20"/>
          <w:szCs w:val="20"/>
          <w:color w:val="auto"/>
        </w:rPr>
      </w:pPr>
    </w:p>
    <w:p>
      <w:pPr>
        <w:ind w:left="280" w:hanging="275"/>
        <w:spacing w:after="0"/>
        <w:tabs>
          <w:tab w:leader="none" w:pos="28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Other Issues</w:t>
      </w:r>
    </w:p>
    <w:p>
      <w:pPr>
        <w:spacing w:after="0" w:line="136" w:lineRule="exact"/>
        <w:rPr>
          <w:sz w:val="20"/>
          <w:szCs w:val="20"/>
          <w:color w:val="auto"/>
        </w:rPr>
      </w:pPr>
    </w:p>
    <w:p>
      <w:pPr>
        <w:ind w:left="640"/>
        <w:spacing w:after="0" w:line="258" w:lineRule="auto"/>
        <w:rPr>
          <w:sz w:val="20"/>
          <w:szCs w:val="20"/>
          <w:color w:val="auto"/>
        </w:rPr>
      </w:pPr>
      <w:r>
        <w:rPr>
          <w:rFonts w:ascii="Arial" w:cs="Arial" w:eastAsia="Arial" w:hAnsi="Arial"/>
          <w:sz w:val="15"/>
          <w:szCs w:val="15"/>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- 1</w:t>
      </w:r>
    </w:p>
    <w:p>
      <w:pPr>
        <w:sectPr>
          <w:pgSz w:w="11900" w:h="16838" w:orient="portrait"/>
          <w:cols w:equalWidth="0" w:num="1">
            <w:col w:w="11240"/>
          </w:cols>
          <w:pgMar w:left="320" w:top="994" w:right="339" w:bottom="1440" w:gutter="0" w:footer="0" w:header="0"/>
        </w:sectPr>
      </w:pPr>
    </w:p>
    <w:bookmarkStart w:id="154" w:name="page155"/>
    <w:bookmarkEnd w:id="154"/>
    <w:p>
      <w:pPr>
        <w:jc w:val="center"/>
        <w:ind w:right="-110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D</w:t>
      </w:r>
    </w:p>
    <w:p>
      <w:pPr>
        <w:spacing w:after="0" w:line="176" w:lineRule="exact"/>
        <w:rPr>
          <w:sz w:val="20"/>
          <w:szCs w:val="20"/>
          <w:color w:val="auto"/>
        </w:rPr>
      </w:pPr>
    </w:p>
    <w:p>
      <w:pPr>
        <w:jc w:val="right"/>
        <w:ind w:right="2459"/>
        <w:spacing w:after="0"/>
        <w:rPr>
          <w:sz w:val="20"/>
          <w:szCs w:val="20"/>
          <w:color w:val="auto"/>
        </w:rPr>
      </w:pPr>
      <w:r>
        <w:rPr>
          <w:rFonts w:ascii="Arial" w:cs="Arial" w:eastAsia="Arial" w:hAnsi="Arial"/>
          <w:sz w:val="16"/>
          <w:szCs w:val="16"/>
          <w:b w:val="1"/>
          <w:bCs w:val="1"/>
          <w:color w:val="auto"/>
        </w:rPr>
        <w:t>EMPLOYER INFORMATION STATEMENT – DENMARK</w:t>
      </w:r>
    </w:p>
    <w:p>
      <w:pPr>
        <w:ind w:left="3620"/>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By: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- 2</w:t>
      </w:r>
    </w:p>
    <w:p>
      <w:pPr>
        <w:sectPr>
          <w:pgSz w:w="11900" w:h="16838" w:orient="portrait"/>
          <w:cols w:equalWidth="0" w:num="1">
            <w:col w:w="10139"/>
          </w:cols>
          <w:pgMar w:left="320" w:top="994" w:right="1440" w:bottom="1440" w:gutter="0" w:footer="0" w:header="0"/>
        </w:sectPr>
      </w:pPr>
    </w:p>
    <w:bookmarkStart w:id="155" w:name="page156"/>
    <w:bookmarkEnd w:id="155"/>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ARBEJDSGIVERERKLÆRING – DANMARK</w:t>
      </w:r>
    </w:p>
    <w:p>
      <w:pPr>
        <w:jc w:val="center"/>
        <w:ind w:right="-15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60"/>
        <w:spacing w:after="0" w:line="314" w:lineRule="auto"/>
        <w:rPr>
          <w:sz w:val="20"/>
          <w:szCs w:val="20"/>
          <w:color w:val="auto"/>
        </w:rPr>
      </w:pPr>
      <w:r>
        <w:rPr>
          <w:rFonts w:ascii="Arial" w:cs="Arial" w:eastAsia="Arial" w:hAnsi="Arial"/>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Arial" w:cs="Arial" w:eastAsia="Arial" w:hAnsi="Arial"/>
          <w:sz w:val="16"/>
          <w:szCs w:val="16"/>
          <w:i w:val="1"/>
          <w:iCs w:val="1"/>
          <w:color w:val="auto"/>
        </w:rPr>
        <w:t>Global Performance Restricted Stock Unit Agreement</w:t>
      </w:r>
      <w:r>
        <w:rPr>
          <w:rFonts w:ascii="Arial" w:cs="Arial" w:eastAsia="Arial" w:hAnsi="Arial"/>
          <w:sz w:val="16"/>
          <w:szCs w:val="16"/>
          <w:color w:val="auto"/>
        </w:rPr>
        <w:t xml:space="preserve"> (“Aftalen”), i tillægget til Aftalen og i Ordningen.</w:t>
      </w:r>
    </w:p>
    <w:p>
      <w:pPr>
        <w:spacing w:after="0" w:line="108"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4"/>
          <w:szCs w:val="14"/>
          <w:b w:val="1"/>
          <w:bCs w:val="1"/>
          <w:color w:val="auto"/>
        </w:rPr>
        <w:t>Tildelingsdato</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Selskabets godkendte den Grant Date tildelingen af RSU’er i henhold til Ordningen. Tildelingsdatoen for dine RSU’er er således den Grant Date.</w:t>
      </w:r>
    </w:p>
    <w:p>
      <w:pPr>
        <w:spacing w:after="0" w:line="167"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Vilkår og betingelser for RSU-tildelingen</w:t>
      </w:r>
    </w:p>
    <w:p>
      <w:pPr>
        <w:spacing w:after="0" w:line="149" w:lineRule="exact"/>
        <w:rPr>
          <w:sz w:val="20"/>
          <w:szCs w:val="20"/>
          <w:color w:val="auto"/>
        </w:rPr>
      </w:pPr>
    </w:p>
    <w:p>
      <w:pPr>
        <w:jc w:val="both"/>
        <w:ind w:left="160"/>
        <w:spacing w:after="0" w:line="339" w:lineRule="auto"/>
        <w:rPr>
          <w:sz w:val="20"/>
          <w:szCs w:val="20"/>
          <w:color w:val="auto"/>
        </w:rPr>
      </w:pPr>
      <w:r>
        <w:rPr>
          <w:rFonts w:ascii="Arial" w:cs="Arial" w:eastAsia="Arial" w:hAnsi="Arial"/>
          <w:sz w:val="15"/>
          <w:szCs w:val="15"/>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Modningsdato for RSU’er</w:t>
      </w:r>
    </w:p>
    <w:p>
      <w:pPr>
        <w:spacing w:after="0" w:line="149" w:lineRule="exact"/>
        <w:rPr>
          <w:sz w:val="20"/>
          <w:szCs w:val="20"/>
          <w:color w:val="auto"/>
        </w:rPr>
      </w:pPr>
    </w:p>
    <w:p>
      <w:pPr>
        <w:jc w:val="both"/>
        <w:ind w:left="160"/>
        <w:spacing w:after="0" w:line="319" w:lineRule="auto"/>
        <w:rPr>
          <w:sz w:val="20"/>
          <w:szCs w:val="20"/>
          <w:color w:val="auto"/>
        </w:rPr>
      </w:pPr>
      <w:r>
        <w:rPr>
          <w:rFonts w:ascii="Arial" w:cs="Arial" w:eastAsia="Arial" w:hAnsi="Arial"/>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Når RSU’erne modnes, udsteder Selskabet én ordinær aktie i Selskabet til dig for hver RSU, der er modnet.</w:t>
      </w:r>
    </w:p>
    <w:p>
      <w:pPr>
        <w:spacing w:after="0" w:line="180"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2"/>
          <w:szCs w:val="12"/>
          <w:b w:val="1"/>
          <w:bCs w:val="1"/>
          <w:color w:val="auto"/>
        </w:rPr>
        <w:t>Udnyttelseskurs</w:t>
      </w:r>
    </w:p>
    <w:p>
      <w:pPr>
        <w:spacing w:after="0" w:line="149" w:lineRule="exact"/>
        <w:rPr>
          <w:sz w:val="20"/>
          <w:szCs w:val="20"/>
          <w:color w:val="auto"/>
        </w:rPr>
      </w:pPr>
    </w:p>
    <w:p>
      <w:pPr>
        <w:jc w:val="both"/>
        <w:ind w:left="160"/>
        <w:spacing w:after="0" w:line="330" w:lineRule="auto"/>
        <w:rPr>
          <w:sz w:val="20"/>
          <w:szCs w:val="20"/>
          <w:color w:val="auto"/>
        </w:rPr>
      </w:pPr>
      <w:r>
        <w:rPr>
          <w:rFonts w:ascii="Arial" w:cs="Arial" w:eastAsia="Arial" w:hAnsi="Arial"/>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95"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Din retsstilling i forbindelse med fratræden</w:t>
      </w:r>
    </w:p>
    <w:p>
      <w:pPr>
        <w:spacing w:after="0" w:line="136" w:lineRule="exact"/>
        <w:rPr>
          <w:sz w:val="20"/>
          <w:szCs w:val="20"/>
          <w:color w:val="auto"/>
        </w:rPr>
      </w:pPr>
    </w:p>
    <w:p>
      <w:pPr>
        <w:jc w:val="both"/>
        <w:ind w:left="160"/>
        <w:spacing w:after="0" w:line="330" w:lineRule="auto"/>
        <w:rPr>
          <w:sz w:val="20"/>
          <w:szCs w:val="20"/>
          <w:color w:val="auto"/>
        </w:rPr>
      </w:pPr>
      <w:r>
        <w:rPr>
          <w:rFonts w:ascii="Arial" w:cs="Arial" w:eastAsia="Arial" w:hAnsi="Arial"/>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95"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b w:val="1"/>
          <w:bCs w:val="1"/>
          <w:color w:val="auto"/>
        </w:rPr>
        <w:t>Økonomiske aspekter ved at deltage i Ordningen</w:t>
      </w:r>
    </w:p>
    <w:p>
      <w:pPr>
        <w:spacing w:after="0" w:line="149" w:lineRule="exact"/>
        <w:rPr>
          <w:sz w:val="20"/>
          <w:szCs w:val="20"/>
          <w:color w:val="auto"/>
        </w:rPr>
      </w:pPr>
    </w:p>
    <w:p>
      <w:pPr>
        <w:jc w:val="both"/>
        <w:ind w:left="160"/>
        <w:spacing w:after="0" w:line="319" w:lineRule="auto"/>
        <w:rPr>
          <w:sz w:val="20"/>
          <w:szCs w:val="20"/>
          <w:color w:val="auto"/>
        </w:rPr>
      </w:pPr>
      <w:r>
        <w:rPr>
          <w:rFonts w:ascii="Arial" w:cs="Arial" w:eastAsia="Arial" w:hAnsi="Arial"/>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109" w:lineRule="exact"/>
        <w:rPr>
          <w:sz w:val="20"/>
          <w:szCs w:val="20"/>
          <w:color w:val="auto"/>
        </w:rPr>
      </w:pPr>
    </w:p>
    <w:p>
      <w:pPr>
        <w:jc w:val="both"/>
        <w:ind w:left="160"/>
        <w:spacing w:after="0" w:line="349" w:lineRule="auto"/>
        <w:rPr>
          <w:sz w:val="20"/>
          <w:szCs w:val="20"/>
          <w:color w:val="auto"/>
        </w:rPr>
      </w:pPr>
      <w:r>
        <w:rPr>
          <w:rFonts w:ascii="Arial" w:cs="Arial" w:eastAsia="Arial" w:hAnsi="Arial"/>
          <w:sz w:val="15"/>
          <w:szCs w:val="15"/>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APPENDIX D - 3</w:t>
      </w:r>
    </w:p>
    <w:p>
      <w:pPr>
        <w:sectPr>
          <w:pgSz w:w="11900" w:h="16838" w:orient="portrait"/>
          <w:cols w:equalWidth="0" w:num="1">
            <w:col w:w="10760"/>
          </w:cols>
          <w:pgMar w:left="480" w:top="986" w:right="659" w:bottom="1440" w:gutter="0" w:footer="0" w:header="0"/>
        </w:sectPr>
      </w:pPr>
    </w:p>
    <w:bookmarkStart w:id="156" w:name="page157"/>
    <w:bookmarkEnd w:id="156"/>
    <w:p>
      <w:pPr>
        <w:jc w:val="center"/>
        <w:ind w:right="-3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ARBEJDSGIVERERKLÆRING – DANMARK</w:t>
      </w:r>
    </w:p>
    <w:p>
      <w:pPr>
        <w:jc w:val="center"/>
        <w:ind w:right="-31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tabs>
          <w:tab w:leader="none" w:pos="58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2"/>
          <w:szCs w:val="12"/>
          <w:b w:val="1"/>
          <w:bCs w:val="1"/>
          <w:color w:val="auto"/>
        </w:rPr>
        <w:t>Diverse</w:t>
      </w:r>
    </w:p>
    <w:p>
      <w:pPr>
        <w:spacing w:after="0" w:line="149" w:lineRule="exact"/>
        <w:rPr>
          <w:sz w:val="20"/>
          <w:szCs w:val="20"/>
          <w:color w:val="auto"/>
        </w:rPr>
      </w:pPr>
    </w:p>
    <w:p>
      <w:pPr>
        <w:jc w:val="both"/>
        <w:ind w:left="320"/>
        <w:spacing w:after="0" w:line="319" w:lineRule="auto"/>
        <w:rPr>
          <w:sz w:val="20"/>
          <w:szCs w:val="20"/>
          <w:color w:val="auto"/>
        </w:rPr>
      </w:pPr>
      <w:r>
        <w:rPr>
          <w:rFonts w:ascii="Arial" w:cs="Arial" w:eastAsia="Arial" w:hAnsi="Arial"/>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Meddelelse afgivet af:</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- 4</w:t>
      </w:r>
    </w:p>
    <w:p>
      <w:pPr>
        <w:sectPr>
          <w:pgSz w:w="11900" w:h="16838" w:orient="portrait"/>
          <w:cols w:equalWidth="0" w:num="1">
            <w:col w:w="10920"/>
          </w:cols>
          <w:pgMar w:left="320" w:top="986" w:right="659" w:bottom="1440" w:gutter="0" w:footer="0" w:header="0"/>
        </w:sectPr>
      </w:pPr>
    </w:p>
    <w:bookmarkStart w:id="157" w:name="page158"/>
    <w:bookmarkEnd w:id="157"/>
    <w:p>
      <w:pPr>
        <w:jc w:val="center"/>
        <w:ind w:right="-15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068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0685"/>
                    </a:xfrm>
                    <a:prstGeom prst="rect">
                      <a:avLst/>
                    </a:prstGeom>
                    <a:noFill/>
                  </pic:spPr>
                </pic:pic>
              </a:graphicData>
            </a:graphic>
          </wp:anchor>
        </w:drawing>
        <w:t>APPENDIX E</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60"/>
        <w:spacing w:after="0" w:line="226" w:lineRule="auto"/>
        <w:rPr>
          <w:sz w:val="20"/>
          <w:szCs w:val="20"/>
          <w:color w:val="auto"/>
        </w:rPr>
      </w:pPr>
      <w:r>
        <w:rPr>
          <w:rFonts w:ascii="Arial" w:cs="Arial" w:eastAsia="Arial" w:hAnsi="Arial"/>
          <w:sz w:val="16"/>
          <w:szCs w:val="16"/>
          <w:b w:val="1"/>
          <w:bCs w:val="1"/>
          <w:u w:val="single" w:color="auto"/>
          <w:color w:val="auto"/>
        </w:rPr>
        <w:t>Trust Arrangement</w:t>
      </w:r>
      <w:r>
        <w:rPr>
          <w:rFonts w:ascii="Arial" w:cs="Arial" w:eastAsia="Arial" w:hAnsi="Arial"/>
          <w:sz w:val="16"/>
          <w:szCs w:val="16"/>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Wilmington, Massachusetts, 01887 USA.</w:t>
      </w:r>
    </w:p>
    <w:p>
      <w:pPr>
        <w:spacing w:after="0" w:line="195" w:lineRule="exact"/>
        <w:rPr>
          <w:sz w:val="20"/>
          <w:szCs w:val="20"/>
          <w:color w:val="auto"/>
        </w:rPr>
      </w:pPr>
    </w:p>
    <w:p>
      <w:pPr>
        <w:jc w:val="both"/>
        <w:ind w:left="160"/>
        <w:spacing w:after="0" w:line="231" w:lineRule="auto"/>
        <w:rPr>
          <w:sz w:val="20"/>
          <w:szCs w:val="20"/>
          <w:color w:val="auto"/>
        </w:rPr>
      </w:pPr>
      <w:r>
        <w:rPr>
          <w:rFonts w:ascii="Arial" w:cs="Arial" w:eastAsia="Arial" w:hAnsi="Arial"/>
          <w:sz w:val="15"/>
          <w:szCs w:val="15"/>
          <w:color w:val="auto"/>
        </w:rPr>
        <w:t>The Participant hereby understands and agrees that the Performance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Performance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Performance RSUs granted to the Participant in Israel.</w:t>
      </w:r>
    </w:p>
    <w:p>
      <w:pPr>
        <w:spacing w:after="0" w:line="205" w:lineRule="exact"/>
        <w:rPr>
          <w:sz w:val="20"/>
          <w:szCs w:val="20"/>
          <w:color w:val="auto"/>
        </w:rPr>
      </w:pPr>
    </w:p>
    <w:p>
      <w:pPr>
        <w:jc w:val="both"/>
        <w:ind w:left="160"/>
        <w:spacing w:after="0" w:line="236" w:lineRule="auto"/>
        <w:rPr>
          <w:sz w:val="20"/>
          <w:szCs w:val="20"/>
          <w:color w:val="auto"/>
        </w:rPr>
      </w:pPr>
      <w:r>
        <w:rPr>
          <w:rFonts w:ascii="Arial" w:cs="Arial" w:eastAsia="Arial" w:hAnsi="Arial"/>
          <w:sz w:val="16"/>
          <w:szCs w:val="16"/>
          <w:b w:val="1"/>
          <w:bCs w:val="1"/>
          <w:color w:val="auto"/>
        </w:rPr>
        <w:t>Please sign this Israeli Appendix and return it to the address shown on the top within 45 days of receipt. If Analog Devices, (Israel) Ltd. or Analog Devices, Inc. does not receive your signed Israel Appendix, your Performance RSUs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472440</wp:posOffset>
            </wp:positionV>
            <wp:extent cx="4486910"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4486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40"/>
        <w:spacing w:after="0"/>
        <w:tabs>
          <w:tab w:leader="none" w:pos="4980" w:val="left"/>
        </w:tabs>
        <w:rPr>
          <w:sz w:val="20"/>
          <w:szCs w:val="20"/>
          <w:color w:val="auto"/>
        </w:rPr>
      </w:pPr>
      <w:r>
        <w:rPr>
          <w:rFonts w:ascii="Arial" w:cs="Arial" w:eastAsia="Arial" w:hAnsi="Arial"/>
          <w:sz w:val="16"/>
          <w:szCs w:val="16"/>
          <w:color w:val="auto"/>
        </w:rPr>
        <w:t>Name: Participant Name</w:t>
      </w:r>
      <w:r>
        <w:rPr>
          <w:sz w:val="20"/>
          <w:szCs w:val="20"/>
          <w:color w:val="auto"/>
        </w:rPr>
        <w:tab/>
      </w:r>
      <w:r>
        <w:rPr>
          <w:rFonts w:ascii="Arial" w:cs="Arial" w:eastAsia="Arial" w:hAnsi="Arial"/>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APPENDIX E - 1</w:t>
      </w:r>
    </w:p>
    <w:p>
      <w:pPr>
        <w:sectPr>
          <w:pgSz w:w="11900" w:h="16838" w:orient="portrait"/>
          <w:cols w:equalWidth="0" w:num="1">
            <w:col w:w="10760"/>
          </w:cols>
          <w:pgMar w:left="480" w:top="994" w:right="659" w:bottom="1440" w:gutter="0" w:footer="0" w:header="0"/>
        </w:sectPr>
      </w:pPr>
    </w:p>
    <w:bookmarkStart w:id="158" w:name="page159"/>
    <w:bookmarkEnd w:id="158"/>
    <w:p>
      <w:pPr>
        <w:ind w:left="5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F TO</w:t>
      </w:r>
    </w:p>
    <w:p>
      <w:pPr>
        <w:spacing w:after="0" w:line="14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Onscreen disclaimer</w:t>
      </w:r>
    </w:p>
    <w:p>
      <w:pPr>
        <w:spacing w:after="0" w:line="79"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4"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Clicking on the “ACCEPT” box indicates your acceptance of the Election. You should read the “Important Note on the Election to Transfer Employer NICs” before accepting the Election.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Note on the Election to Transfer Employer NICs</w:t>
      </w:r>
    </w:p>
    <w:p>
      <w:pPr>
        <w:spacing w:after="0" w:line="8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67" w:lineRule="exact"/>
        <w:rPr>
          <w:sz w:val="20"/>
          <w:szCs w:val="20"/>
          <w:color w:val="auto"/>
        </w:rPr>
      </w:pPr>
    </w:p>
    <w:p>
      <w:pPr>
        <w:ind w:left="620" w:hanging="299"/>
        <w:spacing w:after="0"/>
        <w:tabs>
          <w:tab w:leader="none" w:pos="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you agree that any employer’s NICs liability that may arise in connection with your Awards will be transferred to you;</w:t>
      </w:r>
    </w:p>
    <w:p>
      <w:pPr>
        <w:ind w:left="640" w:hanging="319"/>
        <w:spacing w:after="0" w:line="205" w:lineRule="auto"/>
        <w:tabs>
          <w:tab w:leader="none" w:pos="62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rFonts w:ascii="Arial" w:cs="Arial" w:eastAsia="Arial" w:hAnsi="Arial"/>
          <w:sz w:val="16"/>
          <w:szCs w:val="16"/>
          <w:color w:val="auto"/>
        </w:rPr>
      </w:pPr>
    </w:p>
    <w:p>
      <w:pPr>
        <w:ind w:left="640" w:hanging="319"/>
        <w:spacing w:after="0" w:line="224" w:lineRule="auto"/>
        <w:tabs>
          <w:tab w:leader="none" w:pos="62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Election carefully before accepting the Election.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APPENDIX F - 1</w:t>
      </w:r>
    </w:p>
    <w:p>
      <w:pPr>
        <w:sectPr>
          <w:pgSz w:w="11900" w:h="16838" w:orient="portrait"/>
          <w:cols w:equalWidth="0" w:num="1">
            <w:col w:w="10920"/>
          </w:cols>
          <w:pgMar w:left="320" w:top="994" w:right="659" w:bottom="1440" w:gutter="0" w:footer="0" w:header="0"/>
        </w:sectPr>
      </w:pPr>
    </w:p>
    <w:bookmarkStart w:id="159" w:name="page160"/>
    <w:bookmarkEnd w:id="159"/>
    <w:p>
      <w:pPr>
        <w:ind w:left="5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F TO</w:t>
      </w:r>
    </w:p>
    <w:p>
      <w:pPr>
        <w:spacing w:after="0" w:line="14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28" w:lineRule="exact"/>
        <w:rPr>
          <w:sz w:val="20"/>
          <w:szCs w:val="20"/>
          <w:color w:val="auto"/>
        </w:rPr>
      </w:pPr>
    </w:p>
    <w:p>
      <w:pPr>
        <w:ind w:left="640" w:hanging="635"/>
        <w:spacing w:after="0" w:line="226" w:lineRule="auto"/>
        <w:tabs>
          <w:tab w:leader="none" w:pos="37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color w:val="auto"/>
        </w:rPr>
        <w:t>Employee</w:t>
      </w:r>
      <w:r>
        <w:rPr>
          <w:rFonts w:ascii="Arial" w:cs="Arial" w:eastAsia="Arial" w:hAnsi="Arial"/>
          <w:sz w:val="16"/>
          <w:szCs w:val="16"/>
          <w:color w:val="auto"/>
        </w:rPr>
        <w:t>”), who is employed by one of the employing companies listed in the attached schedule (the “</w:t>
      </w:r>
      <w:r>
        <w:rPr>
          <w:rFonts w:ascii="Arial" w:cs="Arial" w:eastAsia="Arial" w:hAnsi="Arial"/>
          <w:sz w:val="16"/>
          <w:szCs w:val="16"/>
          <w:b w:val="1"/>
          <w:bCs w:val="1"/>
          <w:color w:val="auto"/>
        </w:rPr>
        <w:t>Employer</w:t>
      </w:r>
      <w:r>
        <w:rPr>
          <w:rFonts w:ascii="Arial" w:cs="Arial" w:eastAsia="Arial" w:hAnsi="Arial"/>
          <w:sz w:val="16"/>
          <w:szCs w:val="16"/>
          <w:color w:val="auto"/>
        </w:rPr>
        <w:t>”) and who is eligible to receive restricted stock units and/or stock options (“</w:t>
      </w:r>
      <w:r>
        <w:rPr>
          <w:rFonts w:ascii="Arial" w:cs="Arial" w:eastAsia="Arial" w:hAnsi="Arial"/>
          <w:sz w:val="16"/>
          <w:szCs w:val="16"/>
          <w:b w:val="1"/>
          <w:bCs w:val="1"/>
          <w:color w:val="auto"/>
        </w:rPr>
        <w:t>Awards</w:t>
      </w:r>
      <w:r>
        <w:rPr>
          <w:rFonts w:ascii="Arial" w:cs="Arial" w:eastAsia="Arial" w:hAnsi="Arial"/>
          <w:sz w:val="16"/>
          <w:szCs w:val="16"/>
          <w:color w:val="auto"/>
        </w:rPr>
        <w:t>”) pursuant to the Analog Devices, Inc. 2020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11" w:lineRule="exact"/>
        <w:rPr>
          <w:rFonts w:ascii="Arial" w:cs="Arial" w:eastAsia="Arial" w:hAnsi="Arial"/>
          <w:sz w:val="16"/>
          <w:szCs w:val="16"/>
          <w:color w:val="auto"/>
        </w:rPr>
      </w:pPr>
    </w:p>
    <w:p>
      <w:pPr>
        <w:ind w:left="640" w:hanging="635"/>
        <w:spacing w:after="0" w:line="236" w:lineRule="auto"/>
        <w:tabs>
          <w:tab w:leader="none" w:pos="31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Analog Devices, Inc. of One Analog Way, Wilmington, Massachusetts 01887, U.S.A. (the “</w:t>
      </w:r>
      <w:r>
        <w:rPr>
          <w:rFonts w:ascii="Arial" w:cs="Arial" w:eastAsia="Arial" w:hAnsi="Arial"/>
          <w:sz w:val="16"/>
          <w:szCs w:val="16"/>
          <w:b w:val="1"/>
          <w:bCs w:val="1"/>
          <w:color w:val="auto"/>
        </w:rPr>
        <w:t>Company</w:t>
      </w:r>
      <w:r>
        <w:rPr>
          <w:rFonts w:ascii="Arial" w:cs="Arial" w:eastAsia="Arial" w:hAnsi="Arial"/>
          <w:sz w:val="16"/>
          <w:szCs w:val="16"/>
          <w:color w:val="auto"/>
        </w:rPr>
        <w:t>”), which may grant Awards under the Plans and is entering into this Election on behalf of the Employer.</w:t>
      </w:r>
    </w:p>
    <w:p>
      <w:pPr>
        <w:spacing w:after="0" w:line="112" w:lineRule="exact"/>
        <w:rPr>
          <w:sz w:val="20"/>
          <w:szCs w:val="20"/>
          <w:color w:val="auto"/>
        </w:rPr>
      </w:pPr>
    </w:p>
    <w:p>
      <w:pPr>
        <w:ind w:left="640" w:hanging="635"/>
        <w:spacing w:after="0"/>
        <w:tabs>
          <w:tab w:leader="none" w:pos="640"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or assumed and converted under the Plan up to the termination dates of the Plans.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207" w:lineRule="exact"/>
        <w:rPr>
          <w:sz w:val="20"/>
          <w:szCs w:val="20"/>
          <w:color w:val="auto"/>
        </w:rPr>
      </w:pPr>
    </w:p>
    <w:p>
      <w:pPr>
        <w:ind w:left="1260" w:hanging="623"/>
        <w:spacing w:after="0"/>
        <w:tabs>
          <w:tab w:leader="none" w:pos="1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Chargeable Event</w:t>
      </w:r>
      <w:r>
        <w:rPr>
          <w:rFonts w:ascii="Arial" w:cs="Arial" w:eastAsia="Arial" w:hAnsi="Arial"/>
          <w:sz w:val="16"/>
          <w:szCs w:val="16"/>
          <w:color w:val="auto"/>
        </w:rPr>
        <w:t>” means any event giving rise to Relevant Employment Income.</w:t>
      </w:r>
    </w:p>
    <w:p>
      <w:pPr>
        <w:spacing w:after="0" w:line="210" w:lineRule="exact"/>
        <w:rPr>
          <w:rFonts w:ascii="Arial" w:cs="Arial" w:eastAsia="Arial" w:hAnsi="Arial"/>
          <w:sz w:val="16"/>
          <w:szCs w:val="16"/>
          <w:color w:val="auto"/>
        </w:rPr>
      </w:pPr>
    </w:p>
    <w:p>
      <w:pPr>
        <w:ind w:left="1260" w:hanging="623"/>
        <w:spacing w:after="0"/>
        <w:tabs>
          <w:tab w:leader="none" w:pos="1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Employment Income</w:t>
      </w:r>
      <w:r>
        <w:rPr>
          <w:rFonts w:ascii="Arial" w:cs="Arial" w:eastAsia="Arial" w:hAnsi="Arial"/>
          <w:sz w:val="16"/>
          <w:szCs w:val="16"/>
          <w:color w:val="auto"/>
        </w:rPr>
        <w:t>" from Awards on which employer's National Insurance Contributions becomes due is defined as:</w:t>
      </w:r>
    </w:p>
    <w:p>
      <w:pPr>
        <w:spacing w:after="0" w:line="214" w:lineRule="exact"/>
        <w:rPr>
          <w:rFonts w:ascii="Arial" w:cs="Arial" w:eastAsia="Arial" w:hAnsi="Arial"/>
          <w:sz w:val="16"/>
          <w:szCs w:val="16"/>
          <w:color w:val="auto"/>
        </w:rPr>
      </w:pPr>
    </w:p>
    <w:p>
      <w:pPr>
        <w:ind w:left="1900" w:hanging="632"/>
        <w:spacing w:after="0" w:line="233" w:lineRule="auto"/>
        <w:tabs>
          <w:tab w:leader="none" w:pos="1891"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95" w:lineRule="exact"/>
        <w:rPr>
          <w:rFonts w:ascii="Arial" w:cs="Arial" w:eastAsia="Arial" w:hAnsi="Arial"/>
          <w:sz w:val="16"/>
          <w:szCs w:val="16"/>
          <w:color w:val="auto"/>
        </w:rPr>
      </w:pPr>
    </w:p>
    <w:p>
      <w:pPr>
        <w:ind w:left="1900" w:hanging="632"/>
        <w:spacing w:after="0" w:line="233" w:lineRule="auto"/>
        <w:tabs>
          <w:tab w:leader="none" w:pos="189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95" w:lineRule="exact"/>
        <w:rPr>
          <w:rFonts w:ascii="Arial" w:cs="Arial" w:eastAsia="Arial" w:hAnsi="Arial"/>
          <w:sz w:val="16"/>
          <w:szCs w:val="16"/>
          <w:color w:val="auto"/>
        </w:rPr>
      </w:pPr>
    </w:p>
    <w:p>
      <w:pPr>
        <w:ind w:left="1900" w:hanging="632"/>
        <w:spacing w:after="0" w:line="233" w:lineRule="auto"/>
        <w:tabs>
          <w:tab w:leader="none" w:pos="19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any gain that is treated as remuneration derived from the earner's employment by virtue of section 4(4)(a) SSCBA, including without limitation:</w:t>
      </w:r>
    </w:p>
    <w:p>
      <w:pPr>
        <w:spacing w:after="0" w:line="195" w:lineRule="exact"/>
        <w:rPr>
          <w:rFonts w:ascii="Arial" w:cs="Arial" w:eastAsia="Arial" w:hAnsi="Arial"/>
          <w:sz w:val="16"/>
          <w:szCs w:val="16"/>
          <w:color w:val="auto"/>
        </w:rPr>
      </w:pPr>
    </w:p>
    <w:p>
      <w:pPr>
        <w:ind w:left="2520" w:hanging="620"/>
        <w:spacing w:after="0"/>
        <w:tabs>
          <w:tab w:leader="none" w:pos="2520" w:val="left"/>
        </w:tabs>
        <w:numPr>
          <w:ilvl w:val="2"/>
          <w:numId w:val="147"/>
        </w:numPr>
        <w:rPr>
          <w:rFonts w:ascii="Arial" w:cs="Arial" w:eastAsia="Arial" w:hAnsi="Arial"/>
          <w:sz w:val="16"/>
          <w:szCs w:val="16"/>
          <w:color w:val="auto"/>
        </w:rPr>
      </w:pPr>
      <w:r>
        <w:rPr>
          <w:rFonts w:ascii="Arial" w:cs="Arial" w:eastAsia="Arial" w:hAnsi="Arial"/>
          <w:sz w:val="16"/>
          <w:szCs w:val="16"/>
          <w:color w:val="auto"/>
        </w:rPr>
        <w:t>the acquisition of securities pursuant to the Awards (within the meaning of section 477(3)(a) of ITEPA);</w:t>
      </w:r>
    </w:p>
    <w:p>
      <w:pPr>
        <w:spacing w:after="0" w:line="210" w:lineRule="exact"/>
        <w:rPr>
          <w:rFonts w:ascii="Arial" w:cs="Arial" w:eastAsia="Arial" w:hAnsi="Arial"/>
          <w:sz w:val="16"/>
          <w:szCs w:val="16"/>
          <w:color w:val="auto"/>
        </w:rPr>
      </w:pPr>
    </w:p>
    <w:p>
      <w:pPr>
        <w:ind w:left="2540" w:hanging="640"/>
        <w:spacing w:after="0" w:line="233" w:lineRule="auto"/>
        <w:tabs>
          <w:tab w:leader="none" w:pos="2527" w:val="left"/>
        </w:tabs>
        <w:numPr>
          <w:ilvl w:val="2"/>
          <w:numId w:val="147"/>
        </w:numPr>
        <w:rPr>
          <w:rFonts w:ascii="Arial" w:cs="Arial" w:eastAsia="Arial" w:hAnsi="Arial"/>
          <w:sz w:val="16"/>
          <w:szCs w:val="16"/>
          <w:color w:val="auto"/>
        </w:rPr>
      </w:pPr>
      <w:r>
        <w:rPr>
          <w:rFonts w:ascii="Arial" w:cs="Arial" w:eastAsia="Arial" w:hAnsi="Arial"/>
          <w:sz w:val="16"/>
          <w:szCs w:val="16"/>
          <w:color w:val="auto"/>
        </w:rPr>
        <w:t>the assignment (if applicable) or release of the Awards in return for consideration (within the meaning of section 477(3)(b) of ITEPA);</w:t>
      </w:r>
    </w:p>
    <w:p>
      <w:pPr>
        <w:spacing w:after="0" w:line="195" w:lineRule="exact"/>
        <w:rPr>
          <w:rFonts w:ascii="Arial" w:cs="Arial" w:eastAsia="Arial" w:hAnsi="Arial"/>
          <w:sz w:val="16"/>
          <w:szCs w:val="16"/>
          <w:color w:val="auto"/>
        </w:rPr>
      </w:pPr>
    </w:p>
    <w:p>
      <w:pPr>
        <w:ind w:left="2540" w:hanging="640"/>
        <w:spacing w:after="0" w:line="233" w:lineRule="auto"/>
        <w:tabs>
          <w:tab w:leader="none" w:pos="2540" w:val="left"/>
        </w:tabs>
        <w:numPr>
          <w:ilvl w:val="2"/>
          <w:numId w:val="147"/>
        </w:numPr>
        <w:rPr>
          <w:rFonts w:ascii="Arial" w:cs="Arial" w:eastAsia="Arial" w:hAnsi="Arial"/>
          <w:sz w:val="16"/>
          <w:szCs w:val="16"/>
          <w:color w:val="auto"/>
        </w:rPr>
      </w:pPr>
      <w:r>
        <w:rPr>
          <w:rFonts w:ascii="Arial" w:cs="Arial" w:eastAsia="Arial" w:hAnsi="Arial"/>
          <w:sz w:val="16"/>
          <w:szCs w:val="16"/>
          <w:color w:val="auto"/>
        </w:rPr>
        <w:t>the receipt of a benefit in connection with the Awards, other than a benefit within (i) or (ii) above (within the meaning of section 477(3)(c) of ITEPA);</w:t>
      </w:r>
    </w:p>
    <w:p>
      <w:pPr>
        <w:spacing w:after="0" w:line="191" w:lineRule="exact"/>
        <w:rPr>
          <w:rFonts w:ascii="Arial" w:cs="Arial" w:eastAsia="Arial" w:hAnsi="Arial"/>
          <w:sz w:val="16"/>
          <w:szCs w:val="16"/>
          <w:color w:val="auto"/>
        </w:rPr>
      </w:pPr>
    </w:p>
    <w:p>
      <w:pPr>
        <w:ind w:left="1260" w:hanging="623"/>
        <w:spacing w:after="0"/>
        <w:tabs>
          <w:tab w:leader="none" w:pos="1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ITEPA</w:t>
      </w:r>
      <w:r>
        <w:rPr>
          <w:rFonts w:ascii="Arial" w:cs="Arial" w:eastAsia="Arial" w:hAnsi="Arial"/>
          <w:sz w:val="16"/>
          <w:szCs w:val="16"/>
          <w:color w:val="auto"/>
        </w:rPr>
        <w:t>” means the Income Tax (Earnings and Pensions) Act 2003.</w:t>
      </w:r>
    </w:p>
    <w:p>
      <w:pPr>
        <w:spacing w:after="0" w:line="210" w:lineRule="exact"/>
        <w:rPr>
          <w:rFonts w:ascii="Arial" w:cs="Arial" w:eastAsia="Arial" w:hAnsi="Arial"/>
          <w:sz w:val="16"/>
          <w:szCs w:val="16"/>
          <w:color w:val="auto"/>
        </w:rPr>
      </w:pPr>
    </w:p>
    <w:p>
      <w:pPr>
        <w:ind w:left="1260" w:hanging="623"/>
        <w:spacing w:after="0"/>
        <w:tabs>
          <w:tab w:leader="none" w:pos="1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SSCBA</w:t>
      </w:r>
      <w:r>
        <w:rPr>
          <w:rFonts w:ascii="Arial" w:cs="Arial" w:eastAsia="Arial" w:hAnsi="Arial"/>
          <w:sz w:val="16"/>
          <w:szCs w:val="16"/>
          <w:color w:val="auto"/>
        </w:rPr>
        <w:t>” means the Social Security Contributions and Benefits Act 1992.</w:t>
      </w:r>
    </w:p>
    <w:p>
      <w:pPr>
        <w:spacing w:after="0" w:line="21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5" w:lineRule="exact"/>
        <w:rPr>
          <w:sz w:val="20"/>
          <w:szCs w:val="20"/>
          <w:color w:val="auto"/>
        </w:rPr>
      </w:pPr>
    </w:p>
    <w:p>
      <w:pPr>
        <w:ind w:left="640" w:hanging="631"/>
        <w:spacing w:after="0" w:line="233" w:lineRule="auto"/>
        <w:tabs>
          <w:tab w:leader="none" w:pos="62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91" w:lineRule="exact"/>
        <w:rPr>
          <w:sz w:val="20"/>
          <w:szCs w:val="20"/>
          <w:color w:val="auto"/>
        </w:rPr>
      </w:pPr>
    </w:p>
    <w:p>
      <w:pPr>
        <w:ind w:left="640" w:hanging="635"/>
        <w:spacing w:after="0"/>
        <w:tabs>
          <w:tab w:leader="none" w:pos="640"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214" w:lineRule="exact"/>
        <w:rPr>
          <w:rFonts w:ascii="Arial" w:cs="Arial" w:eastAsia="Arial" w:hAnsi="Arial"/>
          <w:sz w:val="16"/>
          <w:szCs w:val="16"/>
          <w:b w:val="1"/>
          <w:bCs w:val="1"/>
          <w:color w:val="auto"/>
        </w:rPr>
      </w:pPr>
    </w:p>
    <w:p>
      <w:pPr>
        <w:jc w:val="both"/>
        <w:ind w:left="640"/>
        <w:spacing w:after="0" w:line="239" w:lineRule="auto"/>
        <w:rPr>
          <w:rFonts w:ascii="Arial" w:cs="Arial" w:eastAsia="Arial" w:hAnsi="Arial"/>
          <w:sz w:val="16"/>
          <w:szCs w:val="16"/>
          <w:b w:val="1"/>
          <w:bCs w:val="1"/>
          <w:color w:val="auto"/>
        </w:rPr>
      </w:pPr>
      <w:r>
        <w:rPr>
          <w:rFonts w:ascii="Arial" w:cs="Arial" w:eastAsia="Arial" w:hAnsi="Arial"/>
          <w:sz w:val="15"/>
          <w:szCs w:val="15"/>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99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APPENDIX F - 2</w:t>
      </w:r>
    </w:p>
    <w:p>
      <w:pPr>
        <w:sectPr>
          <w:pgSz w:w="11900" w:h="16838" w:orient="portrait"/>
          <w:cols w:equalWidth="0" w:num="1">
            <w:col w:w="10920"/>
          </w:cols>
          <w:pgMar w:left="320" w:top="994" w:right="659" w:bottom="1440" w:gutter="0" w:footer="0" w:header="0"/>
          <w:type w:val="continuous"/>
        </w:sectPr>
      </w:pPr>
    </w:p>
    <w:bookmarkStart w:id="160" w:name="page161"/>
    <w:bookmarkEnd w:id="160"/>
    <w:p>
      <w:pPr>
        <w:ind w:left="5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F TO</w:t>
      </w:r>
    </w:p>
    <w:p>
      <w:pPr>
        <w:spacing w:after="0" w:line="14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40" w:hanging="635"/>
        <w:spacing w:after="0"/>
        <w:tabs>
          <w:tab w:leader="none" w:pos="640"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The Employee hereby authorizes the Company and/or the Employer to collect the Employer’s Liability in respect of any Relevant Employment Income from the</w:t>
      </w:r>
    </w:p>
    <w:p>
      <w:pPr>
        <w:ind w:left="640"/>
        <w:spacing w:after="0"/>
        <w:rPr>
          <w:sz w:val="20"/>
          <w:szCs w:val="20"/>
          <w:color w:val="auto"/>
        </w:rPr>
      </w:pPr>
      <w:r>
        <w:rPr>
          <w:rFonts w:ascii="Arial" w:cs="Arial" w:eastAsia="Arial" w:hAnsi="Arial"/>
          <w:sz w:val="16"/>
          <w:szCs w:val="16"/>
          <w:color w:val="auto"/>
        </w:rPr>
        <w:t>Employee at any time after the Chargeable Event:</w:t>
      </w:r>
    </w:p>
    <w:p>
      <w:pPr>
        <w:spacing w:after="0" w:line="197" w:lineRule="exact"/>
        <w:rPr>
          <w:sz w:val="20"/>
          <w:szCs w:val="20"/>
          <w:color w:val="auto"/>
        </w:rPr>
      </w:pPr>
    </w:p>
    <w:p>
      <w:pPr>
        <w:ind w:left="940" w:hanging="303"/>
        <w:spacing w:after="0"/>
        <w:tabs>
          <w:tab w:leader="none" w:pos="9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Chargeable Event; and/or</w:t>
      </w:r>
    </w:p>
    <w:p>
      <w:pPr>
        <w:spacing w:after="0" w:line="79" w:lineRule="exact"/>
        <w:rPr>
          <w:rFonts w:ascii="Arial" w:cs="Arial" w:eastAsia="Arial" w:hAnsi="Arial"/>
          <w:sz w:val="16"/>
          <w:szCs w:val="16"/>
          <w:color w:val="auto"/>
        </w:rPr>
      </w:pPr>
    </w:p>
    <w:p>
      <w:pPr>
        <w:ind w:left="980" w:hanging="343"/>
        <w:spacing w:after="0"/>
        <w:tabs>
          <w:tab w:leader="none" w:pos="9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79" w:lineRule="exact"/>
        <w:rPr>
          <w:rFonts w:ascii="Arial" w:cs="Arial" w:eastAsia="Arial" w:hAnsi="Arial"/>
          <w:sz w:val="16"/>
          <w:szCs w:val="16"/>
          <w:color w:val="auto"/>
        </w:rPr>
      </w:pPr>
    </w:p>
    <w:p>
      <w:pPr>
        <w:ind w:left="1040" w:hanging="403"/>
        <w:spacing w:after="0"/>
        <w:tabs>
          <w:tab w:leader="none" w:pos="104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by arranging, on behalf of the Employee, for the sale of some of the securities which the Employee is entitled to receive in respect of the Awards; and/or</w:t>
      </w:r>
    </w:p>
    <w:p>
      <w:pPr>
        <w:spacing w:after="0" w:line="90" w:lineRule="exact"/>
        <w:rPr>
          <w:rFonts w:ascii="Arial" w:cs="Arial" w:eastAsia="Arial" w:hAnsi="Arial"/>
          <w:sz w:val="15"/>
          <w:szCs w:val="15"/>
          <w:color w:val="auto"/>
        </w:rPr>
      </w:pPr>
    </w:p>
    <w:p>
      <w:pPr>
        <w:ind w:left="1020" w:hanging="383"/>
        <w:spacing w:after="0"/>
        <w:tabs>
          <w:tab w:leader="none" w:pos="10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79" w:lineRule="exact"/>
        <w:rPr>
          <w:sz w:val="20"/>
          <w:szCs w:val="20"/>
          <w:color w:val="auto"/>
        </w:rPr>
      </w:pPr>
    </w:p>
    <w:p>
      <w:pPr>
        <w:jc w:val="both"/>
        <w:ind w:left="640" w:right="320" w:hanging="631"/>
        <w:spacing w:after="0" w:line="233" w:lineRule="auto"/>
        <w:tabs>
          <w:tab w:leader="none" w:pos="6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5" w:lineRule="exact"/>
        <w:rPr>
          <w:sz w:val="20"/>
          <w:szCs w:val="20"/>
          <w:color w:val="auto"/>
        </w:rPr>
      </w:pPr>
    </w:p>
    <w:p>
      <w:pPr>
        <w:jc w:val="both"/>
        <w:ind w:left="640" w:right="320" w:hanging="631"/>
        <w:spacing w:after="0" w:line="224" w:lineRule="auto"/>
        <w:tabs>
          <w:tab w:leader="none" w:pos="6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40" w:hanging="635"/>
        <w:spacing w:after="0"/>
        <w:tabs>
          <w:tab w:leader="none" w:pos="64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215" w:lineRule="exact"/>
        <w:rPr>
          <w:sz w:val="20"/>
          <w:szCs w:val="20"/>
          <w:color w:val="auto"/>
        </w:rPr>
      </w:pPr>
    </w:p>
    <w:p>
      <w:pPr>
        <w:ind w:left="640" w:right="320" w:hanging="631"/>
        <w:spacing w:after="0" w:line="233" w:lineRule="auto"/>
        <w:tabs>
          <w:tab w:leader="none" w:pos="6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This Election will continue in effect until the earliest of the following:</w:t>
      </w:r>
    </w:p>
    <w:p>
      <w:pPr>
        <w:spacing w:after="0" w:line="211" w:lineRule="exact"/>
        <w:rPr>
          <w:sz w:val="20"/>
          <w:szCs w:val="20"/>
          <w:color w:val="auto"/>
        </w:rPr>
      </w:pPr>
    </w:p>
    <w:p>
      <w:pPr>
        <w:ind w:left="940" w:hanging="303"/>
        <w:spacing w:after="0"/>
        <w:tabs>
          <w:tab w:leader="none" w:pos="9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31" w:lineRule="exact"/>
        <w:rPr>
          <w:rFonts w:ascii="Arial" w:cs="Arial" w:eastAsia="Arial" w:hAnsi="Arial"/>
          <w:sz w:val="16"/>
          <w:szCs w:val="16"/>
          <w:color w:val="auto"/>
        </w:rPr>
      </w:pPr>
    </w:p>
    <w:p>
      <w:pPr>
        <w:ind w:left="1020" w:hanging="383"/>
        <w:spacing w:after="0"/>
        <w:tabs>
          <w:tab w:leader="none" w:pos="10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31" w:lineRule="exact"/>
        <w:rPr>
          <w:rFonts w:ascii="Arial" w:cs="Arial" w:eastAsia="Arial" w:hAnsi="Arial"/>
          <w:sz w:val="16"/>
          <w:szCs w:val="16"/>
          <w:color w:val="auto"/>
        </w:rPr>
      </w:pPr>
    </w:p>
    <w:p>
      <w:pPr>
        <w:ind w:left="1080" w:hanging="443"/>
        <w:spacing w:after="0"/>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31" w:lineRule="exact"/>
        <w:rPr>
          <w:rFonts w:ascii="Arial" w:cs="Arial" w:eastAsia="Arial" w:hAnsi="Arial"/>
          <w:sz w:val="16"/>
          <w:szCs w:val="16"/>
          <w:color w:val="auto"/>
        </w:rPr>
      </w:pPr>
    </w:p>
    <w:p>
      <w:pPr>
        <w:ind w:left="1260" w:hanging="623"/>
        <w:spacing w:after="0" w:line="233" w:lineRule="auto"/>
        <w:tabs>
          <w:tab w:leader="none" w:pos="106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211" w:lineRule="exact"/>
        <w:rPr>
          <w:sz w:val="20"/>
          <w:szCs w:val="20"/>
          <w:color w:val="auto"/>
        </w:rPr>
      </w:pPr>
    </w:p>
    <w:p>
      <w:pPr>
        <w:jc w:val="both"/>
        <w:ind w:left="640" w:hanging="631"/>
        <w:spacing w:after="0" w:line="224" w:lineRule="auto"/>
        <w:tabs>
          <w:tab w:leader="none" w:pos="62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Analog Devices, Inc.</w:t>
      </w:r>
    </w:p>
    <w:p>
      <w:pPr>
        <w:spacing w:after="0" w:line="8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ectPr>
          <w:pgSz w:w="11900" w:h="16838" w:orient="portrait"/>
          <w:cols w:equalWidth="0" w:num="1">
            <w:col w:w="11240"/>
          </w:cols>
          <w:pgMar w:left="32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F - 3</w:t>
      </w:r>
    </w:p>
    <w:p>
      <w:pPr>
        <w:sectPr>
          <w:pgSz w:w="11900" w:h="16838" w:orient="portrait"/>
          <w:cols w:equalWidth="0" w:num="1">
            <w:col w:w="11240"/>
          </w:cols>
          <w:pgMar w:left="320" w:top="994" w:right="339" w:bottom="1440" w:gutter="0" w:footer="0" w:header="0"/>
          <w:type w:val="continuous"/>
        </w:sectPr>
      </w:pPr>
    </w:p>
    <w:bookmarkStart w:id="161" w:name="page162"/>
    <w:bookmarkEnd w:id="161"/>
    <w:p>
      <w:pPr>
        <w:ind w:left="5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F TO</w:t>
      </w:r>
    </w:p>
    <w:p>
      <w:pPr>
        <w:spacing w:after="0" w:line="145"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right"/>
        <w:ind w:right="23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Signature for and on behalf of Analog Devices, Inc.</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14605</wp:posOffset>
            </wp:positionV>
            <wp:extent cx="287464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 Ahern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sident, Global Total Rewards &amp; HR Services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Grant Date</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APPENDIX F - 4</w:t>
      </w:r>
    </w:p>
    <w:p>
      <w:pPr>
        <w:sectPr>
          <w:pgSz w:w="11900" w:h="16838" w:orient="portrait"/>
          <w:cols w:equalWidth="0" w:num="1">
            <w:col w:w="10239"/>
          </w:cols>
          <w:pgMar w:left="220" w:top="994" w:right="1440" w:bottom="1440" w:gutter="0" w:footer="0" w:header="0"/>
        </w:sectPr>
      </w:pPr>
    </w:p>
    <w:bookmarkStart w:id="162" w:name="page163"/>
    <w:bookmarkEnd w:id="162"/>
    <w:p>
      <w:pPr>
        <w:ind w:left="5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270000" cy="40132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clrChange>
                        <a:clrFrom>
                          <a:srgbClr val="FFFFFF"/>
                        </a:clrFrom>
                        <a:clrTo>
                          <a:srgbClr val="FFFFFF">
                            <a:alpha val="0"/>
                          </a:srgbClr>
                        </a:clrTo>
                      </a:clrChange>
                      <a:extLst>
                        <a:ext uri="{28A0092B-C50C-407E-A947-70E740481C1C}"/>
                      </a:extLst>
                    </a:blip>
                    <a:srcRect/>
                    <a:stretch>
                      <a:fillRect/>
                    </a:stretch>
                  </pic:blipFill>
                  <pic:spPr bwMode="auto">
                    <a:xfrm>
                      <a:off x="0" y="0"/>
                      <a:ext cx="1270000" cy="401320"/>
                    </a:xfrm>
                    <a:prstGeom prst="rect">
                      <a:avLst/>
                    </a:prstGeom>
                    <a:noFill/>
                  </pic:spPr>
                </pic:pic>
              </a:graphicData>
            </a:graphic>
          </wp:anchor>
        </w:drawing>
        <w:t>APPENDIX F TO</w:t>
      </w:r>
    </w:p>
    <w:p>
      <w:pPr>
        <w:spacing w:after="0" w:line="14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80"/>
        <w:spacing w:after="0"/>
        <w:rPr>
          <w:sz w:val="20"/>
          <w:szCs w:val="20"/>
          <w:color w:val="auto"/>
        </w:rPr>
      </w:pPr>
      <w:r>
        <w:rPr>
          <w:rFonts w:ascii="Arial" w:cs="Arial" w:eastAsia="Arial" w:hAnsi="Arial"/>
          <w:sz w:val="16"/>
          <w:szCs w:val="16"/>
          <w:b w:val="1"/>
          <w:bCs w:val="1"/>
          <w:u w:val="single" w:color="auto"/>
          <w:color w:val="auto"/>
        </w:rPr>
        <w:t>Schedule of Employer Companies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each company, provide the following details: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Limited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Borders>
              <w:right w:val="single" w:sz="8" w:color="auto"/>
            </w:tcBorders>
          </w:tcPr>
          <w:p>
            <w:pPr>
              <w:spacing w:after="0"/>
              <w:rPr>
                <w:sz w:val="19"/>
                <w:szCs w:val="19"/>
                <w:color w:val="auto"/>
              </w:rPr>
            </w:pPr>
          </w:p>
        </w:tc>
        <w:tc>
          <w:tcPr>
            <w:tcW w:w="4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9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15 Pressing Lane, Blyth Road, Hayes, England, UB3 1EP</w:t>
            </w:r>
          </w:p>
        </w:tc>
      </w:tr>
      <w:tr>
        <w:trPr>
          <w:trHeight w:val="204"/>
        </w:trPr>
        <w:tc>
          <w:tcPr>
            <w:tcW w:w="120" w:type="dxa"/>
            <w:vAlign w:val="bottom"/>
            <w:tcBorders>
              <w:right w:val="single" w:sz="8" w:color="auto"/>
            </w:tcBorders>
          </w:tcPr>
          <w:p>
            <w:pPr>
              <w:spacing w:after="0"/>
              <w:rPr>
                <w:sz w:val="17"/>
                <w:szCs w:val="17"/>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00895439</w:t>
            </w:r>
          </w:p>
        </w:tc>
      </w:tr>
      <w:tr>
        <w:trPr>
          <w:trHeight w:val="204"/>
        </w:trPr>
        <w:tc>
          <w:tcPr>
            <w:tcW w:w="120" w:type="dxa"/>
            <w:vAlign w:val="bottom"/>
            <w:tcBorders>
              <w:right w:val="single" w:sz="8" w:color="auto"/>
            </w:tcBorders>
          </w:tcPr>
          <w:p>
            <w:pPr>
              <w:spacing w:after="0"/>
              <w:rPr>
                <w:sz w:val="17"/>
                <w:szCs w:val="17"/>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6873689030216A</w:t>
            </w:r>
          </w:p>
        </w:tc>
      </w:tr>
      <w:tr>
        <w:trPr>
          <w:trHeight w:val="204"/>
        </w:trPr>
        <w:tc>
          <w:tcPr>
            <w:tcW w:w="120" w:type="dxa"/>
            <w:vAlign w:val="bottom"/>
            <w:tcBorders>
              <w:right w:val="single" w:sz="8" w:color="auto"/>
            </w:tcBorders>
          </w:tcPr>
          <w:p>
            <w:pPr>
              <w:spacing w:after="0"/>
              <w:rPr>
                <w:sz w:val="17"/>
                <w:szCs w:val="17"/>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120/A4055</w:t>
            </w:r>
          </w:p>
        </w:tc>
      </w:tr>
      <w:tr>
        <w:trPr>
          <w:trHeight w:val="490"/>
        </w:trPr>
        <w:tc>
          <w:tcPr>
            <w:tcW w:w="4980" w:type="dxa"/>
            <w:vAlign w:val="bottom"/>
            <w:gridSpan w:val="2"/>
          </w:tcPr>
          <w:p>
            <w:pPr>
              <w:spacing w:after="0"/>
              <w:rPr>
                <w:sz w:val="20"/>
                <w:szCs w:val="20"/>
                <w:color w:val="auto"/>
              </w:rPr>
            </w:pPr>
            <w:r>
              <w:rPr>
                <w:rFonts w:ascii="Arial" w:cs="Arial" w:eastAsia="Arial" w:hAnsi="Arial"/>
                <w:sz w:val="16"/>
                <w:szCs w:val="16"/>
                <w:color w:val="auto"/>
              </w:rPr>
              <w:t>Linear Technology (UK) Limited</w:t>
            </w:r>
          </w:p>
        </w:tc>
        <w:tc>
          <w:tcPr>
            <w:tcW w:w="4960" w:type="dxa"/>
            <w:vAlign w:val="bottom"/>
          </w:tcPr>
          <w:p>
            <w:pPr>
              <w:spacing w:after="0"/>
              <w:rPr>
                <w:sz w:val="24"/>
                <w:szCs w:val="24"/>
                <w:color w:val="auto"/>
              </w:rPr>
            </w:pPr>
          </w:p>
        </w:tc>
      </w:tr>
      <w:tr>
        <w:trPr>
          <w:trHeight w:val="217"/>
        </w:trPr>
        <w:tc>
          <w:tcPr>
            <w:tcW w:w="12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Registered Office:</w:t>
            </w: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 The Listons, Liston Road, Marlow, Buckinghamshire, SL7 1FD</w:t>
            </w:r>
          </w:p>
        </w:tc>
      </w:tr>
      <w:tr>
        <w:trPr>
          <w:trHeight w:val="204"/>
        </w:trPr>
        <w:tc>
          <w:tcPr>
            <w:tcW w:w="120" w:type="dxa"/>
            <w:vAlign w:val="bottom"/>
            <w:tcBorders>
              <w:right w:val="single" w:sz="8" w:color="auto"/>
            </w:tcBorders>
          </w:tcPr>
          <w:p>
            <w:pPr>
              <w:spacing w:after="0"/>
              <w:rPr>
                <w:sz w:val="17"/>
                <w:szCs w:val="17"/>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Registration Number:</w:t>
            </w: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02149602</w:t>
            </w:r>
          </w:p>
        </w:tc>
      </w:tr>
      <w:tr>
        <w:trPr>
          <w:trHeight w:val="204"/>
        </w:trPr>
        <w:tc>
          <w:tcPr>
            <w:tcW w:w="120" w:type="dxa"/>
            <w:vAlign w:val="bottom"/>
            <w:tcBorders>
              <w:right w:val="single" w:sz="8" w:color="auto"/>
            </w:tcBorders>
          </w:tcPr>
          <w:p>
            <w:pPr>
              <w:spacing w:after="0"/>
              <w:rPr>
                <w:sz w:val="17"/>
                <w:szCs w:val="17"/>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Corporation Tax Reference:</w:t>
            </w: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120PA00148447</w:t>
            </w:r>
          </w:p>
        </w:tc>
      </w:tr>
      <w:tr>
        <w:trPr>
          <w:trHeight w:val="204"/>
        </w:trPr>
        <w:tc>
          <w:tcPr>
            <w:tcW w:w="120" w:type="dxa"/>
            <w:vAlign w:val="bottom"/>
            <w:tcBorders>
              <w:right w:val="single" w:sz="8" w:color="auto"/>
            </w:tcBorders>
          </w:tcPr>
          <w:p>
            <w:pPr>
              <w:spacing w:after="0"/>
              <w:rPr>
                <w:sz w:val="17"/>
                <w:szCs w:val="17"/>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PAYE Reference:</w:t>
            </w: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120/L30589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APPENDIX F - 5</w:t>
      </w:r>
    </w:p>
    <w:p>
      <w:pPr>
        <w:sectPr>
          <w:pgSz w:w="11900" w:h="16838" w:orient="portrait"/>
          <w:cols w:equalWidth="0" w:num="1">
            <w:col w:w="10139"/>
          </w:cols>
          <w:pgMar w:left="320" w:top="994"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Exhibit 31.1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56" w:lineRule="exact"/>
        <w:rPr>
          <w:sz w:val="20"/>
          <w:szCs w:val="20"/>
          <w:color w:val="auto"/>
        </w:rPr>
      </w:pPr>
    </w:p>
    <w:p>
      <w:pPr>
        <w:ind w:left="640" w:hanging="319"/>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56" w:lineRule="exact"/>
        <w:rPr>
          <w:rFonts w:ascii="Arial" w:cs="Arial" w:eastAsia="Arial" w:hAnsi="Arial"/>
          <w:sz w:val="18"/>
          <w:szCs w:val="18"/>
          <w:color w:val="auto"/>
        </w:rPr>
      </w:pPr>
    </w:p>
    <w:p>
      <w:pPr>
        <w:jc w:val="both"/>
        <w:ind w:left="640" w:right="400" w:hanging="319"/>
        <w:spacing w:after="0" w:line="252" w:lineRule="auto"/>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640" w:right="360" w:hanging="319"/>
        <w:spacing w:after="0" w:line="308" w:lineRule="auto"/>
        <w:tabs>
          <w:tab w:leader="none" w:pos="6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640" w:right="400" w:hanging="319"/>
        <w:spacing w:after="0" w:line="252" w:lineRule="auto"/>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260" w:right="20" w:hanging="307"/>
        <w:spacing w:after="0" w:line="252" w:lineRule="auto"/>
        <w:tabs>
          <w:tab w:leader="none" w:pos="125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260" w:right="320" w:hanging="307"/>
        <w:spacing w:after="0" w:line="252" w:lineRule="auto"/>
        <w:tabs>
          <w:tab w:leader="none" w:pos="124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260" w:right="500" w:hanging="307"/>
        <w:spacing w:after="0" w:line="329" w:lineRule="auto"/>
        <w:tabs>
          <w:tab w:leader="none" w:pos="1251" w:val="left"/>
        </w:tabs>
        <w:numPr>
          <w:ilvl w:val="1"/>
          <w:numId w:val="15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60" w:right="20" w:hanging="307"/>
        <w:spacing w:after="0" w:line="252" w:lineRule="auto"/>
        <w:tabs>
          <w:tab w:leader="none" w:pos="124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640" w:right="300" w:hanging="319"/>
        <w:spacing w:after="0" w:line="308" w:lineRule="auto"/>
        <w:tabs>
          <w:tab w:leader="none" w:pos="6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260" w:right="740" w:hanging="307"/>
        <w:spacing w:after="0" w:line="308" w:lineRule="auto"/>
        <w:tabs>
          <w:tab w:leader="none" w:pos="125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60" w:right="440" w:hanging="307"/>
        <w:spacing w:after="0" w:line="261" w:lineRule="auto"/>
        <w:tabs>
          <w:tab w:leader="none" w:pos="124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February 16, 2022</w:t>
      </w:r>
      <w:r>
        <w:rPr>
          <w:sz w:val="20"/>
          <w:szCs w:val="20"/>
          <w:color w:val="auto"/>
        </w:rPr>
        <w:tab/>
      </w:r>
      <w:r>
        <w:rPr>
          <w:rFonts w:ascii="Arial" w:cs="Arial" w:eastAsia="Arial" w:hAnsi="Arial"/>
          <w:sz w:val="15"/>
          <w:szCs w:val="15"/>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10160</wp:posOffset>
            </wp:positionV>
            <wp:extent cx="325056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Vincent Roche</w:t>
      </w:r>
    </w:p>
    <w:p>
      <w:pPr>
        <w:spacing w:after="0" w:line="5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5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03"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Exhibit 31.2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56" w:lineRule="exact"/>
        <w:rPr>
          <w:sz w:val="20"/>
          <w:szCs w:val="20"/>
          <w:color w:val="auto"/>
        </w:rPr>
      </w:pPr>
    </w:p>
    <w:p>
      <w:pPr>
        <w:ind w:left="640" w:hanging="319"/>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56" w:lineRule="exact"/>
        <w:rPr>
          <w:rFonts w:ascii="Arial" w:cs="Arial" w:eastAsia="Arial" w:hAnsi="Arial"/>
          <w:sz w:val="18"/>
          <w:szCs w:val="18"/>
          <w:color w:val="auto"/>
        </w:rPr>
      </w:pPr>
    </w:p>
    <w:p>
      <w:pPr>
        <w:jc w:val="both"/>
        <w:ind w:left="640" w:right="400" w:hanging="319"/>
        <w:spacing w:after="0" w:line="252" w:lineRule="auto"/>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640" w:right="360" w:hanging="319"/>
        <w:spacing w:after="0" w:line="308" w:lineRule="auto"/>
        <w:tabs>
          <w:tab w:leader="none" w:pos="6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640" w:right="400" w:hanging="319"/>
        <w:spacing w:after="0" w:line="252" w:lineRule="auto"/>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260" w:right="20" w:hanging="307"/>
        <w:spacing w:after="0" w:line="252" w:lineRule="auto"/>
        <w:tabs>
          <w:tab w:leader="none" w:pos="125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260" w:right="320" w:hanging="307"/>
        <w:spacing w:after="0" w:line="252" w:lineRule="auto"/>
        <w:tabs>
          <w:tab w:leader="none" w:pos="124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260" w:right="500" w:hanging="307"/>
        <w:spacing w:after="0" w:line="329" w:lineRule="auto"/>
        <w:tabs>
          <w:tab w:leader="none" w:pos="1251" w:val="left"/>
        </w:tabs>
        <w:numPr>
          <w:ilvl w:val="1"/>
          <w:numId w:val="1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60" w:right="20" w:hanging="307"/>
        <w:spacing w:after="0" w:line="252" w:lineRule="auto"/>
        <w:tabs>
          <w:tab w:leader="none" w:pos="124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640" w:right="300" w:hanging="319"/>
        <w:spacing w:after="0" w:line="308" w:lineRule="auto"/>
        <w:tabs>
          <w:tab w:leader="none" w:pos="6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260" w:right="740" w:hanging="307"/>
        <w:spacing w:after="0" w:line="308" w:lineRule="auto"/>
        <w:tabs>
          <w:tab w:leader="none" w:pos="125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60" w:right="440" w:hanging="307"/>
        <w:spacing w:after="0" w:line="261" w:lineRule="auto"/>
        <w:tabs>
          <w:tab w:leader="none" w:pos="124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February 16, 2022</w:t>
      </w:r>
      <w:r>
        <w:rPr>
          <w:sz w:val="20"/>
          <w:szCs w:val="20"/>
          <w:color w:val="auto"/>
        </w:rPr>
        <w:tab/>
      </w:r>
      <w:r>
        <w:rPr>
          <w:rFonts w:ascii="Arial" w:cs="Arial" w:eastAsia="Arial" w:hAnsi="Arial"/>
          <w:sz w:val="15"/>
          <w:szCs w:val="15"/>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10160</wp:posOffset>
            </wp:positionV>
            <wp:extent cx="325056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Prashanth Mahendra-Rajah</w:t>
      </w:r>
    </w:p>
    <w:p>
      <w:pPr>
        <w:spacing w:after="0" w:line="5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Finance</w:t>
      </w:r>
    </w:p>
    <w:p>
      <w:pPr>
        <w:spacing w:after="0" w:line="5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Chief Financial Officer</w:t>
      </w:r>
    </w:p>
    <w:p>
      <w:pPr>
        <w:spacing w:after="0" w:line="5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03"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Exhibit 32.1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29, 2022 as filed with the Securities and Exchange Commission on the date hereof (the “Report”), the undersigned, Vincent Roche, Chief Executive Officer of the Company, hereby certifies, pursuant to 18 U.S.C. Section 1350, that:</w:t>
      </w:r>
    </w:p>
    <w:p>
      <w:pPr>
        <w:spacing w:after="0" w:line="32" w:lineRule="exact"/>
        <w:rPr>
          <w:sz w:val="20"/>
          <w:szCs w:val="20"/>
          <w:color w:val="auto"/>
        </w:rPr>
      </w:pPr>
    </w:p>
    <w:p>
      <w:pPr>
        <w:ind w:left="640" w:hanging="319"/>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ind w:left="360"/>
        <w:spacing w:after="0"/>
        <w:tabs>
          <w:tab w:leader="none" w:pos="6080" w:val="left"/>
        </w:tabs>
        <w:rPr>
          <w:sz w:val="20"/>
          <w:szCs w:val="20"/>
          <w:color w:val="auto"/>
        </w:rPr>
      </w:pPr>
      <w:r>
        <w:rPr>
          <w:rFonts w:ascii="Arial" w:cs="Arial" w:eastAsia="Arial" w:hAnsi="Arial"/>
          <w:sz w:val="18"/>
          <w:szCs w:val="18"/>
          <w:color w:val="auto"/>
        </w:rPr>
        <w:t>Date: February 16, 2022</w:t>
      </w:r>
      <w:r>
        <w:rPr>
          <w:sz w:val="20"/>
          <w:szCs w:val="20"/>
          <w:color w:val="auto"/>
        </w:rPr>
        <w:tab/>
      </w:r>
      <w:r>
        <w:rPr>
          <w:rFonts w:ascii="Arial" w:cs="Arial" w:eastAsia="Arial" w:hAnsi="Arial"/>
          <w:sz w:val="15"/>
          <w:szCs w:val="15"/>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10160</wp:posOffset>
            </wp:positionV>
            <wp:extent cx="306641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1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Vincent Roche</w:t>
      </w:r>
    </w:p>
    <w:p>
      <w:pPr>
        <w:spacing w:after="0" w:line="5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04"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Exhibit 32.2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29, 2022 as filed with the Securities and Exchange Commission on the date hereof (the “Report”), the undersigned, Prashanth Mahendra-Rajah, Chief Financial Officer of the Company, hereby certifies, pursuant to 18 U.S.C. Section 1350, that:</w:t>
      </w:r>
    </w:p>
    <w:p>
      <w:pPr>
        <w:spacing w:after="0" w:line="32" w:lineRule="exact"/>
        <w:rPr>
          <w:sz w:val="20"/>
          <w:szCs w:val="20"/>
          <w:color w:val="auto"/>
        </w:rPr>
      </w:pPr>
    </w:p>
    <w:p>
      <w:pPr>
        <w:ind w:left="640" w:hanging="319"/>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ind w:left="360"/>
        <w:spacing w:after="0"/>
        <w:tabs>
          <w:tab w:leader="none" w:pos="6080" w:val="left"/>
        </w:tabs>
        <w:rPr>
          <w:sz w:val="20"/>
          <w:szCs w:val="20"/>
          <w:color w:val="auto"/>
        </w:rPr>
      </w:pPr>
      <w:r>
        <w:rPr>
          <w:rFonts w:ascii="Arial" w:cs="Arial" w:eastAsia="Arial" w:hAnsi="Arial"/>
          <w:sz w:val="18"/>
          <w:szCs w:val="18"/>
          <w:color w:val="auto"/>
        </w:rPr>
        <w:t>Date: February 16, 2022</w:t>
      </w:r>
      <w:r>
        <w:rPr>
          <w:sz w:val="20"/>
          <w:szCs w:val="20"/>
          <w:color w:val="auto"/>
        </w:rPr>
        <w:tab/>
      </w:r>
      <w:r>
        <w:rPr>
          <w:rFonts w:ascii="Arial" w:cs="Arial" w:eastAsia="Arial" w:hAnsi="Arial"/>
          <w:sz w:val="15"/>
          <w:szCs w:val="15"/>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10160</wp:posOffset>
            </wp:positionV>
            <wp:extent cx="306641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1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Prashanth Mahendra-Rajah</w:t>
      </w:r>
    </w:p>
    <w:p>
      <w:pPr>
        <w:spacing w:after="0" w:line="5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1)"/>
      <w:numFmt w:val="decimal"/>
      <w:start w:val="1"/>
    </w:lvl>
  </w:abstractNum>
  <w:abstractNum w:abstractNumId="3">
    <w:nsid w:val="68EB2F63"/>
    <w:multiLevelType w:val="hybridMultilevel"/>
    <w:lvl w:ilvl="0">
      <w:lvlJc w:val="left"/>
      <w:lvlText w:val="(%1)"/>
      <w:numFmt w:val="decimal"/>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1)"/>
      <w:numFmt w:val="lowerLetter"/>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1)"/>
      <w:numFmt w:val="lowerLetter"/>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1)"/>
      <w:numFmt w:val="lowerRoman"/>
      <w:start w:val="4"/>
    </w:lvl>
  </w:abstractNum>
  <w:abstractNum w:abstractNumId="22">
    <w:nsid w:val="74DE0EE3"/>
    <w:multiLevelType w:val="hybridMultilevel"/>
    <w:lvl w:ilvl="0">
      <w:lvlJc w:val="left"/>
      <w:lvlText w:val="%1."/>
      <w:numFmt w:val="decimal"/>
      <w:start w:val="1"/>
    </w:lvl>
  </w:abstractNum>
  <w:abstractNum w:abstractNumId="23">
    <w:nsid w:val="68EBC550"/>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4">
    <w:nsid w:val="2DF6D648"/>
    <w:multiLevelType w:val="hybridMultilevel"/>
    <w:lvl w:ilvl="0">
      <w:lvlJc w:val="left"/>
      <w:lvlText w:val="%1"/>
      <w:numFmt w:val="decimal"/>
      <w:start w:val="1"/>
    </w:lvl>
    <w:lvl w:ilvl="1">
      <w:lvlJc w:val="left"/>
      <w:lvlText w:val="(%2)"/>
      <w:numFmt w:val="lowerLetter"/>
      <w:start w:val="2"/>
    </w:lvl>
  </w:abstractNum>
  <w:abstractNum w:abstractNumId="25">
    <w:nsid w:val="46B7D447"/>
    <w:multiLevelType w:val="hybridMultilevel"/>
    <w:lvl w:ilvl="0">
      <w:lvlJc w:val="left"/>
      <w:lvlText w:val="%1."/>
      <w:numFmt w:val="decimal"/>
      <w:start w:val="3"/>
    </w:lvl>
    <w:lvl w:ilvl="1">
      <w:lvlJc w:val="left"/>
      <w:lvlText w:val="(%2)"/>
      <w:numFmt w:val="lowerLetter"/>
      <w:start w:val="1"/>
    </w:lvl>
  </w:abstractNum>
  <w:abstractNum w:abstractNumId="26">
    <w:nsid w:val="4A2AC31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
    <w:nsid w:val="39EE015C"/>
    <w:multiLevelType w:val="hybridMultilevel"/>
    <w:lvl w:ilvl="0">
      <w:lvlJc w:val="left"/>
      <w:lvlText w:val="%1."/>
      <w:numFmt w:val="decimal"/>
      <w:start w:val="8"/>
    </w:lvl>
    <w:lvl w:ilvl="1">
      <w:lvlJc w:val="left"/>
      <w:lvlText w:val="%2)"/>
      <w:numFmt w:val="lowerLetter"/>
      <w:start w:val="1"/>
    </w:lvl>
  </w:abstractNum>
  <w:abstractNum w:abstractNumId="28">
    <w:nsid w:val="57FC4FBB"/>
    <w:multiLevelType w:val="hybridMultilevel"/>
    <w:lvl w:ilvl="0">
      <w:lvlJc w:val="left"/>
      <w:lvlText w:val="%1)"/>
      <w:numFmt w:val="lowerLetter"/>
      <w:start w:val="3"/>
    </w:lvl>
  </w:abstractNum>
  <w:abstractNum w:abstractNumId="29">
    <w:nsid w:val="CC1016F"/>
    <w:multiLevelType w:val="hybridMultilevel"/>
    <w:lvl w:ilvl="0">
      <w:lvlJc w:val="left"/>
      <w:lvlText w:val="%1."/>
      <w:numFmt w:val="decimal"/>
      <w:start w:val="11"/>
    </w:lvl>
    <w:lvl w:ilvl="1">
      <w:lvlJc w:val="left"/>
      <w:lvlText w:val="(%2)"/>
      <w:numFmt w:val="lowerLetter"/>
      <w:start w:val="1"/>
    </w:lvl>
  </w:abstractNum>
  <w:abstractNum w:abstractNumId="30">
    <w:nsid w:val="43F18422"/>
    <w:multiLevelType w:val="hybridMultilevel"/>
    <w:lvl w:ilvl="0">
      <w:lvlJc w:val="left"/>
      <w:lvlText w:val="(%1)"/>
      <w:numFmt w:val="lowerLetter"/>
      <w:start w:val="6"/>
    </w:lvl>
  </w:abstractNum>
  <w:abstractNum w:abstractNumId="31">
    <w:nsid w:val="60EF0119"/>
    <w:multiLevelType w:val="hybridMultilevel"/>
    <w:lvl w:ilvl="0">
      <w:lvlJc w:val="left"/>
      <w:lvlText w:val="(%1)"/>
      <w:numFmt w:val="lowerLetter"/>
      <w:start w:val="15"/>
    </w:lvl>
  </w:abstractNum>
  <w:abstractNum w:abstractNumId="32">
    <w:nsid w:val="26F324BA"/>
    <w:multiLevelType w:val="hybridMultilevel"/>
    <w:lvl w:ilvl="0">
      <w:lvlJc w:val="left"/>
      <w:lvlText w:val="%1."/>
      <w:numFmt w:val="decimal"/>
      <w:start w:val="1"/>
    </w:lvl>
    <w:lvl w:ilvl="1">
      <w:lvlJc w:val="left"/>
      <w:lvlText w:val="(%2)"/>
      <w:numFmt w:val="lowerLetter"/>
      <w:start w:val="1"/>
    </w:lvl>
  </w:abstractNum>
  <w:abstractNum w:abstractNumId="33">
    <w:nsid w:val="7F01579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4">
    <w:nsid w:val="49DA307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6">
    <w:nsid w:val="5FB837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7">
    <w:nsid w:val="50801EE1"/>
    <w:multiLevelType w:val="hybridMultilevel"/>
    <w:lvl w:ilvl="0">
      <w:lvlJc w:val="left"/>
      <w:lvlText w:val="(%1)"/>
      <w:numFmt w:val="lowerLetter"/>
      <w:start w:val="3"/>
    </w:lvl>
  </w:abstractNum>
  <w:abstractNum w:abstractNumId="38">
    <w:nsid w:val="488AC1A"/>
    <w:multiLevelType w:val="hybridMultilevel"/>
    <w:lvl w:ilvl="0">
      <w:lvlJc w:val="left"/>
      <w:lvlText w:val="(%1)"/>
      <w:numFmt w:val="lowerLetter"/>
      <w:start w:val="16"/>
    </w:lvl>
  </w:abstractNum>
  <w:abstractNum w:abstractNumId="39">
    <w:nsid w:val="5FB8011C"/>
    <w:multiLevelType w:val="hybridMultilevel"/>
    <w:lvl w:ilvl="0">
      <w:lvlJc w:val="left"/>
      <w:lvlText w:val="(%1)"/>
      <w:numFmt w:val="lowerLetter"/>
      <w:start w:val="25"/>
    </w:lvl>
  </w:abstractNum>
  <w:abstractNum w:abstractNumId="40">
    <w:nsid w:val="6AA78F7F"/>
    <w:multiLevelType w:val="hybridMultilevel"/>
    <w:lvl w:ilvl="0">
      <w:lvlJc w:val="left"/>
      <w:lvlText w:val="(%1)"/>
      <w:numFmt w:val="lowerLetter"/>
      <w:start w:val="1"/>
    </w:lvl>
  </w:abstractNum>
  <w:abstractNum w:abstractNumId="41">
    <w:nsid w:val="7672BD23"/>
    <w:multiLevelType w:val="hybridMultilevel"/>
    <w:lvl w:ilvl="0">
      <w:lvlJc w:val="left"/>
      <w:lvlText w:val="%1."/>
      <w:numFmt w:val="decimal"/>
      <w:start w:val="1"/>
    </w:lvl>
  </w:abstractNum>
  <w:abstractNum w:abstractNumId="42">
    <w:nsid w:val="6FC75AF8"/>
    <w:multiLevelType w:val="hybridMultilevel"/>
    <w:lvl w:ilvl="0">
      <w:lvlJc w:val="left"/>
      <w:lvlText w:val="(%1)"/>
      <w:numFmt w:val="lowerLetter"/>
      <w:start w:val="1"/>
    </w:lvl>
  </w:abstractNum>
  <w:abstractNum w:abstractNumId="43">
    <w:nsid w:val="6A5F7029"/>
    <w:multiLevelType w:val="hybridMultilevel"/>
    <w:lvl w:ilvl="0">
      <w:lvlJc w:val="left"/>
      <w:lvlText w:val="%1."/>
      <w:numFmt w:val="decimal"/>
      <w:start w:val="4"/>
    </w:lvl>
  </w:abstractNum>
  <w:abstractNum w:abstractNumId="44">
    <w:nsid w:val="7D5E18F8"/>
    <w:multiLevelType w:val="hybridMultilevel"/>
    <w:lvl w:ilvl="0">
      <w:lvlJc w:val="left"/>
      <w:lvlText w:val="%1."/>
      <w:numFmt w:val="decimal"/>
      <w:start w:val="6"/>
    </w:lvl>
  </w:abstractNum>
  <w:abstractNum w:abstractNumId="45">
    <w:nsid w:val="5F3534A4"/>
    <w:multiLevelType w:val="hybridMultilevel"/>
    <w:lvl w:ilvl="0">
      <w:lvlJc w:val="left"/>
      <w:lvlText w:val="%1."/>
      <w:numFmt w:val="decimal"/>
      <w:start w:val="7"/>
    </w:lvl>
  </w:abstractNum>
  <w:abstractNum w:abstractNumId="46">
    <w:nsid w:val="73A1821B"/>
    <w:multiLevelType w:val="hybridMultilevel"/>
    <w:lvl w:ilvl="0">
      <w:lvlJc w:val="left"/>
      <w:lvlText w:val="(%1)"/>
      <w:numFmt w:val="lowerLetter"/>
      <w:start w:val="2"/>
    </w:lvl>
  </w:abstractNum>
  <w:abstractNum w:abstractNumId="47">
    <w:nsid w:val="7DE67713"/>
    <w:multiLevelType w:val="hybridMultilevel"/>
    <w:lvl w:ilvl="0">
      <w:lvlJc w:val="left"/>
      <w:lvlText w:val="%1."/>
      <w:numFmt w:val="decimal"/>
      <w:start w:val="8"/>
    </w:lvl>
  </w:abstractNum>
  <w:abstractNum w:abstractNumId="48">
    <w:nsid w:val="555C55B5"/>
    <w:multiLevelType w:val="hybridMultilevel"/>
    <w:lvl w:ilvl="0">
      <w:lvlJc w:val="left"/>
      <w:lvlText w:val="%1."/>
      <w:numFmt w:val="decimal"/>
      <w:start w:val="9"/>
    </w:lvl>
  </w:abstractNum>
  <w:abstractNum w:abstractNumId="49">
    <w:nsid w:val="3FA62ACA"/>
    <w:multiLevelType w:val="hybridMultilevel"/>
    <w:lvl w:ilvl="0">
      <w:lvlJc w:val="left"/>
      <w:lvlText w:val="%1."/>
      <w:numFmt w:val="decimal"/>
      <w:start w:val="12"/>
    </w:lvl>
  </w:abstractNum>
  <w:abstractNum w:abstractNumId="50">
    <w:nsid w:val="14FCE74E"/>
    <w:multiLevelType w:val="hybridMultilevel"/>
    <w:lvl w:ilvl="0">
      <w:lvlJc w:val="left"/>
      <w:lvlText w:val="(%1)"/>
      <w:numFmt w:val="lowerRoman"/>
      <w:start w:val="1"/>
    </w:lvl>
  </w:abstractNum>
  <w:abstractNum w:abstractNumId="51">
    <w:nsid w:val="6A3DD3E8"/>
    <w:multiLevelType w:val="hybridMultilevel"/>
    <w:lvl w:ilvl="0">
      <w:lvlJc w:val="left"/>
      <w:lvlText w:val="(%1)"/>
      <w:numFmt w:val="lowerRoman"/>
      <w:start w:val="1"/>
    </w:lvl>
  </w:abstractNum>
  <w:abstractNum w:abstractNumId="52">
    <w:nsid w:val="71C91298"/>
    <w:multiLevelType w:val="hybridMultilevel"/>
    <w:lvl w:ilvl="0">
      <w:lvlJc w:val="left"/>
      <w:lvlText w:val="(%1)"/>
      <w:numFmt w:val="lowerLetter"/>
      <w:start w:val="4"/>
    </w:lvl>
  </w:abstractNum>
  <w:abstractNum w:abstractNumId="53">
    <w:nsid w:val="9DAF632"/>
    <w:multiLevelType w:val="hybridMultilevel"/>
    <w:lvl w:ilvl="0">
      <w:lvlJc w:val="left"/>
      <w:lvlText w:val="(%1)"/>
      <w:numFmt w:val="lowerLetter"/>
      <w:start w:val="5"/>
    </w:lvl>
  </w:abstractNum>
  <w:abstractNum w:abstractNumId="54">
    <w:nsid w:val="53299938"/>
    <w:multiLevelType w:val="hybridMultilevel"/>
    <w:lvl w:ilvl="0">
      <w:lvlJc w:val="left"/>
      <w:lvlText w:val="(%1)"/>
      <w:numFmt w:val="lowerLetter"/>
      <w:start w:val="6"/>
    </w:lvl>
  </w:abstractNum>
  <w:abstractNum w:abstractNumId="55">
    <w:nsid w:val="1FBFE8E0"/>
    <w:multiLevelType w:val="hybridMultilevel"/>
    <w:lvl w:ilvl="0">
      <w:lvlJc w:val="left"/>
      <w:lvlText w:val="%1."/>
      <w:numFmt w:val="decimal"/>
      <w:start w:val="1"/>
    </w:lvl>
  </w:abstractNum>
  <w:abstractNum w:abstractNumId="56">
    <w:nsid w:val="5092CA79"/>
    <w:multiLevelType w:val="hybridMultilevel"/>
    <w:lvl w:ilvl="0">
      <w:lvlJc w:val="left"/>
      <w:lvlText w:val="%1."/>
      <w:numFmt w:val="decimal"/>
      <w:start w:val="4"/>
    </w:lvl>
  </w:abstractNum>
  <w:abstractNum w:abstractNumId="57">
    <w:nsid w:val="1D545C4D"/>
    <w:multiLevelType w:val="hybridMultilevel"/>
    <w:lvl w:ilvl="0">
      <w:lvlJc w:val="left"/>
      <w:lvlText w:val="%1."/>
      <w:numFmt w:val="decimal"/>
      <w:start w:val="6"/>
    </w:lvl>
  </w:abstractNum>
  <w:abstractNum w:abstractNumId="58">
    <w:nsid w:val="59ADEA3D"/>
    <w:multiLevelType w:val="hybridMultilevel"/>
    <w:lvl w:ilvl="0">
      <w:lvlJc w:val="left"/>
      <w:lvlText w:val="%1."/>
      <w:numFmt w:val="decimal"/>
      <w:start w:val="7"/>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1."/>
      <w:numFmt w:val="upperLetter"/>
      <w:start w:val="1"/>
    </w:lvl>
  </w:abstractNum>
  <w:abstractNum w:abstractNumId="61">
    <w:nsid w:val="1D9F6E5F"/>
    <w:multiLevelType w:val="hybridMultilevel"/>
    <w:lvl w:ilvl="0">
      <w:lvlJc w:val="left"/>
      <w:lvlText w:val="%1."/>
      <w:numFmt w:val="decimal"/>
      <w:start w:val="1"/>
    </w:lvl>
  </w:abstractNum>
  <w:abstractNum w:abstractNumId="62">
    <w:nsid w:val="97E1B4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51088277"/>
    <w:multiLevelType w:val="hybridMultilevel"/>
    <w:lvl w:ilvl="0">
      <w:lvlJc w:val="left"/>
      <w:lvlText w:val="%1."/>
      <w:numFmt w:val="decimal"/>
      <w:start w:val="2"/>
    </w:lvl>
  </w:abstractNum>
  <w:abstractNum w:abstractNumId="64">
    <w:nsid w:val="1CA0C5FA"/>
    <w:multiLevelType w:val="hybridMultilevel"/>
    <w:lvl w:ilvl="0">
      <w:lvlJc w:val="left"/>
      <w:lvlText w:val="%1."/>
      <w:numFmt w:val="decimal"/>
      <w:start w:val="3"/>
    </w:lvl>
  </w:abstractNum>
  <w:abstractNum w:abstractNumId="65">
    <w:nsid w:val="53584BCB"/>
    <w:multiLevelType w:val="hybridMultilevel"/>
    <w:lvl w:ilvl="0">
      <w:lvlJc w:val="left"/>
      <w:lvlText w:val="(%1)"/>
      <w:numFmt w:val="lowerRoman"/>
      <w:start w:val="1"/>
    </w:lvl>
  </w:abstractNum>
  <w:abstractNum w:abstractNumId="66">
    <w:nsid w:val="415E286C"/>
    <w:multiLevelType w:val="hybridMultilevel"/>
    <w:lvl w:ilvl="0">
      <w:lvlJc w:val="left"/>
      <w:lvlText w:val="%1."/>
      <w:numFmt w:val="decimal"/>
      <w:start w:val="4"/>
    </w:lvl>
  </w:abstractNum>
  <w:abstractNum w:abstractNumId="67">
    <w:nsid w:val="7C58FD05"/>
    <w:multiLevelType w:val="hybridMultilevel"/>
    <w:lvl w:ilvl="0">
      <w:lvlJc w:val="left"/>
      <w:lvlText w:val="(%1)"/>
      <w:numFmt w:val="lowerRoman"/>
      <w:start w:val="1"/>
    </w:lvl>
  </w:abstractNum>
  <w:abstractNum w:abstractNumId="68">
    <w:nsid w:val="23D86AAC"/>
    <w:multiLevelType w:val="hybridMultilevel"/>
    <w:lvl w:ilvl="0">
      <w:lvlJc w:val="left"/>
      <w:lvlText w:val="%1."/>
      <w:numFmt w:val="decimal"/>
      <w:start w:val="1"/>
    </w:lvl>
    <w:lvl w:ilvl="1">
      <w:lvlJc w:val="left"/>
      <w:lvlText w:val="(%2)"/>
      <w:numFmt w:val="lowerLetter"/>
      <w:start w:val="1"/>
    </w:lvl>
  </w:abstractNum>
  <w:abstractNum w:abstractNumId="69">
    <w:nsid w:val="45E6D48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0">
    <w:nsid w:val="5C10FE2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1">
    <w:nsid w:val="E7FFA2B"/>
    <w:multiLevelType w:val="hybridMultilevel"/>
    <w:lvl w:ilvl="0">
      <w:lvlJc w:val="left"/>
      <w:lvlText w:val="%1."/>
      <w:numFmt w:val="decimal"/>
      <w:start w:val="7"/>
    </w:lvl>
    <w:lvl w:ilvl="1">
      <w:lvlJc w:val="left"/>
      <w:lvlText w:val="(%2)"/>
      <w:numFmt w:val="lowerLetter"/>
      <w:start w:val="1"/>
    </w:lvl>
  </w:abstractNum>
  <w:abstractNum w:abstractNumId="72">
    <w:nsid w:val="3C5991AA"/>
    <w:multiLevelType w:val="hybridMultilevel"/>
    <w:lvl w:ilvl="0">
      <w:lvlJc w:val="left"/>
      <w:lvlText w:val="(%1)"/>
      <w:numFmt w:val="lowerLetter"/>
      <w:start w:val="5"/>
    </w:lvl>
  </w:abstractNum>
  <w:abstractNum w:abstractNumId="73">
    <w:nsid w:val="4BD8591A"/>
    <w:multiLevelType w:val="hybridMultilevel"/>
    <w:lvl w:ilvl="0">
      <w:lvlJc w:val="left"/>
      <w:lvlText w:val="(%1)"/>
      <w:numFmt w:val="lowerLetter"/>
      <w:start w:val="18"/>
    </w:lvl>
  </w:abstractNum>
  <w:abstractNum w:abstractNumId="74">
    <w:nsid w:val="78DF6A55"/>
    <w:multiLevelType w:val="hybridMultilevel"/>
    <w:lvl w:ilvl="0">
      <w:lvlJc w:val="left"/>
      <w:lvlText w:val="(%1)"/>
      <w:numFmt w:val="lowerLetter"/>
      <w:start w:val="1"/>
    </w:lvl>
  </w:abstractNum>
  <w:abstractNum w:abstractNumId="75">
    <w:nsid w:val="39B7AAA2"/>
    <w:multiLevelType w:val="hybridMultilevel"/>
    <w:lvl w:ilvl="0">
      <w:lvlJc w:val="left"/>
      <w:lvlText w:val="%1."/>
      <w:numFmt w:val="decimal"/>
      <w:start w:val="1"/>
    </w:lvl>
  </w:abstractNum>
  <w:abstractNum w:abstractNumId="76">
    <w:nsid w:val="2B0D8DBE"/>
    <w:multiLevelType w:val="hybridMultilevel"/>
    <w:lvl w:ilvl="0">
      <w:lvlJc w:val="left"/>
      <w:lvlText w:val="(%1)"/>
      <w:numFmt w:val="lowerLetter"/>
      <w:start w:val="1"/>
    </w:lvl>
  </w:abstractNum>
  <w:abstractNum w:abstractNumId="77">
    <w:nsid w:val="6C80EC70"/>
    <w:multiLevelType w:val="hybridMultilevel"/>
    <w:lvl w:ilvl="0">
      <w:lvlJc w:val="left"/>
      <w:lvlText w:val="%1."/>
      <w:numFmt w:val="decimal"/>
      <w:start w:val="4"/>
    </w:lvl>
  </w:abstractNum>
  <w:abstractNum w:abstractNumId="78">
    <w:nsid w:val="379E21B5"/>
    <w:multiLevelType w:val="hybridMultilevel"/>
    <w:lvl w:ilvl="0">
      <w:lvlJc w:val="left"/>
      <w:lvlText w:val="%1."/>
      <w:numFmt w:val="decimal"/>
      <w:start w:val="6"/>
    </w:lvl>
  </w:abstractNum>
  <w:abstractNum w:abstractNumId="79">
    <w:nsid w:val="69E373"/>
    <w:multiLevelType w:val="hybridMultilevel"/>
    <w:lvl w:ilvl="0">
      <w:lvlJc w:val="left"/>
      <w:lvlText w:val="%1."/>
      <w:numFmt w:val="decimal"/>
      <w:start w:val="7"/>
    </w:lvl>
  </w:abstractNum>
  <w:abstractNum w:abstractNumId="80">
    <w:nsid w:val="2C27173B"/>
    <w:multiLevelType w:val="hybridMultilevel"/>
    <w:lvl w:ilvl="0">
      <w:lvlJc w:val="left"/>
      <w:lvlText w:val="(%1)"/>
      <w:numFmt w:val="lowerLetter"/>
      <w:start w:val="2"/>
    </w:lvl>
  </w:abstractNum>
  <w:abstractNum w:abstractNumId="81">
    <w:nsid w:val="4C9B0904"/>
    <w:multiLevelType w:val="hybridMultilevel"/>
    <w:lvl w:ilvl="0">
      <w:lvlJc w:val="left"/>
      <w:lvlText w:val="%1."/>
      <w:numFmt w:val="decimal"/>
      <w:start w:val="8"/>
    </w:lvl>
  </w:abstractNum>
  <w:abstractNum w:abstractNumId="82">
    <w:nsid w:val="6AA7B75C"/>
    <w:multiLevelType w:val="hybridMultilevel"/>
    <w:lvl w:ilvl="0">
      <w:lvlJc w:val="left"/>
      <w:lvlText w:val="%1."/>
      <w:numFmt w:val="decimal"/>
      <w:start w:val="9"/>
    </w:lvl>
  </w:abstractNum>
  <w:abstractNum w:abstractNumId="83">
    <w:nsid w:val="1DF029D3"/>
    <w:multiLevelType w:val="hybridMultilevel"/>
    <w:lvl w:ilvl="0">
      <w:lvlJc w:val="left"/>
      <w:lvlText w:val="%1."/>
      <w:numFmt w:val="decimal"/>
      <w:start w:val="12"/>
    </w:lvl>
  </w:abstractNum>
  <w:abstractNum w:abstractNumId="84">
    <w:nsid w:val="5675FF36"/>
    <w:multiLevelType w:val="hybridMultilevel"/>
    <w:lvl w:ilvl="0">
      <w:lvlJc w:val="left"/>
      <w:lvlText w:val="(%1)"/>
      <w:numFmt w:val="lowerRoman"/>
      <w:start w:val="1"/>
    </w:lvl>
  </w:abstractNum>
  <w:abstractNum w:abstractNumId="85">
    <w:nsid w:val="3DD15094"/>
    <w:multiLevelType w:val="hybridMultilevel"/>
    <w:lvl w:ilvl="0">
      <w:lvlJc w:val="left"/>
      <w:lvlText w:val="(%1)"/>
      <w:numFmt w:val="lowerRoman"/>
      <w:start w:val="1"/>
    </w:lvl>
  </w:abstractNum>
  <w:abstractNum w:abstractNumId="86">
    <w:nsid w:val="3DB012B3"/>
    <w:multiLevelType w:val="hybridMultilevel"/>
    <w:lvl w:ilvl="0">
      <w:lvlJc w:val="left"/>
      <w:lvlText w:val="(%1)"/>
      <w:numFmt w:val="lowerLetter"/>
      <w:start w:val="4"/>
    </w:lvl>
  </w:abstractNum>
  <w:abstractNum w:abstractNumId="87">
    <w:nsid w:val="2708C9AF"/>
    <w:multiLevelType w:val="hybridMultilevel"/>
    <w:lvl w:ilvl="0">
      <w:lvlJc w:val="left"/>
      <w:lvlText w:val="(%1)"/>
      <w:numFmt w:val="lowerLetter"/>
      <w:start w:val="5"/>
    </w:lvl>
  </w:abstractNum>
  <w:abstractNum w:abstractNumId="88">
    <w:nsid w:val="5B25ACE2"/>
    <w:multiLevelType w:val="hybridMultilevel"/>
    <w:lvl w:ilvl="0">
      <w:lvlJc w:val="left"/>
      <w:lvlText w:val="(%1)"/>
      <w:numFmt w:val="lowerLetter"/>
      <w:start w:val="6"/>
    </w:lvl>
  </w:abstractNum>
  <w:abstractNum w:abstractNumId="89">
    <w:nsid w:val="175DFCF0"/>
    <w:multiLevelType w:val="hybridMultilevel"/>
    <w:lvl w:ilvl="0">
      <w:lvlJc w:val="left"/>
      <w:lvlText w:val="%1."/>
      <w:numFmt w:val="decimal"/>
      <w:start w:val="1"/>
    </w:lvl>
  </w:abstractNum>
  <w:abstractNum w:abstractNumId="90">
    <w:nsid w:val="4F97E3E4"/>
    <w:multiLevelType w:val="hybridMultilevel"/>
    <w:lvl w:ilvl="0">
      <w:lvlJc w:val="left"/>
      <w:lvlText w:val="%1."/>
      <w:numFmt w:val="decimal"/>
      <w:start w:val="4"/>
    </w:lvl>
  </w:abstractNum>
  <w:abstractNum w:abstractNumId="91">
    <w:nsid w:val="53B0A9E"/>
    <w:multiLevelType w:val="hybridMultilevel"/>
    <w:lvl w:ilvl="0">
      <w:lvlJc w:val="left"/>
      <w:lvlText w:val="%1."/>
      <w:numFmt w:val="decimal"/>
      <w:start w:val="6"/>
    </w:lvl>
  </w:abstractNum>
  <w:abstractNum w:abstractNumId="92">
    <w:nsid w:val="34FD6B4F"/>
    <w:multiLevelType w:val="hybridMultilevel"/>
    <w:lvl w:ilvl="0">
      <w:lvlJc w:val="left"/>
      <w:lvlText w:val="%1."/>
      <w:numFmt w:val="decimal"/>
      <w:start w:val="7"/>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1."/>
      <w:numFmt w:val="upperLetter"/>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7">
    <w:nsid w:val="17A1B582"/>
    <w:multiLevelType w:val="hybridMultilevel"/>
    <w:lvl w:ilvl="0">
      <w:lvlJc w:val="left"/>
      <w:lvlText w:val="%1."/>
      <w:numFmt w:val="decimal"/>
      <w:start w:val="2"/>
    </w:lvl>
  </w:abstractNum>
  <w:abstractNum w:abstractNumId="98">
    <w:nsid w:val="4DF72E4E"/>
    <w:multiLevelType w:val="hybridMultilevel"/>
    <w:lvl w:ilvl="0">
      <w:lvlJc w:val="left"/>
      <w:lvlText w:val="%1."/>
      <w:numFmt w:val="decimal"/>
      <w:start w:val="3"/>
    </w:lvl>
  </w:abstractNum>
  <w:abstractNum w:abstractNumId="99">
    <w:nsid w:val="5046B5A9"/>
    <w:multiLevelType w:val="hybridMultilevel"/>
    <w:lvl w:ilvl="0">
      <w:lvlJc w:val="left"/>
      <w:lvlText w:val="(%1)"/>
      <w:numFmt w:val="lowerRoman"/>
      <w:start w:val="1"/>
    </w:lvl>
  </w:abstractNum>
  <w:abstractNum w:abstractNumId="100">
    <w:nsid w:val="5D888A08"/>
    <w:multiLevelType w:val="hybridMultilevel"/>
    <w:lvl w:ilvl="0">
      <w:lvlJc w:val="left"/>
      <w:lvlText w:val="%1."/>
      <w:numFmt w:val="decimal"/>
      <w:start w:val="4"/>
    </w:lvl>
  </w:abstractNum>
  <w:abstractNum w:abstractNumId="101">
    <w:nsid w:val="2A082C70"/>
    <w:multiLevelType w:val="hybridMultilevel"/>
    <w:lvl w:ilvl="0">
      <w:lvlJc w:val="left"/>
      <w:lvlText w:val="(%1)"/>
      <w:numFmt w:val="lowerRoman"/>
      <w:start w:val="1"/>
    </w:lvl>
  </w:abstractNum>
  <w:abstractNum w:abstractNumId="102">
    <w:nsid w:val="5EC6AFD4"/>
    <w:multiLevelType w:val="hybridMultilevel"/>
    <w:lvl w:ilvl="0">
      <w:lvlJc w:val="left"/>
      <w:lvlText w:val="%1."/>
      <w:numFmt w:val="decimal"/>
      <w:start w:val="1"/>
    </w:lvl>
    <w:lvl w:ilvl="1">
      <w:lvlJc w:val="left"/>
      <w:lvlText w:val="(%2)"/>
      <w:numFmt w:val="lowerLetter"/>
      <w:start w:val="1"/>
    </w:lvl>
  </w:abstractNum>
  <w:abstractNum w:abstractNumId="103">
    <w:nsid w:val="19E21BB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04">
    <w:nsid w:val="75E0858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05">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6">
    <w:nsid w:val="5399C65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7">
    <w:nsid w:val="20EE1348"/>
    <w:multiLevelType w:val="hybridMultilevel"/>
    <w:lvl w:ilvl="0">
      <w:lvlJc w:val="left"/>
      <w:lvlText w:val="(%1)"/>
      <w:numFmt w:val="lowerLetter"/>
      <w:start w:val="3"/>
    </w:lvl>
  </w:abstractNum>
  <w:abstractNum w:abstractNumId="108">
    <w:nsid w:val="4427069A"/>
    <w:multiLevelType w:val="hybridMultilevel"/>
    <w:lvl w:ilvl="0">
      <w:lvlJc w:val="left"/>
      <w:lvlText w:val="(%1)"/>
      <w:numFmt w:val="lowerLetter"/>
      <w:start w:val="14"/>
    </w:lvl>
  </w:abstractNum>
  <w:abstractNum w:abstractNumId="109">
    <w:nsid w:val="B37E80A"/>
    <w:multiLevelType w:val="hybridMultilevel"/>
    <w:lvl w:ilvl="0">
      <w:lvlJc w:val="left"/>
      <w:lvlText w:val="(%1)"/>
      <w:numFmt w:val="lowerLetter"/>
      <w:start w:val="25"/>
    </w:lvl>
  </w:abstractNum>
  <w:abstractNum w:abstractNumId="110">
    <w:nsid w:val="2157F6BC"/>
    <w:multiLevelType w:val="hybridMultilevel"/>
    <w:lvl w:ilvl="0">
      <w:lvlJc w:val="left"/>
      <w:lvlText w:val="%1."/>
      <w:numFmt w:val="decimal"/>
      <w:start w:val="1"/>
    </w:lvl>
  </w:abstractNum>
  <w:abstractNum w:abstractNumId="111">
    <w:nsid w:val="704E1DD5"/>
    <w:multiLevelType w:val="hybridMultilevel"/>
    <w:lvl w:ilvl="0">
      <w:lvlJc w:val="left"/>
      <w:lvlText w:val="(%1)"/>
      <w:numFmt w:val="lowerLetter"/>
      <w:start w:val="1"/>
    </w:lvl>
  </w:abstractNum>
  <w:abstractNum w:abstractNumId="112">
    <w:nsid w:val="57D2F10E"/>
    <w:multiLevelType w:val="hybridMultilevel"/>
    <w:lvl w:ilvl="0">
      <w:lvlJc w:val="left"/>
      <w:lvlText w:val="(%1)"/>
      <w:numFmt w:val="lowerLetter"/>
      <w:start w:val="5"/>
    </w:lvl>
  </w:abstractNum>
  <w:abstractNum w:abstractNumId="113">
    <w:nsid w:val="BFFAE18"/>
    <w:multiLevelType w:val="hybridMultilevel"/>
    <w:lvl w:ilvl="0">
      <w:lvlJc w:val="left"/>
      <w:lvlText w:val="%1."/>
      <w:numFmt w:val="decimal"/>
      <w:start w:val="1"/>
    </w:lvl>
    <w:lvl w:ilvl="1">
      <w:lvlJc w:val="left"/>
      <w:lvlText w:val="(%2)"/>
      <w:numFmt w:val="lowerLetter"/>
      <w:start w:val="1"/>
    </w:lvl>
  </w:abstractNum>
  <w:abstractNum w:abstractNumId="114">
    <w:nsid w:val="E3E47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5">
    <w:nsid w:val="2E48F04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6">
    <w:nsid w:val="49D0FEA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17">
    <w:nsid w:val="4BEE5A5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8">
    <w:nsid w:val="5551B9F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9">
    <w:nsid w:val="24F6AB8E"/>
    <w:multiLevelType w:val="hybridMultilevel"/>
    <w:lvl w:ilvl="0">
      <w:lvlJc w:val="left"/>
      <w:lvlText w:val="%1."/>
      <w:numFmt w:val="decimal"/>
      <w:start w:val="9"/>
    </w:lvl>
    <w:lvl w:ilvl="1">
      <w:lvlJc w:val="left"/>
      <w:lvlText w:val="(%2)"/>
      <w:numFmt w:val="lowerLetter"/>
      <w:start w:val="1"/>
    </w:lvl>
  </w:abstractNum>
  <w:abstractNum w:abstractNumId="120">
    <w:nsid w:val="634C574C"/>
    <w:multiLevelType w:val="hybridMultilevel"/>
    <w:lvl w:ilvl="0">
      <w:lvlJc w:val="left"/>
      <w:lvlText w:val="(%1)"/>
      <w:numFmt w:val="lowerLetter"/>
      <w:start w:val="13"/>
    </w:lvl>
  </w:abstractNum>
  <w:abstractNum w:abstractNumId="121">
    <w:nsid w:val="24E99DD7"/>
    <w:multiLevelType w:val="hybridMultilevel"/>
    <w:lvl w:ilvl="0">
      <w:lvlJc w:val="left"/>
      <w:lvlText w:val="(%1)"/>
      <w:numFmt w:val="lowerLetter"/>
      <w:start w:val="24"/>
    </w:lvl>
  </w:abstractNum>
  <w:abstractNum w:abstractNumId="122">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1849C29B"/>
    <w:multiLevelType w:val="hybridMultilevel"/>
    <w:lvl w:ilvl="0">
      <w:lvlJc w:val="left"/>
      <w:lvlText w:val="(%1)"/>
      <w:numFmt w:val="lowerLetter"/>
      <w:start w:val="1"/>
    </w:lvl>
  </w:abstractNum>
  <w:abstractNum w:abstractNumId="124">
    <w:nsid w:val="7DFF9D09"/>
    <w:multiLevelType w:val="hybridMultilevel"/>
    <w:lvl w:ilvl="0">
      <w:lvlJc w:val="left"/>
      <w:lvlText w:val="(%1)"/>
      <w:numFmt w:val="lowerLetter"/>
      <w:start w:val="6"/>
    </w:lvl>
  </w:abstractNum>
  <w:abstractNum w:abstractNumId="125">
    <w:nsid w:val="754342"/>
    <w:multiLevelType w:val="hybridMultilevel"/>
    <w:lvl w:ilvl="0">
      <w:lvlJc w:val="left"/>
      <w:lvlText w:val="%1."/>
      <w:numFmt w:val="decimal"/>
      <w:start w:val="1"/>
    </w:lvl>
  </w:abstractNum>
  <w:abstractNum w:abstractNumId="126">
    <w:nsid w:val="69E7F3E5"/>
    <w:multiLevelType w:val="hybridMultilevel"/>
    <w:lvl w:ilvl="0">
      <w:lvlJc w:val="left"/>
      <w:lvlText w:val="(%1)"/>
      <w:numFmt w:val="lowerLetter"/>
      <w:start w:val="1"/>
    </w:lvl>
  </w:abstractNum>
  <w:abstractNum w:abstractNumId="127">
    <w:nsid w:val="2A6DE806"/>
    <w:multiLevelType w:val="hybridMultilevel"/>
    <w:lvl w:ilvl="0">
      <w:lvlJc w:val="left"/>
      <w:lvlText w:val="%1."/>
      <w:numFmt w:val="decimal"/>
      <w:start w:val="4"/>
    </w:lvl>
  </w:abstractNum>
  <w:abstractNum w:abstractNumId="128">
    <w:nsid w:val="1816F8C4"/>
    <w:multiLevelType w:val="hybridMultilevel"/>
    <w:lvl w:ilvl="0">
      <w:lvlJc w:val="left"/>
      <w:lvlText w:val="%1."/>
      <w:numFmt w:val="decimal"/>
      <w:start w:val="6"/>
    </w:lvl>
  </w:abstractNum>
  <w:abstractNum w:abstractNumId="129">
    <w:nsid w:val="37DF2233"/>
    <w:multiLevelType w:val="hybridMultilevel"/>
    <w:lvl w:ilvl="0">
      <w:lvlJc w:val="left"/>
      <w:lvlText w:val="%1."/>
      <w:numFmt w:val="decimal"/>
      <w:start w:val="7"/>
    </w:lvl>
  </w:abstractNum>
  <w:abstractNum w:abstractNumId="130">
    <w:nsid w:val="7AB49DAF"/>
    <w:multiLevelType w:val="hybridMultilevel"/>
    <w:lvl w:ilvl="0">
      <w:lvlJc w:val="left"/>
      <w:lvlText w:val="(%1)"/>
      <w:numFmt w:val="lowerLetter"/>
      <w:start w:val="2"/>
    </w:lvl>
  </w:abstractNum>
  <w:abstractNum w:abstractNumId="131">
    <w:nsid w:val="759F82CD"/>
    <w:multiLevelType w:val="hybridMultilevel"/>
    <w:lvl w:ilvl="0">
      <w:lvlJc w:val="left"/>
      <w:lvlText w:val="%1."/>
      <w:numFmt w:val="decimal"/>
      <w:start w:val="8"/>
    </w:lvl>
  </w:abstractNum>
  <w:abstractNum w:abstractNumId="132">
    <w:nsid w:val="61E74EA3"/>
    <w:multiLevelType w:val="hybridMultilevel"/>
    <w:lvl w:ilvl="0">
      <w:lvlJc w:val="left"/>
      <w:lvlText w:val="%1."/>
      <w:numFmt w:val="decimal"/>
      <w:start w:val="9"/>
    </w:lvl>
  </w:abstractNum>
  <w:abstractNum w:abstractNumId="133">
    <w:nsid w:val="597B4D84"/>
    <w:multiLevelType w:val="hybridMultilevel"/>
    <w:lvl w:ilvl="0">
      <w:lvlJc w:val="left"/>
      <w:lvlText w:val="%1."/>
      <w:numFmt w:val="decimal"/>
      <w:start w:val="12"/>
    </w:lvl>
  </w:abstractNum>
  <w:abstractNum w:abstractNumId="134">
    <w:nsid w:val="F819E7F"/>
    <w:multiLevelType w:val="hybridMultilevel"/>
    <w:lvl w:ilvl="0">
      <w:lvlJc w:val="left"/>
      <w:lvlText w:val="(%1)"/>
      <w:numFmt w:val="lowerRoman"/>
      <w:start w:val="1"/>
    </w:lvl>
  </w:abstractNum>
  <w:abstractNum w:abstractNumId="135">
    <w:nsid w:val="57C7D42D"/>
    <w:multiLevelType w:val="hybridMultilevel"/>
    <w:lvl w:ilvl="0">
      <w:lvlJc w:val="left"/>
      <w:lvlText w:val="(%1)"/>
      <w:numFmt w:val="lowerRoman"/>
      <w:start w:val="1"/>
    </w:lvl>
  </w:abstractNum>
  <w:abstractNum w:abstractNumId="136">
    <w:nsid w:val="312167AD"/>
    <w:multiLevelType w:val="hybridMultilevel"/>
    <w:lvl w:ilvl="0">
      <w:lvlJc w:val="left"/>
      <w:lvlText w:val="(%1)"/>
      <w:numFmt w:val="lowerLetter"/>
      <w:start w:val="4"/>
    </w:lvl>
  </w:abstractNum>
  <w:abstractNum w:abstractNumId="137">
    <w:nsid w:val="631B64D4"/>
    <w:multiLevelType w:val="hybridMultilevel"/>
    <w:lvl w:ilvl="0">
      <w:lvlJc w:val="left"/>
      <w:lvlText w:val="(%1)"/>
      <w:numFmt w:val="lowerLetter"/>
      <w:start w:val="5"/>
    </w:lvl>
  </w:abstractNum>
  <w:abstractNum w:abstractNumId="138">
    <w:nsid w:val="78B5E776"/>
    <w:multiLevelType w:val="hybridMultilevel"/>
    <w:lvl w:ilvl="0">
      <w:lvlJc w:val="left"/>
      <w:lvlText w:val="(%1)"/>
      <w:numFmt w:val="lowerLetter"/>
      <w:start w:val="6"/>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1."/>
      <w:numFmt w:val="decimal"/>
      <w:start w:val="4"/>
    </w:lvl>
  </w:abstractNum>
  <w:abstractNum w:abstractNumId="141">
    <w:nsid w:val="1A0DDE32"/>
    <w:multiLevelType w:val="hybridMultilevel"/>
    <w:lvl w:ilvl="0">
      <w:lvlJc w:val="left"/>
      <w:lvlText w:val="%1."/>
      <w:numFmt w:val="decimal"/>
      <w:start w:val="6"/>
    </w:lvl>
  </w:abstractNum>
  <w:abstractNum w:abstractNumId="142">
    <w:nsid w:val="65968C1C"/>
    <w:multiLevelType w:val="hybridMultilevel"/>
    <w:lvl w:ilvl="0">
      <w:lvlJc w:val="left"/>
      <w:lvlText w:val="%1."/>
      <w:numFmt w:val="decimal"/>
      <w:start w:val="7"/>
    </w:lvl>
  </w:abstractNum>
  <w:abstractNum w:abstractNumId="143">
    <w:nsid w:val="46263DEC"/>
    <w:multiLevelType w:val="hybridMultilevel"/>
    <w:lvl w:ilvl="0">
      <w:lvlJc w:val="left"/>
      <w:lvlText w:val="•"/>
      <w:numFmt w:val="bullet"/>
      <w:start w:val="1"/>
    </w:lvl>
  </w:abstractNum>
  <w:abstractNum w:abstractNumId="144">
    <w:nsid w:val="260D8C4A"/>
    <w:multiLevelType w:val="hybridMultilevel"/>
    <w:lvl w:ilvl="0">
      <w:lvlJc w:val="left"/>
      <w:lvlText w:val="%1."/>
      <w:numFmt w:val="upperLetter"/>
      <w:start w:val="1"/>
    </w:lvl>
  </w:abstractNum>
  <w:abstractNum w:abstractNumId="145">
    <w:nsid w:val="73D4D3C4"/>
    <w:multiLevelType w:val="hybridMultilevel"/>
    <w:lvl w:ilvl="0">
      <w:lvlJc w:val="left"/>
      <w:lvlText w:val="%1."/>
      <w:numFmt w:val="decimal"/>
      <w:start w:val="1"/>
    </w:lvl>
  </w:abstractNum>
  <w:abstractNum w:abstractNumId="146">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7">
    <w:nsid w:val="6FDE8AF6"/>
    <w:multiLevelType w:val="hybridMultilevel"/>
    <w:lvl w:ilvl="0">
      <w:lvlJc w:val="left"/>
      <w:lvlText w:val="%1."/>
      <w:numFmt w:val="decimal"/>
      <w:start w:val="2"/>
    </w:lvl>
  </w:abstractNum>
  <w:abstractNum w:abstractNumId="148">
    <w:nsid w:val="3FC32E20"/>
    <w:multiLevelType w:val="hybridMultilevel"/>
    <w:lvl w:ilvl="0">
      <w:lvlJc w:val="left"/>
      <w:lvlText w:val="%1."/>
      <w:numFmt w:val="decimal"/>
      <w:start w:val="3"/>
    </w:lvl>
  </w:abstractNum>
  <w:abstractNum w:abstractNumId="149">
    <w:nsid w:val="49C0E823"/>
    <w:multiLevelType w:val="hybridMultilevel"/>
    <w:lvl w:ilvl="0">
      <w:lvlJc w:val="left"/>
      <w:lvlText w:val="(%1)"/>
      <w:numFmt w:val="lowerRoman"/>
      <w:start w:val="1"/>
    </w:lvl>
  </w:abstractNum>
  <w:abstractNum w:abstractNumId="150">
    <w:nsid w:val="14D53685"/>
    <w:multiLevelType w:val="hybridMultilevel"/>
    <w:lvl w:ilvl="0">
      <w:lvlJc w:val="left"/>
      <w:lvlText w:val="%1."/>
      <w:numFmt w:val="decimal"/>
      <w:start w:val="4"/>
    </w:lvl>
  </w:abstractNum>
  <w:abstractNum w:abstractNumId="151">
    <w:nsid w:val="230F856C"/>
    <w:multiLevelType w:val="hybridMultilevel"/>
    <w:lvl w:ilvl="0">
      <w:lvlJc w:val="left"/>
      <w:lvlText w:val="(%1)"/>
      <w:numFmt w:val="lowerRoman"/>
      <w:start w:val="1"/>
    </w:lvl>
  </w:abstractNum>
  <w:abstractNum w:abstractNumId="152">
    <w:nsid w:val="6EAA85FB"/>
    <w:multiLevelType w:val="hybridMultilevel"/>
    <w:lvl w:ilvl="0">
      <w:lvlJc w:val="left"/>
      <w:lvlText w:val="%1."/>
      <w:numFmt w:val="decimal"/>
      <w:start w:val="1"/>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jpe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jpe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jpe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jpeg"/><Relationship Id="rId1186" Type="http://schemas.openxmlformats.org/officeDocument/2006/relationships/image" Target="media/image1179.pn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jpeg"/><Relationship Id="rId1198" Type="http://schemas.openxmlformats.org/officeDocument/2006/relationships/image" Target="media/image1191.jpe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jpeg"/><Relationship Id="rId1204" Type="http://schemas.openxmlformats.org/officeDocument/2006/relationships/image" Target="media/image1197.jpeg"/><Relationship Id="rId1205" Type="http://schemas.openxmlformats.org/officeDocument/2006/relationships/image" Target="media/image1198.jpeg"/><Relationship Id="rId1206" Type="http://schemas.openxmlformats.org/officeDocument/2006/relationships/image" Target="media/image1199.jpeg"/><Relationship Id="rId1207" Type="http://schemas.openxmlformats.org/officeDocument/2006/relationships/image" Target="media/image1200.jpeg"/><Relationship Id="rId1208" Type="http://schemas.openxmlformats.org/officeDocument/2006/relationships/image" Target="media/image1201.jpe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jpeg"/><Relationship Id="rId1213" Type="http://schemas.openxmlformats.org/officeDocument/2006/relationships/image" Target="media/image1206.jpeg"/><Relationship Id="rId1214" Type="http://schemas.openxmlformats.org/officeDocument/2006/relationships/image" Target="media/image1207.jpe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jpeg"/><Relationship Id="rId1742" Type="http://schemas.openxmlformats.org/officeDocument/2006/relationships/image" Target="media/image1735.jpeg"/><Relationship Id="rId1743" Type="http://schemas.openxmlformats.org/officeDocument/2006/relationships/image" Target="media/image1736.jpe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jpeg"/><Relationship Id="rId1747" Type="http://schemas.openxmlformats.org/officeDocument/2006/relationships/image" Target="media/image1740.jpe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jpeg"/><Relationship Id="rId1751" Type="http://schemas.openxmlformats.org/officeDocument/2006/relationships/image" Target="media/image1744.jpe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png"/><Relationship Id="rId1758" Type="http://schemas.openxmlformats.org/officeDocument/2006/relationships/image" Target="media/image1751.jpeg"/><Relationship Id="rId1759" Type="http://schemas.openxmlformats.org/officeDocument/2006/relationships/image" Target="media/image1752.jpeg"/><Relationship Id="rId1760" Type="http://schemas.openxmlformats.org/officeDocument/2006/relationships/image" Target="media/image1753.jpeg"/><Relationship Id="rId1761" Type="http://schemas.openxmlformats.org/officeDocument/2006/relationships/image" Target="media/image1754.jpeg"/><Relationship Id="rId1762" Type="http://schemas.openxmlformats.org/officeDocument/2006/relationships/image" Target="media/image1755.png"/><Relationship Id="rId1763" Type="http://schemas.openxmlformats.org/officeDocument/2006/relationships/image" Target="media/image1756.jpe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2022-02-16T06:14:57Z</dcterms:created>
  <dcterms:modified xsi:type="dcterms:W3CDTF">2022-02-16T06:14:57Z</dcterms:modified>
</cp:coreProperties>
</file>