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ectPr>
          <w:pgSz w:w="11900" w:h="16838" w:orient="portrait"/>
          <w:cols w:equalWidth="0" w:num="1">
            <w:col w:w="11220"/>
          </w:cols>
          <w:pgMar w:left="240" w:top="122" w:right="439" w:bottom="1440" w:gutter="0" w:footer="0" w:header="0"/>
        </w:sectPr>
      </w:pPr>
    </w:p>
    <w:p>
      <w:pPr>
        <w:spacing w:after="0" w:line="192" w:lineRule="exact"/>
        <w:rPr>
          <w:sz w:val="20"/>
          <w:szCs w:val="20"/>
          <w:color w:val="auto"/>
        </w:rPr>
      </w:pPr>
    </w:p>
    <w:p>
      <w:pPr>
        <w:ind w:left="2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660"/>
        <w:spacing w:after="0"/>
        <w:rPr>
          <w:sz w:val="20"/>
          <w:szCs w:val="20"/>
          <w:color w:val="auto"/>
        </w:rPr>
      </w:pPr>
      <w:r>
        <w:rPr>
          <w:rFonts w:ascii="Arial" w:cs="Arial" w:eastAsia="Arial" w:hAnsi="Arial"/>
          <w:sz w:val="21"/>
          <w:szCs w:val="21"/>
          <w:b w:val="1"/>
          <w:bCs w:val="1"/>
          <w:color w:val="auto"/>
        </w:rPr>
        <w:t>QUARTERLY REPORT PURSUANT TO SECTION 13 OR 15 (d) OF THE</w:t>
      </w:r>
    </w:p>
    <w:p>
      <w:pPr>
        <w:spacing w:after="0" w:line="26" w:lineRule="exact"/>
        <w:rPr>
          <w:sz w:val="20"/>
          <w:szCs w:val="20"/>
          <w:color w:val="auto"/>
        </w:rPr>
      </w:pPr>
    </w:p>
    <w:p>
      <w:pPr>
        <w:jc w:val="center"/>
        <w:ind w:right="1660"/>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0"/>
          <w:szCs w:val="20"/>
          <w:color w:val="auto"/>
        </w:rPr>
      </w:pPr>
    </w:p>
    <w:p>
      <w:pPr>
        <w:sectPr>
          <w:pgSz w:w="11900" w:h="16838" w:orient="portrait"/>
          <w:cols w:equalWidth="0" w:num="2">
            <w:col w:w="1820" w:space="720"/>
            <w:col w:w="8680"/>
          </w:cols>
          <w:pgMar w:left="240" w:top="122"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b w:val="1"/>
          <w:bCs w:val="1"/>
          <w:color w:val="auto"/>
        </w:rPr>
        <w:t>For the quarterly period ended February 1, 2003</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1220"/>
          </w:cols>
          <w:pgMar w:left="240" w:top="122" w:right="439" w:bottom="1440" w:gutter="0" w:footer="0" w:header="0"/>
          <w:type w:val="continuous"/>
        </w:sect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660"/>
        <w:spacing w:after="0"/>
        <w:rPr>
          <w:sz w:val="20"/>
          <w:szCs w:val="20"/>
          <w:color w:val="auto"/>
        </w:rPr>
      </w:pPr>
      <w:r>
        <w:rPr>
          <w:rFonts w:ascii="Arial" w:cs="Arial" w:eastAsia="Arial" w:hAnsi="Arial"/>
          <w:sz w:val="21"/>
          <w:szCs w:val="21"/>
          <w:b w:val="1"/>
          <w:bCs w:val="1"/>
          <w:color w:val="auto"/>
        </w:rPr>
        <w:t>TRANSITION REPORT PURSUANT TO SECTION 13 OR 15 (d) OF THE</w:t>
      </w:r>
    </w:p>
    <w:p>
      <w:pPr>
        <w:spacing w:after="0" w:line="26" w:lineRule="exact"/>
        <w:rPr>
          <w:sz w:val="20"/>
          <w:szCs w:val="20"/>
          <w:color w:val="auto"/>
        </w:rPr>
      </w:pPr>
    </w:p>
    <w:p>
      <w:pPr>
        <w:jc w:val="center"/>
        <w:ind w:right="1660"/>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0"/>
          <w:szCs w:val="20"/>
          <w:color w:val="auto"/>
        </w:rPr>
      </w:pPr>
    </w:p>
    <w:p>
      <w:pPr>
        <w:sectPr>
          <w:pgSz w:w="11900" w:h="16838" w:orient="portrait"/>
          <w:cols w:equalWidth="0" w:num="2">
            <w:col w:w="1820" w:space="720"/>
            <w:col w:w="8680"/>
          </w:cols>
          <w:pgMar w:left="240" w:top="122" w:right="439" w:bottom="1440" w:gutter="0" w:footer="0" w:header="0"/>
          <w:type w:val="continuous"/>
        </w:sect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0"/>
          <w:szCs w:val="20"/>
          <w:color w:val="auto"/>
        </w:rPr>
      </w:pPr>
    </w:p>
    <w:p>
      <w:pPr>
        <w:sectPr>
          <w:pgSz w:w="11900" w:h="16838" w:orient="portrait"/>
          <w:cols w:equalWidth="0" w:num="2">
            <w:col w:w="6420" w:space="720"/>
            <w:col w:w="4080"/>
          </w:cols>
          <w:pgMar w:left="240" w:top="122" w:right="439" w:bottom="1440" w:gutter="0" w:footer="0" w:header="0"/>
          <w:type w:val="continuous"/>
        </w:sectPr>
      </w:pPr>
    </w:p>
    <w:p>
      <w:pPr>
        <w:spacing w:after="0" w:line="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1-7819</w:t>
      </w: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38"/>
          <w:szCs w:val="38"/>
          <w:b w:val="1"/>
          <w:bCs w:val="1"/>
          <w:color w:val="auto"/>
        </w:rPr>
        <w:t>Analog Devices, Inc.</w:t>
      </w:r>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20"/>
          </w:cols>
          <w:pgMar w:left="240" w:top="122" w:right="439" w:bottom="1440" w:gutter="0" w:footer="0" w:header="0"/>
          <w:type w:val="continuous"/>
        </w:sectPr>
      </w:pPr>
    </w:p>
    <w:p>
      <w:pPr>
        <w:spacing w:after="0" w:line="26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Massachusetts</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0"/>
          <w:szCs w:val="20"/>
          <w:color w:val="auto"/>
        </w:rPr>
      </w:pPr>
    </w:p>
    <w:p>
      <w:pPr>
        <w:ind w:left="208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1720"/>
        <w:spacing w:after="0"/>
        <w:rPr>
          <w:sz w:val="20"/>
          <w:szCs w:val="20"/>
          <w:color w:val="auto"/>
        </w:rPr>
      </w:pPr>
      <w:r>
        <w:rPr>
          <w:rFonts w:ascii="Arial" w:cs="Arial" w:eastAsia="Arial" w:hAnsi="Arial"/>
          <w:sz w:val="18"/>
          <w:szCs w:val="18"/>
          <w:b w:val="1"/>
          <w:bCs w:val="1"/>
          <w:color w:val="auto"/>
        </w:rPr>
        <w:t>04-2348234</w:t>
      </w:r>
    </w:p>
    <w:p>
      <w:pPr>
        <w:spacing w:after="0" w:line="21" w:lineRule="exact"/>
        <w:rPr>
          <w:sz w:val="20"/>
          <w:szCs w:val="20"/>
          <w:color w:val="auto"/>
        </w:rPr>
      </w:pPr>
    </w:p>
    <w:p>
      <w:pPr>
        <w:jc w:val="center"/>
        <w:ind w:right="1720"/>
        <w:spacing w:after="0"/>
        <w:rPr>
          <w:sz w:val="20"/>
          <w:szCs w:val="20"/>
          <w:color w:val="auto"/>
        </w:rPr>
      </w:pPr>
      <w:r>
        <w:rPr>
          <w:rFonts w:ascii="Arial" w:cs="Arial" w:eastAsia="Arial" w:hAnsi="Arial"/>
          <w:sz w:val="16"/>
          <w:szCs w:val="16"/>
          <w:i w:val="1"/>
          <w:iCs w:val="1"/>
          <w:color w:val="auto"/>
        </w:rPr>
        <w:t>(I.R.S. Employer</w:t>
      </w:r>
    </w:p>
    <w:p>
      <w:pPr>
        <w:spacing w:after="0" w:line="32" w:lineRule="exact"/>
        <w:rPr>
          <w:sz w:val="20"/>
          <w:szCs w:val="20"/>
          <w:color w:val="auto"/>
        </w:rPr>
      </w:pPr>
    </w:p>
    <w:p>
      <w:pPr>
        <w:jc w:val="center"/>
        <w:ind w:right="172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0"/>
          <w:szCs w:val="20"/>
          <w:color w:val="auto"/>
        </w:rPr>
      </w:pPr>
    </w:p>
    <w:p>
      <w:pPr>
        <w:sectPr>
          <w:pgSz w:w="11900" w:h="16838" w:orient="portrait"/>
          <w:cols w:equalWidth="0" w:num="2">
            <w:col w:w="7480" w:space="720"/>
            <w:col w:w="3020"/>
          </w:cols>
          <w:pgMar w:left="240" w:top="122" w:right="439" w:bottom="1440" w:gutter="0" w:footer="0" w:header="0"/>
          <w:type w:val="continuous"/>
        </w:sectPr>
      </w:pPr>
    </w:p>
    <w:p>
      <w:pPr>
        <w:spacing w:after="0" w:line="36" w:lineRule="exact"/>
        <w:rPr>
          <w:sz w:val="20"/>
          <w:szCs w:val="20"/>
          <w:color w:val="auto"/>
        </w:rPr>
      </w:pPr>
    </w:p>
    <w:p>
      <w:pPr>
        <w:ind w:left="1780"/>
        <w:spacing w:after="0"/>
        <w:rPr>
          <w:sz w:val="20"/>
          <w:szCs w:val="20"/>
          <w:color w:val="auto"/>
        </w:rPr>
      </w:pPr>
      <w:r>
        <w:rPr>
          <w:rFonts w:ascii="Arial" w:cs="Arial" w:eastAsia="Arial" w:hAnsi="Arial"/>
          <w:sz w:val="15"/>
          <w:szCs w:val="15"/>
          <w:b w:val="1"/>
          <w:bCs w:val="1"/>
          <w:color w:val="auto"/>
        </w:rPr>
        <w:t>One Technology Way, Norwood, MA</w:t>
      </w:r>
    </w:p>
    <w:p>
      <w:pPr>
        <w:spacing w:after="0" w:line="56"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02062-9106</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0"/>
          <w:szCs w:val="20"/>
          <w:color w:val="auto"/>
        </w:rPr>
      </w:pPr>
    </w:p>
    <w:p>
      <w:pPr>
        <w:sectPr>
          <w:pgSz w:w="11900" w:h="16838" w:orient="portrait"/>
          <w:cols w:equalWidth="0" w:num="2">
            <w:col w:w="7700" w:space="720"/>
            <w:col w:w="2800"/>
          </w:cols>
          <w:pgMar w:left="240" w:top="122" w:right="439" w:bottom="1440" w:gutter="0" w:footer="0" w:header="0"/>
          <w:type w:val="continuous"/>
        </w:sectPr>
      </w:pPr>
    </w:p>
    <w:p>
      <w:pPr>
        <w:spacing w:after="0" w:line="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(781) 329-4700</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166370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firstLine="2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9"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 2003 there were 364,228,930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99"/>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2. Changes in Securities and Use of Proceeds</w:t>
        </w:r>
      </w:hyperlink>
    </w:p>
    <w:p>
      <w:pPr>
        <w:ind w:left="320"/>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CERTIFICATION</w:t>
        </w:r>
      </w:hyperlink>
    </w:p>
    <w:p>
      <w:pPr>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Ex-14.1 Code of Business Conduct and Ethics</w:t>
      </w:r>
    </w:p>
    <w:p>
      <w:pPr>
        <w:spacing w:after="0" w:line="231" w:lineRule="auto"/>
        <w:rPr>
          <w:sz w:val="20"/>
          <w:szCs w:val="20"/>
          <w:color w:val="auto"/>
        </w:rPr>
      </w:pPr>
      <w:r>
        <w:rPr>
          <w:rFonts w:ascii="Arial" w:cs="Arial" w:eastAsia="Arial" w:hAnsi="Arial"/>
          <w:sz w:val="22"/>
          <w:szCs w:val="22"/>
          <w:u w:val="single" w:color="auto"/>
          <w:color w:val="0000EE"/>
        </w:rPr>
        <w:t>Ex-99.1 Certification of the CEO</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Ex-99.2 Certification of the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PART I</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FINANCIAL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r>
      <w:tr>
        <w:trPr>
          <w:trHeight w:val="95"/>
        </w:trPr>
        <w:tc>
          <w:tcPr>
            <w:tcW w:w="5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63"/>
        </w:trPr>
        <w:tc>
          <w:tcPr>
            <w:tcW w:w="5320" w:type="dxa"/>
            <w:vAlign w:val="bottom"/>
          </w:tcPr>
          <w:p>
            <w:pPr>
              <w:spacing w:after="0"/>
              <w:rPr>
                <w:sz w:val="22"/>
                <w:szCs w:val="22"/>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February 1, 2003</w:t>
            </w:r>
          </w:p>
        </w:tc>
        <w:tc>
          <w:tcPr>
            <w:tcW w:w="340" w:type="dxa"/>
            <w:vAlign w:val="bottom"/>
          </w:tcPr>
          <w:p>
            <w:pPr>
              <w:spacing w:after="0"/>
              <w:rPr>
                <w:sz w:val="22"/>
                <w:szCs w:val="22"/>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February 2, 2002</w:t>
            </w:r>
          </w:p>
        </w:tc>
      </w:tr>
      <w:tr>
        <w:trPr>
          <w:trHeight w:val="95"/>
        </w:trPr>
        <w:tc>
          <w:tcPr>
            <w:tcW w:w="53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467,423</w:t>
            </w: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392,974</w:t>
            </w:r>
          </w:p>
        </w:tc>
        <w:tc>
          <w:tcPr>
            <w:tcW w:w="420" w:type="dxa"/>
            <w:vAlign w:val="bottom"/>
            <w:shd w:val="clear" w:color="auto" w:fill="EEEEEE"/>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214,286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189,177</w:t>
            </w:r>
          </w:p>
        </w:tc>
        <w:tc>
          <w:tcPr>
            <w:tcW w:w="420" w:type="dxa"/>
            <w:vAlign w:val="bottom"/>
          </w:tcPr>
          <w:p>
            <w:pPr>
              <w:spacing w:after="0"/>
              <w:rPr>
                <w:sz w:val="19"/>
                <w:szCs w:val="19"/>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253,137</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203,797</w:t>
            </w: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3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109,309</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104,709</w:t>
            </w: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Selling, marketing, general and administrative</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69,315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58,358</w:t>
            </w:r>
          </w:p>
        </w:tc>
        <w:tc>
          <w:tcPr>
            <w:tcW w:w="420" w:type="dxa"/>
            <w:vAlign w:val="bottom"/>
          </w:tcPr>
          <w:p>
            <w:pPr>
              <w:spacing w:after="0"/>
              <w:rPr>
                <w:sz w:val="18"/>
                <w:szCs w:val="18"/>
                <w:color w:val="auto"/>
              </w:rPr>
            </w:pPr>
          </w:p>
        </w:tc>
      </w:tr>
      <w:tr>
        <w:trPr>
          <w:trHeight w:val="216"/>
        </w:trPr>
        <w:tc>
          <w:tcPr>
            <w:tcW w:w="53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Amortization of intangibles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14,105</w:t>
            </w:r>
          </w:p>
        </w:tc>
        <w:tc>
          <w:tcPr>
            <w:tcW w:w="420" w:type="dxa"/>
            <w:vAlign w:val="bottom"/>
            <w:shd w:val="clear" w:color="auto" w:fill="EEEEEE"/>
          </w:tcPr>
          <w:p>
            <w:pPr>
              <w:spacing w:after="0"/>
              <w:rPr>
                <w:sz w:val="18"/>
                <w:szCs w:val="18"/>
                <w:color w:val="auto"/>
              </w:rPr>
            </w:pPr>
          </w:p>
        </w:tc>
      </w:tr>
      <w:tr>
        <w:trPr>
          <w:trHeight w:val="108"/>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7"/>
        </w:trPr>
        <w:tc>
          <w:tcPr>
            <w:tcW w:w="5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179,276</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177,172</w:t>
            </w:r>
          </w:p>
        </w:tc>
        <w:tc>
          <w:tcPr>
            <w:tcW w:w="420" w:type="dxa"/>
            <w:vAlign w:val="bottom"/>
          </w:tcPr>
          <w:p>
            <w:pPr>
              <w:spacing w:after="0"/>
              <w:rPr>
                <w:sz w:val="24"/>
                <w:szCs w:val="24"/>
                <w:color w:val="auto"/>
              </w:rPr>
            </w:pPr>
          </w:p>
        </w:tc>
      </w:tr>
      <w:tr>
        <w:trPr>
          <w:trHeight w:val="217"/>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73,861</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26,625</w:t>
            </w: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Nonoperating (income) expenses:</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3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Interest expense</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8,793</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13,783</w:t>
            </w:r>
          </w:p>
        </w:tc>
        <w:tc>
          <w:tcPr>
            <w:tcW w:w="420" w:type="dxa"/>
            <w:vAlign w:val="bottom"/>
            <w:shd w:val="clear" w:color="auto" w:fill="EEEEEE"/>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(11,963)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(20,359)</w:t>
            </w:r>
          </w:p>
        </w:tc>
      </w:tr>
      <w:tr>
        <w:trPr>
          <w:trHeight w:val="216"/>
        </w:trPr>
        <w:tc>
          <w:tcPr>
            <w:tcW w:w="53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 net</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(1,091)</w:t>
            </w:r>
          </w:p>
        </w:tc>
      </w:tr>
      <w:tr>
        <w:trPr>
          <w:trHeight w:val="108"/>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(3,052)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(7,667)</w:t>
            </w:r>
          </w:p>
        </w:tc>
      </w:tr>
      <w:tr>
        <w:trPr>
          <w:trHeight w:val="110"/>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76,913</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34,292</w:t>
            </w:r>
          </w:p>
        </w:tc>
        <w:tc>
          <w:tcPr>
            <w:tcW w:w="420" w:type="dxa"/>
            <w:vAlign w:val="bottom"/>
            <w:shd w:val="clear" w:color="auto" w:fill="EEEEEE"/>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16,921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9,602</w:t>
            </w:r>
          </w:p>
        </w:tc>
        <w:tc>
          <w:tcPr>
            <w:tcW w:w="420" w:type="dxa"/>
            <w:vAlign w:val="bottom"/>
          </w:tcPr>
          <w:p>
            <w:pPr>
              <w:spacing w:after="0"/>
              <w:rPr>
                <w:sz w:val="19"/>
                <w:szCs w:val="19"/>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59,992</w:t>
            </w: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24,690</w:t>
            </w:r>
          </w:p>
        </w:tc>
        <w:tc>
          <w:tcPr>
            <w:tcW w:w="420" w:type="dxa"/>
            <w:vAlign w:val="bottom"/>
            <w:shd w:val="clear" w:color="auto" w:fill="EEEEEE"/>
          </w:tcPr>
          <w:p>
            <w:pPr>
              <w:spacing w:after="0"/>
              <w:rPr>
                <w:sz w:val="18"/>
                <w:szCs w:val="18"/>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Arial" w:cs="Arial" w:eastAsia="Arial" w:hAnsi="Arial"/>
                <w:sz w:val="18"/>
                <w:szCs w:val="18"/>
                <w:color w:val="auto"/>
              </w:rPr>
              <w:t>Shares used to compute earnings per share – basic</w:t>
            </w: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363,138</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363,147</w:t>
            </w:r>
          </w:p>
        </w:tc>
        <w:tc>
          <w:tcPr>
            <w:tcW w:w="42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diluted</w:t>
            </w: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378,197</w:t>
            </w:r>
          </w:p>
        </w:tc>
        <w:tc>
          <w:tcPr>
            <w:tcW w:w="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383,471</w:t>
            </w:r>
          </w:p>
        </w:tc>
        <w:tc>
          <w:tcPr>
            <w:tcW w:w="420" w:type="dxa"/>
            <w:vAlign w:val="bottom"/>
            <w:shd w:val="clear" w:color="auto" w:fill="EEEEEE"/>
          </w:tcPr>
          <w:p>
            <w:pPr>
              <w:spacing w:after="0"/>
              <w:rPr>
                <w:sz w:val="18"/>
                <w:szCs w:val="18"/>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32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4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tcPr>
          <w:p>
            <w:pPr>
              <w:spacing w:after="0"/>
              <w:rPr>
                <w:sz w:val="24"/>
                <w:szCs w:val="24"/>
                <w:color w:val="auto"/>
              </w:rPr>
            </w:pPr>
          </w:p>
        </w:tc>
      </w:tr>
      <w:tr>
        <w:trPr>
          <w:trHeight w:val="107"/>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diluted</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4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0.06</w:t>
            </w:r>
          </w:p>
        </w:tc>
        <w:tc>
          <w:tcPr>
            <w:tcW w:w="420" w:type="dxa"/>
            <w:vAlign w:val="bottom"/>
            <w:shd w:val="clear" w:color="auto" w:fill="EEEEEE"/>
          </w:tcPr>
          <w:p>
            <w:pPr>
              <w:spacing w:after="0"/>
              <w:rPr>
                <w:sz w:val="18"/>
                <w:szCs w:val="18"/>
                <w:color w:val="auto"/>
              </w:rPr>
            </w:pPr>
          </w:p>
        </w:tc>
      </w:tr>
      <w:tr>
        <w:trPr>
          <w:trHeight w:val="105"/>
        </w:trPr>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ind w:left="18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5"/>
                <w:szCs w:val="15"/>
                <w:color w:val="auto"/>
              </w:rPr>
            </w:pPr>
          </w:p>
        </w:tc>
        <w:tc>
          <w:tcPr>
            <w:tcW w:w="1640" w:type="dxa"/>
            <w:vAlign w:val="bottom"/>
            <w:gridSpan w:val="3"/>
          </w:tcPr>
          <w:p>
            <w:pPr>
              <w:ind w:left="320"/>
              <w:spacing w:after="0"/>
              <w:rPr>
                <w:sz w:val="20"/>
                <w:szCs w:val="20"/>
                <w:color w:val="auto"/>
              </w:rPr>
            </w:pPr>
            <w:r>
              <w:rPr>
                <w:rFonts w:ascii="Arial" w:cs="Arial" w:eastAsia="Arial" w:hAnsi="Arial"/>
                <w:sz w:val="14"/>
                <w:szCs w:val="14"/>
                <w:b w:val="1"/>
                <w:bCs w:val="1"/>
                <w:color w:val="auto"/>
              </w:rPr>
              <w:t>February 1, 2003</w:t>
            </w:r>
          </w:p>
        </w:tc>
        <w:tc>
          <w:tcPr>
            <w:tcW w:w="220" w:type="dxa"/>
            <w:vAlign w:val="bottom"/>
          </w:tcPr>
          <w:p>
            <w:pPr>
              <w:spacing w:after="0"/>
              <w:rPr>
                <w:sz w:val="15"/>
                <w:szCs w:val="15"/>
                <w:color w:val="auto"/>
              </w:rPr>
            </w:pPr>
          </w:p>
        </w:tc>
        <w:tc>
          <w:tcPr>
            <w:tcW w:w="1660" w:type="dxa"/>
            <w:vAlign w:val="bottom"/>
            <w:gridSpan w:val="3"/>
          </w:tcPr>
          <w:p>
            <w:pPr>
              <w:ind w:left="300"/>
              <w:spacing w:after="0"/>
              <w:rPr>
                <w:sz w:val="20"/>
                <w:szCs w:val="20"/>
                <w:color w:val="auto"/>
              </w:rPr>
            </w:pPr>
            <w:r>
              <w:rPr>
                <w:rFonts w:ascii="Arial" w:cs="Arial" w:eastAsia="Arial" w:hAnsi="Arial"/>
                <w:sz w:val="14"/>
                <w:szCs w:val="14"/>
                <w:b w:val="1"/>
                <w:bCs w:val="1"/>
                <w:color w:val="auto"/>
              </w:rPr>
              <w:t>November 2, 2002</w:t>
            </w:r>
          </w:p>
        </w:tc>
        <w:tc>
          <w:tcPr>
            <w:tcW w:w="200" w:type="dxa"/>
            <w:vAlign w:val="bottom"/>
          </w:tcPr>
          <w:p>
            <w:pPr>
              <w:spacing w:after="0"/>
              <w:rPr>
                <w:sz w:val="15"/>
                <w:szCs w:val="15"/>
                <w:color w:val="auto"/>
              </w:rPr>
            </w:pPr>
          </w:p>
        </w:tc>
        <w:tc>
          <w:tcPr>
            <w:tcW w:w="1620" w:type="dxa"/>
            <w:vAlign w:val="bottom"/>
            <w:gridSpan w:val="3"/>
          </w:tcPr>
          <w:p>
            <w:pPr>
              <w:ind w:left="320"/>
              <w:spacing w:after="0"/>
              <w:rPr>
                <w:sz w:val="20"/>
                <w:szCs w:val="20"/>
                <w:color w:val="auto"/>
              </w:rPr>
            </w:pPr>
            <w:r>
              <w:rPr>
                <w:rFonts w:ascii="Arial" w:cs="Arial" w:eastAsia="Arial" w:hAnsi="Arial"/>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$1,552,371</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$1,613,753</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$1,500,496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1,447,361</w:t>
            </w:r>
          </w:p>
        </w:tc>
        <w:tc>
          <w:tcPr>
            <w:tcW w:w="4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1,284,270</w:t>
            </w:r>
          </w:p>
        </w:tc>
        <w:tc>
          <w:tcPr>
            <w:tcW w:w="4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1,394,126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 net</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231,422</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228,338</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197,596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Raw materials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14,936</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14,598</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16,624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Work in process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223,669</w:t>
            </w:r>
          </w:p>
        </w:tc>
        <w:tc>
          <w:tcPr>
            <w:tcW w:w="4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225,680</w:t>
            </w:r>
          </w:p>
        </w:tc>
        <w:tc>
          <w:tcPr>
            <w:tcW w:w="4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171,115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Finished goods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55,873</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66,113</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53,368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294,478</w:t>
            </w:r>
          </w:p>
        </w:tc>
        <w:tc>
          <w:tcPr>
            <w:tcW w:w="4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306,391</w:t>
            </w:r>
          </w:p>
        </w:tc>
        <w:tc>
          <w:tcPr>
            <w:tcW w:w="4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241,107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144,879</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152,552</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130,000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40,554</w:t>
            </w:r>
          </w:p>
        </w:tc>
        <w:tc>
          <w:tcPr>
            <w:tcW w:w="4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38,921</w:t>
            </w:r>
          </w:p>
        </w:tc>
        <w:tc>
          <w:tcPr>
            <w:tcW w:w="4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34,003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current assets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3,711,065</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3,624,225</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3,497,328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1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Land and buildings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294,247</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294,037</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294,251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Machinery and equipment</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1,386,093</w:t>
            </w:r>
          </w:p>
        </w:tc>
        <w:tc>
          <w:tcPr>
            <w:tcW w:w="4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1,385,198</w:t>
            </w:r>
          </w:p>
        </w:tc>
        <w:tc>
          <w:tcPr>
            <w:tcW w:w="4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1,440,323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Office equipment</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93,499</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95,120</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94,125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130,702</w:t>
            </w:r>
          </w:p>
        </w:tc>
        <w:tc>
          <w:tcPr>
            <w:tcW w:w="4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131,113</w:t>
            </w:r>
          </w:p>
        </w:tc>
        <w:tc>
          <w:tcPr>
            <w:tcW w:w="4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130,522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1,904,541</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1,905,468</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1,959,221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1,149,970</w:t>
            </w:r>
          </w:p>
        </w:tc>
        <w:tc>
          <w:tcPr>
            <w:tcW w:w="4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1,124,564</w:t>
            </w:r>
          </w:p>
        </w:tc>
        <w:tc>
          <w:tcPr>
            <w:tcW w:w="4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1,082,381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property, plant and equipment</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754,571</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780,904</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876,840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40" w:type="dxa"/>
            <w:vAlign w:val="bottom"/>
            <w:gridSpan w:val="2"/>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gridSpan w:val="2"/>
          </w:tcPr>
          <w:p>
            <w:pPr>
              <w:spacing w:after="0"/>
              <w:rPr>
                <w:sz w:val="20"/>
                <w:szCs w:val="20"/>
                <w:color w:val="auto"/>
              </w:rPr>
            </w:pPr>
            <w:r>
              <w:rPr>
                <w:rFonts w:ascii="Arial" w:cs="Arial" w:eastAsia="Arial" w:hAnsi="Arial"/>
                <w:sz w:val="18"/>
                <w:szCs w:val="18"/>
                <w:color w:val="auto"/>
              </w:rPr>
              <w:t>Deferred compensation plan investments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273,714</w:t>
            </w:r>
          </w:p>
        </w:tc>
        <w:tc>
          <w:tcPr>
            <w:tcW w:w="4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277,595</w:t>
            </w:r>
          </w:p>
        </w:tc>
        <w:tc>
          <w:tcPr>
            <w:tcW w:w="4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252,996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Other investments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2,881</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2,010</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6,778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Goodwill, net</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163,373</w:t>
            </w:r>
          </w:p>
        </w:tc>
        <w:tc>
          <w:tcPr>
            <w:tcW w:w="4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163,373</w:t>
            </w:r>
          </w:p>
        </w:tc>
        <w:tc>
          <w:tcPr>
            <w:tcW w:w="4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204,596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10,612</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11,264</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13,221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assets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116,086</w:t>
            </w:r>
          </w:p>
        </w:tc>
        <w:tc>
          <w:tcPr>
            <w:tcW w:w="4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120,820</w:t>
            </w:r>
          </w:p>
        </w:tc>
        <w:tc>
          <w:tcPr>
            <w:tcW w:w="4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63,639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other assets</w:t>
            </w:r>
          </w:p>
        </w:tc>
        <w:tc>
          <w:tcPr>
            <w:tcW w:w="14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566,666</w:t>
            </w:r>
          </w:p>
        </w:tc>
        <w:tc>
          <w:tcPr>
            <w:tcW w:w="46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575,062</w:t>
            </w:r>
          </w:p>
        </w:tc>
        <w:tc>
          <w:tcPr>
            <w:tcW w:w="48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541,230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$5,032,302</w:t>
            </w:r>
          </w:p>
        </w:tc>
        <w:tc>
          <w:tcPr>
            <w:tcW w:w="4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$4,980,191</w:t>
            </w:r>
          </w:p>
        </w:tc>
        <w:tc>
          <w:tcPr>
            <w:tcW w:w="4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$4,915,398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ind w:left="16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Pr>
          <w:p>
            <w:pPr>
              <w:spacing w:after="0"/>
              <w:rPr>
                <w:sz w:val="15"/>
                <w:szCs w:val="15"/>
                <w:color w:val="auto"/>
              </w:rPr>
            </w:pPr>
          </w:p>
        </w:tc>
        <w:tc>
          <w:tcPr>
            <w:tcW w:w="1560" w:type="dxa"/>
            <w:vAlign w:val="bottom"/>
            <w:gridSpan w:val="3"/>
          </w:tcPr>
          <w:p>
            <w:pPr>
              <w:ind w:left="280"/>
              <w:spacing w:after="0"/>
              <w:rPr>
                <w:sz w:val="20"/>
                <w:szCs w:val="20"/>
                <w:color w:val="auto"/>
              </w:rPr>
            </w:pPr>
            <w:r>
              <w:rPr>
                <w:rFonts w:ascii="Arial" w:cs="Arial" w:eastAsia="Arial" w:hAnsi="Arial"/>
                <w:sz w:val="14"/>
                <w:szCs w:val="14"/>
                <w:b w:val="1"/>
                <w:bCs w:val="1"/>
                <w:color w:val="auto"/>
              </w:rPr>
              <w:t>February 1, 2003</w:t>
            </w:r>
          </w:p>
        </w:tc>
        <w:tc>
          <w:tcPr>
            <w:tcW w:w="240" w:type="dxa"/>
            <w:vAlign w:val="bottom"/>
          </w:tcPr>
          <w:p>
            <w:pPr>
              <w:spacing w:after="0"/>
              <w:rPr>
                <w:sz w:val="15"/>
                <w:szCs w:val="15"/>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November 2, 2002</w:t>
            </w:r>
          </w:p>
        </w:tc>
        <w:tc>
          <w:tcPr>
            <w:tcW w:w="240" w:type="dxa"/>
            <w:vAlign w:val="bottom"/>
          </w:tcPr>
          <w:p>
            <w:pPr>
              <w:spacing w:after="0"/>
              <w:rPr>
                <w:sz w:val="15"/>
                <w:szCs w:val="15"/>
                <w:color w:val="auto"/>
              </w:rPr>
            </w:pPr>
          </w:p>
        </w:tc>
        <w:tc>
          <w:tcPr>
            <w:tcW w:w="15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w w:val="96"/>
              </w:rPr>
              <w:t>Short-term borrowings and current portion of obligations under capital</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leases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2,561</w:t>
            </w:r>
          </w:p>
        </w:tc>
        <w:tc>
          <w:tcPr>
            <w:tcW w:w="4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3,745</w:t>
            </w:r>
          </w:p>
        </w:tc>
        <w:tc>
          <w:tcPr>
            <w:tcW w:w="44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4,601</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80,389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91,269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97,592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on shipments to distributors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106,686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110,271</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122,337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138,752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126,471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117,617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138,909</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151,879</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168,178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467,297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483,635</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510,325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and obligations under capital leases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1,275,516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1,274,487</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1,201,244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22,612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Deferred compensation plan liability</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278,891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283,210</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258,654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17,533</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16,231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non-current liabilities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1,591,940</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1,596,540</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1,522,009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Preferred stock, $1.00 par value, 471,934 shares authorized, none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w w:val="97"/>
              </w:rPr>
              <w:t>Common stock, $0.16 2/3 par value, 600,000,000 shares authorized,</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368,703,550 shares issued (367,680,211 on November 2, 2002 and</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364,982,102 on February 2, 2002)</w:t>
            </w: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61,452</w:t>
            </w:r>
          </w:p>
        </w:tc>
        <w:tc>
          <w:tcPr>
            <w:tcW w:w="4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61,281</w:t>
            </w:r>
          </w:p>
        </w:tc>
        <w:tc>
          <w:tcPr>
            <w:tcW w:w="4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60,832</w:t>
            </w:r>
          </w:p>
        </w:tc>
        <w:tc>
          <w:tcPr>
            <w:tcW w:w="4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771,249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762,473</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728,762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2,239,611</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2,179,619</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2,099,010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(1,908)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3,074,146</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3,001,465</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2,886,180</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88"/>
              </w:rPr>
              <w:t>Less 4,474,620 shares in treasury, at cost (4,493,186 on November 2, 2002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and 64,132 on February 2, 2002)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101,081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101,449</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2,973,065</w:t>
            </w: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2,900,016</w:t>
            </w: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2,883,064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5,032,302</w:t>
            </w:r>
          </w:p>
        </w:tc>
        <w:tc>
          <w:tcPr>
            <w:tcW w:w="4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4,980,191</w:t>
            </w:r>
          </w:p>
        </w:tc>
        <w:tc>
          <w:tcPr>
            <w:tcW w:w="4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4,915,398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80" w:type="dxa"/>
            <w:vAlign w:val="bottom"/>
            <w:gridSpan w:val="4"/>
          </w:tcPr>
          <w:p>
            <w:pPr>
              <w:ind w:left="74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February 1, 2003</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40" w:type="dxa"/>
            <w:vAlign w:val="bottom"/>
          </w:tcPr>
          <w:p>
            <w:pPr>
              <w:ind w:left="5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59,992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24,690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4"/>
              </w:rPr>
              <w:t>Adjustments to reconcile net income to net cash provided by operations:</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41,539</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Amortization</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14,136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4,943</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Other non-cash expense</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2,282</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(4,153)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adjustments</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45,263</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86,591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105,255</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111,281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Purchase of short-term available-for-sale investments</w:t>
            </w:r>
          </w:p>
        </w:tc>
        <w:tc>
          <w:tcPr>
            <w:tcW w:w="64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(1,235,318)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(821,338)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Maturities of short-term available-for-sale investments</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1,072,227</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855,490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Payments for acquisitions, net of cash acquired</w:t>
            </w:r>
          </w:p>
        </w:tc>
        <w:tc>
          <w:tcPr>
            <w:tcW w:w="640" w:type="dxa"/>
            <w:vAlign w:val="bottom"/>
          </w:tcPr>
          <w:p>
            <w:pPr>
              <w:spacing w:after="0"/>
              <w:rPr>
                <w:sz w:val="18"/>
                <w:szCs w:val="18"/>
                <w:color w:val="auto"/>
              </w:rPr>
            </w:pPr>
          </w:p>
        </w:tc>
        <w:tc>
          <w:tcPr>
            <w:tcW w:w="1980" w:type="dxa"/>
            <w:vAlign w:val="bottom"/>
            <w:gridSpan w:val="4"/>
          </w:tcPr>
          <w:p>
            <w:pPr>
              <w:jc w:val="right"/>
              <w:ind w:right="1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Additions to property, plant and equipment, net</w:t>
            </w:r>
          </w:p>
        </w:tc>
        <w:tc>
          <w:tcPr>
            <w:tcW w:w="64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(14,953)</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Decrease (increase) in other assets</w:t>
            </w:r>
          </w:p>
        </w:tc>
        <w:tc>
          <w:tcPr>
            <w:tcW w:w="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5,716</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Net cash (used for) provided by investing activities</w:t>
            </w:r>
          </w:p>
        </w:tc>
        <w:tc>
          <w:tcPr>
            <w:tcW w:w="64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(172,328)</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18,376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7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employee stock plans</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6,731</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10,354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Payments on capital lease obligations</w:t>
            </w:r>
          </w:p>
        </w:tc>
        <w:tc>
          <w:tcPr>
            <w:tcW w:w="64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(1,404)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decrease in variable rate borrowings</w:t>
            </w:r>
          </w:p>
        </w:tc>
        <w:tc>
          <w:tcPr>
            <w:tcW w:w="640" w:type="dxa"/>
            <w:vAlign w:val="bottom"/>
            <w:tcBorders>
              <w:right w:val="single" w:sz="8" w:color="EEEEEE"/>
            </w:tcBorders>
            <w:shd w:val="clear" w:color="auto" w:fill="EEEEEE"/>
          </w:tcPr>
          <w:p>
            <w:pPr>
              <w:spacing w:after="0"/>
              <w:rPr>
                <w:sz w:val="18"/>
                <w:szCs w:val="18"/>
                <w:color w:val="auto"/>
              </w:rPr>
            </w:pPr>
          </w:p>
        </w:tc>
        <w:tc>
          <w:tcPr>
            <w:tcW w:w="140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7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4,377</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1,314</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08"/>
        </w:trPr>
        <w:tc>
          <w:tcPr>
            <w:tcW w:w="57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64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(61,382)</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135,547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64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1,613,753</w:t>
            </w:r>
          </w:p>
        </w:tc>
        <w:tc>
          <w:tcPr>
            <w:tcW w:w="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1,364,949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tcPr>
          <w:p>
            <w:pPr>
              <w:ind w:left="5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1,552,371</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1,500,496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FEBRUARY 1, 2003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25"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2,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2003 and fiscal 2002 are 52-week fiscal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2 – Stock-Based Compensation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has adopted the disclosure requirements of Statement of Financial Accounting Standards No. 148 (FAS 148), “Accounting for Stock-Based Compensation - Transition and Disclosure” effective November 3, 2002. FAS 148 amends Statement of Financial Accounting Standards No. 123 (FAS 123), “Accounting for Stock-Based Compensation,” to provide alternative methods of transition for a voluntary change to the fair value based method of accounting for stock-based compensation and also amends the disclosure requirements of FAS 123 to require prominent disclosures in both annual and interim financial statements about the methods of accounting for stock-based employee compensation and the effect of the method used on reported results. As permitted by FAS 148 and FAS 123, the Company continues to apply the accounting provisions of APB 25, and related interpretations, with regard to the measurement of compensation cost for options granted under the Company’s equity compensation plans, consisting of the 2001 Broad-Based Stock Option Plan, the 1998 Stock Option Plan, the Restated 1994 Director Option Plan, the Restated 1988 Stock Option Plan and the 1992 Employee Stock Purchase Plan. No material employee compensation expense has been recorded as all options granted had an exercise price equal to the market value of the underlying common stock on the date of grant. Had expense been recognized using the fair value method described in FAS 123, using the Black-Scholes option-pricing model, we would have reported the following results of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8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February 1, 2003</w:t>
            </w:r>
          </w:p>
        </w:tc>
        <w:tc>
          <w:tcPr>
            <w:tcW w:w="260" w:type="dxa"/>
            <w:vAlign w:val="bottom"/>
          </w:tcPr>
          <w:p>
            <w:pPr>
              <w:spacing w:after="0"/>
              <w:rPr>
                <w:sz w:val="22"/>
                <w:szCs w:val="22"/>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February 2, 2002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59,992</w:t>
            </w:r>
          </w:p>
        </w:tc>
        <w:tc>
          <w:tcPr>
            <w:tcW w:w="4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24,690</w:t>
            </w:r>
          </w:p>
        </w:tc>
        <w:tc>
          <w:tcPr>
            <w:tcW w:w="4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340" w:type="dxa"/>
            <w:vAlign w:val="bottom"/>
            <w:gridSpan w:val="2"/>
            <w:vMerge w:val="restart"/>
          </w:tcPr>
          <w:p>
            <w:pPr>
              <w:ind w:left="860"/>
              <w:spacing w:after="0"/>
              <w:rPr>
                <w:sz w:val="20"/>
                <w:szCs w:val="20"/>
                <w:color w:val="auto"/>
              </w:rPr>
            </w:pPr>
            <w:r>
              <w:rPr>
                <w:rFonts w:ascii="Arial" w:cs="Arial" w:eastAsia="Arial" w:hAnsi="Arial"/>
                <w:sz w:val="18"/>
                <w:szCs w:val="18"/>
                <w:color w:val="auto"/>
                <w:w w:val="99"/>
              </w:rPr>
              <w:t>Deduct: total stock-based compensation expense determined under the fair value</w:t>
            </w: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73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460" w:type="dxa"/>
            <w:vAlign w:val="bottom"/>
          </w:tcPr>
          <w:p>
            <w:pPr>
              <w:ind w:left="120"/>
              <w:spacing w:after="0"/>
              <w:rPr>
                <w:sz w:val="20"/>
                <w:szCs w:val="20"/>
                <w:color w:val="auto"/>
              </w:rPr>
            </w:pPr>
            <w:r>
              <w:rPr>
                <w:rFonts w:ascii="Arial" w:cs="Arial" w:eastAsia="Arial" w:hAnsi="Arial"/>
                <w:sz w:val="18"/>
                <w:szCs w:val="18"/>
                <w:color w:val="auto"/>
              </w:rPr>
              <w:t>method, net of tax</w:t>
            </w:r>
          </w:p>
        </w:tc>
        <w:tc>
          <w:tcPr>
            <w:tcW w:w="48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(55,098)</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(58,505)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4,894</w:t>
            </w:r>
          </w:p>
        </w:tc>
        <w:tc>
          <w:tcPr>
            <w:tcW w:w="4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9"/>
              </w:rPr>
              <w:t>(33,815)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340" w:type="dxa"/>
            <w:vAlign w:val="bottom"/>
            <w:gridSpan w:val="2"/>
            <w:vMerge w:val="restart"/>
          </w:tcPr>
          <w:p>
            <w:pPr>
              <w:ind w:left="860"/>
              <w:spacing w:after="0"/>
              <w:rPr>
                <w:sz w:val="20"/>
                <w:szCs w:val="20"/>
                <w:color w:val="auto"/>
              </w:rPr>
            </w:pPr>
            <w:r>
              <w:rPr>
                <w:rFonts w:ascii="Arial" w:cs="Arial" w:eastAsia="Arial" w:hAnsi="Arial"/>
                <w:sz w:val="18"/>
                <w:szCs w:val="18"/>
                <w:color w:val="auto"/>
              </w:rPr>
              <w:t>Earnings (loss) per share:</w:t>
            </w: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3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Basic – as reported</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0.17</w:t>
            </w:r>
          </w:p>
        </w:tc>
        <w:tc>
          <w:tcPr>
            <w:tcW w:w="4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4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0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Basic – pro forma</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Diluted – as reported</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46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00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6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Diluted – pro forma</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340" w:type="dxa"/>
            <w:vAlign w:val="bottom"/>
            <w:gridSpan w:val="2"/>
            <w:vMerge w:val="restart"/>
          </w:tcPr>
          <w:p>
            <w:pPr>
              <w:jc w:val="right"/>
              <w:ind w:right="1492"/>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3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3 – Comprehensive Income</w:t>
      </w:r>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Components of comprehensive income include net income and certain transactions that have generally been reported in the consolidated statement of stockholders’ equity. Comprehensive income is comprised of net income, currency translation adjustments, minimum pension liability adjustments, unrealized gains (losses) on available-for-sale securities, and net gain or loss on derivative instruments designated as cash flow hedges.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consisted of the following:</w:t>
      </w:r>
    </w:p>
    <w:p>
      <w:pPr>
        <w:spacing w:after="0" w:line="200" w:lineRule="exact"/>
        <w:rPr>
          <w:sz w:val="20"/>
          <w:szCs w:val="20"/>
          <w:color w:val="auto"/>
        </w:rPr>
      </w:pPr>
    </w:p>
    <w:p>
      <w:pPr>
        <w:spacing w:after="0" w:line="26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February 1, 2003</w:t>
            </w:r>
          </w:p>
        </w:tc>
        <w:tc>
          <w:tcPr>
            <w:tcW w:w="240" w:type="dxa"/>
            <w:vAlign w:val="bottom"/>
          </w:tcPr>
          <w:p>
            <w:pPr>
              <w:spacing w:after="0"/>
              <w:rPr>
                <w:sz w:val="22"/>
                <w:szCs w:val="22"/>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$59,992</w:t>
            </w:r>
          </w:p>
        </w:tc>
        <w:tc>
          <w:tcPr>
            <w:tcW w:w="4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$24,690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1,223</w:t>
            </w:r>
          </w:p>
        </w:tc>
        <w:tc>
          <w:tcPr>
            <w:tcW w:w="420" w:type="dxa"/>
            <w:vAlign w:val="bottom"/>
          </w:tcPr>
          <w:p>
            <w:pPr>
              <w:spacing w:after="0"/>
              <w:rPr>
                <w:sz w:val="18"/>
                <w:szCs w:val="18"/>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9"/>
              </w:rPr>
              <w:t>Change in unrealized gains (losses) on securities, net of taxes of $1,176 and $192,</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respectively</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2,183</w:t>
            </w:r>
          </w:p>
        </w:tc>
        <w:tc>
          <w:tcPr>
            <w:tcW w:w="42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356</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w w:val="95"/>
              </w:rPr>
              <w:t>Change in unrealized gains (losses) on derivative instruments designated as cash flow</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hedges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420" w:type="dxa"/>
            <w:vAlign w:val="bottom"/>
          </w:tcPr>
          <w:p>
            <w:pPr>
              <w:spacing w:after="0"/>
              <w:rPr>
                <w:sz w:val="19"/>
                <w:szCs w:val="19"/>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3,742</w:t>
            </w:r>
          </w:p>
        </w:tc>
        <w:tc>
          <w:tcPr>
            <w:tcW w:w="420" w:type="dxa"/>
            <w:vAlign w:val="bottom"/>
            <w:shd w:val="clear" w:color="auto" w:fill="EEEEEE"/>
          </w:tcPr>
          <w:p>
            <w:pPr>
              <w:spacing w:after="0"/>
              <w:rPr>
                <w:sz w:val="18"/>
                <w:szCs w:val="18"/>
                <w:color w:val="auto"/>
              </w:rPr>
            </w:pPr>
          </w:p>
        </w:tc>
        <w:tc>
          <w:tcPr>
            <w:tcW w:w="156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108"/>
        </w:trPr>
        <w:tc>
          <w:tcPr>
            <w:tcW w:w="68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$63,734</w:t>
            </w:r>
          </w:p>
        </w:tc>
        <w:tc>
          <w:tcPr>
            <w:tcW w:w="42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$22,470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Note 4 – Derivative Instruments and Hedging Agreements</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Derivative financial instruments are accounted for in accordance with Statement of Financial Accounting Standards No. 133, (FAS 133), “Accounting for Derivative Instruments and Hedging Activities” as amended by FAS 138. The Company recognizes all derivative financial instruments in the consolidated financial statements at fair value regardless of the purpose for or intent of holding the instrument. Changes in the fair value of the derivative financial instruments are either recognized periodically in earnings or in stockholders’ equity as a component of other comprehensive income (OCI) depending on whether the derivative financial instrument qualifies for hedge accounting. Changes in fair values of derivatives not qualifying for hedge accounting are reported in earnings.</w:t>
      </w:r>
    </w:p>
    <w:p>
      <w:pPr>
        <w:spacing w:after="0" w:line="17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enters into forward foreign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and the Euro. These foreign exchange contracts are entered into to support product sales, purchases and financing transactions made in the normal course of business, and accordingly, are not speculative in nature.</w:t>
      </w:r>
    </w:p>
    <w:p>
      <w:pPr>
        <w:spacing w:after="0" w:line="167" w:lineRule="exact"/>
        <w:rPr>
          <w:sz w:val="20"/>
          <w:szCs w:val="20"/>
          <w:color w:val="auto"/>
        </w:rPr>
      </w:pPr>
    </w:p>
    <w:p>
      <w:pPr>
        <w:spacing w:after="0" w:line="308" w:lineRule="auto"/>
        <w:rPr>
          <w:sz w:val="20"/>
          <w:szCs w:val="20"/>
          <w:color w:val="auto"/>
        </w:rPr>
      </w:pPr>
      <w:r>
        <w:rPr>
          <w:rFonts w:ascii="Arial" w:cs="Arial" w:eastAsia="Arial" w:hAnsi="Arial"/>
          <w:sz w:val="15"/>
          <w:szCs w:val="15"/>
          <w:i w:val="1"/>
          <w:iCs w:val="1"/>
          <w:color w:val="auto"/>
        </w:rPr>
        <w:t xml:space="preserve">Foreign Exchange Exposure Management </w:t>
      </w:r>
      <w:r>
        <w:rPr>
          <w:rFonts w:ascii="Arial" w:cs="Arial" w:eastAsia="Arial" w:hAnsi="Arial"/>
          <w:sz w:val="15"/>
          <w:szCs w:val="15"/>
          <w:color w:val="auto"/>
        </w:rPr>
        <w:t>- The Company has significant international sales and purchase transactions in foreign currencies and has a policy of</w:t>
      </w:r>
      <w:r>
        <w:rPr>
          <w:rFonts w:ascii="Arial" w:cs="Arial" w:eastAsia="Arial" w:hAnsi="Arial"/>
          <w:sz w:val="15"/>
          <w:szCs w:val="15"/>
          <w:i w:val="1"/>
          <w:iCs w:val="1"/>
          <w:color w:val="auto"/>
        </w:rPr>
        <w:t xml:space="preserve"> </w:t>
      </w:r>
      <w:r>
        <w:rPr>
          <w:rFonts w:ascii="Arial" w:cs="Arial" w:eastAsia="Arial" w:hAnsi="Arial"/>
          <w:sz w:val="15"/>
          <w:szCs w:val="15"/>
          <w:color w:val="auto"/>
        </w:rPr>
        <w:t>hedging forecasted and actual foreign currency risk with forward foreign exchange contracts. The Company’s forward foreign exchange contracts are denominated in Japanese Yen, British Pounds Sterling and the Euro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stockholders’ equity and reclassified into earnings in the same line item associated with the forecasted transaction in the same period during which the hedged transaction affects earnings. Any residual change in fair value of the instruments, or ineffectiveness, is recognized immediately in other expense. No ineffectiveness was recognized during the first three months of fiscal 2003 or fiscal 2002.</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the Company enters into foreign currency forward contracts that economically hedge the gains and losses generated by the remeasurement of certain recorded assets and liabilities in a non-functional currency. Changes in the fair value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these undesignated hedges are recognized in other expense immediately as an offset to the changes in the fair value of the asset or liability being hedged.</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In January 2002, the Company entered into an interest rate swap (the “Swap”) with an aggregate notional amount of $1,200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The swap is a derivative instrument as defined by FAS 133 and was designated as a fair value hedge at inception. The swap hedges the benchmark interest rate of the Company’s $1,200 million Convertible Subordinated Notes (the “Notes”) and has the effect of swapping the 4.75% fixed rate of the Convertible Subordinated Notes into a LIBOR-based floating rate (1.35% as of March 5, 2003). The Swap, as well as the Notes, matures on October 1, 2005. As the critical terms of the Swap and the underlying interest component of the Company’s Notes were matched at inception, effectiveness is calculated by comparing the change in the fair value of the contract to the change in the fair value of the interest rate component, with the effective portion of the gain or loss on the derivative instrument reported in other expense. The Swap is designed to provide for the termination of the Swap in the event the Notes are either converted or redeemed early. The Company evaluates this fair value hedge for effectiveness quarterly, and restructured certain terms in October 2002 to provide for an even more highly effective hedge relationship with the Notes. The restructuring resulted in an interest rate swap with terms more favorable to the Company, offset by a promise to pay a fixed amount over time to the counterparty regardless of when the Swap is terminated. The restructuring, which had no impact on earnings, increased the Swap asset by $27 million, with an offsetting debt liability of an equal amount. The restructuring is expected to increase the effectiveness of the hedge on a prospective basis. The fair value hedge was determined to be highly effective during the quarter, and a minor amount of ineffectiveness ($0.1 million) was recorded in other expense during the three months ended February 1, 2003.</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of November 3, 2002 through February 1, 2003: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400" w:type="dxa"/>
            <w:vAlign w:val="bottom"/>
            <w:gridSpan w:val="13"/>
            <w:shd w:val="clear" w:color="auto" w:fill="EEEEEE"/>
          </w:tcPr>
          <w:p>
            <w:pPr>
              <w:spacing w:after="0"/>
              <w:rPr>
                <w:sz w:val="20"/>
                <w:szCs w:val="20"/>
                <w:color w:val="auto"/>
              </w:rPr>
            </w:pPr>
            <w:r>
              <w:rPr>
                <w:rFonts w:ascii="Arial" w:cs="Arial" w:eastAsia="Arial" w:hAnsi="Arial"/>
                <w:sz w:val="18"/>
                <w:szCs w:val="18"/>
                <w:color w:val="auto"/>
                <w:w w:val="89"/>
              </w:rPr>
              <w:t>Accumulated (gain) loss included in other comprehensive income as of November 2, 2002</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840" w:type="dxa"/>
            <w:vAlign w:val="bottom"/>
            <w:gridSpan w:val="7"/>
            <w:shd w:val="clear" w:color="auto" w:fill="EEEEEE"/>
          </w:tcPr>
          <w:p>
            <w:pPr>
              <w:jc w:val="right"/>
              <w:ind w:right="28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auto"/>
                <w:w w:val="89"/>
              </w:rPr>
              <w:t>Changes in fair value of derivatives – (gain) loss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7"/>
          </w:tcPr>
          <w:p>
            <w:pPr>
              <w:jc w:val="right"/>
              <w:ind w:right="28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400" w:type="dxa"/>
            <w:vAlign w:val="bottom"/>
            <w:gridSpan w:val="13"/>
            <w:shd w:val="clear" w:color="auto" w:fill="EEEEEE"/>
          </w:tcPr>
          <w:p>
            <w:pPr>
              <w:spacing w:after="0"/>
              <w:rPr>
                <w:sz w:val="20"/>
                <w:szCs w:val="20"/>
                <w:color w:val="auto"/>
              </w:rPr>
            </w:pPr>
            <w:r>
              <w:rPr>
                <w:rFonts w:ascii="Arial" w:cs="Arial" w:eastAsia="Arial" w:hAnsi="Arial"/>
                <w:sz w:val="18"/>
                <w:szCs w:val="18"/>
                <w:color w:val="auto"/>
              </w:rPr>
              <w:t>Less: Reclassifications into earnings from other comprehensive income</w:t>
            </w: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2,781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gridSpan w:val="2"/>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700" w:type="dxa"/>
            <w:vAlign w:val="bottom"/>
            <w:gridSpan w:val="14"/>
          </w:tcPr>
          <w:p>
            <w:pPr>
              <w:ind w:left="300"/>
              <w:spacing w:after="0"/>
              <w:rPr>
                <w:sz w:val="20"/>
                <w:szCs w:val="20"/>
                <w:color w:val="auto"/>
              </w:rPr>
            </w:pPr>
            <w:r>
              <w:rPr>
                <w:rFonts w:ascii="Arial" w:cs="Arial" w:eastAsia="Arial" w:hAnsi="Arial"/>
                <w:sz w:val="18"/>
                <w:szCs w:val="18"/>
                <w:color w:val="auto"/>
                <w:w w:val="90"/>
              </w:rPr>
              <w:t>Accumulated (gain) loss included in other comprehensive income as of February 1, 2003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7"/>
          </w:tcPr>
          <w:p>
            <w:pPr>
              <w:jc w:val="right"/>
              <w:ind w:right="28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107"/>
        </w:trPr>
        <w:tc>
          <w:tcPr>
            <w:tcW w:w="6700" w:type="dxa"/>
            <w:vAlign w:val="bottom"/>
            <w:gridSpan w:val="14"/>
            <w:vMerge w:val="restart"/>
          </w:tcPr>
          <w:p>
            <w:pPr>
              <w:spacing w:after="0"/>
              <w:rPr>
                <w:sz w:val="20"/>
                <w:szCs w:val="20"/>
                <w:color w:val="auto"/>
              </w:rPr>
            </w:pPr>
            <w:r>
              <w:rPr>
                <w:rFonts w:ascii="Arial" w:cs="Arial" w:eastAsia="Arial" w:hAnsi="Arial"/>
                <w:sz w:val="18"/>
                <w:szCs w:val="18"/>
                <w:color w:val="auto"/>
                <w:w w:val="94"/>
              </w:rPr>
              <w:t>All of the accumulated gain will be reclassified into earnings over the next twelve months.</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14"/>
            <w:vMerge w:val="continue"/>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14"/>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40" w:type="dxa"/>
            <w:vAlign w:val="bottom"/>
            <w:gridSpan w:val="5"/>
          </w:tcPr>
          <w:p>
            <w:pPr>
              <w:spacing w:after="0"/>
              <w:rPr>
                <w:sz w:val="20"/>
                <w:szCs w:val="20"/>
                <w:color w:val="auto"/>
              </w:rPr>
            </w:pPr>
            <w:r>
              <w:rPr>
                <w:rFonts w:ascii="Arial" w:cs="Arial" w:eastAsia="Arial" w:hAnsi="Arial"/>
                <w:sz w:val="18"/>
                <w:szCs w:val="18"/>
                <w:color w:val="auto"/>
              </w:rPr>
              <w:t>Note 5 – Special Charges</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00" w:type="dxa"/>
            <w:vAlign w:val="bottom"/>
            <w:gridSpan w:val="8"/>
          </w:tcPr>
          <w:p>
            <w:pPr>
              <w:spacing w:after="0"/>
              <w:rPr>
                <w:sz w:val="20"/>
                <w:szCs w:val="20"/>
                <w:color w:val="auto"/>
              </w:rPr>
            </w:pPr>
            <w:r>
              <w:rPr>
                <w:rFonts w:ascii="Arial" w:cs="Arial" w:eastAsia="Arial" w:hAnsi="Arial"/>
                <w:sz w:val="18"/>
                <w:szCs w:val="18"/>
                <w:color w:val="auto"/>
                <w:w w:val="97"/>
              </w:rPr>
              <w:t>A summary of the activity in accrued restructuring is as follows: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Fiscal 2002</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Fiscal 2001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22"/>
                <w:szCs w:val="22"/>
                <w:b w:val="1"/>
                <w:bCs w:val="1"/>
                <w:color w:val="auto"/>
                <w:vertAlign w:val="superscript"/>
              </w:rPr>
              <w:t>nd</w:t>
            </w:r>
            <w:r>
              <w:rPr>
                <w:rFonts w:ascii="Arial" w:cs="Arial" w:eastAsia="Arial" w:hAnsi="Arial"/>
                <w:sz w:val="14"/>
                <w:szCs w:val="14"/>
                <w:b w:val="1"/>
                <w:bCs w:val="1"/>
                <w:color w:val="auto"/>
              </w:rPr>
              <w:t xml:space="preserve"> Quarter</w:t>
            </w:r>
          </w:p>
        </w:tc>
        <w:tc>
          <w:tcPr>
            <w:tcW w:w="180" w:type="dxa"/>
            <w:vAlign w:val="bottom"/>
          </w:tcPr>
          <w:p>
            <w:pPr>
              <w:spacing w:after="0"/>
              <w:rPr>
                <w:sz w:val="22"/>
                <w:szCs w:val="22"/>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3</w:t>
            </w:r>
            <w:r>
              <w:rPr>
                <w:rFonts w:ascii="Arial" w:cs="Arial" w:eastAsia="Arial" w:hAnsi="Arial"/>
                <w:sz w:val="22"/>
                <w:szCs w:val="22"/>
                <w:b w:val="1"/>
                <w:bCs w:val="1"/>
                <w:color w:val="auto"/>
                <w:w w:val="90"/>
                <w:vertAlign w:val="superscript"/>
              </w:rPr>
              <w:t>rd</w:t>
            </w:r>
            <w:r>
              <w:rPr>
                <w:rFonts w:ascii="Arial" w:cs="Arial" w:eastAsia="Arial" w:hAnsi="Arial"/>
                <w:sz w:val="14"/>
                <w:szCs w:val="14"/>
                <w:b w:val="1"/>
                <w:bCs w:val="1"/>
                <w:color w:val="auto"/>
                <w:w w:val="90"/>
              </w:rPr>
              <w:t xml:space="preserve"> Quarter</w:t>
            </w: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Quarter</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Special</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gridSpan w:val="3"/>
          </w:tcPr>
          <w:p>
            <w:pPr>
              <w:ind w:left="560"/>
              <w:spacing w:after="0"/>
              <w:rPr>
                <w:sz w:val="20"/>
                <w:szCs w:val="20"/>
                <w:color w:val="auto"/>
              </w:rPr>
            </w:pPr>
            <w:r>
              <w:rPr>
                <w:rFonts w:ascii="Arial" w:cs="Arial" w:eastAsia="Arial" w:hAnsi="Arial"/>
                <w:sz w:val="14"/>
                <w:szCs w:val="14"/>
                <w:b w:val="1"/>
                <w:bCs w:val="1"/>
                <w:color w:val="auto"/>
              </w:rPr>
              <w:t>Accrued Restructuring</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4"/>
              </w:rPr>
              <w:t>Special Charges</w:t>
            </w:r>
          </w:p>
        </w:tc>
        <w:tc>
          <w:tcPr>
            <w:tcW w:w="180" w:type="dxa"/>
            <w:vAlign w:val="bottom"/>
          </w:tcPr>
          <w:p>
            <w:pPr>
              <w:spacing w:after="0"/>
              <w:rPr>
                <w:sz w:val="15"/>
                <w:szCs w:val="15"/>
                <w:color w:val="auto"/>
              </w:rPr>
            </w:pPr>
          </w:p>
        </w:tc>
        <w:tc>
          <w:tcPr>
            <w:tcW w:w="1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6"/>
              </w:rPr>
              <w:t>Special Charges</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Special Charges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Charges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Balance at November 2, 2002</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25,017</w:t>
            </w:r>
          </w:p>
        </w:tc>
        <w:tc>
          <w:tcPr>
            <w:tcW w:w="4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4,254</w:t>
            </w: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3,146</w:t>
            </w:r>
          </w:p>
        </w:tc>
        <w:tc>
          <w:tcPr>
            <w:tcW w:w="4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7,607</w:t>
            </w:r>
          </w:p>
        </w:tc>
        <w:tc>
          <w:tcPr>
            <w:tcW w:w="4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40,024</w:t>
            </w:r>
          </w:p>
        </w:tc>
        <w:tc>
          <w:tcPr>
            <w:tcW w:w="1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440" w:type="dxa"/>
            <w:vAlign w:val="bottom"/>
            <w:gridSpan w:val="4"/>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3440" w:type="dxa"/>
            <w:vAlign w:val="bottom"/>
            <w:gridSpan w:val="4"/>
          </w:tcPr>
          <w:p>
            <w:pPr>
              <w:ind w:left="560"/>
              <w:spacing w:after="0"/>
              <w:rPr>
                <w:sz w:val="20"/>
                <w:szCs w:val="20"/>
                <w:color w:val="auto"/>
              </w:rPr>
            </w:pPr>
            <w:r>
              <w:rPr>
                <w:rFonts w:ascii="Arial" w:cs="Arial" w:eastAsia="Arial" w:hAnsi="Arial"/>
                <w:sz w:val="18"/>
                <w:szCs w:val="18"/>
                <w:color w:val="auto"/>
              </w:rPr>
              <w:t>Severance payments</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 (2,025)</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$(1,111)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$(1,160)</w:t>
            </w:r>
          </w:p>
        </w:tc>
        <w:tc>
          <w:tcPr>
            <w:tcW w:w="1420" w:type="dxa"/>
            <w:vAlign w:val="bottom"/>
            <w:gridSpan w:val="4"/>
          </w:tcPr>
          <w:p>
            <w:pPr>
              <w:jc w:val="right"/>
              <w:ind w:right="360"/>
              <w:spacing w:after="0"/>
              <w:rPr>
                <w:sz w:val="20"/>
                <w:szCs w:val="20"/>
                <w:color w:val="auto"/>
              </w:rPr>
            </w:pPr>
            <w:r>
              <w:rPr>
                <w:rFonts w:ascii="Arial" w:cs="Arial" w:eastAsia="Arial" w:hAnsi="Arial"/>
                <w:sz w:val="18"/>
                <w:szCs w:val="18"/>
                <w:color w:val="auto"/>
              </w:rPr>
              <w:t>$(2,261)</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 (6,557)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Other cash payments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4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2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(420)</w:t>
            </w:r>
          </w:p>
        </w:tc>
        <w:tc>
          <w:tcPr>
            <w:tcW w:w="1060" w:type="dxa"/>
            <w:vAlign w:val="bottom"/>
            <w:tcBorders>
              <w:right w:val="single" w:sz="8" w:color="EEEEEE"/>
            </w:tcBorders>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translation on accrual</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Balance at February 1, 2003</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$22,992</w:t>
            </w:r>
          </w:p>
        </w:tc>
        <w:tc>
          <w:tcPr>
            <w:tcW w:w="480" w:type="dxa"/>
            <w:vAlign w:val="bottom"/>
            <w:shd w:val="clear" w:color="auto" w:fill="EEEEEE"/>
          </w:tcPr>
          <w:p>
            <w:pPr>
              <w:spacing w:after="0"/>
              <w:rPr>
                <w:sz w:val="18"/>
                <w:szCs w:val="18"/>
                <w:color w:val="auto"/>
              </w:rPr>
            </w:pPr>
          </w:p>
        </w:tc>
        <w:tc>
          <w:tcPr>
            <w:tcW w:w="10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$ 3,201</w:t>
            </w: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$ 1,986</w:t>
            </w:r>
          </w:p>
        </w:tc>
        <w:tc>
          <w:tcPr>
            <w:tcW w:w="4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$ 4,926</w:t>
            </w:r>
          </w:p>
        </w:tc>
        <w:tc>
          <w:tcPr>
            <w:tcW w:w="4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$33,105</w:t>
            </w:r>
          </w:p>
        </w:tc>
        <w:tc>
          <w:tcPr>
            <w:tcW w:w="1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9" w:right="259" w:bottom="1440" w:gutter="0" w:footer="0" w:header="0"/>
        </w:sectPr>
      </w:pP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During the second quarter of fiscal 2002, the Company recorded special charges of approximately $27.2 million (comprised of $28.7 million of second quarter charges offset by $1.5 million related to a change in estimate discussed below). The second quarter charge was comprised of $25.7 million related to the planned transfer of production from the Company’s three older four-inch wafer fabrication facilities to the Company’s three six-inch and one eight-inch wafer fabrication facilities, and $3 million primarily related to the impairment of an investment, which was partially offset by an adjustment of $1.5 million related to equipment cancellation fees recorded in fiscal year 2001. The investment impairment, which was related to an equity investment in a private company, was due to the Company’s decision to abandon the product strategy for which the investment was made. Included in the $25.7 million special charge are severance and fringe benefit costs of $15.3 million for 509 manufacturing employees in the United States and Ireland, of which 190 of these employees had been terminated as of February 1, 2003, $2.3 million related to the write-down of equipment to be abandoned and $8.1 million of other charges, primarily related to lease termination and cleanup costs. The write-down of equipment was principally due to a decision to discontinue various product development strategies. This program is proceeding in accordance with the Company’s original plan and is expected to be substantially complete by the end of the second quarter of fiscal 2003.</w:t>
      </w:r>
    </w:p>
    <w:p>
      <w:pPr>
        <w:spacing w:after="0" w:line="16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In addition, the remaining service lives of certain assets within the older four-inch wafer fabrication facilities have been shortened. As a result, depreciation expense included in cost of sales in fiscal 2002 included additional depreciation of approximately $8.7 million associated with the shortened lives.</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third quarter of fiscal 2002, the Company recorded special charges of approximately $12.8 million. The charges included severance and fringe benefit costs of $3.7 million related to cost reduction actions taken in several product groups and, to a lesser extent, in manufacturing, $3.8 million related to the impairment of an investment, $3.4 million impairment of goodwill related to the closure of an Austrian design center acquired in fiscal 2001 and $1.9 million primarily related to the abandonment of equipment and lease cancellation fees. The investment impairment, which was related to an equity investment in a private company, was due to the Company’s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51 of the engineering employees had been terminated as of February 1, 2003. The Company expects to substantially complete the above actions by the end of the second quarter of fiscal 2003.</w:t>
      </w:r>
    </w:p>
    <w:p>
      <w:pPr>
        <w:spacing w:after="0" w:line="1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the fourth quarter of fiscal 2002, the Company recorded special charges of approximately $8.4 million. The charges included severance and fringe benefit costs of $2.5 million related to cost reduction actions taken in the sales group, several product groups and the Company’s manufacturing testing area for approximately 65 employees in the United States and Europe, of which 45 had been terminated as of February 1, 2003. The charges also included $2.1 million related to the impairment of investments, $1.8 million primarily related to the abandonment of equipment and lease cancellation fees and a change in estimate of $2.0 million related to clean-up costs previously recorded in the second quarter of fiscal 2002. The investment impairment charges were related to the decline in fair value of a publicly-traded equity investment below cost basis that was determined to be other-than-temporary and to an equity investment in a private company. The private company equity investment was part of a product strategy that the Company decided to abandon. The Company expects to substantially complete this action by the end of the third quarter of fiscal 2003.</w:t>
      </w:r>
    </w:p>
    <w:p>
      <w:pPr>
        <w:spacing w:after="0" w:line="17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During fiscal 2001, the Company recorded special charges of approximately $47 million related to cost reduction actions taken in response to the economic climate at that time.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substantially all of which had been terminated as of February 1, 2003. The special charge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$1.5 million less that the amount recorded for such charges and, accordingly, we adjusted the provision for purchase order cancellation fees by $1.5 million in the second quarter of fiscal 2002 to reflect this change in estimate.</w:t>
      </w:r>
    </w:p>
    <w:p>
      <w:pPr>
        <w:spacing w:after="0" w:line="1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February 1, 2003, $25.3 million of the $29.6 million aggregate severance obligations pertaining to the fiscal 2001 worldwide cost reduction actions had been paid. The restructuring actions included in the special charges recorded during fiscal 2001 are proceeding as planned. Of the $47 million of special charges recorded in fiscal 2001, $4.9 million remained accrued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as of February 1, 2003, and primarily represents termination payments being paid as income continuance to certain of the 1,200 terminated employees, predominantly in the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6 – Earnings Per Share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issuances of common stock relating to stock option programs and other potentially dilutive securities. In calculating diluted earnings per share, the dilutive effect of stock options is computed using the average market price for the period. Shares related to convertible debt financing and certain of the Company’s outstanding stock options were excluded because they were anti-dilutive, however, these shares could be dilutive in the future. The following table sets forth the computation of basic and diluted earnings per share:</w:t>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r>
      <w:tr>
        <w:trPr>
          <w:trHeight w:val="95"/>
        </w:trPr>
        <w:tc>
          <w:tcPr>
            <w:tcW w:w="5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63"/>
        </w:trPr>
        <w:tc>
          <w:tcPr>
            <w:tcW w:w="5380" w:type="dxa"/>
            <w:vAlign w:val="bottom"/>
          </w:tcPr>
          <w:p>
            <w:pPr>
              <w:spacing w:after="0"/>
              <w:rPr>
                <w:sz w:val="22"/>
                <w:szCs w:val="22"/>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b w:val="1"/>
                <w:bCs w:val="1"/>
                <w:color w:val="auto"/>
              </w:rPr>
              <w:t>February 1, 2003</w:t>
            </w:r>
          </w:p>
        </w:tc>
        <w:tc>
          <w:tcPr>
            <w:tcW w:w="340" w:type="dxa"/>
            <w:vAlign w:val="bottom"/>
          </w:tcPr>
          <w:p>
            <w:pPr>
              <w:spacing w:after="0"/>
              <w:rPr>
                <w:sz w:val="22"/>
                <w:szCs w:val="22"/>
                <w:color w:val="auto"/>
              </w:rPr>
            </w:pPr>
          </w:p>
        </w:tc>
        <w:tc>
          <w:tcPr>
            <w:tcW w:w="1400" w:type="dxa"/>
            <w:vAlign w:val="bottom"/>
            <w:gridSpan w:val="3"/>
          </w:tcPr>
          <w:p>
            <w:pPr>
              <w:ind w:left="200"/>
              <w:spacing w:after="0"/>
              <w:rPr>
                <w:sz w:val="20"/>
                <w:szCs w:val="20"/>
                <w:color w:val="auto"/>
              </w:rPr>
            </w:pPr>
            <w:r>
              <w:rPr>
                <w:rFonts w:ascii="Arial" w:cs="Arial" w:eastAsia="Arial" w:hAnsi="Arial"/>
                <w:sz w:val="14"/>
                <w:szCs w:val="14"/>
                <w:b w:val="1"/>
                <w:bCs w:val="1"/>
                <w:color w:val="auto"/>
              </w:rPr>
              <w:t>February 2, 2002</w:t>
            </w:r>
          </w:p>
        </w:tc>
      </w:tr>
      <w:tr>
        <w:trPr>
          <w:trHeight w:val="95"/>
        </w:trPr>
        <w:tc>
          <w:tcPr>
            <w:tcW w:w="5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102"/>
        </w:trPr>
        <w:tc>
          <w:tcPr>
            <w:tcW w:w="5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2"/>
        </w:trPr>
        <w:tc>
          <w:tcPr>
            <w:tcW w:w="538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59,992</w:t>
            </w: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24,690</w:t>
            </w:r>
          </w:p>
        </w:tc>
        <w:tc>
          <w:tcPr>
            <w:tcW w:w="400" w:type="dxa"/>
            <w:vAlign w:val="bottom"/>
          </w:tcPr>
          <w:p>
            <w:pPr>
              <w:spacing w:after="0"/>
              <w:rPr>
                <w:sz w:val="19"/>
                <w:szCs w:val="19"/>
                <w:color w:val="auto"/>
              </w:rPr>
            </w:pPr>
          </w:p>
        </w:tc>
      </w:tr>
      <w:tr>
        <w:trPr>
          <w:trHeight w:val="98"/>
        </w:trPr>
        <w:tc>
          <w:tcPr>
            <w:tcW w:w="5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61"/>
        </w:trPr>
        <w:tc>
          <w:tcPr>
            <w:tcW w:w="5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shares outstanding</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363,138</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363,147</w:t>
            </w:r>
          </w:p>
        </w:tc>
        <w:tc>
          <w:tcPr>
            <w:tcW w:w="400" w:type="dxa"/>
            <w:vAlign w:val="bottom"/>
            <w:shd w:val="clear" w:color="auto" w:fill="EEEEEE"/>
          </w:tcPr>
          <w:p>
            <w:pPr>
              <w:spacing w:after="0"/>
              <w:rPr>
                <w:sz w:val="18"/>
                <w:szCs w:val="18"/>
                <w:color w:val="auto"/>
              </w:rPr>
            </w:pPr>
          </w:p>
        </w:tc>
      </w:tr>
      <w:tr>
        <w:trPr>
          <w:trHeight w:val="105"/>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319"/>
        </w:trPr>
        <w:tc>
          <w:tcPr>
            <w:tcW w:w="5380" w:type="dxa"/>
            <w:vAlign w:val="bottom"/>
          </w:tcPr>
          <w:p>
            <w:pPr>
              <w:ind w:left="32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0.17</w:t>
            </w:r>
          </w:p>
        </w:tc>
        <w:tc>
          <w:tcPr>
            <w:tcW w:w="4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400" w:type="dxa"/>
            <w:vAlign w:val="bottom"/>
          </w:tcPr>
          <w:p>
            <w:pPr>
              <w:spacing w:after="0"/>
              <w:rPr>
                <w:sz w:val="24"/>
                <w:szCs w:val="24"/>
                <w:color w:val="auto"/>
              </w:rPr>
            </w:pPr>
          </w:p>
        </w:tc>
      </w:tr>
      <w:tr>
        <w:trPr>
          <w:trHeight w:val="107"/>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22"/>
        </w:trPr>
        <w:tc>
          <w:tcPr>
            <w:tcW w:w="538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59,992</w:t>
            </w: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24,690</w:t>
            </w:r>
          </w:p>
        </w:tc>
        <w:tc>
          <w:tcPr>
            <w:tcW w:w="400" w:type="dxa"/>
            <w:vAlign w:val="bottom"/>
          </w:tcPr>
          <w:p>
            <w:pPr>
              <w:spacing w:after="0"/>
              <w:rPr>
                <w:sz w:val="19"/>
                <w:szCs w:val="19"/>
                <w:color w:val="auto"/>
              </w:rPr>
            </w:pPr>
          </w:p>
        </w:tc>
      </w:tr>
      <w:tr>
        <w:trPr>
          <w:trHeight w:val="98"/>
        </w:trPr>
        <w:tc>
          <w:tcPr>
            <w:tcW w:w="5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61"/>
        </w:trPr>
        <w:tc>
          <w:tcPr>
            <w:tcW w:w="5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shares outstanding</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363,138</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363,147</w:t>
            </w:r>
          </w:p>
        </w:tc>
        <w:tc>
          <w:tcPr>
            <w:tcW w:w="400" w:type="dxa"/>
            <w:vAlign w:val="bottom"/>
            <w:shd w:val="clear" w:color="auto" w:fill="EEEEEE"/>
          </w:tcPr>
          <w:p>
            <w:pPr>
              <w:spacing w:after="0"/>
              <w:rPr>
                <w:sz w:val="18"/>
                <w:szCs w:val="18"/>
                <w:color w:val="auto"/>
              </w:rPr>
            </w:pPr>
          </w:p>
        </w:tc>
      </w:tr>
      <w:tr>
        <w:trPr>
          <w:trHeight w:val="222"/>
        </w:trPr>
        <w:tc>
          <w:tcPr>
            <w:tcW w:w="5380" w:type="dxa"/>
            <w:vAlign w:val="bottom"/>
          </w:tcPr>
          <w:p>
            <w:pPr>
              <w:ind w:left="320"/>
              <w:spacing w:after="0"/>
              <w:rPr>
                <w:sz w:val="20"/>
                <w:szCs w:val="20"/>
                <w:color w:val="auto"/>
              </w:rPr>
            </w:pPr>
            <w:r>
              <w:rPr>
                <w:rFonts w:ascii="Arial" w:cs="Arial" w:eastAsia="Arial" w:hAnsi="Arial"/>
                <w:sz w:val="18"/>
                <w:szCs w:val="18"/>
                <w:color w:val="auto"/>
              </w:rPr>
              <w:t>Assumed exercise of common stock equivalents</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15,059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20,324</w:t>
            </w:r>
          </w:p>
        </w:tc>
        <w:tc>
          <w:tcPr>
            <w:tcW w:w="400" w:type="dxa"/>
            <w:vAlign w:val="bottom"/>
          </w:tcPr>
          <w:p>
            <w:pPr>
              <w:spacing w:after="0"/>
              <w:rPr>
                <w:sz w:val="19"/>
                <w:szCs w:val="19"/>
                <w:color w:val="auto"/>
              </w:rPr>
            </w:pPr>
          </w:p>
        </w:tc>
      </w:tr>
      <w:tr>
        <w:trPr>
          <w:trHeight w:val="102"/>
        </w:trPr>
        <w:tc>
          <w:tcPr>
            <w:tcW w:w="5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5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Weighted average common and common equivalent shares</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378,197</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383,471</w:t>
            </w:r>
          </w:p>
        </w:tc>
        <w:tc>
          <w:tcPr>
            <w:tcW w:w="400" w:type="dxa"/>
            <w:vAlign w:val="bottom"/>
            <w:shd w:val="clear" w:color="auto" w:fill="EEEEEE"/>
          </w:tcPr>
          <w:p>
            <w:pPr>
              <w:spacing w:after="0"/>
              <w:rPr>
                <w:sz w:val="18"/>
                <w:szCs w:val="18"/>
                <w:color w:val="auto"/>
              </w:rPr>
            </w:pPr>
          </w:p>
        </w:tc>
      </w:tr>
      <w:tr>
        <w:trPr>
          <w:trHeight w:val="105"/>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319"/>
        </w:trPr>
        <w:tc>
          <w:tcPr>
            <w:tcW w:w="5380" w:type="dxa"/>
            <w:vAlign w:val="bottom"/>
          </w:tcPr>
          <w:p>
            <w:pPr>
              <w:ind w:left="320"/>
              <w:spacing w:after="0"/>
              <w:rPr>
                <w:sz w:val="20"/>
                <w:szCs w:val="20"/>
                <w:color w:val="auto"/>
              </w:rPr>
            </w:pPr>
            <w:r>
              <w:rPr>
                <w:rFonts w:ascii="Arial" w:cs="Arial" w:eastAsia="Arial" w:hAnsi="Arial"/>
                <w:sz w:val="18"/>
                <w:szCs w:val="18"/>
                <w:color w:val="auto"/>
              </w:rPr>
              <w:t>Earnings per share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0.16</w:t>
            </w:r>
          </w:p>
        </w:tc>
        <w:tc>
          <w:tcPr>
            <w:tcW w:w="4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24"/>
                <w:szCs w:val="24"/>
                <w:color w:val="auto"/>
              </w:rPr>
            </w:pPr>
          </w:p>
        </w:tc>
      </w:tr>
      <w:tr>
        <w:trPr>
          <w:trHeight w:val="107"/>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105"/>
        </w:trPr>
        <w:tc>
          <w:tcPr>
            <w:tcW w:w="5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Outstanding stock options</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43,515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14,246</w:t>
            </w:r>
          </w:p>
        </w:tc>
        <w:tc>
          <w:tcPr>
            <w:tcW w:w="400" w:type="dxa"/>
            <w:vAlign w:val="bottom"/>
          </w:tcPr>
          <w:p>
            <w:pPr>
              <w:spacing w:after="0"/>
              <w:rPr>
                <w:sz w:val="18"/>
                <w:szCs w:val="18"/>
                <w:color w:val="auto"/>
              </w:rPr>
            </w:pPr>
          </w:p>
        </w:tc>
      </w:tr>
      <w:tr>
        <w:trPr>
          <w:trHeight w:val="216"/>
        </w:trPr>
        <w:tc>
          <w:tcPr>
            <w:tcW w:w="53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Convertible debt</w:t>
            </w: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9,247</w:t>
            </w:r>
          </w:p>
        </w:tc>
        <w:tc>
          <w:tcPr>
            <w:tcW w:w="400" w:type="dxa"/>
            <w:vAlign w:val="bottom"/>
            <w:shd w:val="clear" w:color="auto" w:fill="EEEEEE"/>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7 – Segment Information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operates and tracks its results in one reportable segment. The Company designs, develops, manufacturers and markets a broad range of integrated circuits. The Chief Executive Officer has been identified as the Chief Operating Decision Maker as defined by Statement of Financial Accounting Standard No. 131 (FAS 131), “Disclosures about Segments of an Enterprise and Related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8 –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&amp; Goodwill and Other Intangible Assets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Effective November 3, 2002 the Company adopted Statements of Financial Accounting Standards No. 141 (FAS 141), “Business Combinations” and No. 142 (FAS 142), “Goodwill and Other Intangible Assets.” FAS 141 requires that all business combinations initiated after June 30, 2001 be accounted for using the purchase method of accounting. As required by FAS 142, the Company discontinued amortizing the remaining balances of goodwill beginning November 3, 2002. All remaining and future acquired goodwill will be subject to impairment tests annually, or earlier if indicators of potential impairment exist, using a fair-value-based approach. All other intangible assets will continue to be amortized over their estimated useful lives and assessed for impairment under FAS 144, “Accounting for the Impairment or Disposal of Long-Lived Assets.” Upon adoption of the new business combination rules under FAS 141, assembled workforce no longer meets the definition of an identifiable intangible asset. See further discussion under Note 9 “Goodwill and Other Intangible Assets.”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25" w:lineRule="exact"/>
        <w:rPr>
          <w:sz w:val="20"/>
          <w:szCs w:val="20"/>
          <w:color w:val="auto"/>
        </w:rPr>
      </w:pPr>
    </w:p>
    <w:p>
      <w:pPr>
        <w:jc w:val="both"/>
        <w:ind w:right="620"/>
        <w:spacing w:after="0" w:line="306" w:lineRule="auto"/>
        <w:rPr>
          <w:sz w:val="20"/>
          <w:szCs w:val="20"/>
          <w:color w:val="auto"/>
        </w:rPr>
      </w:pPr>
      <w:r>
        <w:rPr>
          <w:rFonts w:ascii="Arial" w:cs="Arial" w:eastAsia="Arial" w:hAnsi="Arial"/>
          <w:sz w:val="16"/>
          <w:szCs w:val="16"/>
          <w:color w:val="auto"/>
        </w:rPr>
        <w:t>Effective November 3, 2002 the Company adopted Statement of Financial Accounting Standards No. 143 (FAS 143), “Accounting for Asset Retirement Obligations,” which addresses financial accounting and reporting for legal obligations associated with the retirement of tangible long-lived assets and the associated asset retirement costs. The adoption of FAS 143 did not have a material effect on the Company’s financial position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November 3, 2002 the Company adopted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The adoption of FAS 144 did not have a material effect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Debt Extinguishment</w:t>
      </w:r>
    </w:p>
    <w:p>
      <w:pPr>
        <w:spacing w:after="0" w:line="2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Effective November 3, 2002 the Company adopted Statement of Financial Accounting Standards No. 145 (FAS 145), “Rescission of FASB Statements No. 4, 44 and 64, Amendment of FASB Statement No. 13, and Technical Corrections.” Under FAS 145, gains and losses on extinguishments of debt are to be classified as income or loss from continuing operations rather than extraordinary items. The adoption of FAS 145 did not have a material impact on the Company’s financial condition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Associated with Exit or Disposal Activities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2002, the Financial Accounting Standards Board issued Statement of Financial Accounting Standards No. 146 (FAS 146), “Accounting for Costs Associated with Exit or Disposal Activities.” The standard requires companies to recognize costs associated with exit or disposal activities when they are incurred rather than at the date of a commitment to an exit or disposal plan. Costs covered by the standard include lease termination costs and certain employee severance costs that are associated with a restructuring, discontinued operation, plant closing, or other exit or disposal activity. This statement is to be applied prospectively to exit or disposal activities initiated after December 31, 2002. FAS 146 may affect the timing of recognizing future exit or disposal costs, if any, as well as the amounts recognized.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Effective November 3, 2002, the Company adopted Statement of Financial Accounting Standards No. 148 (FAS 148), “Accounting for Stock-Based Compensation – Transitions and Disclosure.” FAS 148 amends FAS 123, “Accounting for Stock-Based Compensation,” to provide alternative methods of transition to FAS 123’s fair value method of accounting for stock-based employee compensation. FAS 148 also amends the disclosure provisions of FAS 123 and APB Opinion No. 28, “Interim Financial Reporting,” to require disclosure in the summary of significant accounting policies of the effects of an entity’s accounting policy with respect to stock-based employee compensation on reported net income and earnings per share in annual and interim financial statements. While FAS 148 does not amend FAS 123 to require companies to account for employee stock options using the fair value method, the disclosure provisions of FAS 148 are applicable to all companies with stock-based employee compensation, regardless of whether they account for that compensation using the fair value method of FAS 123 or the intrinsic value method of Accounting Principles Board Opinion No. 25, (APB 25), “Accounting for Stock Issued to Employees,” and related interpretations. The Company has adopted the disclosure requirements of FAS 148 and will continue to account for stock-based compensation plans in accordance with APB 25. The Company has made interim disclosures in Note 2 – Stock-Based Compensation.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Guarantor’s Accounting and Disclosure Requirements for Guarantees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November 2002, the Financial Accounting Standards Board issued Financial Accounting Standards Board Interpretation No. 45 (FIN 45), “Guarantor’s Accounting and Disclosure Requirements for Guarantees, Including Indirect Guarantees of Indebtedness of Others.” FIN 45 requires that upon issuance of a guarantee, the guarantor must disclose and recognize a liability for the fair value of the obligation it assumes under that guarantee. The initial recognition and measurement requirement of FIN 45 is effective for guarantees issued or modified after December 31, 2002. As of February 1, 2003, the Company’s guarantees that were issued or modified after December 31, 2002 were not material. The disclosure requirements of FIN 45, which are effective for interim and annual periods ending after December 15, 2002, are included in the following paragraphs.</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terms of the lease agreement, which was entered into prior to January 1, 2003, related to the Company’s headquarters facility in Norwood, Massachusetts, the Company has agreed to assume the note related to the property in the event of default by the lessor. Assumption of the note, which was approximately $9 million at February 1, 2003, would entitle the Company to a first lien on the property. The lease expires in May 2007. The guarantee was made by the Company to allow the lessor to obtain a lower cost of borrowing.</w:t>
      </w:r>
    </w:p>
    <w:p>
      <w:pPr>
        <w:spacing w:after="0" w:line="19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Company has provided certain indemnities pursuant to which it may be required to make payments to an indemnified party in connection with certain transactions and agreements. With respect to certain acquisitions and divestitures, the Company has provided routine indemnities for such matters as environmental, tax, product and employee liabilities. In addition, in connection with various other agreements, including subsidiary banking agreements, the Company may provide routine guarantees. Generally, a maximum obligation is not explicitly stated, thus the potential amount of future maximum payments cannot be reasonably estimated. The duration of the indemnities varies, and in many cases is indefinite. The Company has not recorded any liability for these indemnities in the consolidated financial statements, except as otherwise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Variable Interest Entities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2003, the Financial Accounting Standards Board issued Financial Accounting Standards Board Interpretation No.46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is effective immediately for all new variable interest entities created or acquired after January 31, 2003. For variable interest entities created or acquired prior to February 1, 2003, the provisions of FIN 46 must be applied for the first interim or annual period beginning after June 15, 2003. The Company has not yet determined what effect, if any, the adoption of FIN 46 will have on our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9 – Goodwill and Other Intangible Assets</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Beginning in fiscal 2003, the Company adopted Statement of Financial Accounting Standards No. 142 (FAS 142), “Goodwill and Other Intangible Assets.” As a result, the Company will no longer amortize goodwill. Instead the Company will annually evaluate goodwill for impairment. The Company will also evaluate goodwill whenever events and changes in circumstances suggest that the carrying amount may not be recoverable from estimated future cash flows. The Company will complete the first step of the transitional goodwill impairment test by the end of the second quarter of fiscal 2003.</w:t>
      </w:r>
    </w:p>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required by FAS 142, intangible assets that do not meet the criteria for recognition apart from goodwill must be reclassified. As a result, a net balance of $1.6 million of acquired workforce intangibles were transferred to goodwill as of November 3, 2002.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at February 1, 2003 and February 2, 2002, which will continue to be amortized, consisted of the following:</w:t>
      </w:r>
    </w:p>
    <w:p>
      <w:pPr>
        <w:spacing w:after="0" w:line="200" w:lineRule="exact"/>
        <w:rPr>
          <w:sz w:val="20"/>
          <w:szCs w:val="20"/>
          <w:color w:val="auto"/>
        </w:rPr>
      </w:pP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February 1, 2003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gridSpan w:val="10"/>
          </w:tcPr>
          <w:p>
            <w:pPr>
              <w:spacing w:after="0"/>
              <w:rPr>
                <w:sz w:val="20"/>
                <w:szCs w:val="20"/>
                <w:color w:val="auto"/>
              </w:rPr>
            </w:pPr>
            <w:r>
              <w:rPr>
                <w:rFonts w:ascii="Arial" w:cs="Arial" w:eastAsia="Arial" w:hAnsi="Arial"/>
                <w:sz w:val="14"/>
                <w:szCs w:val="14"/>
                <w:b w:val="1"/>
                <w:bCs w:val="1"/>
                <w:color w:val="auto"/>
              </w:rPr>
              <w:t>February 2, 2002</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center"/>
              <w:ind w:right="232"/>
              <w:spacing w:after="0"/>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2"/>
                <w:szCs w:val="12"/>
                <w:color w:val="auto"/>
              </w:rPr>
            </w:pPr>
          </w:p>
        </w:tc>
        <w:tc>
          <w:tcPr>
            <w:tcW w:w="116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52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Carrying</w:t>
            </w:r>
          </w:p>
        </w:tc>
        <w:tc>
          <w:tcPr>
            <w:tcW w:w="1060" w:type="dxa"/>
            <w:vAlign w:val="bottom"/>
            <w:gridSpan w:val="6"/>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center"/>
              <w:ind w:right="232"/>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5"/>
                <w:szCs w:val="15"/>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0"/>
              </w:rPr>
              <w:t>Amount</w:t>
            </w:r>
          </w:p>
        </w:tc>
        <w:tc>
          <w:tcPr>
            <w:tcW w:w="1060" w:type="dxa"/>
            <w:vAlign w:val="bottom"/>
            <w:gridSpan w:val="6"/>
          </w:tcPr>
          <w:p>
            <w:pPr>
              <w:ind w:left="10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Technology-based</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2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7,211</w:t>
            </w:r>
          </w:p>
        </w:tc>
        <w:tc>
          <w:tcPr>
            <w:tcW w:w="3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$16,923</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$ 4,847</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Tradename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3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5,936</w:t>
            </w:r>
          </w:p>
        </w:tc>
        <w:tc>
          <w:tcPr>
            <w:tcW w:w="3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6,147</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5,814</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$24,237</w:t>
            </w:r>
          </w:p>
        </w:tc>
        <w:tc>
          <w:tcPr>
            <w:tcW w:w="2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13,625</w:t>
            </w:r>
          </w:p>
        </w:tc>
        <w:tc>
          <w:tcPr>
            <w:tcW w:w="34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$24,237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$11,016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4480" w:type="dxa"/>
            <w:vAlign w:val="bottom"/>
            <w:gridSpan w:val="3"/>
          </w:tcPr>
          <w:p>
            <w:pPr>
              <w:spacing w:after="0"/>
              <w:rPr>
                <w:sz w:val="9"/>
                <w:szCs w:val="9"/>
                <w:color w:val="auto"/>
              </w:rPr>
            </w:pPr>
          </w:p>
        </w:tc>
        <w:tc>
          <w:tcPr>
            <w:tcW w:w="7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480" w:type="dxa"/>
            <w:vAlign w:val="bottom"/>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320" w:type="dxa"/>
            <w:vAlign w:val="bottom"/>
            <w:gridSpan w:val="6"/>
          </w:tcPr>
          <w:p>
            <w:pPr>
              <w:spacing w:after="0"/>
              <w:rPr>
                <w:sz w:val="20"/>
                <w:szCs w:val="20"/>
                <w:color w:val="auto"/>
              </w:rPr>
            </w:pPr>
            <w:r>
              <w:rPr>
                <w:rFonts w:ascii="Arial" w:cs="Arial" w:eastAsia="Arial" w:hAnsi="Arial"/>
                <w:sz w:val="18"/>
                <w:szCs w:val="18"/>
                <w:color w:val="auto"/>
                <w:w w:val="97"/>
              </w:rPr>
              <w:t>Amortization expense relating to goodwill and other intangibles was: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9"/>
          </w:tcPr>
          <w:p>
            <w:pPr>
              <w:ind w:left="120"/>
              <w:spacing w:after="0"/>
              <w:rPr>
                <w:sz w:val="20"/>
                <w:szCs w:val="20"/>
                <w:color w:val="auto"/>
              </w:rPr>
            </w:pPr>
            <w:r>
              <w:rPr>
                <w:rFonts w:ascii="Arial" w:cs="Arial" w:eastAsia="Arial" w:hAnsi="Arial"/>
                <w:sz w:val="14"/>
                <w:szCs w:val="14"/>
                <w:b w:val="1"/>
                <w:bCs w:val="1"/>
                <w:color w:val="auto"/>
              </w:rPr>
              <w:t>February 1, 2003</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1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gridSpan w:val="5"/>
          </w:tcPr>
          <w:p>
            <w:pPr>
              <w:spacing w:after="0"/>
              <w:rPr>
                <w:sz w:val="8"/>
                <w:szCs w:val="8"/>
                <w:color w:val="auto"/>
              </w:rPr>
            </w:pPr>
          </w:p>
        </w:tc>
        <w:tc>
          <w:tcPr>
            <w:tcW w:w="3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4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6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6"/>
            <w:shd w:val="clear" w:color="auto" w:fill="EEEEEE"/>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$13,355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652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41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gridSpan w:val="5"/>
          </w:tcPr>
          <w:p>
            <w:pPr>
              <w:spacing w:after="0"/>
              <w:rPr>
                <w:sz w:val="8"/>
                <w:szCs w:val="8"/>
                <w:color w:val="auto"/>
              </w:rPr>
            </w:pPr>
          </w:p>
        </w:tc>
        <w:tc>
          <w:tcPr>
            <w:tcW w:w="32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4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180" w:type="dxa"/>
            <w:vAlign w:val="bottom"/>
            <w:gridSpan w:val="9"/>
            <w:shd w:val="clear" w:color="auto" w:fill="EEEEEE"/>
          </w:tcPr>
          <w:p>
            <w:pPr>
              <w:jc w:val="right"/>
              <w:spacing w:after="0"/>
              <w:rPr>
                <w:sz w:val="20"/>
                <w:szCs w:val="20"/>
                <w:color w:val="auto"/>
              </w:rPr>
            </w:pPr>
            <w:r>
              <w:rPr>
                <w:rFonts w:ascii="Arial" w:cs="Arial" w:eastAsia="Arial" w:hAnsi="Arial"/>
                <w:sz w:val="18"/>
                <w:szCs w:val="18"/>
                <w:color w:val="auto"/>
              </w:rPr>
              <w:t>$ 652</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$14,105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expects annual amortization expense for these intangible assets to be:</w:t>
      </w:r>
    </w:p>
    <w:p>
      <w:pPr>
        <w:spacing w:after="0" w:line="235"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Fiscal</w:t>
            </w:r>
          </w:p>
        </w:tc>
        <w:tc>
          <w:tcPr>
            <w:tcW w:w="432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b w:val="1"/>
                <w:bCs w:val="1"/>
                <w:color w:val="auto"/>
              </w:rPr>
              <w:t>Amortization</w:t>
            </w:r>
          </w:p>
        </w:tc>
      </w:tr>
      <w:tr>
        <w:trPr>
          <w:trHeight w:val="174"/>
        </w:trPr>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Years</w:t>
            </w:r>
          </w:p>
        </w:tc>
        <w:tc>
          <w:tcPr>
            <w:tcW w:w="43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Expense</w:t>
            </w:r>
          </w:p>
        </w:tc>
      </w:tr>
      <w:tr>
        <w:trPr>
          <w:trHeight w:val="95"/>
        </w:trPr>
        <w:tc>
          <w:tcPr>
            <w:tcW w:w="880" w:type="dxa"/>
            <w:vAlign w:val="bottom"/>
            <w:tcBorders>
              <w:bottom w:val="single" w:sz="8" w:color="808080"/>
            </w:tcBorders>
          </w:tcPr>
          <w:p>
            <w:pPr>
              <w:spacing w:after="0"/>
              <w:rPr>
                <w:sz w:val="8"/>
                <w:szCs w:val="8"/>
                <w:color w:val="auto"/>
              </w:rPr>
            </w:pPr>
          </w:p>
        </w:tc>
        <w:tc>
          <w:tcPr>
            <w:tcW w:w="43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r>
        <w:trPr>
          <w:trHeight w:val="102"/>
        </w:trPr>
        <w:tc>
          <w:tcPr>
            <w:tcW w:w="8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16"/>
        </w:trPr>
        <w:tc>
          <w:tcPr>
            <w:tcW w:w="8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2003</w:t>
            </w:r>
          </w:p>
        </w:tc>
        <w:tc>
          <w:tcPr>
            <w:tcW w:w="5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$ 2,609</w:t>
            </w:r>
          </w:p>
        </w:tc>
      </w:tr>
      <w:tr>
        <w:trPr>
          <w:trHeight w:val="216"/>
        </w:trPr>
        <w:tc>
          <w:tcPr>
            <w:tcW w:w="880" w:type="dxa"/>
            <w:vAlign w:val="bottom"/>
          </w:tcPr>
          <w:p>
            <w:pPr>
              <w:ind w:left="200"/>
              <w:spacing w:after="0"/>
              <w:rPr>
                <w:sz w:val="20"/>
                <w:szCs w:val="20"/>
                <w:color w:val="auto"/>
              </w:rPr>
            </w:pPr>
            <w:r>
              <w:rPr>
                <w:rFonts w:ascii="Arial" w:cs="Arial" w:eastAsia="Arial" w:hAnsi="Arial"/>
                <w:sz w:val="18"/>
                <w:szCs w:val="18"/>
                <w:color w:val="auto"/>
              </w:rPr>
              <w:t>2004</w:t>
            </w:r>
          </w:p>
        </w:tc>
        <w:tc>
          <w:tcPr>
            <w:tcW w:w="5400" w:type="dxa"/>
            <w:vAlign w:val="bottom"/>
            <w:gridSpan w:val="2"/>
          </w:tcPr>
          <w:p>
            <w:pPr>
              <w:jc w:val="right"/>
              <w:ind w:right="252"/>
              <w:spacing w:after="0"/>
              <w:rPr>
                <w:sz w:val="20"/>
                <w:szCs w:val="20"/>
                <w:color w:val="auto"/>
              </w:rPr>
            </w:pPr>
            <w:r>
              <w:rPr>
                <w:rFonts w:ascii="Arial" w:cs="Arial" w:eastAsia="Arial" w:hAnsi="Arial"/>
                <w:sz w:val="18"/>
                <w:szCs w:val="18"/>
                <w:color w:val="auto"/>
              </w:rPr>
              <w:t>2,609</w:t>
            </w:r>
          </w:p>
        </w:tc>
      </w:tr>
      <w:tr>
        <w:trPr>
          <w:trHeight w:val="216"/>
        </w:trPr>
        <w:tc>
          <w:tcPr>
            <w:tcW w:w="8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2005</w:t>
            </w:r>
          </w:p>
        </w:tc>
        <w:tc>
          <w:tcPr>
            <w:tcW w:w="5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2,278</w:t>
            </w:r>
          </w:p>
        </w:tc>
      </w:tr>
      <w:tr>
        <w:trPr>
          <w:trHeight w:val="216"/>
        </w:trPr>
        <w:tc>
          <w:tcPr>
            <w:tcW w:w="880" w:type="dxa"/>
            <w:vAlign w:val="bottom"/>
          </w:tcPr>
          <w:p>
            <w:pPr>
              <w:ind w:left="200"/>
              <w:spacing w:after="0"/>
              <w:rPr>
                <w:sz w:val="20"/>
                <w:szCs w:val="20"/>
                <w:color w:val="auto"/>
              </w:rPr>
            </w:pPr>
            <w:r>
              <w:rPr>
                <w:rFonts w:ascii="Arial" w:cs="Arial" w:eastAsia="Arial" w:hAnsi="Arial"/>
                <w:sz w:val="18"/>
                <w:szCs w:val="18"/>
                <w:color w:val="auto"/>
              </w:rPr>
              <w:t>2006</w:t>
            </w:r>
          </w:p>
        </w:tc>
        <w:tc>
          <w:tcPr>
            <w:tcW w:w="5400" w:type="dxa"/>
            <w:vAlign w:val="bottom"/>
            <w:gridSpan w:val="2"/>
          </w:tcPr>
          <w:p>
            <w:pPr>
              <w:jc w:val="right"/>
              <w:ind w:right="252"/>
              <w:spacing w:after="0"/>
              <w:rPr>
                <w:sz w:val="20"/>
                <w:szCs w:val="20"/>
                <w:color w:val="auto"/>
              </w:rPr>
            </w:pPr>
            <w:r>
              <w:rPr>
                <w:rFonts w:ascii="Arial" w:cs="Arial" w:eastAsia="Arial" w:hAnsi="Arial"/>
                <w:sz w:val="18"/>
                <w:szCs w:val="18"/>
                <w:color w:val="auto"/>
              </w:rPr>
              <w:t>1,284</w:t>
            </w:r>
          </w:p>
        </w:tc>
      </w:tr>
      <w:tr>
        <w:trPr>
          <w:trHeight w:val="216"/>
        </w:trPr>
        <w:tc>
          <w:tcPr>
            <w:tcW w:w="8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2007</w:t>
            </w:r>
          </w:p>
        </w:tc>
        <w:tc>
          <w:tcPr>
            <w:tcW w:w="5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1,284</w:t>
            </w:r>
          </w:p>
        </w:tc>
      </w:tr>
      <w:tr>
        <w:trPr>
          <w:trHeight w:val="222"/>
        </w:trPr>
        <w:tc>
          <w:tcPr>
            <w:tcW w:w="880" w:type="dxa"/>
            <w:vAlign w:val="bottom"/>
          </w:tcPr>
          <w:p>
            <w:pPr>
              <w:ind w:left="200"/>
              <w:spacing w:after="0"/>
              <w:rPr>
                <w:sz w:val="20"/>
                <w:szCs w:val="20"/>
                <w:color w:val="auto"/>
              </w:rPr>
            </w:pPr>
            <w:r>
              <w:rPr>
                <w:rFonts w:ascii="Arial" w:cs="Arial" w:eastAsia="Arial" w:hAnsi="Arial"/>
                <w:sz w:val="18"/>
                <w:szCs w:val="18"/>
                <w:color w:val="auto"/>
              </w:rPr>
              <w:t>2008+</w:t>
            </w:r>
          </w:p>
        </w:tc>
        <w:tc>
          <w:tcPr>
            <w:tcW w:w="5400" w:type="dxa"/>
            <w:vAlign w:val="bottom"/>
            <w:gridSpan w:val="2"/>
          </w:tcPr>
          <w:p>
            <w:pPr>
              <w:jc w:val="right"/>
              <w:ind w:right="252"/>
              <w:spacing w:after="0"/>
              <w:rPr>
                <w:sz w:val="20"/>
                <w:szCs w:val="20"/>
                <w:color w:val="auto"/>
              </w:rPr>
            </w:pPr>
            <w:r>
              <w:rPr>
                <w:rFonts w:ascii="Arial" w:cs="Arial" w:eastAsia="Arial" w:hAnsi="Arial"/>
                <w:sz w:val="18"/>
                <w:szCs w:val="18"/>
                <w:color w:val="auto"/>
              </w:rPr>
              <w:t>1,200</w:t>
            </w:r>
          </w:p>
        </w:tc>
      </w:tr>
    </w:tbl>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a reconciliation of reported net income for the first quarter of fiscal 2002 to adjusted net income had FAS 142 been applied as of the beginning of fiscal 2002:</w:t>
      </w:r>
    </w:p>
    <w:p>
      <w:pPr>
        <w:spacing w:after="0" w:line="200" w:lineRule="exact"/>
        <w:rPr>
          <w:sz w:val="20"/>
          <w:szCs w:val="20"/>
          <w:color w:val="auto"/>
        </w:rPr>
      </w:pP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55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60" w:type="dxa"/>
            <w:vAlign w:val="bottom"/>
          </w:tcPr>
          <w:p>
            <w:pPr>
              <w:spacing w:after="0"/>
              <w:rPr>
                <w:sz w:val="22"/>
                <w:szCs w:val="22"/>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February 1, 2003</w:t>
            </w:r>
          </w:p>
        </w:tc>
        <w:tc>
          <w:tcPr>
            <w:tcW w:w="340" w:type="dxa"/>
            <w:vAlign w:val="bottom"/>
          </w:tcPr>
          <w:p>
            <w:pPr>
              <w:spacing w:after="0"/>
              <w:rPr>
                <w:sz w:val="22"/>
                <w:szCs w:val="22"/>
                <w:color w:val="auto"/>
              </w:rPr>
            </w:pPr>
          </w:p>
        </w:tc>
        <w:tc>
          <w:tcPr>
            <w:tcW w:w="1320" w:type="dxa"/>
            <w:vAlign w:val="bottom"/>
            <w:gridSpan w:val="3"/>
          </w:tcPr>
          <w:p>
            <w:pPr>
              <w:ind w:left="180"/>
              <w:spacing w:after="0"/>
              <w:rPr>
                <w:sz w:val="20"/>
                <w:szCs w:val="20"/>
                <w:color w:val="auto"/>
              </w:rPr>
            </w:pPr>
            <w:r>
              <w:rPr>
                <w:rFonts w:ascii="Arial" w:cs="Arial" w:eastAsia="Arial" w:hAnsi="Arial"/>
                <w:sz w:val="14"/>
                <w:szCs w:val="14"/>
                <w:b w:val="1"/>
                <w:bCs w:val="1"/>
                <w:color w:val="auto"/>
              </w:rPr>
              <w:t>February 2, 2002</w:t>
            </w:r>
          </w:p>
        </w:tc>
        <w:tc>
          <w:tcPr>
            <w:tcW w:w="0" w:type="dxa"/>
            <w:vAlign w:val="bottom"/>
          </w:tcPr>
          <w:p>
            <w:pPr>
              <w:spacing w:after="0"/>
              <w:rPr>
                <w:sz w:val="1"/>
                <w:szCs w:val="1"/>
                <w:color w:val="auto"/>
              </w:rPr>
            </w:pPr>
          </w:p>
        </w:tc>
      </w:tr>
      <w:tr>
        <w:trPr>
          <w:trHeight w:val="95"/>
        </w:trPr>
        <w:tc>
          <w:tcPr>
            <w:tcW w:w="55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Reported 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59,992</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24,690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Add back: Goodwill and workforce amortization (net of tax)</w:t>
            </w:r>
          </w:p>
        </w:tc>
        <w:tc>
          <w:tcPr>
            <w:tcW w:w="42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10,806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Adjusted 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59,992</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35,496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6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Reported 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0.17</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320"/>
              <w:spacing w:after="0"/>
              <w:rPr>
                <w:sz w:val="20"/>
                <w:szCs w:val="20"/>
                <w:color w:val="auto"/>
              </w:rPr>
            </w:pPr>
            <w:r>
              <w:rPr>
                <w:rFonts w:ascii="Arial" w:cs="Arial" w:eastAsia="Arial" w:hAnsi="Arial"/>
                <w:sz w:val="18"/>
                <w:szCs w:val="18"/>
                <w:color w:val="auto"/>
              </w:rPr>
              <w:t>Goodwill and workforce amortization (net of tax)</w:t>
            </w:r>
          </w:p>
        </w:tc>
        <w:tc>
          <w:tcPr>
            <w:tcW w:w="42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Adjusted 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0.17</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Reported 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320"/>
              <w:spacing w:after="0"/>
              <w:rPr>
                <w:sz w:val="20"/>
                <w:szCs w:val="20"/>
                <w:color w:val="auto"/>
              </w:rPr>
            </w:pPr>
            <w:r>
              <w:rPr>
                <w:rFonts w:ascii="Arial" w:cs="Arial" w:eastAsia="Arial" w:hAnsi="Arial"/>
                <w:sz w:val="18"/>
                <w:szCs w:val="18"/>
                <w:color w:val="auto"/>
              </w:rPr>
              <w:t>Goodwill and workforce amortization (net of tax)</w:t>
            </w:r>
          </w:p>
        </w:tc>
        <w:tc>
          <w:tcPr>
            <w:tcW w:w="42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Adjusted net income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419" w:right="299" w:bottom="1021" w:gutter="0" w:footer="0" w:header="0"/>
        </w:sectPr>
      </w:pP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021"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Repurchase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the Company’s Board of Directors approved the repurchase of up to 15 million shares of common stock. As of February 1, 2003, the Company had repurchased 4,350,100 shares of its common stock at an average purchase price of $22.47 per share. The repurchased shares are held as treasury shares and are being used for the employee stock purchase plan and other benefit plans.</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2, 2002.</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Quarterly Report on Form 10-Q, including the section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2003 Overview</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recorded quarterly revenues of $467 million in the first quarter of fiscal 2003, which was a 19% increase in revenue from the first quarter of fiscal 2002 and a 3% increase in revenue from the fourth quarter of fiscal 2002. Our gross margins remained strong at 54.2%, which was a 230 basis point increase from the first quarter of fiscal 2002. Our cash flow continued to be strong, with cash, cash equivalents and short-term investments increasing by over $100 million during the first quarter of fiscal 2003 to $3 billion.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sales were $467 million in the first quarter of fiscal 2003, an increase of 19% from net sales of $393 million in the first quarter of fiscal 2002. Approximately 78% of our net sales in the first quarter of fiscal 2003 were from analog products, which increased 14% from the first quarter of fiscal 2002 to the first quarter of fiscal 2003. Sales of analog products represented approximately 81% of our net sales in the first quarter of fiscal 2002. DSP product sales represented the remaining 22% of our net sales in the first quarter of fiscal 2003, and increased 41% from the first quarter of fiscal 2002 to the first quarter of fiscal 2003. In the first quarter of fiscal 2002, DSP product sales were approximately 19% of our net sales. The increase in net sales for the three months ended February 1, 2003 as compared to the three months ended February 2, 2002 was primarily attributable to higher sales to our consumer, communications and computer customers. Sales to industrial customers were approximately flat in the first quarter of fiscal 2003 as compared to the first quarter of fiscal 2002.</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three months ended February 1, 2003 and February 2, 2002, approximately 73% and 64%, respectively, of net sales were derived from international customers. With the exception of North America, sales in dollars increased in all geographic regions, with sales to Southeast Asia comprising approximately 75% of the total sales increase. The decline in sales in North America, both as a percentage of total sales and on an absolute basis, was attributable to an overall decline in the general economy as well as the ongoing transfer of customer manufacturing activity to lower cost locations, primarily Southeast Asia.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Gross margin was $253 million, or 54.2% of net sales, in the first quarter of fiscal 2003, an increase of 230 basis points from the first quarter of fiscal 2002 gross margin of $204 million, or 51.9% of net sales. The increase in quarter-over-quarter gross margin was due to the favorable effect of fixed costs allocated across a higher sales base and, to a lesser extent, the impact of manufacturing restructuring actions taken in fiscal 2002 and fiscal 2001.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Research and development, or R&amp;D, expenses amounted to $109 million, or 23.4% of net sales, in the first quarter of fiscal 2003, an increase of $4 million from the $105 million, or 26.6% of net sales, recorded in the first quarter of fiscal 2002. Included in the first quarter of fiscal 2003 and the first quarter of fiscal 2002 R&amp;D expenses are approximately $2.2 million and $6.3 million, respectively, of acquisition-related expenses. Acquisition-related expenses were higher in the first quarter of fiscal 2002 due to the payout of performance-based earnouts. The increase in R&amp;D expenses in dollars was primarily due to restoration of salaries to our most highly compensated employees and the selective hiring of engineers. Despite the significant decline in sales in fiscal 2002, in view of our long-term business strategy, we continued to invest in R&amp;D at levels commensurate with significantly higher revenue levels than we were achieving in the short term.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Selling, marketing, general and administrative, or SMG&amp;A, expenses were $69 million in the first quarter of fiscal 2003, an increase of $11 million from the $58 million recorded in the first quarter of fiscal 2002. As a percentage of sales, SMG&amp;A was 14.8% of net sales in both the first quarter of fiscal 2003 and the first quarter of fiscal 2002. The increase in SMG&amp;A expenses in dollars was the result of the restoration of salaries for our most highly compensated employees as well as an increase in field applications engineers in order to help our customers design in our newest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225"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Amortization of intangibles was $0.7 million in the first quarter of fiscal 2003 compared with $14 million in the first quarter of fiscal 2002. We implemented the provisions of Statement of Financial Accounting Standards No. 142, or FAS 142, as of the beginning of fiscal 2003, which resulted in the significant decrease in amortization expense in the first quarter of fiscal 2003 as compared to the first quarter of fiscal 2002. Under FAS 142, goodwill is no longer amortized. In fiscal 2003, we anticipate annual amortization expense to decrease to approximately $3 million as a result of our adoption of FAS 142.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2002, we recorded special charges totaling $48.5 million and, during fiscal 2001, we recorded special charges of $47 million.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second quarter of fiscal 2002, we recorded special charges of approximately $27.2 million. The second quarter charge included $25.7 million related to the planned transfer of production from our three older four-inch wafer fabrication facilities to our three six-inch and one eight-inch wafer fabrication facilities, and $3 million primarily related to the impairment of an investment, which was offset by a $1.5 million adjustment to estimated equipment cancellation fees recorded in fiscal year 2001. The investment impairment, which was related to an equity investment in a private company, was due to our decision to abandon the product strategy for which the investment was made. Included in the $25.7 million component of the special charge are severance and fringe benefit costs of $15.3 million for 509 manufacturing employees in the United States and Ireland, of which 190 of these employees had been terminated as of February 1, 2003, $2.3 million related to the write-down of equipment to be abandoned and $8.1 million of other charges primarily related to lease termination and cleanup costs. In addition, the remaining service lives of certain assets within the older four-inch wafer fabrication facilities have been shortened. Depreciation expense included in cost of sales in fiscal 2002 included additional depreciation of approximately $8.7 million associated with the shortened lives of these assets. The write-down of equipment was principally due to our decision to discontinue various product development strategies. As of February 1, 2003, there was $23 million related to these charges remaining to be paid. This program is proceeding in accordance with our original plan and we expect to substantially complete these actions by mid-fiscal 2003. Once fully complete, we anticipate annual savings from the above actions of approximately $60 million, primarily in cost of sales, and the first full year’s impact will be fiscal 2004.</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2002, we recorded special charges of approximately $12.8 million. The charges included severance and fringe benefit costs of</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$3.7 million related to cost reduction actions taken in several product groups and, to a lesser extent, in manufacturing, $3.8 million related to the impairment of an investment, $3.4 million impairment of goodwill related to the closure of an Austrian design center we acquired in fiscal 2001 and $1.9 million primarily related to the abandonment of equipment and lease cancellation fees. The investment impairment, which was related to an equity investment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in a private company, was due to our decision to abandon the product strategy for which the investment was made. The severance and fringe benefit costs were for approximately 70 engineering employees in the United States, Europe and Canada, and approximately 30 manufacturing employees in the United States. All of the manufacturing employees and approximately 51 of the engineering employees had been terminated as of February 1, 2003. As of February 1, 2003, there was $3.2 million related to these charges remaining to be paid. We expect to substantially complete these actions by the end of the second quarter of fiscal 2003. Once fully complete, we anticipate the workforce reductions will result in annual savings of approximately $10 million, primarily in operating expenses, and the first full year’s impact will be fiscal 2004.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quarter of fiscal 2002, we recorded special charges of approximately $8.4 million. The charges included severance and fringe benefit costs of</w:t>
      </w:r>
    </w:p>
    <w:p>
      <w:pPr>
        <w:spacing w:after="0" w:line="3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$2.5 million related to cost reduction actions taken in our sales group, several product groups and in manufacturing for approximately 65 employees in the United States and Europe, of which 45 had been terminated as of February 1, 2003. The charges also included $2.1 million related to the impairment of investments, $1.8 million primarily related to the abandonment of equipment and lease cancellation fees and a change in estimate of $2 million related to cleanup costs previously recorded in the second quarter of fiscal 2002. The investment impairment charges were related to the decline in fair value of a publicly-traded equity investment below cost basis that was determined to be other-than-temporary and to an equity investment in a private company. The private company equity investment was part of a product strategy that we decided to abandon. As of February 1, 2003, there was $2.0 million related to these charges remaining to be paid. We expect to substantially complete these actions by the end of the third quarter of fiscal 2003. Once fully complete, we anticipate the workforce reductions will result in annual savings of approximately $4 million, primarily in operating expenses, and the first full year’s impact will be fiscal 2004.</w:t>
      </w:r>
    </w:p>
    <w:p>
      <w:pPr>
        <w:spacing w:after="0" w:line="17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restructuring actions underlying the special charges accrued in fiscal 2002 are proceeding as planned. Most of the remaining accrued special charge is attributable to actions planned and accrued in the second quarter of fiscal 2002 that involved the transfer of production from three separate four-inch wafer fabrication facilities to our six-inch and eight-inch wafer fabrication facilities, which are located in Massachusetts, California and Ireland. Our plan is for this transfer to be completed by mid-fiscal 2003.</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fiscal 2001, we recorded special charges of approximately $47 million related to cost reduction actions taken in response to the economic climate at that time. The actions consisted of workforce reductions in manufacturing and, to a lesser extent, in selling, marketing and administrative areas. In addition, we made a decision to consolidate worldwide manufacturing operations and rationalize production planning and quality activities. The cost reductions included severance and fringe benefit costs of $29.6 million for approximately 1,200 employees in the United States, Europe, Asia and the Philippines, substantially all of which had been terminated as of February 1, 2003. As of February 1, 2003, $25.3 million of the $29.6 million aggregate severance obligations underlying our fiscal 2001 worldwide cost reduction actions had been paid. The special charge also included $11.6 million related to the abandonment of equipment resulting from the consolidation of worldwide manufacturing operations and $5.8 million of other charges primarily related to equipment and lease cancellation fees. Based on the results of negotiations with vendors regarding purchase order cancellation fees, the amount paid was approximately $1.5 million less than the amount recorded for such charges and, accordingly, in the second quarter of fiscal 2002, we adjusted the provision for purchase order cancellation fees by $1.5 million to reflect this change in estimate. We believe that the workforce reductions will result in annual salary savings of approximately $40 million, consisting of a $27 million reduction in cost of sales and a $13 million reduction in operating expenses. The impact in fiscal 2002 of these cost savings was approximately $30 million, consisting of a $20 million reduction in cost of sales and a $10 million reduction in operating expenses, and the first full year’s impact will be fiscal 2004.</w:t>
      </w:r>
    </w:p>
    <w:p>
      <w:pPr>
        <w:spacing w:after="0" w:line="17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restructuring actions included in the special charges recorded during fiscal 2001 are proceeding as planned. Of the $47 million of special charges recorded in fiscal 2001, $4.9 million remained accrued as of February 1, 2003. Substantially all of the remaining amount covers termination payments being paid as income continuance to terminated employees as a result of the fiscal 2001 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operating income was $74 million, or 15.8% of net sales, in the first quarter of fiscal 2003, compared to $27 million, or 6.8% of net sales, in the first quarter of fiscal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and Expense</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expense was $9 million in the first quarter of fiscal 2003 compared to $14 million in the first quarter of fiscal 2002. The decrease in interest expense was the result of an interest rate swap agreement we entered into in January 2002.</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Interest income was $12 million in the first quarter of fiscal 2003 compared to $20 million in the first quarter of fiscal 2002. The decrease in interest income was primarily as a result of the decline in interest rates during fiscal 2002 as a result of actions taken by the Federal Reserve Board and, to a lesser extent, our decision to increase our holdings of higher credit quality lower interest-bearing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effective income tax rate decreased to 22% for the first quarter of fiscal 2003 as compared to 28% for the first quarter of fiscal 2002 due to a shift in the mix of worldwide profits and the discontinuance of goodwill amortization in the first quarter of fiscal 2003 as a result of our adoption of Financial Accounting Standards Board Statement of Financial Accounting Standards No. 142, “Goodwill and 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income for the first quarter of fiscal 2003 was $60 million, or 12.8% of net sales, and diluted earnings per share was $0.16 compared to net income in the first quarter of fiscal 2002 of $25 million, or 6.3% of net sales, and diluted earnings per share of $0.06.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Our net sales for the first quarter of fiscal 2003 increased 3% from the fourth quarter of fiscal 2002 as a result of stronger bookings. Based upon our expectation of continued improvement in our business and the semiconductor industry generally, our plan for our second quarter of fiscal 2003 anticipates an increase of approximately 3% to 5% in net sales from the first quarter of fiscal 2003. If that revenue level is achieved, assuming no unusual items, we would expect our second quarter of fiscal 2003 diluted earnings per share to be $0.17 to $0.18, as compared to $0.16 in the first quarter of fiscal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February 1, 2003, cash, cash equivalents and short-term investments totaled $3 billion, an increase of $102 million from the fourth quarter of fiscal 2002 and an increase of $105 million from the first quarter of fiscal 2002. The $102 million increase in cash, cash equivalents and short-term investments was primarily due to operating cash inflows of $105 million, or 23% of net sales in the first quarter of fiscal 2003.</w:t>
      </w:r>
    </w:p>
    <w:p>
      <w:pPr>
        <w:spacing w:after="0" w:line="194"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Accounts receivable of $231 million at February 1, 2003 increased $3 million from $228 million at the end of the fourth quarter of fiscal 2002. This increase resulted principally from a 3% increase in sales. Accounts receivable increased $34 million from the first quarter of fiscal 2002 due to a 19% increase in sales. Days sales outstanding remained flat at 45 days as of February 1, 2003 and February 2, 2002 and improved from 46 days as of the fourth quarter of fiscal 2002.</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Inventories decreased $12 million from the end of the fourth quarter of fiscal 2002 to $294 million at the end of the first quarter of fiscal 2003. Days cost of sales in inventory decreased sequentially by 10 days to 125 days as of the end of the first quarter of fiscal 2003. The decrease in inventory in dollars was due to our continued tight control over manufacturing spending, close management of inventory levels and the impact of restructuring actions taken over the last several quarters.</w:t>
      </w:r>
    </w:p>
    <w:p>
      <w:pPr>
        <w:spacing w:after="0" w:line="19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Net additions to property, plant and equipment of $15 million in the first quarter of fiscal 2003 were funded with a combination of cash on hand and cash generated from operations. We currently plan to make capital expenditures of approximately $80 million in fiscal 2003. Capital expenditures are expected to remain low, as we believe we currently have ample installed capacity to significantly increase internal production levels. Depreciation expense is expected to decrease slightly in fiscal 2003 from $181 million in fiscal 2002.</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2002, our Board of Directors approved the repurchase of up to 15 million shares of our common stock. We may repurchase shares from time to time on the open market or in privately negotiated transactions. Our management will determine the timing and amount of shares to be repurchased. As of February 1, 2003, the Company had repurchased 4,350,100 shares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its common stock at an average purchase price of $22.47 per share. The repurchased shares are held as treasury shares and are being used for the employee stock purchase plan and other benefit plans.</w:t>
      </w:r>
    </w:p>
    <w:p>
      <w:pPr>
        <w:spacing w:after="0" w:line="18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the three months ended February 1, 2003, there were no material changes to our contractual cash obligations, other than routine debt and lease payments. During the first quarter of fiscal 2003, we made payments of approximately $1 million related to our long-term debt obligations and approximately $1.4 million related to capital lease obligations.</w:t>
      </w:r>
    </w:p>
    <w:p>
      <w:pPr>
        <w:spacing w:after="0" w:line="19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At February 1, 2003, our principal source of liquidity was $3 billion of cash, cash equivalents and short-term investments. We believe that our existing sources of liquidity and cash expected to be generated from future operations, together with current and anticipated available long-term financing, will be sufficient to fund operations, capital expenditures and research and development efforts for at least the next twelve months and thereafter for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is based upon the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inventory levels, obsolescence of technology, and product life cycles, we write down inventories to net realizable value. We employ a variety of consistent methodologies to determine the amount of inventory reserves necessary. While a portion of the reserve is determined via reference to the age of inventory and lower of cost or market calculations, an element of the reserve is subject to significant judgments by us about future demand for our inventory. Additionally, we have built inventory in preparation for the transfer of production from our four-inch wafer fabrication facilities to our six- and eight-inch wafer fabrication facilities for both lifetime supply and transition inventory. We have recorded certain levels of reserves related to these inventory builds. Although we believe that we have used our best efforts and information to estimate future demand, due to the uncertain economic times and the difficulty inherent in predicting future results, it is possible that actual demand for our products will differ from our estimates. If actual demand for products is less than our estimates, additional reserves for existing inventories may need to be recorded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review property, plant, and equipment for impairment whenever events or changes in circumstances indicate that the carrying amount of such an asset may not be recoverable. Recoverability of these assets is measured by comparison of their carrying amount to future undiscounted cash flows the assets are expected to generate over the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 lived assets could differ from the estimates used in assessing the recoverability of these assets. These differences could result in impairment charges, which could have a material adverse impact on our results of operations.</w:t>
      </w:r>
    </w:p>
    <w:p>
      <w:pPr>
        <w:spacing w:after="0" w:line="1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June 2001, the Financial Accounting Standards Board issued Statement of Financial Accounting Standards No. 142, or FAS 142, “Goodwill and Other Intangible Assets.” In the first quarter of fiscal 2003, we adopted the new rules of FAS 142 for measuring the impairment of goodwill. As required by FAS 142, all remaining and future acquired goodwill will be subject to impairment tests annually, or earlier if indicators of potential impairment exist, using a fair-value-based approach.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estimates and assumptions described above along with other factors such as discount rates will affect the amount of an impairment loss, if any, we recognize under FAS 142. Within six months of adoption of FAS 142, we are required to make a transition test of our goodwill for impairment, which may result in a significant transition impairment loss. Any transition impairment loss will be recorded as a change in accounting principle. At least annually thereafter, we will be required to test goodwill for impairment, which may result in additional impairment losses that could have a material adverse impact on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account for income taxes in accordance with Statement of Financial Accounting Standards No. 109, or FAS 109, “Accounting for Income Taxes,”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by assessing our valuation allowance and by adjusting the amount of such allowance, if necessary. At February 1, 2003, we had deferred tax assets of $145 million primarily resulting from temporary differences between the book and tax bases of assets and liabilities. While these assets are not assured of realization, we have conducted an assessment of the likelihood of realization and concluded that no significant valuation allowance is required.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18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we have provided for potential liabilities due in various foreign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From time to time, we receive notices that our products or manufacturing processes may be infringing the patent or intellectual property rights of others. We periodically assess each matter in order to determine if a contingent liability in accordance with Statement of Financial Accounting Standards No. 5, or FAS 5, “Accounting for Contingencies,”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11 to our Consolidated Financial Statements contained in Item 8 of our Annual Report on Form 10-K for the year ended November 2,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voluntarily provided the following disclosure in order to provide our stockholders with information about our stock option programs and activity. We believe that this disclosure, combined with the disclosure provided in Note 2 to our Consolidated Financial Statements contained in Item 1 of this Quarterly Report on Form 10-Q, provides detailed information about our stock option programs.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Program Description</w:t>
      </w:r>
    </w:p>
    <w:p>
      <w:pPr>
        <w:spacing w:after="0" w:line="225" w:lineRule="exact"/>
        <w:rPr>
          <w:sz w:val="20"/>
          <w:szCs w:val="20"/>
          <w:color w:val="auto"/>
        </w:rPr>
      </w:pPr>
    </w:p>
    <w:p>
      <w:pPr>
        <w:ind w:right="160" w:firstLine="220"/>
        <w:spacing w:after="0" w:line="332" w:lineRule="auto"/>
        <w:rPr>
          <w:sz w:val="20"/>
          <w:szCs w:val="20"/>
          <w:color w:val="auto"/>
        </w:rPr>
      </w:pPr>
      <w:r>
        <w:rPr>
          <w:rFonts w:ascii="Arial" w:cs="Arial" w:eastAsia="Arial" w:hAnsi="Arial"/>
          <w:sz w:val="16"/>
          <w:szCs w:val="16"/>
          <w:color w:val="auto"/>
        </w:rPr>
        <w:t>Our stock option program is a broad-based, long-term employee retention program that is intended to attract, retain and motivate our employees, officers and directors and to align their interests with those of our stockholders. We have two plans under which we currently grant stock options:</w:t>
      </w:r>
    </w:p>
    <w:p>
      <w:pPr>
        <w:spacing w:after="0" w:line="133" w:lineRule="exact"/>
        <w:rPr>
          <w:sz w:val="20"/>
          <w:szCs w:val="20"/>
          <w:color w:val="auto"/>
        </w:rPr>
      </w:pPr>
    </w:p>
    <w:p>
      <w:pPr>
        <w:ind w:left="820" w:right="320" w:hanging="488"/>
        <w:spacing w:after="0" w:line="275" w:lineRule="auto"/>
        <w:tabs>
          <w:tab w:leader="none" w:pos="8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1998 Stock Option Plan</w:t>
      </w:r>
      <w:r>
        <w:rPr>
          <w:rFonts w:ascii="Arial" w:cs="Arial" w:eastAsia="Arial" w:hAnsi="Arial"/>
          <w:sz w:val="18"/>
          <w:szCs w:val="18"/>
          <w:color w:val="auto"/>
        </w:rPr>
        <w:t>, as amended, under which officers, directors and employees of Analog are granted options to purchase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w:t>
      </w:r>
    </w:p>
    <w:p>
      <w:pPr>
        <w:spacing w:after="0" w:line="173" w:lineRule="exact"/>
        <w:rPr>
          <w:rFonts w:ascii="Arial" w:cs="Arial" w:eastAsia="Arial" w:hAnsi="Arial"/>
          <w:sz w:val="18"/>
          <w:szCs w:val="18"/>
          <w:b w:val="1"/>
          <w:bCs w:val="1"/>
          <w:color w:val="auto"/>
        </w:rPr>
      </w:pPr>
    </w:p>
    <w:p>
      <w:pPr>
        <w:ind w:left="820" w:right="640" w:hanging="488"/>
        <w:spacing w:after="0" w:line="275" w:lineRule="auto"/>
        <w:tabs>
          <w:tab w:leader="none" w:pos="8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2001 Broad-Based Stock Option Plan</w:t>
      </w:r>
      <w:r>
        <w:rPr>
          <w:rFonts w:ascii="Arial" w:cs="Arial" w:eastAsia="Arial" w:hAnsi="Arial"/>
          <w:sz w:val="18"/>
          <w:szCs w:val="18"/>
          <w:color w:val="auto"/>
        </w:rPr>
        <w:t>, as amended, under which options to purchase shares of our common stock may be granted to all</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consultants and advisors of Analog, other than officers or directors.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Substantially all of our employees participate in these plans. Option vesting periods are generally five years for our grants and all options have a term of ten years. Our option plans do not permit us to grant options at exercise prices that are below the fair market value of our common stock as of the date of grant. These plans are critical to our efforts to create and maintain a competitive advantage in the extremely competitive semiconductor industry.</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Options are generally granted once per year between September and January as part of our annual performance review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 We have a goal to keep the dilution related to our option program to a long-term average of approximately 4% annually. The dilution percentage is calculated as the total number of shares of our common stock underlying new option grants for the year, net of options forfeited by employees leaving the company, divided by total outstanding shares of our common stock.</w:t>
      </w:r>
    </w:p>
    <w:p>
      <w:pPr>
        <w:spacing w:after="0" w:line="17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All stock option grants to executive officers and directors can be made only from stockholder approved plans and are made after a review by, and with the approval of the compensation committee of our board of directors. All members of the compensation committee are independent directors, as that term is defined in the applicable rules for issuers traded on the New York Stock Exchange. See the “Report of the Compensation Committee” in our 2003 proxy statement for further information regarding the policies and procedures of Analog and the compensation committee regarding our grant of stock options.</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December 2002, our Board of Directors adopted an amendment to each of our 2001 Broad-Based Stock Option Plan and our 1998 Stock Option Plan to provide that the terms of outstanding options under these plans may not be amended to provide an option exercise price per share that is lower than the original exercise price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Dilutive Effect of Options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and Executive Option Grants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February 1, 2003</w:t>
      </w:r>
    </w:p>
    <w:p>
      <w:pPr>
        <w:spacing w:after="0" w:line="200" w:lineRule="exact"/>
        <w:rPr>
          <w:sz w:val="20"/>
          <w:szCs w:val="20"/>
          <w:color w:val="auto"/>
        </w:rPr>
      </w:pPr>
    </w:p>
    <w:p>
      <w:pPr>
        <w:spacing w:after="0" w:line="34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20" w:type="dxa"/>
            <w:vAlign w:val="bottom"/>
          </w:tcPr>
          <w:p>
            <w:pPr>
              <w:jc w:val="right"/>
              <w:ind w:right="299"/>
              <w:spacing w:after="0"/>
              <w:rPr>
                <w:sz w:val="20"/>
                <w:szCs w:val="20"/>
                <w:color w:val="auto"/>
              </w:rPr>
            </w:pPr>
            <w:r>
              <w:rPr>
                <w:rFonts w:ascii="Arial" w:cs="Arial" w:eastAsia="Arial" w:hAnsi="Arial"/>
                <w:sz w:val="14"/>
                <w:szCs w:val="14"/>
                <w:b w:val="1"/>
                <w:bCs w:val="1"/>
                <w:color w:val="auto"/>
              </w:rPr>
              <w:t>FY2003</w:t>
            </w:r>
          </w:p>
        </w:tc>
        <w:tc>
          <w:tcPr>
            <w:tcW w:w="420" w:type="dxa"/>
            <w:vAlign w:val="bottom"/>
          </w:tcPr>
          <w:p>
            <w:pPr>
              <w:spacing w:after="0"/>
              <w:rPr>
                <w:sz w:val="14"/>
                <w:szCs w:val="14"/>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5 Yr.</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4"/>
        </w:trPr>
        <w:tc>
          <w:tcPr>
            <w:tcW w:w="3420" w:type="dxa"/>
            <w:vAlign w:val="bottom"/>
          </w:tcPr>
          <w:p>
            <w:pPr>
              <w:spacing w:after="0"/>
              <w:rPr>
                <w:sz w:val="15"/>
                <w:szCs w:val="15"/>
                <w:color w:val="auto"/>
              </w:rPr>
            </w:pPr>
          </w:p>
        </w:tc>
        <w:tc>
          <w:tcPr>
            <w:tcW w:w="122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 2/1/03</w:t>
            </w:r>
          </w:p>
        </w:tc>
        <w:tc>
          <w:tcPr>
            <w:tcW w:w="42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Avg.</w:t>
            </w: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2002</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r>
      <w:tr>
        <w:trPr>
          <w:trHeight w:val="95"/>
        </w:trPr>
        <w:tc>
          <w:tcPr>
            <w:tcW w:w="34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r>
        <w:trPr>
          <w:trHeight w:val="102"/>
        </w:trPr>
        <w:tc>
          <w:tcPr>
            <w:tcW w:w="3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08"/>
        </w:trPr>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Net grants during the period as a</w:t>
            </w:r>
          </w:p>
        </w:tc>
        <w:tc>
          <w:tcPr>
            <w:tcW w:w="122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rPr>
              <w:t>(0.1%)**</w:t>
            </w:r>
          </w:p>
        </w:tc>
        <w:tc>
          <w:tcPr>
            <w:tcW w:w="150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4.4%</w:t>
            </w:r>
          </w:p>
        </w:tc>
        <w:tc>
          <w:tcPr>
            <w:tcW w:w="1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7.1%***</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r>
      <w:tr>
        <w:trPr>
          <w:trHeight w:val="224"/>
        </w:trPr>
        <w:tc>
          <w:tcPr>
            <w:tcW w:w="34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percentage of outstanding shares</w:t>
            </w:r>
          </w:p>
        </w:tc>
        <w:tc>
          <w:tcPr>
            <w:tcW w:w="1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r>
      <w:tr>
        <w:trPr>
          <w:trHeight w:val="208"/>
        </w:trPr>
        <w:tc>
          <w:tcPr>
            <w:tcW w:w="3420" w:type="dxa"/>
            <w:vAlign w:val="bottom"/>
          </w:tcPr>
          <w:p>
            <w:pPr>
              <w:spacing w:after="0"/>
              <w:rPr>
                <w:sz w:val="20"/>
                <w:szCs w:val="20"/>
                <w:color w:val="auto"/>
              </w:rPr>
            </w:pPr>
            <w:r>
              <w:rPr>
                <w:rFonts w:ascii="Arial" w:cs="Arial" w:eastAsia="Arial" w:hAnsi="Arial"/>
                <w:sz w:val="18"/>
                <w:szCs w:val="18"/>
                <w:color w:val="auto"/>
              </w:rPr>
              <w:t>Grants to named executive officers*</w:t>
            </w:r>
          </w:p>
        </w:tc>
        <w:tc>
          <w:tcPr>
            <w:tcW w:w="1220" w:type="dxa"/>
            <w:vAlign w:val="bottom"/>
          </w:tcPr>
          <w:p>
            <w:pPr>
              <w:jc w:val="right"/>
              <w:ind w:right="379"/>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272"/>
              <w:spacing w:after="0"/>
              <w:rPr>
                <w:sz w:val="20"/>
                <w:szCs w:val="20"/>
                <w:color w:val="auto"/>
              </w:rPr>
            </w:pPr>
            <w:r>
              <w:rPr>
                <w:rFonts w:ascii="Arial" w:cs="Arial" w:eastAsia="Arial" w:hAnsi="Arial"/>
                <w:sz w:val="18"/>
                <w:szCs w:val="18"/>
                <w:color w:val="auto"/>
              </w:rPr>
              <w:t>5.4%</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420" w:type="dxa"/>
            <w:vAlign w:val="bottom"/>
          </w:tcPr>
          <w:p>
            <w:pPr>
              <w:ind w:left="140"/>
              <w:spacing w:after="0"/>
              <w:rPr>
                <w:sz w:val="20"/>
                <w:szCs w:val="20"/>
                <w:color w:val="auto"/>
              </w:rPr>
            </w:pPr>
            <w:r>
              <w:rPr>
                <w:rFonts w:ascii="Arial" w:cs="Arial" w:eastAsia="Arial" w:hAnsi="Arial"/>
                <w:sz w:val="18"/>
                <w:szCs w:val="18"/>
                <w:color w:val="auto"/>
              </w:rPr>
              <w:t>during the period as a percentage of</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3420" w:type="dxa"/>
            <w:vAlign w:val="bottom"/>
          </w:tcPr>
          <w:p>
            <w:pPr>
              <w:ind w:left="140"/>
              <w:spacing w:after="0"/>
              <w:rPr>
                <w:sz w:val="20"/>
                <w:szCs w:val="20"/>
                <w:color w:val="auto"/>
              </w:rPr>
            </w:pPr>
            <w:r>
              <w:rPr>
                <w:rFonts w:ascii="Arial" w:cs="Arial" w:eastAsia="Arial" w:hAnsi="Arial"/>
                <w:sz w:val="18"/>
                <w:szCs w:val="18"/>
                <w:color w:val="auto"/>
              </w:rPr>
              <w:t>total options granted</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9"/>
        </w:trPr>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Grants to named executive officers*</w:t>
            </w:r>
          </w:p>
        </w:tc>
        <w:tc>
          <w:tcPr>
            <w:tcW w:w="1220" w:type="dxa"/>
            <w:vAlign w:val="bottom"/>
            <w:shd w:val="clear" w:color="auto" w:fill="EEEEEE"/>
          </w:tcPr>
          <w:p>
            <w:pPr>
              <w:jc w:val="right"/>
              <w:ind w:right="379"/>
              <w:spacing w:after="0"/>
              <w:rPr>
                <w:sz w:val="20"/>
                <w:szCs w:val="20"/>
                <w:color w:val="auto"/>
              </w:rPr>
            </w:pPr>
            <w:r>
              <w:rPr>
                <w:rFonts w:ascii="Arial" w:cs="Arial" w:eastAsia="Arial" w:hAnsi="Arial"/>
                <w:sz w:val="18"/>
                <w:szCs w:val="18"/>
                <w:color w:val="auto"/>
              </w:rPr>
              <w:t>0.00%</w:t>
            </w:r>
          </w:p>
        </w:tc>
        <w:tc>
          <w:tcPr>
            <w:tcW w:w="150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0.32%</w:t>
            </w: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0.39%</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0.27%</w:t>
            </w:r>
          </w:p>
        </w:tc>
      </w:tr>
      <w:tr>
        <w:trPr>
          <w:trHeight w:val="216"/>
        </w:trPr>
        <w:tc>
          <w:tcPr>
            <w:tcW w:w="34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during the period as a percentage of</w:t>
            </w:r>
          </w:p>
        </w:tc>
        <w:tc>
          <w:tcPr>
            <w:tcW w:w="12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r>
      <w:tr>
        <w:trPr>
          <w:trHeight w:val="224"/>
        </w:trPr>
        <w:tc>
          <w:tcPr>
            <w:tcW w:w="34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outstanding shares</w:t>
            </w:r>
          </w:p>
        </w:tc>
        <w:tc>
          <w:tcPr>
            <w:tcW w:w="12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r>
      <w:tr>
        <w:trPr>
          <w:trHeight w:val="208"/>
        </w:trPr>
        <w:tc>
          <w:tcPr>
            <w:tcW w:w="3420" w:type="dxa"/>
            <w:vAlign w:val="bottom"/>
          </w:tcPr>
          <w:p>
            <w:pPr>
              <w:spacing w:after="0"/>
              <w:rPr>
                <w:sz w:val="20"/>
                <w:szCs w:val="20"/>
                <w:color w:val="auto"/>
              </w:rPr>
            </w:pPr>
            <w:r>
              <w:rPr>
                <w:rFonts w:ascii="Arial" w:cs="Arial" w:eastAsia="Arial" w:hAnsi="Arial"/>
                <w:sz w:val="18"/>
                <w:szCs w:val="18"/>
                <w:color w:val="auto"/>
              </w:rPr>
              <w:t>Cumulative options held by named</w:t>
            </w:r>
          </w:p>
        </w:tc>
        <w:tc>
          <w:tcPr>
            <w:tcW w:w="1220" w:type="dxa"/>
            <w:vAlign w:val="bottom"/>
          </w:tcPr>
          <w:p>
            <w:pPr>
              <w:jc w:val="right"/>
              <w:ind w:right="379"/>
              <w:spacing w:after="0"/>
              <w:rPr>
                <w:sz w:val="20"/>
                <w:szCs w:val="20"/>
                <w:color w:val="auto"/>
              </w:rPr>
            </w:pPr>
            <w:r>
              <w:rPr>
                <w:rFonts w:ascii="Arial" w:cs="Arial" w:eastAsia="Arial" w:hAnsi="Arial"/>
                <w:sz w:val="18"/>
                <w:szCs w:val="18"/>
                <w:color w:val="auto"/>
              </w:rPr>
              <w:t>6.9%</w:t>
            </w:r>
          </w:p>
        </w:tc>
        <w:tc>
          <w:tcPr>
            <w:tcW w:w="1500" w:type="dxa"/>
            <w:vAlign w:val="bottom"/>
            <w:gridSpan w:val="2"/>
          </w:tcPr>
          <w:p>
            <w:pPr>
              <w:jc w:val="right"/>
              <w:ind w:right="272"/>
              <w:spacing w:after="0"/>
              <w:rPr>
                <w:sz w:val="20"/>
                <w:szCs w:val="20"/>
                <w:color w:val="auto"/>
              </w:rPr>
            </w:pPr>
            <w:r>
              <w:rPr>
                <w:rFonts w:ascii="Arial" w:cs="Arial" w:eastAsia="Arial" w:hAnsi="Arial"/>
                <w:sz w:val="18"/>
                <w:szCs w:val="18"/>
                <w:color w:val="auto"/>
              </w:rPr>
              <w:t>9.6%</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420" w:type="dxa"/>
            <w:vAlign w:val="bottom"/>
          </w:tcPr>
          <w:p>
            <w:pPr>
              <w:ind w:left="140"/>
              <w:spacing w:after="0"/>
              <w:rPr>
                <w:sz w:val="20"/>
                <w:szCs w:val="20"/>
                <w:color w:val="auto"/>
              </w:rPr>
            </w:pPr>
            <w:r>
              <w:rPr>
                <w:rFonts w:ascii="Arial" w:cs="Arial" w:eastAsia="Arial" w:hAnsi="Arial"/>
                <w:sz w:val="18"/>
                <w:szCs w:val="18"/>
                <w:color w:val="auto"/>
              </w:rPr>
              <w:t>executive officers* as a percentage of</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420" w:type="dxa"/>
            <w:vAlign w:val="bottom"/>
          </w:tcPr>
          <w:p>
            <w:pPr>
              <w:ind w:left="140"/>
              <w:spacing w:after="0"/>
              <w:rPr>
                <w:sz w:val="20"/>
                <w:szCs w:val="20"/>
                <w:color w:val="auto"/>
              </w:rPr>
            </w:pPr>
            <w:r>
              <w:rPr>
                <w:rFonts w:ascii="Arial" w:cs="Arial" w:eastAsia="Arial" w:hAnsi="Arial"/>
                <w:sz w:val="18"/>
                <w:szCs w:val="18"/>
                <w:color w:val="auto"/>
              </w:rPr>
              <w:t>total options outstanding</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10" w:lineRule="exact"/>
        <w:rPr>
          <w:sz w:val="20"/>
          <w:szCs w:val="20"/>
          <w:color w:val="auto"/>
        </w:rPr>
      </w:pPr>
    </w:p>
    <w:p>
      <w:pPr>
        <w:ind w:right="40" w:firstLine="8"/>
        <w:spacing w:after="0" w:line="332" w:lineRule="auto"/>
        <w:tabs>
          <w:tab w:leader="none" w:pos="132"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“Aggregated Option Exercises and Remaining Option Values” below for our named executive officers. Named executive officers are defined by the SEC as our chief executive officer and our four other most highly compensated executive officers who were serving as executive officers on November 2, 2002.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8"/>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grants is equal to total grants less grant cancellations. See the “Summary of Option Activity” table for detail regarding our total grants and cancellations during the three months ended February 1, 2003.</w:t>
      </w:r>
    </w:p>
    <w:p>
      <w:pPr>
        <w:spacing w:after="0" w:line="185" w:lineRule="exact"/>
        <w:rPr>
          <w:rFonts w:ascii="Arial" w:cs="Arial" w:eastAsia="Arial" w:hAnsi="Arial"/>
          <w:sz w:val="18"/>
          <w:szCs w:val="18"/>
          <w:color w:val="auto"/>
        </w:rPr>
      </w:pPr>
    </w:p>
    <w:p>
      <w:pPr>
        <w:jc w:val="both"/>
        <w:ind w:firstLine="8"/>
        <w:spacing w:after="0" w:line="306" w:lineRule="auto"/>
        <w:tabs>
          <w:tab w:leader="none" w:pos="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Options are generally granted once per year between September and January as part of our annual performance review process. Occasionally, as in fiscal year 2002, two sets of option grants can fall within one fiscal year, as the process spans the end of one fiscal year and the beginning of the next fiscal year. Conversely, as in fiscal year 1999, there are fiscal years in which no annual merit options are granted.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Option Information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Option Activity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February 1, 2003</w:t>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12"/>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Employees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Receiving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Available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5"/>
          </w:tcPr>
          <w:p>
            <w:pPr>
              <w:jc w:val="right"/>
              <w:ind w:right="20"/>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8"/>
          </w:tcPr>
          <w:p>
            <w:pPr>
              <w:ind w:left="360"/>
              <w:spacing w:after="0"/>
              <w:rPr>
                <w:sz w:val="20"/>
                <w:szCs w:val="20"/>
                <w:color w:val="auto"/>
              </w:rPr>
            </w:pPr>
            <w:r>
              <w:rPr>
                <w:rFonts w:ascii="Arial" w:cs="Arial" w:eastAsia="Arial" w:hAnsi="Arial"/>
                <w:sz w:val="14"/>
                <w:szCs w:val="14"/>
                <w:b w:val="1"/>
                <w:bCs w:val="1"/>
                <w:color w:val="auto"/>
                <w:w w:val="87"/>
              </w:rPr>
              <w:t>(shares in thousands)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90"/>
              </w:rPr>
              <w:t>Grants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for Options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Shares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Last Fiscal Year</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0" w:type="dxa"/>
            <w:vAlign w:val="bottom"/>
            <w:gridSpan w:val="10"/>
            <w:shd w:val="clear" w:color="auto" w:fill="EEEEEE"/>
          </w:tcPr>
          <w:p>
            <w:pPr>
              <w:spacing w:after="0"/>
              <w:rPr>
                <w:sz w:val="20"/>
                <w:szCs w:val="20"/>
                <w:color w:val="auto"/>
              </w:rPr>
            </w:pPr>
            <w:r>
              <w:rPr>
                <w:rFonts w:ascii="Arial" w:cs="Arial" w:eastAsia="Arial" w:hAnsi="Arial"/>
                <w:sz w:val="18"/>
                <w:szCs w:val="18"/>
                <w:b w:val="1"/>
                <w:bCs w:val="1"/>
                <w:color w:val="auto"/>
              </w:rPr>
              <w:t>November 3, 2001</w:t>
            </w: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22,184</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63,737</w:t>
            </w:r>
          </w:p>
        </w:tc>
        <w:tc>
          <w:tcPr>
            <w:tcW w:w="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00" w:type="dxa"/>
            <w:vAlign w:val="bottom"/>
            <w:gridSpan w:val="14"/>
          </w:tcPr>
          <w:p>
            <w:pPr>
              <w:ind w:left="20"/>
              <w:spacing w:after="0"/>
              <w:rPr>
                <w:sz w:val="20"/>
                <w:szCs w:val="20"/>
                <w:color w:val="auto"/>
              </w:rPr>
            </w:pPr>
            <w:r>
              <w:rPr>
                <w:rFonts w:ascii="Arial" w:cs="Arial" w:eastAsia="Arial" w:hAnsi="Arial"/>
                <w:sz w:val="18"/>
                <w:szCs w:val="18"/>
                <w:color w:val="auto"/>
              </w:rPr>
              <w:t>Additional shares reserved-12/2001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3200" w:type="dxa"/>
            <w:vAlign w:val="bottom"/>
            <w:gridSpan w:val="14"/>
            <w:shd w:val="clear" w:color="auto" w:fill="EEEEEE"/>
          </w:tcPr>
          <w:p>
            <w:pPr>
              <w:ind w:left="20"/>
              <w:spacing w:after="0"/>
              <w:rPr>
                <w:sz w:val="20"/>
                <w:szCs w:val="20"/>
                <w:color w:val="auto"/>
              </w:rPr>
            </w:pPr>
            <w:r>
              <w:rPr>
                <w:rFonts w:ascii="Arial" w:cs="Arial" w:eastAsia="Arial" w:hAnsi="Arial"/>
                <w:sz w:val="18"/>
                <w:szCs w:val="18"/>
                <w:color w:val="auto"/>
              </w:rPr>
              <w:t>Shares cancelled upon termination of</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0" w:type="dxa"/>
            <w:vAlign w:val="bottom"/>
            <w:gridSpan w:val="7"/>
            <w:shd w:val="clear" w:color="auto" w:fill="EEEEEE"/>
          </w:tcPr>
          <w:p>
            <w:pPr>
              <w:ind w:left="120"/>
              <w:spacing w:after="0"/>
              <w:rPr>
                <w:sz w:val="20"/>
                <w:szCs w:val="20"/>
                <w:color w:val="auto"/>
              </w:rPr>
            </w:pPr>
            <w:r>
              <w:rPr>
                <w:rFonts w:ascii="Arial" w:cs="Arial" w:eastAsia="Arial" w:hAnsi="Arial"/>
                <w:sz w:val="18"/>
                <w:szCs w:val="18"/>
                <w:color w:val="auto"/>
                <w:w w:val="94"/>
              </w:rPr>
              <w:t>expired stock plans</w:t>
            </w:r>
          </w:p>
        </w:tc>
        <w:tc>
          <w:tcPr>
            <w:tcW w:w="2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160" w:type="dxa"/>
            <w:vAlign w:val="bottom"/>
            <w:gridSpan w:val="5"/>
            <w:shd w:val="clear" w:color="auto" w:fill="EEEEEE"/>
          </w:tcPr>
          <w:p>
            <w:pPr>
              <w:jc w:val="right"/>
              <w:ind w:right="240"/>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gridSpan w:val="8"/>
          </w:tcPr>
          <w:p>
            <w:pPr>
              <w:ind w:left="20"/>
              <w:spacing w:after="0"/>
              <w:rPr>
                <w:sz w:val="20"/>
                <w:szCs w:val="20"/>
                <w:color w:val="auto"/>
              </w:rPr>
            </w:pPr>
            <w:r>
              <w:rPr>
                <w:rFonts w:ascii="Arial" w:cs="Arial" w:eastAsia="Arial" w:hAnsi="Arial"/>
                <w:sz w:val="18"/>
                <w:szCs w:val="18"/>
                <w:color w:val="auto"/>
              </w:rPr>
              <w:t>Grants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0" w:type="dxa"/>
            <w:vAlign w:val="bottom"/>
            <w:gridSpan w:val="10"/>
            <w:shd w:val="clear" w:color="auto" w:fill="EEEEEE"/>
          </w:tcPr>
          <w:p>
            <w:pPr>
              <w:spacing w:after="0"/>
              <w:rPr>
                <w:sz w:val="20"/>
                <w:szCs w:val="20"/>
                <w:color w:val="auto"/>
              </w:rPr>
            </w:pPr>
            <w:r>
              <w:rPr>
                <w:rFonts w:ascii="Arial" w:cs="Arial" w:eastAsia="Arial" w:hAnsi="Arial"/>
                <w:sz w:val="18"/>
                <w:szCs w:val="18"/>
                <w:color w:val="auto"/>
              </w:rPr>
              <w:t>Annual retention 1/22/02</w:t>
            </w: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center"/>
              <w:ind w:left="272"/>
              <w:spacing w:after="0"/>
              <w:rPr>
                <w:sz w:val="20"/>
                <w:szCs w:val="20"/>
                <w:color w:val="auto"/>
              </w:rPr>
            </w:pPr>
            <w:r>
              <w:rPr>
                <w:rFonts w:ascii="Arial" w:cs="Arial" w:eastAsia="Arial" w:hAnsi="Arial"/>
                <w:sz w:val="18"/>
                <w:szCs w:val="18"/>
                <w:color w:val="auto"/>
                <w:w w:val="88"/>
              </w:rPr>
              <w:t>4,341</w:t>
            </w: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ind w:right="240"/>
              <w:spacing w:after="0"/>
              <w:rPr>
                <w:sz w:val="20"/>
                <w:szCs w:val="20"/>
                <w:color w:val="auto"/>
              </w:rPr>
            </w:pPr>
            <w:r>
              <w:rPr>
                <w:rFonts w:ascii="Arial" w:cs="Arial" w:eastAsia="Arial" w:hAnsi="Arial"/>
                <w:sz w:val="18"/>
                <w:szCs w:val="18"/>
                <w:color w:val="auto"/>
              </w:rPr>
              <w:t>(13,082)</w:t>
            </w:r>
          </w:p>
        </w:tc>
        <w:tc>
          <w:tcPr>
            <w:tcW w:w="14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13,082</w:t>
            </w:r>
          </w:p>
        </w:tc>
        <w:tc>
          <w:tcPr>
            <w:tcW w:w="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41,06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10"/>
          </w:tcPr>
          <w:p>
            <w:pPr>
              <w:spacing w:after="0"/>
              <w:rPr>
                <w:sz w:val="20"/>
                <w:szCs w:val="20"/>
                <w:color w:val="auto"/>
              </w:rPr>
            </w:pPr>
            <w:r>
              <w:rPr>
                <w:rFonts w:ascii="Arial" w:cs="Arial" w:eastAsia="Arial" w:hAnsi="Arial"/>
                <w:sz w:val="18"/>
                <w:szCs w:val="18"/>
                <w:color w:val="auto"/>
              </w:rPr>
              <w:t>Annual retention 9/24/02</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center"/>
              <w:ind w:left="272"/>
              <w:spacing w:after="0"/>
              <w:rPr>
                <w:sz w:val="20"/>
                <w:szCs w:val="20"/>
                <w:color w:val="auto"/>
              </w:rPr>
            </w:pPr>
            <w:r>
              <w:rPr>
                <w:rFonts w:ascii="Arial" w:cs="Arial" w:eastAsia="Arial" w:hAnsi="Arial"/>
                <w:sz w:val="18"/>
                <w:szCs w:val="18"/>
                <w:color w:val="auto"/>
                <w:w w:val="88"/>
              </w:rPr>
              <w:t>4,530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8"/>
                <w:szCs w:val="18"/>
                <w:color w:val="auto"/>
              </w:rPr>
              <w:t>(13,645)</w:t>
            </w:r>
          </w:p>
        </w:tc>
        <w:tc>
          <w:tcPr>
            <w:tcW w:w="140" w:type="dxa"/>
            <w:vAlign w:val="bottom"/>
          </w:tcPr>
          <w:p>
            <w:pPr>
              <w:spacing w:after="0"/>
              <w:rPr>
                <w:sz w:val="18"/>
                <w:szCs w:val="18"/>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18"/>
                <w:szCs w:val="18"/>
                <w:color w:val="auto"/>
              </w:rPr>
              <w:t>13,645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ind w:right="24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center"/>
              <w:ind w:left="214"/>
              <w:spacing w:after="0"/>
              <w:rPr>
                <w:sz w:val="20"/>
                <w:szCs w:val="20"/>
                <w:color w:val="auto"/>
              </w:rPr>
            </w:pPr>
            <w:r>
              <w:rPr>
                <w:rFonts w:ascii="Arial" w:cs="Arial" w:eastAsia="Arial" w:hAnsi="Arial"/>
                <w:sz w:val="18"/>
                <w:szCs w:val="18"/>
                <w:color w:val="auto"/>
                <w:w w:val="88"/>
              </w:rPr>
              <w:t>36.45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5"/>
          </w:tcPr>
          <w:p>
            <w:pPr>
              <w:ind w:left="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240"/>
              <w:spacing w:after="0"/>
              <w:rPr>
                <w:sz w:val="20"/>
                <w:szCs w:val="20"/>
                <w:color w:val="auto"/>
              </w:rPr>
            </w:pPr>
            <w:r>
              <w:rPr>
                <w:rFonts w:ascii="Arial" w:cs="Arial" w:eastAsia="Arial" w:hAnsi="Arial"/>
                <w:sz w:val="18"/>
                <w:szCs w:val="18"/>
                <w:color w:val="auto"/>
              </w:rPr>
              <w:t>(28,127)</w:t>
            </w:r>
          </w:p>
        </w:tc>
        <w:tc>
          <w:tcPr>
            <w:tcW w:w="140" w:type="dxa"/>
            <w:vAlign w:val="bottom"/>
          </w:tcPr>
          <w:p>
            <w:pPr>
              <w:spacing w:after="0"/>
              <w:rPr>
                <w:sz w:val="24"/>
                <w:szCs w:val="24"/>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18"/>
                <w:szCs w:val="18"/>
                <w:color w:val="auto"/>
              </w:rPr>
              <w:t>28,127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30.57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620" w:type="dxa"/>
            <w:vAlign w:val="bottom"/>
            <w:gridSpan w:val="8"/>
            <w:shd w:val="clear" w:color="auto" w:fill="EEEEEE"/>
          </w:tcPr>
          <w:p>
            <w:pPr>
              <w:ind w:left="20"/>
              <w:spacing w:after="0"/>
              <w:rPr>
                <w:sz w:val="20"/>
                <w:szCs w:val="20"/>
                <w:color w:val="auto"/>
              </w:rPr>
            </w:pPr>
            <w:r>
              <w:rPr>
                <w:rFonts w:ascii="Arial" w:cs="Arial" w:eastAsia="Arial" w:hAnsi="Arial"/>
                <w:sz w:val="18"/>
                <w:szCs w:val="18"/>
                <w:color w:val="auto"/>
              </w:rPr>
              <w:t>Exercises</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7"/>
            <w:shd w:val="clear" w:color="auto" w:fill="EEEEEE"/>
          </w:tcPr>
          <w:p>
            <w:pPr>
              <w:jc w:val="right"/>
              <w:ind w:right="40"/>
              <w:spacing w:after="0"/>
              <w:rPr>
                <w:sz w:val="20"/>
                <w:szCs w:val="20"/>
                <w:color w:val="auto"/>
              </w:rPr>
            </w:pPr>
            <w:r>
              <w:rPr>
                <w:rFonts w:ascii="Arial" w:cs="Arial" w:eastAsia="Arial" w:hAnsi="Arial"/>
                <w:sz w:val="18"/>
                <w:szCs w:val="18"/>
                <w:color w:val="auto"/>
              </w:rPr>
              <w:t>(3,869)</w:t>
            </w: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20" w:type="dxa"/>
            <w:vAlign w:val="bottom"/>
            <w:gridSpan w:val="8"/>
          </w:tcPr>
          <w:p>
            <w:pPr>
              <w:ind w:left="20"/>
              <w:spacing w:after="0"/>
              <w:rPr>
                <w:sz w:val="20"/>
                <w:szCs w:val="20"/>
                <w:color w:val="auto"/>
              </w:rPr>
            </w:pPr>
            <w:r>
              <w:rPr>
                <w:rFonts w:ascii="Arial" w:cs="Arial" w:eastAsia="Arial" w:hAnsi="Arial"/>
                <w:sz w:val="18"/>
                <w:szCs w:val="18"/>
                <w:color w:val="auto"/>
              </w:rPr>
              <w:t>Cancellations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2,144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34.24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0" w:type="dxa"/>
            <w:vAlign w:val="bottom"/>
            <w:gridSpan w:val="10"/>
            <w:shd w:val="clear" w:color="auto" w:fill="EEEEEE"/>
          </w:tcPr>
          <w:p>
            <w:pPr>
              <w:spacing w:after="0"/>
              <w:rPr>
                <w:sz w:val="20"/>
                <w:szCs w:val="20"/>
                <w:color w:val="auto"/>
              </w:rPr>
            </w:pPr>
            <w:r>
              <w:rPr>
                <w:rFonts w:ascii="Arial" w:cs="Arial" w:eastAsia="Arial" w:hAnsi="Arial"/>
                <w:sz w:val="18"/>
                <w:szCs w:val="18"/>
                <w:b w:val="1"/>
                <w:bCs w:val="1"/>
                <w:color w:val="auto"/>
              </w:rPr>
              <w:t>November 2, 2002</w:t>
            </w: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44,005</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85,851</w:t>
            </w:r>
          </w:p>
        </w:tc>
        <w:tc>
          <w:tcPr>
            <w:tcW w:w="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$25.41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b w:val="1"/>
                <w:bCs w:val="1"/>
                <w:color w:val="auto"/>
              </w:rPr>
              <w:t>Fiscal Year-to-date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00" w:type="dxa"/>
            <w:vAlign w:val="bottom"/>
          </w:tcPr>
          <w:p>
            <w:pPr>
              <w:ind w:left="120"/>
              <w:spacing w:after="0"/>
              <w:rPr>
                <w:sz w:val="20"/>
                <w:szCs w:val="20"/>
                <w:color w:val="auto"/>
              </w:rPr>
            </w:pPr>
            <w:r>
              <w:rPr>
                <w:rFonts w:ascii="Arial" w:cs="Arial" w:eastAsia="Arial" w:hAnsi="Arial"/>
                <w:sz w:val="18"/>
                <w:szCs w:val="18"/>
                <w:b w:val="1"/>
                <w:bCs w:val="1"/>
                <w:color w:val="auto"/>
              </w:rPr>
              <w:t>(as of 2/1/03)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1620" w:type="dxa"/>
            <w:vAlign w:val="bottom"/>
            <w:gridSpan w:val="8"/>
            <w:shd w:val="clear" w:color="auto" w:fill="EEEEEE"/>
          </w:tcPr>
          <w:p>
            <w:pPr>
              <w:ind w:left="20"/>
              <w:spacing w:after="0"/>
              <w:rPr>
                <w:sz w:val="20"/>
                <w:szCs w:val="20"/>
                <w:color w:val="auto"/>
              </w:rPr>
            </w:pPr>
            <w:r>
              <w:rPr>
                <w:rFonts w:ascii="Arial" w:cs="Arial" w:eastAsia="Arial" w:hAnsi="Arial"/>
                <w:sz w:val="18"/>
                <w:szCs w:val="18"/>
                <w:color w:val="auto"/>
              </w:rPr>
              <w:t>Grants</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right"/>
              <w:ind w:right="24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27.56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20" w:type="dxa"/>
            <w:vAlign w:val="bottom"/>
            <w:gridSpan w:val="8"/>
          </w:tcPr>
          <w:p>
            <w:pPr>
              <w:ind w:left="20"/>
              <w:spacing w:after="0"/>
              <w:rPr>
                <w:sz w:val="20"/>
                <w:szCs w:val="20"/>
                <w:color w:val="auto"/>
              </w:rPr>
            </w:pPr>
            <w:r>
              <w:rPr>
                <w:rFonts w:ascii="Arial" w:cs="Arial" w:eastAsia="Arial" w:hAnsi="Arial"/>
                <w:sz w:val="18"/>
                <w:szCs w:val="18"/>
                <w:color w:val="auto"/>
              </w:rPr>
              <w:t>Exercises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2280" w:type="dxa"/>
            <w:vAlign w:val="bottom"/>
            <w:gridSpan w:val="12"/>
            <w:shd w:val="clear" w:color="auto" w:fill="EEEEEE"/>
          </w:tcPr>
          <w:p>
            <w:pPr>
              <w:ind w:left="20"/>
              <w:spacing w:after="0"/>
              <w:rPr>
                <w:sz w:val="20"/>
                <w:szCs w:val="20"/>
                <w:color w:val="auto"/>
              </w:rPr>
            </w:pPr>
            <w:r>
              <w:rPr>
                <w:rFonts w:ascii="Arial" w:cs="Arial" w:eastAsia="Arial" w:hAnsi="Arial"/>
                <w:sz w:val="18"/>
                <w:szCs w:val="18"/>
                <w:color w:val="auto"/>
                <w:w w:val="96"/>
              </w:rPr>
              <w:t>Cancellations - expired plans</w:t>
            </w: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40" w:type="dxa"/>
            <w:vAlign w:val="bottom"/>
            <w:gridSpan w:val="7"/>
            <w:shd w:val="clear" w:color="auto" w:fill="EEEEEE"/>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20" w:type="dxa"/>
            <w:vAlign w:val="bottom"/>
            <w:gridSpan w:val="8"/>
          </w:tcPr>
          <w:p>
            <w:pPr>
              <w:ind w:left="20"/>
              <w:spacing w:after="0"/>
              <w:rPr>
                <w:sz w:val="20"/>
                <w:szCs w:val="20"/>
                <w:color w:val="auto"/>
              </w:rPr>
            </w:pPr>
            <w:r>
              <w:rPr>
                <w:rFonts w:ascii="Arial" w:cs="Arial" w:eastAsia="Arial" w:hAnsi="Arial"/>
                <w:sz w:val="18"/>
                <w:szCs w:val="18"/>
                <w:color w:val="auto"/>
              </w:rPr>
              <w:t>Cancellations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7"/>
          </w:tcPr>
          <w:p>
            <w:pPr>
              <w:jc w:val="right"/>
              <w:ind w:right="4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35.32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4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w w:val="92"/>
              </w:rPr>
              <w:t>February 1, 2003</w:t>
            </w:r>
          </w:p>
        </w:tc>
        <w:tc>
          <w:tcPr>
            <w:tcW w:w="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44,335</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ind w:right="20"/>
              <w:spacing w:after="0"/>
              <w:rPr>
                <w:sz w:val="20"/>
                <w:szCs w:val="20"/>
                <w:color w:val="auto"/>
              </w:rPr>
            </w:pPr>
            <w:r>
              <w:rPr>
                <w:rFonts w:ascii="Arial" w:cs="Arial" w:eastAsia="Arial" w:hAnsi="Arial"/>
                <w:sz w:val="18"/>
                <w:szCs w:val="18"/>
                <w:color w:val="auto"/>
              </w:rPr>
              <w:t>84,398</w:t>
            </w:r>
          </w:p>
        </w:tc>
        <w:tc>
          <w:tcPr>
            <w:tcW w:w="8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25.58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gridSpan w:val="23"/>
          </w:tcPr>
          <w:p>
            <w:pPr>
              <w:jc w:val="center"/>
              <w:ind w:right="580"/>
              <w:spacing w:after="0"/>
              <w:rPr>
                <w:sz w:val="20"/>
                <w:szCs w:val="20"/>
                <w:color w:val="auto"/>
              </w:rPr>
            </w:pPr>
            <w:r>
              <w:rPr>
                <w:rFonts w:ascii="Arial" w:cs="Arial" w:eastAsia="Arial" w:hAnsi="Arial"/>
                <w:sz w:val="18"/>
                <w:szCs w:val="18"/>
                <w:b w:val="1"/>
                <w:bCs w:val="1"/>
                <w:color w:val="auto"/>
                <w:w w:val="91"/>
              </w:rPr>
              <w:t>In-the-Money and Out-of-the-Money Option Information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As of February 1, 2003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6"/>
          </w:tcPr>
          <w:p>
            <w:pPr>
              <w:ind w:left="12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10"/>
          </w:tcPr>
          <w:p>
            <w:pPr>
              <w:ind w:left="40"/>
              <w:spacing w:after="0"/>
              <w:rPr>
                <w:sz w:val="20"/>
                <w:szCs w:val="20"/>
                <w:color w:val="auto"/>
              </w:rPr>
            </w:pPr>
            <w:r>
              <w:rPr>
                <w:rFonts w:ascii="Arial" w:cs="Arial" w:eastAsia="Arial" w:hAnsi="Arial"/>
                <w:sz w:val="14"/>
                <w:szCs w:val="14"/>
                <w:b w:val="1"/>
                <w:bCs w:val="1"/>
                <w:color w:val="auto"/>
              </w:rPr>
              <w:t>Unexercisable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5"/>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Wtd. Avg.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Wtd. Avg.</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4"/>
                <w:szCs w:val="14"/>
                <w:b w:val="1"/>
                <w:bCs w:val="1"/>
                <w:color w:val="auto"/>
              </w:rPr>
              <w:t>Shares (#)</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Price ($)</w:t>
            </w:r>
          </w:p>
        </w:tc>
        <w:tc>
          <w:tcPr>
            <w:tcW w:w="80" w:type="dxa"/>
            <w:vAlign w:val="bottom"/>
          </w:tcPr>
          <w:p>
            <w:pPr>
              <w:spacing w:after="0"/>
              <w:rPr>
                <w:sz w:val="15"/>
                <w:szCs w:val="15"/>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Shares (#)</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Price ($)</w:t>
            </w:r>
          </w:p>
        </w:tc>
        <w:tc>
          <w:tcPr>
            <w:tcW w:w="60" w:type="dxa"/>
            <w:vAlign w:val="bottom"/>
          </w:tcPr>
          <w:p>
            <w:pPr>
              <w:spacing w:after="0"/>
              <w:rPr>
                <w:sz w:val="15"/>
                <w:szCs w:val="15"/>
                <w:color w:val="auto"/>
              </w:rPr>
            </w:pPr>
          </w:p>
        </w:tc>
        <w:tc>
          <w:tcPr>
            <w:tcW w:w="1080" w:type="dxa"/>
            <w:vAlign w:val="bottom"/>
            <w:gridSpan w:val="6"/>
          </w:tcPr>
          <w:p>
            <w:pPr>
              <w:ind w:left="140"/>
              <w:spacing w:after="0"/>
              <w:rPr>
                <w:sz w:val="20"/>
                <w:szCs w:val="20"/>
                <w:color w:val="auto"/>
              </w:rPr>
            </w:pPr>
            <w:r>
              <w:rPr>
                <w:rFonts w:ascii="Arial" w:cs="Arial" w:eastAsia="Arial" w:hAnsi="Arial"/>
                <w:sz w:val="14"/>
                <w:szCs w:val="14"/>
                <w:b w:val="1"/>
                <w:bCs w:val="1"/>
                <w:color w:val="auto"/>
              </w:rPr>
              <w:t>Shares (#)</w:t>
            </w:r>
          </w:p>
        </w:tc>
        <w:tc>
          <w:tcPr>
            <w:tcW w:w="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Price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gridSpan w:val="3"/>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In-the-Money Options</w:t>
            </w:r>
          </w:p>
        </w:tc>
        <w:tc>
          <w:tcPr>
            <w:tcW w:w="1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16,999</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61"/>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w w:val="83"/>
              </w:rPr>
              <w:t>23,332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center"/>
              <w:ind w:left="192"/>
              <w:spacing w:after="0"/>
              <w:rPr>
                <w:sz w:val="20"/>
                <w:szCs w:val="20"/>
                <w:color w:val="auto"/>
              </w:rPr>
            </w:pPr>
            <w:r>
              <w:rPr>
                <w:rFonts w:ascii="Arial" w:cs="Arial" w:eastAsia="Arial" w:hAnsi="Arial"/>
                <w:sz w:val="18"/>
                <w:szCs w:val="18"/>
                <w:color w:val="auto"/>
                <w:w w:val="88"/>
              </w:rPr>
              <w:t>14.71</w:t>
            </w:r>
          </w:p>
        </w:tc>
        <w:tc>
          <w:tcPr>
            <w:tcW w:w="140" w:type="dxa"/>
            <w:vAlign w:val="bottom"/>
            <w:shd w:val="clear" w:color="auto" w:fill="EEEEEE"/>
          </w:tcPr>
          <w:p>
            <w:pPr>
              <w:spacing w:after="0"/>
              <w:rPr>
                <w:sz w:val="18"/>
                <w:szCs w:val="18"/>
                <w:color w:val="auto"/>
              </w:rPr>
            </w:pPr>
          </w:p>
        </w:tc>
        <w:tc>
          <w:tcPr>
            <w:tcW w:w="700" w:type="dxa"/>
            <w:vAlign w:val="bottom"/>
            <w:gridSpan w:val="4"/>
            <w:shd w:val="clear" w:color="auto" w:fill="EEEEEE"/>
          </w:tcPr>
          <w:p>
            <w:pPr>
              <w:ind w:left="220"/>
              <w:spacing w:after="0"/>
              <w:rPr>
                <w:sz w:val="20"/>
                <w:szCs w:val="20"/>
                <w:color w:val="auto"/>
              </w:rPr>
            </w:pPr>
            <w:r>
              <w:rPr>
                <w:rFonts w:ascii="Arial" w:cs="Arial" w:eastAsia="Arial" w:hAnsi="Arial"/>
                <w:sz w:val="18"/>
                <w:szCs w:val="18"/>
                <w:color w:val="auto"/>
                <w:w w:val="83"/>
              </w:rPr>
              <w:t>40,331</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center"/>
              <w:ind w:left="114"/>
              <w:spacing w:after="0"/>
              <w:rPr>
                <w:sz w:val="20"/>
                <w:szCs w:val="20"/>
                <w:color w:val="auto"/>
              </w:rPr>
            </w:pPr>
            <w:r>
              <w:rPr>
                <w:rFonts w:ascii="Arial" w:cs="Arial" w:eastAsia="Arial" w:hAnsi="Arial"/>
                <w:sz w:val="18"/>
                <w:szCs w:val="18"/>
                <w:color w:val="auto"/>
                <w:w w:val="84"/>
              </w:rPr>
              <w:t>11.51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w w:val="87"/>
              </w:rPr>
              <w:t xml:space="preserve">Out-of-the-Money Options </w:t>
            </w:r>
            <w:r>
              <w:rPr>
                <w:rFonts w:ascii="Arial" w:cs="Arial" w:eastAsia="Arial" w:hAnsi="Arial"/>
                <w:sz w:val="29"/>
                <w:szCs w:val="29"/>
                <w:color w:val="auto"/>
                <w:w w:val="87"/>
                <w:vertAlign w:val="superscript"/>
              </w:rPr>
              <w:t>(1)</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6,631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61"/>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4"/>
                <w:szCs w:val="24"/>
                <w:color w:val="auto"/>
              </w:rPr>
            </w:pPr>
          </w:p>
        </w:tc>
        <w:tc>
          <w:tcPr>
            <w:tcW w:w="720" w:type="dxa"/>
            <w:vAlign w:val="bottom"/>
            <w:gridSpan w:val="3"/>
          </w:tcPr>
          <w:p>
            <w:pPr>
              <w:ind w:left="240"/>
              <w:spacing w:after="0"/>
              <w:rPr>
                <w:sz w:val="20"/>
                <w:szCs w:val="20"/>
                <w:color w:val="auto"/>
              </w:rPr>
            </w:pPr>
            <w:r>
              <w:rPr>
                <w:rFonts w:ascii="Arial" w:cs="Arial" w:eastAsia="Arial" w:hAnsi="Arial"/>
                <w:sz w:val="18"/>
                <w:szCs w:val="18"/>
                <w:color w:val="auto"/>
                <w:w w:val="83"/>
              </w:rPr>
              <w:t>37,436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c>
          <w:tcPr>
            <w:tcW w:w="1160" w:type="dxa"/>
            <w:vAlign w:val="bottom"/>
            <w:gridSpan w:val="5"/>
          </w:tcPr>
          <w:p>
            <w:pPr>
              <w:jc w:val="center"/>
              <w:ind w:left="192"/>
              <w:spacing w:after="0"/>
              <w:rPr>
                <w:sz w:val="20"/>
                <w:szCs w:val="20"/>
                <w:color w:val="auto"/>
              </w:rPr>
            </w:pPr>
            <w:r>
              <w:rPr>
                <w:rFonts w:ascii="Arial" w:cs="Arial" w:eastAsia="Arial" w:hAnsi="Arial"/>
                <w:sz w:val="18"/>
                <w:szCs w:val="18"/>
                <w:color w:val="auto"/>
                <w:w w:val="88"/>
              </w:rPr>
              <w:t>39.44</w:t>
            </w:r>
          </w:p>
        </w:tc>
        <w:tc>
          <w:tcPr>
            <w:tcW w:w="140" w:type="dxa"/>
            <w:vAlign w:val="bottom"/>
          </w:tcPr>
          <w:p>
            <w:pPr>
              <w:spacing w:after="0"/>
              <w:rPr>
                <w:sz w:val="24"/>
                <w:szCs w:val="24"/>
                <w:color w:val="auto"/>
              </w:rPr>
            </w:pPr>
          </w:p>
        </w:tc>
        <w:tc>
          <w:tcPr>
            <w:tcW w:w="700" w:type="dxa"/>
            <w:vAlign w:val="bottom"/>
            <w:gridSpan w:val="4"/>
          </w:tcPr>
          <w:p>
            <w:pPr>
              <w:ind w:left="220"/>
              <w:spacing w:after="0"/>
              <w:rPr>
                <w:sz w:val="20"/>
                <w:szCs w:val="20"/>
                <w:color w:val="auto"/>
              </w:rPr>
            </w:pPr>
            <w:r>
              <w:rPr>
                <w:rFonts w:ascii="Arial" w:cs="Arial" w:eastAsia="Arial" w:hAnsi="Arial"/>
                <w:sz w:val="18"/>
                <w:szCs w:val="18"/>
                <w:color w:val="auto"/>
                <w:w w:val="83"/>
              </w:rPr>
              <w:t>44,067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left="94"/>
              <w:spacing w:after="0"/>
              <w:rPr>
                <w:sz w:val="20"/>
                <w:szCs w:val="20"/>
                <w:color w:val="auto"/>
              </w:rPr>
            </w:pPr>
            <w:r>
              <w:rPr>
                <w:rFonts w:ascii="Arial" w:cs="Arial" w:eastAsia="Arial" w:hAnsi="Arial"/>
                <w:sz w:val="18"/>
                <w:szCs w:val="18"/>
                <w:color w:val="auto"/>
                <w:w w:val="88"/>
              </w:rPr>
              <w:t>38.46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808080"/>
            </w:tcBorders>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w w:val="99"/>
              </w:rPr>
              <w:t>Total Options Outstanding</w:t>
            </w:r>
          </w:p>
        </w:tc>
        <w:tc>
          <w:tcPr>
            <w:tcW w:w="11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23,630</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100</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61"/>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w w:val="83"/>
              </w:rPr>
              <w:t>60,768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EEEEEE"/>
          </w:tcPr>
          <w:p>
            <w:pPr>
              <w:spacing w:after="0"/>
              <w:rPr>
                <w:sz w:val="18"/>
                <w:szCs w:val="18"/>
                <w:color w:val="auto"/>
              </w:rPr>
            </w:pPr>
          </w:p>
        </w:tc>
        <w:tc>
          <w:tcPr>
            <w:tcW w:w="1160" w:type="dxa"/>
            <w:vAlign w:val="bottom"/>
            <w:gridSpan w:val="5"/>
            <w:shd w:val="clear" w:color="auto" w:fill="EEEEEE"/>
          </w:tcPr>
          <w:p>
            <w:pPr>
              <w:jc w:val="center"/>
              <w:ind w:left="192"/>
              <w:spacing w:after="0"/>
              <w:rPr>
                <w:sz w:val="20"/>
                <w:szCs w:val="20"/>
                <w:color w:val="auto"/>
              </w:rPr>
            </w:pPr>
            <w:r>
              <w:rPr>
                <w:rFonts w:ascii="Arial" w:cs="Arial" w:eastAsia="Arial" w:hAnsi="Arial"/>
                <w:sz w:val="18"/>
                <w:szCs w:val="18"/>
                <w:color w:val="auto"/>
                <w:w w:val="88"/>
              </w:rPr>
              <w:t>29.94</w:t>
            </w:r>
          </w:p>
        </w:tc>
        <w:tc>
          <w:tcPr>
            <w:tcW w:w="140" w:type="dxa"/>
            <w:vAlign w:val="bottom"/>
            <w:shd w:val="clear" w:color="auto" w:fill="EEEEEE"/>
          </w:tcPr>
          <w:p>
            <w:pPr>
              <w:spacing w:after="0"/>
              <w:rPr>
                <w:sz w:val="18"/>
                <w:szCs w:val="18"/>
                <w:color w:val="auto"/>
              </w:rPr>
            </w:pPr>
          </w:p>
        </w:tc>
        <w:tc>
          <w:tcPr>
            <w:tcW w:w="700" w:type="dxa"/>
            <w:vAlign w:val="bottom"/>
            <w:gridSpan w:val="4"/>
            <w:shd w:val="clear" w:color="auto" w:fill="EEEEEE"/>
          </w:tcPr>
          <w:p>
            <w:pPr>
              <w:ind w:left="220"/>
              <w:spacing w:after="0"/>
              <w:rPr>
                <w:sz w:val="20"/>
                <w:szCs w:val="20"/>
                <w:color w:val="auto"/>
              </w:rPr>
            </w:pPr>
            <w:r>
              <w:rPr>
                <w:rFonts w:ascii="Arial" w:cs="Arial" w:eastAsia="Arial" w:hAnsi="Arial"/>
                <w:sz w:val="18"/>
                <w:szCs w:val="18"/>
                <w:color w:val="auto"/>
                <w:w w:val="83"/>
              </w:rPr>
              <w:t>84,398</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center"/>
              <w:ind w:left="94"/>
              <w:spacing w:after="0"/>
              <w:rPr>
                <w:sz w:val="20"/>
                <w:szCs w:val="20"/>
                <w:color w:val="auto"/>
              </w:rPr>
            </w:pPr>
            <w:r>
              <w:rPr>
                <w:rFonts w:ascii="Arial" w:cs="Arial" w:eastAsia="Arial" w:hAnsi="Arial"/>
                <w:sz w:val="18"/>
                <w:szCs w:val="18"/>
                <w:color w:val="auto"/>
                <w:w w:val="88"/>
              </w:rPr>
              <w:t>25.58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right="40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Out-of-the-money options are those options with an exercise price per share equal to or greater than the closing price per share of our common stock ($23.93) at the end of the first quarter of fiscal 2003 (on January 31, 2003).</w:t>
      </w:r>
    </w:p>
    <w:p>
      <w:pPr>
        <w:sectPr>
          <w:pgSz w:w="11900" w:h="16838" w:orient="portrait"/>
          <w:cols w:equalWidth="0" w:num="1">
            <w:col w:w="11380"/>
          </w:cols>
          <w:pgMar w:left="240" w:top="419" w:right="2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to named executive officers during the three months ended February 1,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and Remaining Option Values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Year-to-Date, As of February 1, 2003</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2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2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Options as of</w:t>
            </w:r>
          </w:p>
        </w:tc>
        <w:tc>
          <w:tcPr>
            <w:tcW w:w="180" w:type="dxa"/>
            <w:vAlign w:val="bottom"/>
          </w:tcPr>
          <w:p>
            <w:pPr>
              <w:spacing w:after="0"/>
              <w:rPr>
                <w:sz w:val="12"/>
                <w:szCs w:val="12"/>
                <w:color w:val="auto"/>
              </w:rPr>
            </w:pPr>
          </w:p>
        </w:tc>
        <w:tc>
          <w:tcPr>
            <w:tcW w:w="2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Options 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February 1,2003</w:t>
            </w:r>
          </w:p>
        </w:tc>
        <w:tc>
          <w:tcPr>
            <w:tcW w:w="180" w:type="dxa"/>
            <w:vAlign w:val="bottom"/>
          </w:tcPr>
          <w:p>
            <w:pPr>
              <w:spacing w:after="0"/>
              <w:rPr>
                <w:sz w:val="15"/>
                <w:szCs w:val="15"/>
                <w:color w:val="auto"/>
              </w:rPr>
            </w:pP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February 1, 2003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6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9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Shares Acquired</w:t>
            </w:r>
          </w:p>
        </w:tc>
        <w:tc>
          <w:tcPr>
            <w:tcW w:w="16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180" w:type="dxa"/>
            <w:vAlign w:val="bottom"/>
          </w:tcPr>
          <w:p>
            <w:pPr>
              <w:spacing w:after="0"/>
              <w:rPr>
                <w:sz w:val="20"/>
                <w:szCs w:val="20"/>
                <w:color w:val="auto"/>
              </w:rPr>
            </w:pP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Pr>
          <w:p>
            <w:pPr>
              <w:ind w:left="66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b w:val="1"/>
                <w:bCs w:val="1"/>
                <w:color w:val="auto"/>
              </w:rPr>
              <w:t>on Exercise(#)</w:t>
            </w:r>
          </w:p>
        </w:tc>
        <w:tc>
          <w:tcPr>
            <w:tcW w:w="1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Realized ($)</w:t>
            </w: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180" w:type="dxa"/>
            <w:vAlign w:val="bottom"/>
          </w:tcPr>
          <w:p>
            <w:pPr>
              <w:spacing w:after="0"/>
              <w:rPr>
                <w:sz w:val="15"/>
                <w:szCs w:val="15"/>
                <w:color w:val="auto"/>
              </w:rPr>
            </w:pP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36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29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Jerald G. Fishman</w:t>
            </w:r>
          </w:p>
        </w:tc>
        <w:tc>
          <w:tcPr>
            <w:tcW w:w="134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8"/>
                <w:szCs w:val="18"/>
                <w:color w:val="auto"/>
              </w:rPr>
            </w:pPr>
          </w:p>
        </w:tc>
        <w:tc>
          <w:tcPr>
            <w:tcW w:w="236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744,982/3,376,982</w:t>
            </w:r>
          </w:p>
        </w:tc>
        <w:tc>
          <w:tcPr>
            <w:tcW w:w="3080" w:type="dxa"/>
            <w:vAlign w:val="bottom"/>
            <w:gridSpan w:val="3"/>
            <w:shd w:val="clear" w:color="auto" w:fill="EEEEEE"/>
          </w:tcPr>
          <w:p>
            <w:pPr>
              <w:jc w:val="right"/>
              <w:ind w:right="612"/>
              <w:spacing w:after="0"/>
              <w:rPr>
                <w:sz w:val="20"/>
                <w:szCs w:val="20"/>
                <w:color w:val="auto"/>
              </w:rPr>
            </w:pPr>
            <w:r>
              <w:rPr>
                <w:rFonts w:ascii="Arial" w:cs="Arial" w:eastAsia="Arial" w:hAnsi="Arial"/>
                <w:sz w:val="18"/>
                <w:szCs w:val="18"/>
                <w:color w:val="auto"/>
              </w:rPr>
              <w:t>9,103,090/24,353,700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Brian P. McAloon</w:t>
            </w:r>
          </w:p>
        </w:tc>
        <w:tc>
          <w:tcPr>
            <w:tcW w:w="1340" w:type="dxa"/>
            <w:vAlign w:val="bottom"/>
            <w:gridSpan w:val="2"/>
          </w:tcPr>
          <w:p>
            <w:pPr>
              <w:jc w:val="right"/>
              <w:ind w:right="352"/>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226,028/</w:t>
            </w:r>
          </w:p>
        </w:tc>
        <w:tc>
          <w:tcPr>
            <w:tcW w:w="1180" w:type="dxa"/>
            <w:vAlign w:val="bottom"/>
          </w:tcPr>
          <w:p>
            <w:pPr>
              <w:jc w:val="right"/>
              <w:ind w:right="452"/>
              <w:spacing w:after="0"/>
              <w:rPr>
                <w:sz w:val="20"/>
                <w:szCs w:val="20"/>
                <w:color w:val="auto"/>
              </w:rPr>
            </w:pPr>
            <w:r>
              <w:rPr>
                <w:rFonts w:ascii="Arial" w:cs="Arial" w:eastAsia="Arial" w:hAnsi="Arial"/>
                <w:sz w:val="18"/>
                <w:szCs w:val="18"/>
                <w:color w:val="auto"/>
                <w:w w:val="95"/>
              </w:rPr>
              <w:t>416,229</w:t>
            </w:r>
          </w:p>
        </w:tc>
        <w:tc>
          <w:tcPr>
            <w:tcW w:w="3080" w:type="dxa"/>
            <w:vAlign w:val="bottom"/>
            <w:gridSpan w:val="3"/>
          </w:tcPr>
          <w:p>
            <w:pPr>
              <w:jc w:val="right"/>
              <w:ind w:right="612"/>
              <w:spacing w:after="0"/>
              <w:rPr>
                <w:sz w:val="20"/>
                <w:szCs w:val="20"/>
                <w:color w:val="auto"/>
              </w:rPr>
            </w:pPr>
            <w:r>
              <w:rPr>
                <w:rFonts w:ascii="Arial" w:cs="Arial" w:eastAsia="Arial" w:hAnsi="Arial"/>
                <w:sz w:val="18"/>
                <w:szCs w:val="18"/>
                <w:color w:val="auto"/>
              </w:rPr>
              <w:t>3,251,204/ 1,411,279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w w:val="90"/>
              </w:rPr>
              <w:t>Joseph E. McDonough</w:t>
            </w:r>
          </w:p>
        </w:tc>
        <w:tc>
          <w:tcPr>
            <w:tcW w:w="134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130,691/</w:t>
            </w:r>
          </w:p>
        </w:tc>
        <w:tc>
          <w:tcPr>
            <w:tcW w:w="118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95"/>
              </w:rPr>
              <w:t>391,573</w:t>
            </w:r>
          </w:p>
        </w:tc>
        <w:tc>
          <w:tcPr>
            <w:tcW w:w="3080" w:type="dxa"/>
            <w:vAlign w:val="bottom"/>
            <w:gridSpan w:val="3"/>
            <w:shd w:val="clear" w:color="auto" w:fill="EEEEEE"/>
          </w:tcPr>
          <w:p>
            <w:pPr>
              <w:jc w:val="right"/>
              <w:ind w:right="612"/>
              <w:spacing w:after="0"/>
              <w:rPr>
                <w:sz w:val="20"/>
                <w:szCs w:val="20"/>
                <w:color w:val="auto"/>
              </w:rPr>
            </w:pPr>
            <w:r>
              <w:rPr>
                <w:rFonts w:ascii="Arial" w:cs="Arial" w:eastAsia="Arial" w:hAnsi="Arial"/>
                <w:sz w:val="18"/>
                <w:szCs w:val="18"/>
                <w:color w:val="auto"/>
              </w:rPr>
              <w:t>1,523,988/ 1,411,279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Samuel H. Fuller</w:t>
            </w:r>
          </w:p>
        </w:tc>
        <w:tc>
          <w:tcPr>
            <w:tcW w:w="1340" w:type="dxa"/>
            <w:vAlign w:val="bottom"/>
            <w:gridSpan w:val="2"/>
          </w:tcPr>
          <w:p>
            <w:pPr>
              <w:jc w:val="right"/>
              <w:ind w:right="352"/>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110,047/</w:t>
            </w:r>
          </w:p>
        </w:tc>
        <w:tc>
          <w:tcPr>
            <w:tcW w:w="1180" w:type="dxa"/>
            <w:vAlign w:val="bottom"/>
          </w:tcPr>
          <w:p>
            <w:pPr>
              <w:jc w:val="right"/>
              <w:ind w:right="452"/>
              <w:spacing w:after="0"/>
              <w:rPr>
                <w:sz w:val="20"/>
                <w:szCs w:val="20"/>
                <w:color w:val="auto"/>
              </w:rPr>
            </w:pPr>
            <w:r>
              <w:rPr>
                <w:rFonts w:ascii="Arial" w:cs="Arial" w:eastAsia="Arial" w:hAnsi="Arial"/>
                <w:sz w:val="18"/>
                <w:szCs w:val="18"/>
                <w:color w:val="auto"/>
                <w:w w:val="95"/>
              </w:rPr>
              <w:t>232,718</w:t>
            </w:r>
          </w:p>
        </w:tc>
        <w:tc>
          <w:tcPr>
            <w:tcW w:w="1700" w:type="dxa"/>
            <w:vAlign w:val="bottom"/>
            <w:gridSpan w:val="2"/>
          </w:tcPr>
          <w:p>
            <w:pPr>
              <w:jc w:val="right"/>
              <w:ind w:right="32"/>
              <w:spacing w:after="0"/>
              <w:rPr>
                <w:sz w:val="20"/>
                <w:szCs w:val="20"/>
                <w:color w:val="auto"/>
              </w:rPr>
            </w:pPr>
            <w:r>
              <w:rPr>
                <w:rFonts w:ascii="Arial" w:cs="Arial" w:eastAsia="Arial" w:hAnsi="Arial"/>
                <w:sz w:val="18"/>
                <w:szCs w:val="18"/>
                <w:color w:val="auto"/>
              </w:rPr>
              <w:t>1,213,605/</w:t>
            </w:r>
          </w:p>
        </w:tc>
        <w:tc>
          <w:tcPr>
            <w:tcW w:w="1380" w:type="dxa"/>
            <w:vAlign w:val="bottom"/>
          </w:tcPr>
          <w:p>
            <w:pPr>
              <w:jc w:val="right"/>
              <w:ind w:right="612"/>
              <w:spacing w:after="0"/>
              <w:rPr>
                <w:sz w:val="20"/>
                <w:szCs w:val="20"/>
                <w:color w:val="auto"/>
              </w:rPr>
            </w:pPr>
            <w:r>
              <w:rPr>
                <w:rFonts w:ascii="Arial" w:cs="Arial" w:eastAsia="Arial" w:hAnsi="Arial"/>
                <w:sz w:val="18"/>
                <w:szCs w:val="18"/>
                <w:color w:val="auto"/>
              </w:rPr>
              <w:t>944,189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spacing w:after="0"/>
              <w:rPr>
                <w:sz w:val="20"/>
                <w:szCs w:val="20"/>
                <w:color w:val="auto"/>
              </w:rPr>
            </w:pPr>
            <w:r>
              <w:rPr>
                <w:rFonts w:ascii="Arial" w:cs="Arial" w:eastAsia="Arial" w:hAnsi="Arial"/>
                <w:sz w:val="18"/>
                <w:szCs w:val="18"/>
                <w:color w:val="auto"/>
              </w:rPr>
              <w:t>Franklin Weigold</w:t>
            </w:r>
          </w:p>
        </w:tc>
        <w:tc>
          <w:tcPr>
            <w:tcW w:w="134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23,332</w:t>
            </w:r>
          </w:p>
        </w:tc>
        <w:tc>
          <w:tcPr>
            <w:tcW w:w="10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308,449</w:t>
            </w: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39,020/</w:t>
            </w:r>
          </w:p>
        </w:tc>
        <w:tc>
          <w:tcPr>
            <w:tcW w:w="118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95"/>
              </w:rPr>
              <w:t>196,523</w:t>
            </w:r>
          </w:p>
        </w:tc>
        <w:tc>
          <w:tcPr>
            <w:tcW w:w="170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0/</w:t>
            </w:r>
          </w:p>
        </w:tc>
        <w:tc>
          <w:tcPr>
            <w:tcW w:w="138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434,095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provides information as of February 1, 2003 about the securities authorized for issuance under our equity compensation plans, consisting of our 2001 Broad-Based Stock Option Plan, our 1998 Stock Option Plan, our Restated 1994 Director Option Plan, our Restated 1988 Stock Option Plan and our 1992 Employee Stock Purchase Plan.</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1"/>
              </w:rPr>
              <w:t>(a)</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(b)</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Number of securities to</w:t>
            </w:r>
          </w:p>
        </w:tc>
        <w:tc>
          <w:tcPr>
            <w:tcW w:w="40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400" w:type="dxa"/>
            <w:vAlign w:val="bottom"/>
          </w:tcPr>
          <w:p>
            <w:pPr>
              <w:spacing w:after="0"/>
              <w:rPr>
                <w:sz w:val="20"/>
                <w:szCs w:val="20"/>
                <w:color w:val="auto"/>
              </w:rPr>
            </w:pPr>
          </w:p>
        </w:tc>
        <w:tc>
          <w:tcPr>
            <w:tcW w:w="3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be issued upon exercise of</w:t>
            </w:r>
          </w:p>
        </w:tc>
        <w:tc>
          <w:tcPr>
            <w:tcW w:w="4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400" w:type="dxa"/>
            <w:vAlign w:val="bottom"/>
          </w:tcPr>
          <w:p>
            <w:pPr>
              <w:spacing w:after="0"/>
              <w:rPr>
                <w:sz w:val="12"/>
                <w:szCs w:val="12"/>
                <w:color w:val="auto"/>
              </w:rPr>
            </w:pPr>
          </w:p>
        </w:tc>
        <w:tc>
          <w:tcPr>
            <w:tcW w:w="3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4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00" w:type="dxa"/>
            <w:vAlign w:val="bottom"/>
          </w:tcPr>
          <w:p>
            <w:pPr>
              <w:spacing w:after="0"/>
              <w:rPr>
                <w:sz w:val="12"/>
                <w:szCs w:val="12"/>
                <w:color w:val="auto"/>
              </w:rPr>
            </w:pPr>
          </w:p>
        </w:tc>
        <w:tc>
          <w:tcPr>
            <w:tcW w:w="3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equity compensation plans (excluding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gridSpan w:val="2"/>
          </w:tcPr>
          <w:p>
            <w:pPr>
              <w:ind w:left="1180"/>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warrants and rights(#)(1)</w:t>
            </w:r>
          </w:p>
        </w:tc>
        <w:tc>
          <w:tcPr>
            <w:tcW w:w="40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400" w:type="dxa"/>
            <w:vAlign w:val="bottom"/>
          </w:tcPr>
          <w:p>
            <w:pPr>
              <w:spacing w:after="0"/>
              <w:rPr>
                <w:sz w:val="15"/>
                <w:szCs w:val="15"/>
                <w:color w:val="auto"/>
              </w:rPr>
            </w:pPr>
          </w:p>
        </w:tc>
        <w:tc>
          <w:tcPr>
            <w:tcW w:w="3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securities 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 approved by</w:t>
            </w:r>
          </w:p>
        </w:tc>
        <w:tc>
          <w:tcPr>
            <w:tcW w:w="84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stockholders</w:t>
            </w:r>
          </w:p>
        </w:tc>
        <w:tc>
          <w:tcPr>
            <w:tcW w:w="1640" w:type="dxa"/>
            <w:vAlign w:val="bottom"/>
            <w:tcBorders>
              <w:right w:val="single" w:sz="8" w:color="EEEEEE"/>
            </w:tcBorders>
            <w:gridSpan w:val="2"/>
            <w:shd w:val="clear" w:color="auto" w:fill="EEEEEE"/>
          </w:tcPr>
          <w:p>
            <w:pPr>
              <w:jc w:val="center"/>
              <w:ind w:left="744"/>
              <w:spacing w:after="0"/>
              <w:rPr>
                <w:sz w:val="20"/>
                <w:szCs w:val="20"/>
                <w:color w:val="auto"/>
              </w:rPr>
            </w:pPr>
            <w:r>
              <w:rPr>
                <w:rFonts w:ascii="Arial" w:cs="Arial" w:eastAsia="Arial" w:hAnsi="Arial"/>
                <w:sz w:val="18"/>
                <w:szCs w:val="18"/>
                <w:color w:val="auto"/>
                <w:w w:val="86"/>
              </w:rPr>
              <w:t>67,471,522</w:t>
            </w:r>
          </w:p>
        </w:tc>
        <w:tc>
          <w:tcPr>
            <w:tcW w:w="82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25.53</w:t>
            </w:r>
          </w:p>
        </w:tc>
        <w:tc>
          <w:tcPr>
            <w:tcW w:w="640" w:type="dxa"/>
            <w:vAlign w:val="bottom"/>
            <w:shd w:val="clear" w:color="auto" w:fill="EEEEEE"/>
          </w:tcPr>
          <w:p>
            <w:pPr>
              <w:spacing w:after="0"/>
              <w:rPr>
                <w:sz w:val="19"/>
                <w:szCs w:val="19"/>
                <w:color w:val="auto"/>
              </w:rPr>
            </w:pPr>
          </w:p>
        </w:tc>
        <w:tc>
          <w:tcPr>
            <w:tcW w:w="3460" w:type="dxa"/>
            <w:vAlign w:val="bottom"/>
            <w:gridSpan w:val="4"/>
            <w:shd w:val="clear" w:color="auto" w:fill="EEEEEE"/>
          </w:tcPr>
          <w:p>
            <w:pPr>
              <w:ind w:left="1540"/>
              <w:spacing w:after="0"/>
              <w:rPr>
                <w:sz w:val="20"/>
                <w:szCs w:val="20"/>
                <w:color w:val="auto"/>
              </w:rPr>
            </w:pPr>
            <w:r>
              <w:rPr>
                <w:rFonts w:ascii="Arial" w:cs="Arial" w:eastAsia="Arial" w:hAnsi="Arial"/>
                <w:sz w:val="18"/>
                <w:szCs w:val="18"/>
                <w:color w:val="auto"/>
              </w:rPr>
              <w:t>13,622,038(2)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Broad-based stock plans pursuant to New</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ind w:left="120"/>
              <w:spacing w:after="0"/>
              <w:rPr>
                <w:sz w:val="20"/>
                <w:szCs w:val="20"/>
                <w:color w:val="auto"/>
              </w:rPr>
            </w:pPr>
            <w:r>
              <w:rPr>
                <w:rFonts w:ascii="Arial" w:cs="Arial" w:eastAsia="Arial" w:hAnsi="Arial"/>
                <w:sz w:val="18"/>
                <w:szCs w:val="18"/>
                <w:color w:val="auto"/>
              </w:rPr>
              <w:t>York Stock Exchange rules* (3)</w:t>
            </w:r>
          </w:p>
        </w:tc>
        <w:tc>
          <w:tcPr>
            <w:tcW w:w="1640" w:type="dxa"/>
            <w:vAlign w:val="bottom"/>
            <w:gridSpan w:val="2"/>
          </w:tcPr>
          <w:p>
            <w:pPr>
              <w:jc w:val="center"/>
              <w:ind w:left="744"/>
              <w:spacing w:after="0"/>
              <w:rPr>
                <w:sz w:val="20"/>
                <w:szCs w:val="20"/>
                <w:color w:val="auto"/>
              </w:rPr>
            </w:pPr>
            <w:r>
              <w:rPr>
                <w:rFonts w:ascii="Arial" w:cs="Arial" w:eastAsia="Arial" w:hAnsi="Arial"/>
                <w:sz w:val="18"/>
                <w:szCs w:val="18"/>
                <w:color w:val="auto"/>
                <w:w w:val="86"/>
              </w:rPr>
              <w:t>16,732,835</w:t>
            </w:r>
          </w:p>
        </w:tc>
        <w:tc>
          <w:tcPr>
            <w:tcW w:w="82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640" w:type="dxa"/>
            <w:vAlign w:val="bottom"/>
          </w:tcPr>
          <w:p>
            <w:pPr>
              <w:spacing w:after="0"/>
              <w:rPr>
                <w:sz w:val="19"/>
                <w:szCs w:val="19"/>
                <w:color w:val="auto"/>
              </w:rPr>
            </w:pPr>
          </w:p>
        </w:tc>
        <w:tc>
          <w:tcPr>
            <w:tcW w:w="2320" w:type="dxa"/>
            <w:vAlign w:val="bottom"/>
            <w:gridSpan w:val="3"/>
          </w:tcPr>
          <w:p>
            <w:pPr>
              <w:ind w:left="1540"/>
              <w:spacing w:after="0"/>
              <w:rPr>
                <w:sz w:val="20"/>
                <w:szCs w:val="20"/>
                <w:color w:val="auto"/>
              </w:rPr>
            </w:pPr>
            <w:r>
              <w:rPr>
                <w:rFonts w:ascii="Arial" w:cs="Arial" w:eastAsia="Arial" w:hAnsi="Arial"/>
                <w:sz w:val="18"/>
                <w:szCs w:val="18"/>
                <w:color w:val="auto"/>
                <w:w w:val="84"/>
              </w:rPr>
              <w:t>33,267,165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right w:val="single" w:sz="8" w:color="EEEEEE"/>
            </w:tcBorders>
            <w:gridSpan w:val="2"/>
            <w:shd w:val="clear" w:color="auto" w:fill="EEEEEE"/>
          </w:tcPr>
          <w:p>
            <w:pPr>
              <w:jc w:val="center"/>
              <w:ind w:left="744"/>
              <w:spacing w:after="0"/>
              <w:rPr>
                <w:sz w:val="20"/>
                <w:szCs w:val="20"/>
                <w:color w:val="auto"/>
              </w:rPr>
            </w:pPr>
            <w:r>
              <w:rPr>
                <w:rFonts w:ascii="Arial" w:cs="Arial" w:eastAsia="Arial" w:hAnsi="Arial"/>
                <w:sz w:val="18"/>
                <w:szCs w:val="18"/>
                <w:color w:val="auto"/>
                <w:w w:val="86"/>
              </w:rPr>
              <w:t>84,204,357</w:t>
            </w:r>
          </w:p>
        </w:tc>
        <w:tc>
          <w:tcPr>
            <w:tcW w:w="8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25.38</w:t>
            </w:r>
          </w:p>
        </w:tc>
        <w:tc>
          <w:tcPr>
            <w:tcW w:w="640" w:type="dxa"/>
            <w:vAlign w:val="bottom"/>
            <w:shd w:val="clear" w:color="auto" w:fill="EEEEEE"/>
          </w:tcPr>
          <w:p>
            <w:pPr>
              <w:spacing w:after="0"/>
              <w:rPr>
                <w:sz w:val="18"/>
                <w:szCs w:val="18"/>
                <w:color w:val="auto"/>
              </w:rPr>
            </w:pPr>
          </w:p>
        </w:tc>
        <w:tc>
          <w:tcPr>
            <w:tcW w:w="3460" w:type="dxa"/>
            <w:vAlign w:val="bottom"/>
            <w:gridSpan w:val="4"/>
            <w:shd w:val="clear" w:color="auto" w:fill="EEEEEE"/>
          </w:tcPr>
          <w:p>
            <w:pPr>
              <w:ind w:left="1540"/>
              <w:spacing w:after="0"/>
              <w:rPr>
                <w:sz w:val="20"/>
                <w:szCs w:val="20"/>
                <w:color w:val="auto"/>
              </w:rPr>
            </w:pPr>
            <w:r>
              <w:rPr>
                <w:rFonts w:ascii="Arial" w:cs="Arial" w:eastAsia="Arial" w:hAnsi="Arial"/>
                <w:sz w:val="18"/>
                <w:szCs w:val="18"/>
                <w:color w:val="auto"/>
              </w:rPr>
              <w:t>46,889,203(2)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officers and directors are ineligible to receive grants under our 2001 Broad-Based Stock Option plan.</w:t>
      </w:r>
    </w:p>
    <w:p>
      <w:pPr>
        <w:spacing w:after="0" w:line="225" w:lineRule="exact"/>
        <w:rPr>
          <w:rFonts w:ascii="Arial" w:cs="Arial" w:eastAsia="Arial" w:hAnsi="Arial"/>
          <w:sz w:val="18"/>
          <w:szCs w:val="18"/>
          <w:color w:val="auto"/>
        </w:rPr>
      </w:pPr>
    </w:p>
    <w:p>
      <w:pPr>
        <w:ind w:left="700" w:right="560" w:hanging="341"/>
        <w:spacing w:after="0" w:line="268" w:lineRule="auto"/>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table excludes an aggregate of 193,941 shares issuable upon exercise of outstanding options assumed by Analog in connection with various acquisition transactions. The weighted-average exercise price of the excluded options is $5.20.</w:t>
      </w:r>
    </w:p>
    <w:p>
      <w:pPr>
        <w:spacing w:after="0" w:line="185" w:lineRule="exact"/>
        <w:rPr>
          <w:rFonts w:ascii="Arial" w:cs="Arial" w:eastAsia="Arial" w:hAnsi="Arial"/>
          <w:sz w:val="18"/>
          <w:szCs w:val="18"/>
          <w:color w:val="auto"/>
        </w:rPr>
      </w:pPr>
    </w:p>
    <w:p>
      <w:pPr>
        <w:ind w:left="700" w:right="600" w:hanging="341"/>
        <w:spacing w:after="0" w:line="268" w:lineRule="auto"/>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2,554,080 shares issuable under our Employee Stock Purchase Plan, of which up to 683,075 are issuable in connection with the current offering period which ends May 30, 2003.</w:t>
      </w:r>
    </w:p>
    <w:p>
      <w:pPr>
        <w:spacing w:after="0" w:line="185" w:lineRule="exact"/>
        <w:rPr>
          <w:rFonts w:ascii="Arial" w:cs="Arial" w:eastAsia="Arial" w:hAnsi="Arial"/>
          <w:sz w:val="18"/>
          <w:szCs w:val="18"/>
          <w:color w:val="auto"/>
        </w:rPr>
      </w:pPr>
    </w:p>
    <w:p>
      <w:pPr>
        <w:jc w:val="center"/>
        <w:ind w:left="5620" w:right="300" w:hanging="5261"/>
        <w:spacing w:after="0" w:line="519" w:lineRule="auto"/>
        <w:tabs>
          <w:tab w:leader="none" w:pos="691" w:val="left"/>
        </w:tabs>
        <w:numPr>
          <w:ilvl w:val="1"/>
          <w:numId w:val="6"/>
        </w:numPr>
        <w:rPr>
          <w:rFonts w:ascii="Arial" w:cs="Arial" w:eastAsia="Arial" w:hAnsi="Arial"/>
          <w:sz w:val="18"/>
          <w:szCs w:val="18"/>
          <w:color w:val="auto"/>
        </w:rPr>
      </w:pPr>
      <w:r>
        <w:rPr>
          <w:rFonts w:ascii="Arial" w:cs="Arial" w:eastAsia="Arial" w:hAnsi="Arial"/>
          <w:sz w:val="18"/>
          <w:szCs w:val="18"/>
          <w:color w:val="auto"/>
        </w:rPr>
        <w:t>Issued pursuant to our 2001 Broad-Based Stock Option Plan, which does not require the approval of and has not been approved by our stockholders.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largest customers, changes in product mix, and the effect of adverse changes in economic conditions in the United States and international markets. In addition, the semiconductor market has historically been cyclical and subject to significant economic downturns at various times, including the decline in demand experienced since early in fiscal year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2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cancellation of orders leading to a sharp fall-off of sales and backlog. Further, those orders may be for products that meet the customer’s unique requirements so that those cancelled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cancellations or delays in orders for our products could adversely affect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established, which could subject us to increased credit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225"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Many other companies offer products that compete with our products. Some also offer other electronic products, and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cyclical nature of the semiconductor industry has resulted in sustained or short-term periods when demand for our products has increased or decreased rapidly. We, and the semiconductor industry, experienced a period of rapid decreases in demand that began early in fiscal year 2001. As a result, we have overcapacity due to the expansion of our production facilities and increased access to third-party foundries. However, we cannot be sure that we will not encounter unanticipated production problems at either our own facilities or at third-party foundries, or that our capacity will be sufficient to satisfy demand for our products. We believe that other semiconductor manufacturers have expanded their production capacity over the past several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years. This expansion by us and our competitors has led to overcapacity in our target markets and could lead to price erosion that would adversely affect our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may not increase enough to offset the expense of additional capacity.</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capacity additions in fiscal year 2001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 Should we be unsuccessful in completing this expansion on time, or should customer demand fail to increase and we no longer need the additional capacity, our financial position and results of operations could be adversely impacted.</w:t>
      </w:r>
    </w:p>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18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Additionally, we utilize third 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transition of products to more modern facilities and related inventory builds may not progress as planned.</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transitioning products from our older four-inch wafer fabrication facilities to our six-inch and eight-inch wafer fabrication facilities. We have built inventory in preparation for this transfer for both lifetime supply and transition inventory. We have recorded certain levels of reserves related to these inventory builds. Although we believe that we have used our best efforts and information to estimate future demand, due to the uncertain economic times and the difficulty inherent in predicting future results, it is possible that actual demand for our products will differ from our estimates. If we are unable to transition our products as planned or if actual demand for products included in our inventory builds is less than our estimates, our financial position and results of operations could be adversely impacted.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technical and may be interrupted.</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both generic and proprietary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first quarter of fiscal year 2003, approximately 73%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particularly in the aftermath of the terrorist attacks of September 11, 2001 and the response to them by the United States and its allies. These risks include air transportation disruptions, expropriation, currency controls and changes in currency exchange rates, tax and tariff rates, freight rates and social and political unrest. Although we engage in hedging transactions to reduce our exposure to currency exchange rate fluctuations, there can be no assurance that our competitive position will not be adversely affected by changes in the exchange rate of the United States dollar against other currencies.</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our Annual Report on Form 10-K for the year ended November 2, 2002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debt service obligations may adversely affect our cash flow.</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fourth quarter of fiscal year 2000, we issued $1,200,000,000 of 4.75% convertible subordinated notes due 2005 and, as a result, we have a substantial amount of outstanding indebtedness.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on page 32 of our Annual Report on Form 10-K for the year ended November 2,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280" w:firstLine="8"/>
        <w:spacing w:after="0" w:line="254" w:lineRule="auto"/>
        <w:tabs>
          <w:tab w:leader="none" w:pos="28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Within the 90-day period prior to the filing of this report, an evaluation was carried out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supervision and with the participation of our management, including our Chief Executive Officer, or CEO, and Chief Financial Officer, or CFO, of the effectiveness of the design and operation of our disclosure controls and procedures. Based on that evaluation, our CEO and CFO have concluded that our disclosure controls and procedures are designed to ensure that information required to be disclosed by us in reports that we file or submit under the Securities Exchange Act of 1934 is recorded, processed, summarized, and reported within the time periods specified in SEC rules and forms and are operating in an effective manner.</w:t>
      </w:r>
    </w:p>
    <w:p>
      <w:pPr>
        <w:spacing w:after="0" w:line="198" w:lineRule="exact"/>
        <w:rPr>
          <w:rFonts w:ascii="Arial" w:cs="Arial" w:eastAsia="Arial" w:hAnsi="Arial"/>
          <w:sz w:val="18"/>
          <w:szCs w:val="18"/>
          <w:color w:val="auto"/>
        </w:rPr>
      </w:pPr>
    </w:p>
    <w:p>
      <w:pPr>
        <w:ind w:right="420" w:firstLine="8"/>
        <w:spacing w:after="0" w:line="268"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There were no significant changes in our internal controls or in other factors that could significantly affect these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to the date of their most recent evaluation.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On March 4, 2003, Motorola, Inc. filed an action in the United States District Court for the Eastern District of Texas against us, alleging that we infringed five patents owned by Motorola relating to semiconductor processing and semiconductor chip design. The complaint also alleges that we have had actual and/or constructive knowledge of the Motorola patents and that we have continued to import into and sell in the United States products covered by those patents. The complaint seeks injunctive relief and unspecified damages. We are in the process of evaluating this complaint.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15, 2002, we issued and delivered an aggregate of 10,000 shares of our common stock to four individuals in partial fulfillment of the payment by us of consideration to the four former stockholders of Integrated Micro Instruments, Inc., which we acquired on December 15, 2000. We issued and delivered these shares in reliance upon an exemption from registration under Section 4(2) of the Securities Act of 1933.</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February 5, 2003, we issued and delivered an aggregate of 27,136 shares of our common stock to three individuals in partial fulfillment of the payment by us of consideration to the three former stockholders of White Mountain DSP, Inc., which we acquired on February 5, 1999. We issued and delivered these shares in reliance upon an exemption from registration under Section 4(2) of the Securities Act of 1933.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00" w:lineRule="exact"/>
        <w:rPr>
          <w:sz w:val="20"/>
          <w:szCs w:val="20"/>
          <w:color w:val="auto"/>
        </w:rPr>
      </w:pPr>
    </w:p>
    <w:p>
      <w:pPr>
        <w:spacing w:after="0" w:line="274" w:lineRule="exact"/>
        <w:rPr>
          <w:sz w:val="20"/>
          <w:szCs w:val="20"/>
          <w:color w:val="auto"/>
        </w:rPr>
      </w:pPr>
    </w:p>
    <w:p>
      <w:pPr>
        <w:ind w:left="700" w:hanging="46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700" w:right="2380"/>
        <w:spacing w:after="0" w:line="268" w:lineRule="auto"/>
        <w:rPr>
          <w:rFonts w:ascii="Arial" w:cs="Arial" w:eastAsia="Arial" w:hAnsi="Arial"/>
          <w:sz w:val="18"/>
          <w:szCs w:val="18"/>
          <w:color w:val="auto"/>
        </w:rPr>
      </w:pPr>
      <w:r>
        <w:rPr>
          <w:rFonts w:ascii="Arial" w:cs="Arial" w:eastAsia="Arial" w:hAnsi="Arial"/>
          <w:sz w:val="18"/>
          <w:szCs w:val="18"/>
          <w:color w:val="auto"/>
        </w:rPr>
        <w:t>The exhibits listed in the Exhibit Index immediately preceding the exhibits are filed as part of this Quarterly Report on Form 10-Q.</w:t>
      </w:r>
    </w:p>
    <w:p>
      <w:pPr>
        <w:spacing w:after="0" w:line="185" w:lineRule="exact"/>
        <w:rPr>
          <w:rFonts w:ascii="Arial" w:cs="Arial" w:eastAsia="Arial" w:hAnsi="Arial"/>
          <w:sz w:val="18"/>
          <w:szCs w:val="18"/>
          <w:color w:val="auto"/>
        </w:rPr>
      </w:pPr>
    </w:p>
    <w:p>
      <w:pPr>
        <w:ind w:left="700" w:hanging="46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not applicable and have been omitted.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 w:leader="none" w:pos="764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80010</wp:posOffset>
            </wp:positionV>
            <wp:extent cx="2101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800" w:val="left"/>
          <w:tab w:leader="none" w:pos="764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6,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80010</wp:posOffset>
            </wp:positionV>
            <wp:extent cx="21012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225" w:lineRule="exact"/>
        <w:rPr>
          <w:sz w:val="20"/>
          <w:szCs w:val="20"/>
          <w:color w:val="auto"/>
        </w:rPr>
      </w:pPr>
    </w:p>
    <w:p>
      <w:pPr>
        <w:ind w:left="820" w:hanging="47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225" w:lineRule="exact"/>
        <w:rPr>
          <w:rFonts w:ascii="Arial" w:cs="Arial" w:eastAsia="Arial" w:hAnsi="Arial"/>
          <w:sz w:val="18"/>
          <w:szCs w:val="18"/>
          <w:color w:val="auto"/>
        </w:rPr>
      </w:pPr>
    </w:p>
    <w:p>
      <w:pPr>
        <w:ind w:left="820" w:hanging="474"/>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820" w:right="420" w:hanging="474"/>
        <w:spacing w:after="0" w:line="370" w:lineRule="auto"/>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Arial" w:cs="Arial" w:eastAsia="Arial" w:hAnsi="Arial"/>
          <w:sz w:val="15"/>
          <w:szCs w:val="15"/>
          <w:color w:val="auto"/>
        </w:rPr>
      </w:pPr>
    </w:p>
    <w:p>
      <w:pPr>
        <w:ind w:left="820" w:right="480" w:hanging="474"/>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5" w:lineRule="exact"/>
        <w:rPr>
          <w:rFonts w:ascii="Arial" w:cs="Arial" w:eastAsia="Arial" w:hAnsi="Arial"/>
          <w:sz w:val="18"/>
          <w:szCs w:val="18"/>
          <w:color w:val="auto"/>
        </w:rPr>
      </w:pPr>
    </w:p>
    <w:p>
      <w:pPr>
        <w:ind w:left="1500" w:right="300" w:hanging="493"/>
        <w:spacing w:after="0" w:line="259"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500" w:right="260" w:hanging="493"/>
        <w:spacing w:after="0" w:line="26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500" w:right="160" w:hanging="493"/>
        <w:spacing w:after="0" w:line="26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820" w:right="40" w:hanging="474"/>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1500" w:right="240" w:hanging="493"/>
        <w:spacing w:after="0" w:line="259"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500" w:right="360" w:hanging="493"/>
        <w:spacing w:after="0" w:line="26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ind w:left="820" w:right="20" w:hanging="474"/>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80010</wp:posOffset>
            </wp:positionV>
            <wp:extent cx="2238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(Principal Executive Officer)</w:t>
      </w:r>
    </w:p>
    <w:p>
      <w:pPr>
        <w:spacing w:after="0" w:line="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6,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225" w:lineRule="exact"/>
        <w:rPr>
          <w:sz w:val="20"/>
          <w:szCs w:val="20"/>
          <w:color w:val="auto"/>
        </w:rPr>
      </w:pPr>
    </w:p>
    <w:p>
      <w:pPr>
        <w:ind w:left="820" w:hanging="474"/>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Devices,Inc.;</w:t>
      </w:r>
    </w:p>
    <w:p>
      <w:pPr>
        <w:spacing w:after="0" w:line="225" w:lineRule="exact"/>
        <w:rPr>
          <w:rFonts w:ascii="Arial" w:cs="Arial" w:eastAsia="Arial" w:hAnsi="Arial"/>
          <w:sz w:val="18"/>
          <w:szCs w:val="18"/>
          <w:color w:val="auto"/>
        </w:rPr>
      </w:pPr>
    </w:p>
    <w:p>
      <w:pPr>
        <w:ind w:left="820" w:hanging="474"/>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820" w:right="420" w:hanging="474"/>
        <w:spacing w:after="0" w:line="370" w:lineRule="auto"/>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Arial" w:cs="Arial" w:eastAsia="Arial" w:hAnsi="Arial"/>
          <w:sz w:val="15"/>
          <w:szCs w:val="15"/>
          <w:color w:val="auto"/>
        </w:rPr>
      </w:pPr>
    </w:p>
    <w:p>
      <w:pPr>
        <w:ind w:left="820" w:right="480" w:hanging="474"/>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185" w:lineRule="exact"/>
        <w:rPr>
          <w:rFonts w:ascii="Arial" w:cs="Arial" w:eastAsia="Arial" w:hAnsi="Arial"/>
          <w:sz w:val="18"/>
          <w:szCs w:val="18"/>
          <w:color w:val="auto"/>
        </w:rPr>
      </w:pPr>
    </w:p>
    <w:p>
      <w:pPr>
        <w:ind w:left="1500" w:right="300" w:hanging="493"/>
        <w:spacing w:after="0" w:line="259"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4" w:lineRule="exact"/>
        <w:rPr>
          <w:rFonts w:ascii="Arial" w:cs="Arial" w:eastAsia="Arial" w:hAnsi="Arial"/>
          <w:sz w:val="18"/>
          <w:szCs w:val="18"/>
          <w:color w:val="auto"/>
        </w:rPr>
      </w:pPr>
    </w:p>
    <w:p>
      <w:pPr>
        <w:ind w:left="1500" w:right="260" w:hanging="493"/>
        <w:spacing w:after="0" w:line="26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1500" w:right="160" w:hanging="493"/>
        <w:spacing w:after="0" w:line="26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820" w:right="40" w:hanging="474"/>
        <w:spacing w:after="0" w:line="268"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1500" w:right="240" w:hanging="493"/>
        <w:spacing w:after="0" w:line="259"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4" w:lineRule="exact"/>
        <w:rPr>
          <w:rFonts w:ascii="Arial" w:cs="Arial" w:eastAsia="Arial" w:hAnsi="Arial"/>
          <w:sz w:val="18"/>
          <w:szCs w:val="18"/>
          <w:color w:val="auto"/>
        </w:rPr>
      </w:pPr>
    </w:p>
    <w:p>
      <w:pPr>
        <w:ind w:left="1500" w:right="360" w:hanging="493"/>
        <w:spacing w:after="0" w:line="26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85" w:lineRule="exact"/>
        <w:rPr>
          <w:rFonts w:ascii="Arial" w:cs="Arial" w:eastAsia="Arial" w:hAnsi="Arial"/>
          <w:sz w:val="18"/>
          <w:szCs w:val="18"/>
          <w:color w:val="auto"/>
        </w:rPr>
      </w:pPr>
    </w:p>
    <w:p>
      <w:pPr>
        <w:ind w:left="820" w:right="20" w:hanging="474"/>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3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23152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Joseph E. McDonough</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2003</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tcPr>
          <w:p>
            <w:pPr>
              <w:ind w:left="400"/>
              <w:spacing w:after="0"/>
              <w:rPr>
                <w:sz w:val="20"/>
                <w:szCs w:val="20"/>
                <w:color w:val="auto"/>
              </w:rPr>
            </w:pPr>
            <w:r>
              <w:rPr>
                <w:rFonts w:ascii="Arial" w:cs="Arial" w:eastAsia="Arial" w:hAnsi="Arial"/>
                <w:sz w:val="18"/>
                <w:szCs w:val="18"/>
                <w:b w:val="1"/>
                <w:bCs w:val="1"/>
                <w:color w:val="auto"/>
              </w:rPr>
              <w:t>Exhibit Index</w:t>
            </w:r>
          </w:p>
        </w:tc>
      </w:tr>
      <w:tr>
        <w:trPr>
          <w:trHeight w:val="597"/>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4"/>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21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c>
          <w:tcPr>
            <w:tcW w:w="1880" w:type="dxa"/>
            <w:vAlign w:val="bottom"/>
          </w:tcPr>
          <w:p>
            <w:pPr>
              <w:spacing w:after="0"/>
              <w:rPr>
                <w:sz w:val="15"/>
                <w:szCs w:val="15"/>
                <w:color w:val="auto"/>
              </w:rPr>
            </w:pPr>
          </w:p>
        </w:tc>
      </w:tr>
      <w:tr>
        <w:trPr>
          <w:trHeight w:val="95"/>
        </w:trPr>
        <w:tc>
          <w:tcPr>
            <w:tcW w:w="1020" w:type="dxa"/>
            <w:vAlign w:val="bottom"/>
            <w:tcBorders>
              <w:bottom w:val="single" w:sz="8" w:color="808080"/>
            </w:tcBorders>
          </w:tcPr>
          <w:p>
            <w:pPr>
              <w:spacing w:after="0"/>
              <w:rPr>
                <w:sz w:val="8"/>
                <w:szCs w:val="8"/>
                <w:color w:val="auto"/>
              </w:rPr>
            </w:pPr>
          </w:p>
        </w:tc>
        <w:tc>
          <w:tcPr>
            <w:tcW w:w="210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300" w:type="dxa"/>
            <w:vAlign w:val="bottom"/>
            <w:gridSpan w:val="2"/>
          </w:tcPr>
          <w:p>
            <w:pPr>
              <w:spacing w:after="0"/>
              <w:rPr>
                <w:sz w:val="8"/>
                <w:szCs w:val="8"/>
                <w:color w:val="auto"/>
              </w:rPr>
            </w:pPr>
          </w:p>
        </w:tc>
      </w:tr>
      <w:tr>
        <w:trPr>
          <w:trHeight w:val="31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5660" w:type="dxa"/>
            <w:vAlign w:val="bottom"/>
            <w:gridSpan w:val="4"/>
          </w:tcPr>
          <w:p>
            <w:pPr>
              <w:ind w:left="340"/>
              <w:spacing w:after="0"/>
              <w:rPr>
                <w:sz w:val="20"/>
                <w:szCs w:val="20"/>
                <w:color w:val="auto"/>
              </w:rPr>
            </w:pPr>
            <w:r>
              <w:rPr>
                <w:rFonts w:ascii="Arial" w:cs="Arial" w:eastAsia="Arial" w:hAnsi="Arial"/>
                <w:sz w:val="18"/>
                <w:szCs w:val="18"/>
                <w:color w:val="auto"/>
              </w:rPr>
              <w:t>Analog Devices, Inc. Code of Business Conduct and Ethics.</w:t>
            </w:r>
          </w:p>
        </w:tc>
      </w:tr>
      <w:tr>
        <w:trPr>
          <w:trHeight w:val="365"/>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w w:val="88"/>
              </w:rPr>
              <w:t>Certification Pursuant to 18 U.S.C. Section 1350</w:t>
            </w:r>
          </w:p>
        </w:tc>
        <w:tc>
          <w:tcPr>
            <w:tcW w:w="1880" w:type="dxa"/>
            <w:vAlign w:val="bottom"/>
          </w:tcPr>
          <w:p>
            <w:pPr>
              <w:ind w:left="40"/>
              <w:spacing w:after="0"/>
              <w:rPr>
                <w:sz w:val="20"/>
                <w:szCs w:val="20"/>
                <w:color w:val="auto"/>
              </w:rPr>
            </w:pPr>
            <w:r>
              <w:rPr>
                <w:rFonts w:ascii="Arial" w:cs="Arial" w:eastAsia="Arial" w:hAnsi="Arial"/>
                <w:sz w:val="18"/>
                <w:szCs w:val="18"/>
                <w:color w:val="auto"/>
                <w:w w:val="90"/>
              </w:rPr>
              <w:t>(Chief Executive Officer).</w:t>
            </w:r>
          </w:p>
        </w:tc>
      </w:tr>
      <w:tr>
        <w:trPr>
          <w:trHeight w:val="365"/>
        </w:trPr>
        <w:tc>
          <w:tcPr>
            <w:tcW w:w="10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w w:val="88"/>
              </w:rPr>
              <w:t>Certification Pursuant to 18 U.S.C. Section 1350</w:t>
            </w:r>
          </w:p>
        </w:tc>
        <w:tc>
          <w:tcPr>
            <w:tcW w:w="1880" w:type="dxa"/>
            <w:vAlign w:val="bottom"/>
          </w:tcPr>
          <w:p>
            <w:pPr>
              <w:ind w:left="40"/>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0219"/>
          </w:cols>
          <w:pgMar w:left="240" w:top="419" w:right="1440"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 CODE OF BUSINESS CONDUCT AND ETHICS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ALL EMPLOYEES OF ANALOG DEVICES:</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We all face choices in our jobs every day. The purpose of this Code of Business Conduct and Ethics (the "Code") is to help you make the right choices -- those that will help maintain the integrity and reputation of Analog Devices (ADI).</w:t>
      </w:r>
    </w:p>
    <w:p>
      <w:pPr>
        <w:spacing w:after="0" w:line="17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ADI expects honest and ethical conduct from all its personnel. Good ethics are good business. Whether you work in manufacturing, finance, engineering, marketing, sales or in an administrative or executive function, you should consider yourself a guardian of ADI's good name. The trust and respect of all stakeholders -- co-workers, customers, stockholders, suppliers, our communities and the general public -- are assets that cannot be purchased and can only be sustained through our continued vigilance. Only by maintaining the highest ethical standards can we preserve, and grow, these crucial relationships.</w:t>
      </w:r>
    </w:p>
    <w:p>
      <w:pPr>
        <w:spacing w:after="0" w:line="18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Code is based on ethical guidelines that have been in place for years at ADI. Ethical business practices have been and will continue to be the foundation of all ADI policies and procedures.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course, no code of business conduct and ethics can replace the thoughtful behavior of an ethical director, officer or employee. However, this Code is intended to help you focus on areas of ethical risk, provide you with guidance, help you recognize and deal with ethical issues, provide ways for you to report unethical conduct, and enlist your help in fostering a culture of honesty and accountability here at ADI.</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 encourage you to review this information and to familiarize yourself with the standards we expect to achieve at ADI.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ABOUT THIS CODE OF BUSINESS CONDUCT AND ETHICS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CODE OF BUSINESS CONDUCT AND ETHICS APPLIES TO ALL</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This Code of Business Conduct and Ethics (the "Code") applies to everyone who works for ADI, including its subsidiaries. This includes the Chief Executive Officer, the Chief Financial Officer, members of the board of directors, other senior financial, business and technical management, and every employee.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OPEN DOOR</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ADI has an open door policy to hear from you about issues that may arise under this Code and about any violations of any law, rule or regulation. You may bring these issues to your supervisor or you may contact your Human Resources department or ADI's legal counsel. We hope that your involvement in this process will be a positive experience for you and ADI as we work together to prevent or eliminate any unethical or illegal practices that you bring to ADI's attention. While it is the company's desire to address matters internally, nothing in this Code should discourage you from reporting any illegal activity or any violation of law, rule or regulation to the appropriate governmental authority. Employees who in good faith assist ADI in identifying or investigating violations or suspected violations of law, rule, regulation or this Code will not be subject to any retaliation by ADI or its employees.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ADI's legal counsel can be reached by fax, mail or email at: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Analog Devices, Inc.</w:t>
      </w:r>
    </w:p>
    <w:p>
      <w:pPr>
        <w:ind w:left="960"/>
        <w:spacing w:after="0" w:line="238" w:lineRule="auto"/>
        <w:rPr>
          <w:sz w:val="20"/>
          <w:szCs w:val="20"/>
          <w:color w:val="auto"/>
        </w:rPr>
      </w:pPr>
      <w:r>
        <w:rPr>
          <w:rFonts w:ascii="Courier New" w:cs="Courier New" w:eastAsia="Courier New" w:hAnsi="Courier New"/>
          <w:sz w:val="18"/>
          <w:szCs w:val="18"/>
          <w:color w:val="auto"/>
        </w:rPr>
        <w:t>Legal Department, Confidential</w:t>
      </w:r>
    </w:p>
    <w:p>
      <w:pPr>
        <w:ind w:left="960"/>
        <w:spacing w:after="0"/>
        <w:rPr>
          <w:sz w:val="20"/>
          <w:szCs w:val="20"/>
          <w:color w:val="auto"/>
        </w:rPr>
      </w:pPr>
      <w:r>
        <w:rPr>
          <w:rFonts w:ascii="Courier New" w:cs="Courier New" w:eastAsia="Courier New" w:hAnsi="Courier New"/>
          <w:sz w:val="18"/>
          <w:szCs w:val="18"/>
          <w:color w:val="auto"/>
        </w:rPr>
        <w:t>One Technology Way, PO Box 9106</w:t>
      </w:r>
    </w:p>
    <w:p>
      <w:pPr>
        <w:ind w:left="960"/>
        <w:spacing w:after="0" w:line="237" w:lineRule="auto"/>
        <w:rPr>
          <w:sz w:val="20"/>
          <w:szCs w:val="20"/>
          <w:color w:val="auto"/>
        </w:rPr>
      </w:pPr>
      <w:r>
        <w:rPr>
          <w:rFonts w:ascii="Courier New" w:cs="Courier New" w:eastAsia="Courier New" w:hAnsi="Courier New"/>
          <w:sz w:val="18"/>
          <w:szCs w:val="18"/>
          <w:color w:val="auto"/>
        </w:rPr>
        <w:t>Norwood, MA 02062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Fax: 781-461-3491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Email: William.Wise@analog.com</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addition, ADI has established a toll-free 800 number, through which employees can speak to a person about any issue under this Code or any actual or suspected violations of any law, rule or regulation. While we prefer that you identify yourself when reporting, you can also decline to identify yourself if you wish.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CONCERNS REGARDING ACCOUNTING OR AUDITING MATTERS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Employees with concerns regarding questionable accounting or auditing matters or complaints regarding accounting, internal accounting controls or auditing matters may confidentially, and anonymously if they wish, submit such concerns or complaints in writing to ADI's legal counsel or may use the toll-free phone line. All such complaints will be forwarded to the Audit Committee of the Board of Directors. Such complaints will be forwarded, promptly, except any complaints that are determined to be without merit by both ADI's legal counsel and internal auditor, which may instead be reported at the next regularly scheduled meeting of the Audit Committee. The Audit Committee will evaluate the merits of any complaints received and authorize such follow-up actions, if any, as it deems necessary or appropriate to address the substance of the complaint. ADI will not discipline, discriminate against or retaliate against any employee who reports a complaint or concern in good faith.</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ETHICS IN THE MARKETPLACE</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ADI's reputation for integrity in all aspects of business is a priceless asset. Our promotional literature must protect and enhance this image by providing complete and unambiguous performance information regarding ADI's products. Statements regarding ADI's products and offerings, and those of our competitors, must be based on factual data and avoid deliberately misleading information.</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These principles of truthfulness and integrity apply equally to verbal discussions with customers. ADI employees must never disparage our competitors or their products to customers. Comparative presentations of ADI's products versus those of competitors' must be based on factual engineering analysis. ADI employees should also not reveal to outside parties any information that might affect prices.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Our customers are not naive. Product interest created by misleading or untruthful statements will ultimately work to the company's disadvantage. Our actions can serve to either enhance or damage ADI's reputation and it is the responsibility of each employee to always represent the company with the greatest possible integrity.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RECIPROCAL DEALINGS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is ADI's policy to sell its products and services by meeting customers' needs, rather than by using its purchasing power as a weapon. ADI does not require its vendors to buy from ADI under any manner of coercion, either expressed or implied. Similarly, ADI selects its vendors solely on the basis of their superior ability to service our needs. The fact that a potential vendor may be a large customer of ADI must not be a factor in the consideration of that vendor.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OPEN AND FAIR COMPETITION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 is unlawful in the United States and many other countries to collaborate with competitors or anyone representing them for the purposes of establishing or maintaining prices, division of markets or customers, group boycotts or restraining trade. It is also unlawful to collaborate with competitors or anyone representing them to restrain competition in other ways such as restricting production or agreeing not to do business with specific customers. ADI and its employees fully and unreservedly comply with the laws of the United States including, but not limited to, the laws associated with export of commodities, antitrust laws and the laws of the states and countries where ADI does business. Accordingly, it is unlawful to discuss prices with competitors under any circumstances other than those in connection with legitimate sales or purchase transactions. Employees who are involved in trade associations and professional groups should be vigilant that discussions in these forums do not violate ethical or legal standards. If you have doubts as to whether a contemplated action may have the effect of restraining competition, you should consult ADI's legal counsel.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REASONABLE ESTIMATES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Many employees are responsible for providing prices, cost and expense estimates to government procurement personnel, taxing authorities and audit agencies, as well as to other customers and suppliers. Similar estimates are also used daily in ADI's internal operations. Estimates should be reasonable and based upon known facts, or upon the estimator's plausible and honest judgment in the absence of facts.</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Government regulations often exist that govern development of estimates. These regulations may allow for judgment and interpretation of costs and allocation of costs by the estimator as a basis for price negotiation. ADI's policy is to ensure that price estimates will provide a fair profit, taking into account various factors such as risk, technical innovation and product demand.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DEALING GENERALLY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general, each employee should deal fairly with the company's customers, suppliers, competitors and employees. Statements regarding the company's products and services should not be intentionally deceptive or fraudulent. None should take unfair advantage of anyone through manipulation, concealment, abuse of privileged information, misrepresentation of material facts, or any other unfair-dealing practice.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WITH APPLICABLE LAWS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ADI expects that all officers, members of the board of directors, and employees (and sales representatives, consultants, vendors and customers engaged in business activities with ADI) in the course of their services for ADI will comply with the law, including all applicable statutes, rules and regulations.</w:t>
      </w:r>
    </w:p>
    <w:p>
      <w:pPr>
        <w:spacing w:after="0" w:line="17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ETHICS WITH PROPRIETARY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ADI's trade secrets, proprietary information and most other internal information are valuable assets. Protection of this information is vital for ADI's continued growth and competitiveness. Under the laws of most countries, a trade secret is treated as property, usually in the form of information, knowledge or know-how. The possession of a trade secret gives the owner some advantage over competitors who do not possess the information. A trade secret must not be publicly known. But it does not need to be patentable subject matter to qualify as a trade secret.</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Except when disclosure is legally mandated (and then only to the extent required by law), our obligations regarding proprietary and trade secret information of ADI are:</w:t>
      </w:r>
    </w:p>
    <w:p>
      <w:pPr>
        <w:spacing w:after="0" w:line="209" w:lineRule="exact"/>
        <w:rPr>
          <w:sz w:val="20"/>
          <w:szCs w:val="20"/>
          <w:color w:val="auto"/>
        </w:rPr>
      </w:pPr>
    </w:p>
    <w:p>
      <w:pPr>
        <w:ind w:right="187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disclose this information to persons or organizations outside of ADI, such as in conversations with visitors, suppliers or family;</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use trade secrets for our own benefit or for the profit or benefit of persons or organizations outside ADI, and;</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only disclose this information to other ADI employees on a "need to know" or "need to use" basis and then only with a positive statement that the information is an ADI trade secret.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ADI's trade secret and proprietary information is not always of a technical nature. Typical trade secret information includes ADI's strategic, business, marketing, financial and product plans; divisional and departmental sales, profits and any unpublished financial or pricing information; yields, designs, efficiencies and capacities of ADI's production facilities, methods and systems; employee rosters; customer and vendor lists and detailed information regarding customer requirements, preferences, business habits and plans. This list, while not complete, suggests the wide scope and variety of ADI's proprietary information that needs to be safeguarded.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person leaving the employment of ADI has an obligation to protect ADI's trade secrets and proprietary information until the information becomes publicly available or until ADI no longer considers it a trade secret or proprietary. You should also remember that correspondence, printed matter, documents or records of any kind, describing specific process knowledge, procedures, special ADI ways of doing things, whether classified or not, are all the property of and must remain at ADI. Of course, personal skills acquired or improved on the job are personal assets of the individual.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FROM OUTSIDE ADI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is ADI's policy and practice to respect trade secrets of other companies and individuals. Never reveal to any person at ADI any information that you believe is a trade secret, whether it belongs to a former employer, customer or supplier. If you have questions about what constitutes a trade secret, consult the company's legal counsel for guidance.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 is ADI's policy to refuse to receive or consider any information regarding trade secrets, such as ideas, inventions, patent applications that are submitted from companies or individuals outside ADI without the prior written approval of ADI's patent counsel. It is also ADI's policy that software licensed by the company should not be used in any manner inconsistent with ADI's rights and the vendor's rights as described in the licensing agreements.</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ETHICS IN THE STOCK MARKET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Occasionally we have information about ADI that is not known to the investing public, such as bookings levels, prospects for sales or profitability, acquisitions, new product line development, specific technological achievements, major financial problems at a division, etc. Until disclosure to the public takes place, employees with knowledge of material information, and their immediate families, have a two-fold responsibility under U.S. law and Securities and Exchange Commission (SEC) rules:</w:t>
      </w:r>
    </w:p>
    <w:p>
      <w:pPr>
        <w:spacing w:after="0" w:line="211" w:lineRule="exact"/>
        <w:rPr>
          <w:sz w:val="20"/>
          <w:szCs w:val="20"/>
          <w:color w:val="auto"/>
        </w:rPr>
      </w:pPr>
    </w:p>
    <w:p>
      <w:pPr>
        <w:ind w:right="1879" w:firstLine="8"/>
        <w:spacing w:after="0" w:line="235"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cannot buy or sell ADI's stock until after the material information has been released to the public, and;</w:t>
      </w:r>
    </w:p>
    <w:p>
      <w:pPr>
        <w:spacing w:after="0" w:line="208"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cannot disclose the information to others who might use it to their advantage in buying or selling ADI stock until after it has been released to the public.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in the course of their jobs, employees of ADI learn of material non-public information from another company, they may be considered an insider of that company and be subject to trading restrictions for that company's stock. Insider trading is both unethical and illegal, and will be dealt with decisively. If a question arises concerning whether or not information is material or if the information has been released to the public, please consult the company's legal counsel.</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Short sale or derivative transactions may have the potential of placing an employee's personal financial concerns in direct conflict with the concerns of ADI since short sale and derivative transactions are much more valuable if ADI stock declines in value. Employees should consider whether engaging in short sale or derivative transactions could adversely influence, or create the appearance of adversely influencing, judgments, decisions or actions in meeting responsibilities to ADI.</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Officers and members of the board of directors of the company and certain other employees who have access to financial information have additional restrictions on their freedom to purchase and sell stock, including a prohibition against "short-swing trading" or "selling short" or "trading options." These trading restraints are imposed by Section 16(b) of the Securities Exchange Act and SEC rules. In addition, officers, members of the board of directors and certain other employees may not buy and sell the company's stock during the ADI-imposed non-trading period. If you have questions about restrictions on stock trading, please contact ADI's legal counsel.</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AND ACCURATE FILINGS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ADI has an obligation to make full, fair, accurate, timely and understandable disclosures in the reports and documents filed with, or submitted to, the SEC, as well as in other public communications. Employees involved in the creation, assembly and approval of these reports and documents should, at all times, discharge their duties consistently with this obligation.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ACCURACY OF BOOKS AND RECORDS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Employees, officers and directors must honestly and accurately report all business transactions. You are responsible for the accuracy of your records, time sheets and reports. Accurate information is essential to ADI's ability to meet legal and regulatory obligations.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All company books, records and accounts must accurately reflect the true nature of the transactions they record. The financial statements of the company shall conform to generally accepted accounting</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rPr>
        <w:t>rules and the company's accounting policies. No undisclosed or unrecorded account or fund shall be established for any purpose. No false or misleading entries shall be made in the company's books or records for any reason, and no disbursement of corporate funds or other corporate property shall be made without adequate supporting documentation or for any purpose other than as described in the documents. If you believe that the company's books and records are not being maintained in accordance with these requirements, you should report the matter to your supervisor or ADI's legal counsel.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RELEASE OF COMPANY INFORMATION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All requests for information from the media, market professionals (i.e., securities analysts, institutional investors, investment advisers, broker and dealers) and holders of securities of ADI should be directed to the Director of Corporate Communications.</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ETHICS WITH ADI PROPERTY AND OPPORTUNITIES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equipment, tools, materials and supplies with which we accomplish our jobs have been purchased for a specific purpose. Unauthorized removal or purposeful misapplication or waste of these items places an unnecessary financial burden on ADI, handicapping the company's ability to operate profitably and may be a violation of criminal law.</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All employees, officers and directors should seek to protect the company's assets. Theft, carelessness and waste have a direct impact on ADI's profitability. All company assets should be used only for the legitimate business purposes of ADI.</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should not take for yourself personally business or financial opportunities that are discovered through the use of ADI's property or information or your position at ADI. These opportunities belong to ADI. You should never use ADI's property or information for personal gain or the personal benefit of anyone else.</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ETHICS WITH ADI TECHNOLOGY RESOURCES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use of technology resources including e-mail, voice mail, Internet and Intranet access to generate and communicate business-related data has become central to our business. ADI provides technology resources to help employees accomplish job responsibilities, achieve business objectives and otherwise further our collective success. At the same time, we cannot ignore the reality that technology resources in the workplace raise serious concerns about the accuracy, security and control of company information, including confidential and proprietary matters. This is especially true because electronic communications tend to be more immediate and informal than traditional paper-based communications and because passwords and delete functions create an illusion of privacy, control and confidentiality. Usage of ADI technology resources thus must be ethical and in full compliance with ADI's technology resources policy.</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ETHICS WITH GIFTS AND ENTERTAINMENT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 is ADI's policy that you or members of your immediate family may not give or accept gifts if such gifts would influence or appear to influence business decisions or judgments by our customers, competitors, suppliers or others doing business with ADI. Employees of ADI may not accept gifts from anyone with whom ADI does business, other than promotional items of limited value and infrequent business entertainment that is modest and clearly intended to serve legitimate business goals. Employees of ADI must not solicit gifts from anyone with whom we do business. Similarly, employees of ADI may not offer gifts to employees of customers, competitors, suppliers or others doing business with ADI, except for promotional items of limited value and business entertainment meeting the standards set forth above. Common sense and moderation should prevail in entertaining customers or others on behalf of ADI. In addition, employees should make sure that all gifts and entertainment expenses are properly recorded in ADI's records and accounts. If you have any questions about the appropriateness of a specific gift or entertainment activity, you should discuss it with your supervisor or ADI's legal counsel.</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ETHICS WITH CONFLICT OF INTEREST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Employees, officers and directors must act in the best interests of ADI. You must refrain from engaging in any activity or having a personal interest that presents a "conflict of interest." A conflict of interest occurs when your private interest interferes, or appears to interfere, with the interests of ADI. A conflict of interest can arise whenever you, as an officer, director or employee, take action or have interests that prevent you from performing your ADI duties and responsibilities honestly, objectively and effectively.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example:</w:t>
      </w:r>
    </w:p>
    <w:p>
      <w:pPr>
        <w:spacing w:after="0" w:line="207" w:lineRule="exact"/>
        <w:rPr>
          <w:sz w:val="20"/>
          <w:szCs w:val="20"/>
          <w:color w:val="auto"/>
        </w:rPr>
      </w:pPr>
    </w:p>
    <w:p>
      <w:pPr>
        <w:ind w:left="1480" w:right="2199" w:hanging="524"/>
        <w:spacing w:after="0" w:line="237"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officer or director shall perform services as a consultant, employee, officer or director of a significant and direct competitor of ADI, other than services performed at the request of the Company; and</w:t>
      </w:r>
    </w:p>
    <w:p>
      <w:pPr>
        <w:spacing w:after="0" w:line="207" w:lineRule="exact"/>
        <w:rPr>
          <w:rFonts w:ascii="Courier New" w:cs="Courier New" w:eastAsia="Courier New" w:hAnsi="Courier New"/>
          <w:sz w:val="18"/>
          <w:szCs w:val="18"/>
          <w:color w:val="auto"/>
        </w:rPr>
      </w:pPr>
    </w:p>
    <w:p>
      <w:pPr>
        <w:ind w:left="1480" w:right="1779" w:hanging="524"/>
        <w:spacing w:after="0" w:line="237"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officer or director shall use his or her position with ADI to influence a transaction with a supplier or customer in which such person has any personal interest, other than a financial interest representing less than one percent (1%) of the outstanding shares of a publicly-held company.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It is your responsibility to disclose any material transaction or relationship that reasonably could be expected to give rise to a conflict of interest to ADI's legal counsel or, if you are an officer or director, to the Board of Directors, which shall be responsible for determining whether such transaction or relationship constitutes a conflict of interest.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LOANS TO EXECUTIVE OFFICERS AND DIRECTORS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ADI will not, directly or indirectly, extend or maintain credit, or arrange for an extension of credit, in the form of a personal loan to or for any executive officer or director.</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ETHICS IN GOVERNMENT RELATIONS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ADI's products are frequently purchased by agencies of state and national governments and are used in equipment that is purchased by these agencies. Our policy is to seek our fair share of this business solely on the basis of superior price, performance, reliability, delivery or customer service versus our competitors.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It is ADI's policy to prohibit the payment or gift, whether made directly or indirectly, of corporate funds or other assets to any political party or committee, to any candidate for public office and to any official or employee of any local, state or federal government agency of the United States or of any foreign country in which we do business. The prohibition of payments shall apply to employees or persons acting on behalf of ADI, its divisions and its subsidiaries. It also extends to any payment or gift granted to a third party, whether it be an individual or a corporation, in which there is an understanding or presumption that part of or all of the payment or gift may ultimately be paid to any political party or committee, candidate for public office, governmental official or employee. This policy does not prohibit infrequent modest business meals or infrequent modest entertainment that is permitted by law and meets the criteria of ADI's policy on gifts and entertainment.</w:t>
      </w:r>
    </w:p>
    <w:p>
      <w:pPr>
        <w:spacing w:after="0" w:line="38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ETHICS WITH WORKPLACE SAFETY AND NATURAL RESOURCES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It is ADI's policy to conduct its business in compliance with all applicable laws, regulations and standards regarding workplace safety and the preservation of our natural resources. It is the responsibility of all employees of ADI to ensure that all ADI policies, procedures and guidelines regarding workplace safety and the preservation of our natural resources are fully implemented and observed. Unsafe conditions in the workplace and conditions that endanger our employees or other parties, or endanger the quality of our air, water or land, will not be tolerated. ADI managers have a responsibility to be vigilant about preserving safe working conditions and our environment. In turn, managers also have a responsibility to correct the situation and restore safe working and environmental conditions in a timely manner. Each ADI facility has developed specific site guidelines to implement this corporate policy. You may consult the appropriate ADI facility health and safety manager with respect to any safety or environmental issue. In the event of uncertainty regarding workplace safety or the preservation of our natural resources, please consult ADI's legal counsel.</w:t>
      </w:r>
    </w:p>
    <w:p>
      <w:pPr>
        <w:spacing w:after="0" w:line="38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COMPLIANCE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ISSUES OR QUESTIONS ARISE</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If you become aware of any violation or suspected violation of this Code by any person, you have a right and a responsibility to point it out promptly to ADI's legal counsel or your supervisor.</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you are asked to depart from this Code, whether by your supervisor, another employee or anyone else, you have a right and a responsibility to seek clarification and/or guidance as to the propriety of the actions in question from ADI's legal counsel.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ACCOUNTABILITY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assigned to ADI's legal counsel overall accountability for tracking and responding to issues and questions relating to, and reported violations of, this Code. If ADI's legal counsel receives information regarding an alleged violation of this Code, he or such other person authorized by the board of directors to investigate alleged violations of this Code shall, as appropriate, (a) evaluate such information, (b) if the alleged violation involves an executive officer or a member of the board of directors, inform the Chief Executive Officer and board of directors of the alleged violation, (c) determine whether it is necessary to conduct an inquiry or investigation and, if so, conduct such inquiry or investigation as he deems to be appropriate and (d) report the results of such inquiry or investigation (if any), together with a recommendation as to disposition of the matter, to the appropriate executive officer or member(s) of the board of directors for action, or if the alleged violation involves an executive officer or a member of the board of directors, report the results of such inquiry or investigation to the board of directors. Employees, officers and members of the board of directors are expected to cooperate fully with any inquiry or investigation by the company regarding an alleged violation of this Code. Failure to cooperate with any such inquiry or investigation may result in disciplinary action, up to and including discharge.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VIOLATION OF THE CODE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ADI's policy is to take prompt and consistent action to enforce this Code. Depending on the seriousness of the violation and the other relevant circumstances, violations of this Code may result in warnings, reprimands, demotion, suspension, dismissal, or other disciplinary action. Certain violations of this Code may require the company to refer the matter to the appropriate authorities for criminal prosecution. Moreover, any supervisor who directs or approves of any conduct in violation of this Code, or who has knowledge of such conduct and does not immediately report it, also will be subject to disciplinary action, up to and including discharge.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WAIVER</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There may be circumstances where a waiver of the Code is appropriate. Any request for a waiver should be in writing and should be presented to ADI's legal counsel, who is responsible for maintaining a complete record of all requests for waivers to any of these policies and the disposition of such requests. No waiver will be effective unless from an authorized representative of ADI. Any waiver of the Code for executive officers or members of the board of directors or any change to this Code that applies to executive officers or members of the board of directors may be made only by the board of directors or a board committee and will be disclosed as required by law or stock exchange regulation.</w:t>
      </w:r>
    </w:p>
    <w:p>
      <w:pPr>
        <w:spacing w:after="0" w:line="17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DISSEMINATION AND AMENDMENT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Code shall be distributed periodically to each employee, officer and member of the board of directors of the company. To ensure the continued dissemination and communication of this Code, ADI's legal counsel shall take, or cause to be taken, reasonable steps to communicate effectively the standards and procedures included in this Code to employees, officers and members of the board of directors of the company.</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company reserves the right to amend or alter this Code at any time for any reason.</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document is not an employment contract between the company and any of its employees, officers or members of the board of directors and does not alter the company's policy of at-will employment.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February 1, 2003 as filed with the Securities and Exchange Commission on the date hereof (the "Report"), the undersigned, Jerald G. Fishman, Chief Executive Officer of the Company, hereby certifies, pursuant to 18 U.S.C. Section 1350, that:</w:t>
      </w:r>
    </w:p>
    <w:p>
      <w:pPr>
        <w:spacing w:after="0" w:line="209" w:lineRule="exact"/>
        <w:rPr>
          <w:sz w:val="20"/>
          <w:szCs w:val="20"/>
          <w:color w:val="auto"/>
        </w:rPr>
      </w:pPr>
    </w:p>
    <w:p>
      <w:pPr>
        <w:ind w:left="1380" w:right="1779" w:hanging="424"/>
        <w:spacing w:after="0" w:line="235" w:lineRule="auto"/>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380" w:right="2199" w:hanging="424"/>
        <w:spacing w:after="0" w:line="236" w:lineRule="auto"/>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6,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4760" w:space="720"/>
            <w:col w:w="4739"/>
          </w:cols>
          <w:pgMar w:left="240" w:top="541" w:right="1440" w:bottom="1440" w:gutter="0" w:footer="0" w:header="0"/>
          <w:type w:val="continuous"/>
        </w:sectPr>
      </w:pPr>
    </w:p>
    <w:bookmarkStart w:id="50" w:name="page51"/>
    <w:bookmarkEnd w:id="50"/>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February 1, 2003 as filed with the Securities and Exchange Commission on the date hereof (the "Report"), the undersigned, Joseph E. McDonough, Chief Financial Officer of the Company, hereby certifies, pursuant to 18 U.S.C. Section 1350, that:</w:t>
      </w:r>
    </w:p>
    <w:p>
      <w:pPr>
        <w:spacing w:after="0" w:line="209" w:lineRule="exact"/>
        <w:rPr>
          <w:sz w:val="20"/>
          <w:szCs w:val="20"/>
          <w:color w:val="auto"/>
        </w:rPr>
      </w:pPr>
    </w:p>
    <w:p>
      <w:pPr>
        <w:ind w:left="1380" w:right="1779" w:hanging="424"/>
        <w:spacing w:after="0" w:line="235"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380" w:right="2199" w:hanging="424"/>
        <w:spacing w:after="0" w:line="236"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6,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640" w:space="220"/>
            <w:col w:w="3900" w:space="720"/>
            <w:col w:w="4739"/>
          </w:cols>
          <w:pgMar w:left="240" w:top="541" w:right="1440" w:bottom="1440" w:gutter="0" w:footer="0" w:header="0"/>
          <w:type w:val="continuous"/>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lvl w:ilvl="1">
      <w:lvlJc w:val="left"/>
      <w:lvlText w:val="(%2)"/>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2019-12-20T05:02:50Z</dcterms:created>
  <dcterms:modified xsi:type="dcterms:W3CDTF">2019-12-20T05:02:50Z</dcterms:modified>
</cp:coreProperties>
</file>