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December 19, 2008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333-75170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5180" w:type="dxa"/>
            <w:vAlign w:val="bottom"/>
          </w:tcPr>
          <w:p>
            <w:pPr>
              <w:jc w:val="center"/>
              <w:ind w:left="375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w:t>
            </w:r>
          </w:p>
        </w:tc>
        <w:tc>
          <w:tcPr>
            <w:tcW w:w="5180" w:type="dxa"/>
            <w:vAlign w:val="bottom"/>
          </w:tcPr>
          <w:p>
            <w:pPr>
              <w:jc w:val="center"/>
              <w:ind w:left="37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5180" w:type="dxa"/>
            <w:vAlign w:val="bottom"/>
          </w:tcPr>
          <w:p>
            <w:pPr>
              <w:jc w:val="center"/>
              <w:ind w:left="375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1"/>
              </w:rPr>
              <w:t>One Technology Way, Norwood, MA</w:t>
            </w:r>
          </w:p>
        </w:tc>
        <w:tc>
          <w:tcPr>
            <w:tcW w:w="5180" w:type="dxa"/>
            <w:vAlign w:val="bottom"/>
          </w:tcPr>
          <w:p>
            <w:pPr>
              <w:jc w:val="center"/>
              <w:ind w:left="375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5180" w:type="dxa"/>
            <w:vAlign w:val="bottom"/>
          </w:tcPr>
          <w:p>
            <w:pPr>
              <w:jc w:val="center"/>
              <w:ind w:left="3750"/>
              <w:spacing w:after="0"/>
              <w:rPr>
                <w:sz w:val="20"/>
                <w:szCs w:val="20"/>
                <w:color w:val="auto"/>
              </w:rPr>
            </w:pPr>
            <w:r>
              <w:rPr>
                <w:rFonts w:ascii="Arial" w:cs="Arial" w:eastAsia="Arial" w:hAnsi="Arial"/>
                <w:sz w:val="18"/>
                <w:szCs w:val="18"/>
                <w:i w:val="1"/>
                <w:iCs w:val="1"/>
                <w:color w:val="auto"/>
                <w:w w:val="91"/>
              </w:rPr>
              <w:t>(Zip Code)</w:t>
            </w:r>
          </w:p>
        </w:tc>
      </w:tr>
      <w:tr>
        <w:trPr>
          <w:trHeight w:val="414"/>
        </w:trPr>
        <w:tc>
          <w:tcPr>
            <w:tcW w:w="2900" w:type="dxa"/>
            <w:vAlign w:val="bottom"/>
          </w:tcPr>
          <w:p>
            <w:pPr>
              <w:spacing w:after="0"/>
              <w:rPr>
                <w:sz w:val="24"/>
                <w:szCs w:val="24"/>
                <w:color w:val="auto"/>
              </w:rPr>
            </w:pPr>
          </w:p>
        </w:tc>
        <w:tc>
          <w:tcPr>
            <w:tcW w:w="5180" w:type="dxa"/>
            <w:vAlign w:val="bottom"/>
          </w:tcPr>
          <w:p>
            <w:pPr>
              <w:jc w:val="center"/>
              <w:ind w:right="2050"/>
              <w:spacing w:after="0"/>
              <w:rPr>
                <w:sz w:val="20"/>
                <w:szCs w:val="20"/>
                <w:color w:val="auto"/>
              </w:rPr>
            </w:pPr>
            <w:r>
              <w:rPr>
                <w:rFonts w:ascii="Arial" w:cs="Arial" w:eastAsia="Arial" w:hAnsi="Arial"/>
                <w:sz w:val="18"/>
                <w:szCs w:val="18"/>
                <w:b w:val="1"/>
                <w:bCs w:val="1"/>
                <w:color w:val="auto"/>
                <w:w w:val="89"/>
              </w:rPr>
              <w:t>Analog Devices, Inc.</w:t>
            </w:r>
          </w:p>
        </w:tc>
      </w:tr>
      <w:tr>
        <w:trPr>
          <w:trHeight w:val="220"/>
        </w:trPr>
        <w:tc>
          <w:tcPr>
            <w:tcW w:w="2900" w:type="dxa"/>
            <w:vAlign w:val="bottom"/>
          </w:tcPr>
          <w:p>
            <w:pPr>
              <w:spacing w:after="0"/>
              <w:rPr>
                <w:sz w:val="19"/>
                <w:szCs w:val="19"/>
                <w:color w:val="auto"/>
              </w:rPr>
            </w:pPr>
          </w:p>
        </w:tc>
        <w:tc>
          <w:tcPr>
            <w:tcW w:w="5180" w:type="dxa"/>
            <w:vAlign w:val="bottom"/>
          </w:tcPr>
          <w:p>
            <w:pPr>
              <w:jc w:val="center"/>
              <w:ind w:right="2070"/>
              <w:spacing w:after="0"/>
              <w:rPr>
                <w:sz w:val="20"/>
                <w:szCs w:val="20"/>
                <w:color w:val="auto"/>
              </w:rPr>
            </w:pPr>
            <w:r>
              <w:rPr>
                <w:rFonts w:ascii="Arial" w:cs="Arial" w:eastAsia="Arial" w:hAnsi="Arial"/>
                <w:sz w:val="18"/>
                <w:szCs w:val="18"/>
                <w:b w:val="1"/>
                <w:bCs w:val="1"/>
                <w:color w:val="auto"/>
                <w:w w:val="90"/>
              </w:rPr>
              <w:t>2001 Broad-Based Stock Option Plan</w:t>
            </w:r>
          </w:p>
        </w:tc>
      </w:tr>
      <w:tr>
        <w:trPr>
          <w:trHeight w:val="230"/>
        </w:trPr>
        <w:tc>
          <w:tcPr>
            <w:tcW w:w="2900" w:type="dxa"/>
            <w:vAlign w:val="bottom"/>
          </w:tcPr>
          <w:p>
            <w:pPr>
              <w:spacing w:after="0"/>
              <w:rPr>
                <w:sz w:val="20"/>
                <w:szCs w:val="20"/>
                <w:color w:val="auto"/>
              </w:rPr>
            </w:pPr>
          </w:p>
        </w:tc>
        <w:tc>
          <w:tcPr>
            <w:tcW w:w="5180" w:type="dxa"/>
            <w:vAlign w:val="bottom"/>
          </w:tcPr>
          <w:p>
            <w:pPr>
              <w:jc w:val="center"/>
              <w:ind w:right="2070"/>
              <w:spacing w:after="0"/>
              <w:rPr>
                <w:sz w:val="20"/>
                <w:szCs w:val="20"/>
                <w:color w:val="auto"/>
              </w:rPr>
            </w:pPr>
            <w:r>
              <w:rPr>
                <w:rFonts w:ascii="Arial" w:cs="Arial" w:eastAsia="Arial" w:hAnsi="Arial"/>
                <w:sz w:val="18"/>
                <w:szCs w:val="18"/>
                <w:color w:val="auto"/>
                <w:w w:val="94"/>
              </w:rPr>
              <w:t>(Full Title of the Plan)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 02062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0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3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20" w:type="dxa"/>
            <w:vAlign w:val="bottom"/>
          </w:tcPr>
          <w:p>
            <w:pPr>
              <w:ind w:left="400"/>
              <w:spacing w:after="0"/>
              <w:rPr>
                <w:sz w:val="20"/>
                <w:szCs w:val="20"/>
                <w:color w:val="auto"/>
              </w:rPr>
            </w:pPr>
            <w:r>
              <w:rPr>
                <w:rFonts w:ascii="Arial" w:cs="Arial" w:eastAsia="Arial" w:hAnsi="Arial"/>
                <w:sz w:val="18"/>
                <w:szCs w:val="18"/>
                <w:color w:val="auto"/>
              </w:rPr>
              <w:t>Accelerated filer o</w:t>
            </w:r>
          </w:p>
        </w:tc>
        <w:tc>
          <w:tcPr>
            <w:tcW w:w="4120" w:type="dxa"/>
            <w:vAlign w:val="bottom"/>
          </w:tcPr>
          <w:p>
            <w:pPr>
              <w:jc w:val="center"/>
              <w:spacing w:after="0"/>
              <w:rPr>
                <w:sz w:val="20"/>
                <w:szCs w:val="20"/>
                <w:color w:val="auto"/>
              </w:rPr>
            </w:pPr>
            <w:r>
              <w:rPr>
                <w:rFonts w:ascii="Arial" w:cs="Arial" w:eastAsia="Arial" w:hAnsi="Arial"/>
                <w:sz w:val="18"/>
                <w:szCs w:val="18"/>
                <w:color w:val="auto"/>
                <w:w w:val="94"/>
              </w:rPr>
              <w:t>Non-accelerated filer  o</w:t>
            </w:r>
          </w:p>
        </w:tc>
        <w:tc>
          <w:tcPr>
            <w:tcW w:w="2800" w:type="dxa"/>
            <w:vAlign w:val="bottom"/>
          </w:tcPr>
          <w:p>
            <w:pPr>
              <w:ind w:left="38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800" w:type="dxa"/>
            <w:vAlign w:val="bottom"/>
          </w:tcPr>
          <w:p>
            <w:pPr>
              <w:spacing w:after="0"/>
              <w:rPr>
                <w:sz w:val="20"/>
                <w:szCs w:val="20"/>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631"/>
        </w:trPr>
        <w:tc>
          <w:tcPr>
            <w:tcW w:w="23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color w:val="auto"/>
        </w:rPr>
        <w:t>EXPLANATORY NOTE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 1 to Registration Statement on Form S-8 (File No. 333-75170) (the “2001 Registration Statement”) of Analog Devices, Inc. (the “Company” or the “Registrant”) filed in connection with the Registrant’s 2001 Broad-Based Stock Option Plan (the “2001 Plan”) is being filed to deregister 9,244,623 shares from the 2001 Registration Statement (the “Carryover Shares”). The Carryover Shares were previously subject to awards granted under the 2001 Plan, which awards have been cancelled or expired. Under the terms of the Registrant’s 2006 Stock Incentive Plan (the “2006 Plan”), the Carryover Shares became automatically available for issuance under the 2006 Plan and, as a result, may not be used for awards under the 2001 Plan. The Carryover Shares are being transferred to a new registration statement on Form S-8 registering additional shares of the Registrant’s common stock that may be issued pursuant to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Rule 478 under the Securities Act, the registrant has duly caused this post-effective amendment to the registration statement to be signed on its behalf by the undersigned, thereunto duly authorized, in Norwood, Massachusetts, on this 19th day of December, 2008.</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Jerald G. Fishman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380"/>
      </w:cols>
      <w:pgMar w:left="240" w:top="95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2019-12-11T10:22:17Z</dcterms:created>
  <dcterms:modified xsi:type="dcterms:W3CDTF">2019-12-11T10:22:17Z</dcterms:modified>
</cp:coreProperties>
</file>