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February 2, 2013</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204"/>
        </w:trPr>
        <w:tc>
          <w:tcPr>
            <w:tcW w:w="5360" w:type="dxa"/>
            <w:vAlign w:val="bottom"/>
            <w:gridSpan w:val="2"/>
          </w:tcPr>
          <w:p>
            <w:pPr>
              <w:ind w:left="304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b w:val="1"/>
                <w:bCs w:val="1"/>
                <w:color w:val="auto"/>
                <w:w w:val="82"/>
              </w:rPr>
              <w:t>to</w:t>
            </w:r>
          </w:p>
        </w:tc>
        <w:tc>
          <w:tcPr>
            <w:tcW w:w="58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92"/>
        </w:trPr>
        <w:tc>
          <w:tcPr>
            <w:tcW w:w="9320" w:type="dxa"/>
            <w:vAlign w:val="bottom"/>
            <w:gridSpan w:val="7"/>
          </w:tcPr>
          <w:p>
            <w:pPr>
              <w:jc w:val="center"/>
              <w:ind w:left="28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7"/>
          </w:tcPr>
          <w:p>
            <w:pPr>
              <w:jc w:val="center"/>
              <w:ind w:left="26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86"/>
              </w:rPr>
              <w:t>Massachusetts</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40" w:type="dxa"/>
            <w:vAlign w:val="bottom"/>
            <w:gridSpan w:val="3"/>
          </w:tcPr>
          <w:p>
            <w:pPr>
              <w:jc w:val="center"/>
              <w:ind w:right="24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0"/>
              </w:rPr>
              <w:t>One Technology Way, Norwood, MA</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40" w:type="dxa"/>
            <w:vAlign w:val="bottom"/>
            <w:gridSpan w:val="3"/>
          </w:tcPr>
          <w:p>
            <w:pPr>
              <w:jc w:val="center"/>
              <w:ind w:right="246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940" w:type="dxa"/>
            <w:vAlign w:val="bottom"/>
            <w:gridSpan w:val="3"/>
          </w:tcPr>
          <w:p>
            <w:pPr>
              <w:jc w:val="center"/>
              <w:ind w:left="3685"/>
              <w:spacing w:after="0"/>
              <w:rPr>
                <w:sz w:val="20"/>
                <w:szCs w:val="20"/>
                <w:color w:val="auto"/>
              </w:rPr>
            </w:pPr>
            <w:r>
              <w:rPr>
                <w:rFonts w:ascii="Arial" w:cs="Arial" w:eastAsia="Arial" w:hAnsi="Arial"/>
                <w:sz w:val="18"/>
                <w:szCs w:val="18"/>
                <w:b w:val="1"/>
                <w:bCs w:val="1"/>
                <w:color w:val="auto"/>
                <w:w w:val="90"/>
              </w:rPr>
              <w:t>(781) 329-4700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7" w:right="419" w:bottom="1440" w:gutter="0" w:footer="0" w:header="0"/>
          <w:type w:val="continuous"/>
        </w:sect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February 2, 2013 there were 305,984,586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834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February 4, 2012</w:t>
            </w:r>
          </w:p>
        </w:tc>
        <w:tc>
          <w:tcPr>
            <w:tcW w:w="0" w:type="dxa"/>
            <w:vAlign w:val="bottom"/>
          </w:tcPr>
          <w:p>
            <w:pPr>
              <w:spacing w:after="0"/>
              <w:rPr>
                <w:sz w:val="1"/>
                <w:szCs w:val="1"/>
                <w:color w:val="auto"/>
              </w:rPr>
            </w:pPr>
          </w:p>
        </w:tc>
      </w:tr>
      <w:tr>
        <w:trPr>
          <w:trHeight w:val="250"/>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Revenue</w:t>
            </w:r>
          </w:p>
        </w:tc>
        <w:tc>
          <w:tcPr>
            <w:tcW w:w="76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of sales (1)</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231,850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238,668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409,390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124,378</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 (1)</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97,560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99,045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charge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236,795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226,018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180,086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303,484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297,788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305,531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7"/>
        </w:trPr>
        <w:tc>
          <w:tcPr>
            <w:tcW w:w="700" w:type="dxa"/>
            <w:vAlign w:val="bottom"/>
            <w:tcBorders>
              <w:bottom w:val="single" w:sz="8" w:color="CCEEFF"/>
            </w:tcBorders>
          </w:tcPr>
          <w:p>
            <w:pPr>
              <w:spacing w:after="0"/>
              <w:rPr>
                <w:sz w:val="5"/>
                <w:szCs w:val="5"/>
                <w:color w:val="auto"/>
              </w:rPr>
            </w:pPr>
          </w:p>
        </w:tc>
        <w:tc>
          <w:tcPr>
            <w:tcW w:w="76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440"/>
              <w:spacing w:after="0"/>
              <w:rPr>
                <w:sz w:val="20"/>
                <w:szCs w:val="20"/>
                <w:color w:val="auto"/>
              </w:rPr>
            </w:pPr>
            <w:r>
              <w:rPr>
                <w:rFonts w:ascii="Arial" w:cs="Arial" w:eastAsia="Arial" w:hAnsi="Arial"/>
                <w:sz w:val="18"/>
                <w:szCs w:val="18"/>
                <w:color w:val="auto"/>
              </w:rPr>
              <w:t>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7640" w:type="dxa"/>
            <w:vAlign w:val="bottom"/>
          </w:tcPr>
          <w:p>
            <w:pPr>
              <w:ind w:left="44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February 4, 2012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131,222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139,382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Change in unrealized holding gains (net of taxes of $46 and $206, respectively) on securities classified as short-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term investments</w:t>
            </w:r>
          </w:p>
        </w:tc>
        <w:tc>
          <w:tcPr>
            <w:tcW w:w="1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1,147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Change in unrealized holding gains (net of taxes of $0 and $98, respectively) on securities classified as other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5"/>
              </w:rPr>
              <w:t>Change in unrealized gains (losses) (net of taxes of $528 and $829, respectively) on derivative instruments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designated as cash flow hedges</w:t>
            </w:r>
          </w:p>
        </w:tc>
        <w:tc>
          <w:tcPr>
            <w:tcW w:w="1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Changes in pension plans including prior service cost, transition obligation, net actuarial loss and foreign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Other comprehensive gain (loss)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131,921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134,133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60" w:type="dxa"/>
            <w:vAlign w:val="bottom"/>
          </w:tcPr>
          <w:p>
            <w:pPr>
              <w:spacing w:after="0"/>
              <w:rPr>
                <w:sz w:val="16"/>
                <w:szCs w:val="16"/>
                <w:color w:val="auto"/>
              </w:rPr>
            </w:pPr>
          </w:p>
        </w:tc>
        <w:tc>
          <w:tcPr>
            <w:tcW w:w="132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795,797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528,833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3,371,545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329,578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339,881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28,111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185,773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99,839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84,019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90,335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43,244</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4,696,185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1,693,388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1,681,661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48,630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1,752,800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1,727,284</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500,867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28,426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284,367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283,833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43,531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36,917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411,442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423,295</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5,620,347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960" w:firstLine="332"/>
        <w:spacing w:after="0" w:line="465"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$2,381 and $2,517 related to stock-based compensation at February 2, 2013 and November 3, 2012, respectively. See accompanying notes.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60" w:type="dxa"/>
            <w:vAlign w:val="bottom"/>
          </w:tcPr>
          <w:p>
            <w:pPr>
              <w:spacing w:after="0"/>
              <w:rPr>
                <w:sz w:val="16"/>
                <w:szCs w:val="16"/>
                <w:color w:val="auto"/>
              </w:rPr>
            </w:pPr>
          </w:p>
        </w:tc>
        <w:tc>
          <w:tcPr>
            <w:tcW w:w="132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113,879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117,034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on shipments to distributors,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6,097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123,061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148,907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759,672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807,098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28,426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93,255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884,476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929,909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Common stock, $0.16 2/3 par value, 1,200,000,000 shares authorized, 305,984,586 shares issued and outstanding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(301,389,176 on November 3, 2012)</w:t>
            </w:r>
          </w:p>
        </w:tc>
        <w:tc>
          <w:tcPr>
            <w:tcW w:w="1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50,998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50,233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3,829,412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3,788,869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(64,394)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4,323,797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4,165,359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5,716,808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5,620,347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Arial" w:cs="Arial" w:eastAsia="Arial" w:hAnsi="Arial"/>
                <w:sz w:val="14"/>
                <w:szCs w:val="14"/>
                <w:b w:val="1"/>
                <w:bCs w:val="1"/>
                <w:color w:val="auto"/>
                <w:w w:val="99"/>
              </w:rPr>
              <w:t>February 4, 2012</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131,222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139,382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28,243</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13,332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3,623</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activity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31,545</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75,438</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214,820</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short-term available-for-sale investments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(1,653,593)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(2,192,874)</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of short-term available-for-sale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1,659,792</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Sales of short-term available-for-sale investments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283,164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151,841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(25,289)</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(Increase) decrease in 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for)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(406,203)</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Dividend payments to shareholders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(74,416)</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48,858</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(Decrease) increase in other financing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benefit-stock options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Net cash used for financing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(114,703)</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266,964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(307,658)</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528,833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1,405,100</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795,797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1,097,442</w:t>
            </w: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2012 and related notes. The results of operations for the interim periods shown in this report are not necessarily indicative of the results that may be expected for the fiscal year ending November 2, 2013 or any future period.</w:t>
      </w:r>
    </w:p>
    <w:p>
      <w:pPr>
        <w:spacing w:after="0" w:line="10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Certain amounts reported in previous years have been reclassified to conform to the fiscal 2013 presentation. Such reclassified amounts are immaterial. The Company has a 52-53 week fiscal year that ends on the Saturday closest to the last day in October. Fiscal 2013 is a 52-week fiscal year and fiscal 2012 was a 53-week fiscal year. The additional week in fiscal 2012 was included in the first quarter ended February 4, 2012. Therefore, the first three months of fiscal 2012 included an additional week of operations as compared to the first three months of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18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t>Company continuously monitors the level and nature of product returns and is in frequent contact with the distributors to ensure reserves are established for all known material issues.</w:t>
      </w:r>
    </w:p>
    <w:p>
      <w:pPr>
        <w:spacing w:after="0" w:line="11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As of February 2, 2013 and November 3, 2012, the Company had gross deferred revenue of $302.4 million and $299.0 million, respectively, and gross deferred cost of sales of $59.0 million and $60.5 million, respectively. Deferred income on shipments to distributors increased in the first three months of fiscal 2013 primarily as a result of a mix shift in favor of higher margin products sold through the channel.</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defective products. Specific accruals are recorded for known product warranty issues. Product warranty expenses during the three-month periods ended February 2, 2013 and February 4, 2012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i w:val="1"/>
          <w:iCs w:val="1"/>
          <w:color w:val="auto"/>
        </w:rPr>
        <w:t xml:space="preserve">Grant-Date Fair Value </w:t>
      </w:r>
      <w:r>
        <w:rPr>
          <w:rFonts w:ascii="Arial" w:cs="Arial" w:eastAsia="Arial" w:hAnsi="Arial"/>
          <w:sz w:val="16"/>
          <w:szCs w:val="16"/>
          <w:color w:val="auto"/>
        </w:rPr>
        <w:t>– The Company uses the Black-Scholes valuation model to calculate the grant-date fair value of stock option awards.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models requires the Company to make estimates and assumptions such as expected volatility, expected term, risk-free interest rate, expected dividend yield and forfeiture rates. The grant-date fair value of restricted stock units represents the value of the Company’s common stock on the date of grant, reduced by the present value of dividends expected to be paid on the Company’s common stock prior to vesting.</w:t>
      </w:r>
    </w:p>
    <w:p>
      <w:pPr>
        <w:spacing w:after="0" w:line="10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three-month periods ended February 2, 2013 and February 4,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Three Months Ended</w:t>
            </w: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February 2, 2013</w:t>
            </w:r>
          </w:p>
        </w:tc>
        <w:tc>
          <w:tcPr>
            <w:tcW w:w="1540" w:type="dxa"/>
            <w:vAlign w:val="bottom"/>
          </w:tcPr>
          <w:p>
            <w:pPr>
              <w:jc w:val="right"/>
              <w:ind w:right="152"/>
              <w:spacing w:after="0"/>
              <w:rPr>
                <w:sz w:val="20"/>
                <w:szCs w:val="20"/>
                <w:color w:val="auto"/>
              </w:rPr>
            </w:pPr>
            <w:r>
              <w:rPr>
                <w:rFonts w:ascii="Arial" w:cs="Arial" w:eastAsia="Arial" w:hAnsi="Arial"/>
                <w:sz w:val="14"/>
                <w:szCs w:val="14"/>
                <w:b w:val="1"/>
                <w:bCs w:val="1"/>
                <w:color w:val="auto"/>
              </w:rPr>
              <w:t>February 4,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$36.99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7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February 2, 2013.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three-month period ended February 2, 2013, the Company had a sufficient APIC pool to cover any tax deficiencies recorded and as a result, these deficiencies did not affect its results of operations. During the three-month period ended February 4, 2012, the Company recognized $1.8 million of income tax expense resulting from tax shortfalls related to share-based compensation in its condensed consolidated statements of income.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February 2, 2013 and changes during the three-month period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February 2, 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November 3, 2012</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26,453</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$31.73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$39.98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$28.90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$32.88</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February 2, 2013</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22,430</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$32.24</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$279,994</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February 2, 2013</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17,198</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$31.63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$225,390</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February 2, 2013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22,050</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$276,865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70" w:lineRule="exact"/>
        <w:rPr>
          <w:sz w:val="20"/>
          <w:szCs w:val="20"/>
          <w:color w:val="auto"/>
        </w:rPr>
      </w:pPr>
    </w:p>
    <w:p>
      <w:pPr>
        <w:ind w:left="60" w:right="60"/>
        <w:spacing w:after="0" w:line="273" w:lineRule="auto"/>
        <w:rPr>
          <w:sz w:val="20"/>
          <w:szCs w:val="20"/>
          <w:color w:val="auto"/>
        </w:rPr>
      </w:pPr>
      <w:r>
        <w:rPr>
          <w:rFonts w:ascii="Arial" w:cs="Arial" w:eastAsia="Arial" w:hAnsi="Arial"/>
          <w:sz w:val="17"/>
          <w:szCs w:val="17"/>
          <w:color w:val="auto"/>
        </w:rPr>
        <w:t>During the three months ended February 2, 2013 and February 4, 2012, the total intrinsic value of options exercised (i.e. the difference between the market price at exercise and the price paid by the employee to exercise the options) was $52.0 million and $24.9 million, respectively, and the total amount of proceeds received by the Company from exercise of these options was $113.8 million and $48.9 million, respectively. The proceeds received include the value of shares surrendered by employees in certain limited circumstances to satisfy the exercise price of options and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12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February 2, 2013 and changes during the three-month period then ended is presented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February 2, 2013</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3, 2012</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February 2,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1,995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As of February 2, 2013, there was $76.1 million of total unrecognized compensation cost related to unvested share-based awards comprised of stock options and restricted stock units. That cost is expected to be recognized over a weighted-average period of 1.4 years. The total grant-date fair value of shares that vested during the three months ended February 2, 2013 and February 4, 2012 was approximately $50.2 million and $25.0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Accumulated Other Comprehensive Income (Loss)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components of accumulated other comprehensive loss at February 2, 2013 and November 3, 2012 consisted of the following, net of tax:</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1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1,165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(64,394)</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aggregate fair value of investments with unrealized losses as of February 2, 2013 and November 3, 2012 was $1,108.4 million and $1,214.1 million, respectively. These unrealized losses were primarily related to commercial paper that earns lower interest rates than current market rates. None of these investments have been in a loss position for more than twelve months.</w:t>
      </w:r>
    </w:p>
    <w:p>
      <w:pPr>
        <w:spacing w:after="0" w:line="12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Unrealized gains and losses on available-for-sale securities classified as short-term investments at February 2, 2013 and November 3,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February 4, 2012</w:t>
            </w:r>
          </w:p>
        </w:tc>
        <w:tc>
          <w:tcPr>
            <w:tcW w:w="0" w:type="dxa"/>
            <w:vAlign w:val="bottom"/>
          </w:tcPr>
          <w:p>
            <w:pPr>
              <w:spacing w:after="0"/>
              <w:rPr>
                <w:sz w:val="1"/>
                <w:szCs w:val="1"/>
                <w:color w:val="auto"/>
              </w:rPr>
            </w:pPr>
          </w:p>
        </w:tc>
      </w:tr>
      <w:tr>
        <w:trPr>
          <w:trHeight w:val="275"/>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139,382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303,484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310,275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305,531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3, 2012 to February 2, 2013 of the employee separation and exit cost accruals established related to these actions.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7"/>
              </w:rPr>
              <w:t>Reduction of Operating Costs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gridSpan w:val="4"/>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2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43"/>
        </w:trPr>
        <w:tc>
          <w:tcPr>
            <w:tcW w:w="4160" w:type="dxa"/>
            <w:vAlign w:val="bottom"/>
            <w:gridSpan w:val="4"/>
          </w:tcPr>
          <w:p>
            <w:pPr>
              <w:ind w:left="40"/>
              <w:spacing w:after="0"/>
              <w:rPr>
                <w:sz w:val="20"/>
                <w:szCs w:val="20"/>
                <w:color w:val="auto"/>
              </w:rPr>
            </w:pPr>
            <w:r>
              <w:rPr>
                <w:rFonts w:ascii="Arial" w:cs="Arial" w:eastAsia="Arial" w:hAnsi="Arial"/>
                <w:sz w:val="18"/>
                <w:szCs w:val="18"/>
                <w:color w:val="auto"/>
              </w:rPr>
              <w:t>Facility closure costs</w:t>
            </w:r>
          </w:p>
        </w:tc>
        <w:tc>
          <w:tcPr>
            <w:tcW w:w="1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1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gridSpan w:val="4"/>
          </w:tcPr>
          <w:p>
            <w:pPr>
              <w:ind w:left="40"/>
              <w:spacing w:after="0"/>
              <w:rPr>
                <w:sz w:val="20"/>
                <w:szCs w:val="20"/>
                <w:color w:val="auto"/>
              </w:rPr>
            </w:pPr>
            <w:r>
              <w:rPr>
                <w:rFonts w:ascii="Arial" w:cs="Arial" w:eastAsia="Arial" w:hAnsi="Arial"/>
                <w:sz w:val="18"/>
                <w:szCs w:val="18"/>
                <w:color w:val="auto"/>
              </w:rPr>
              <w:t>Other items</w:t>
            </w:r>
          </w:p>
        </w:tc>
        <w:tc>
          <w:tcPr>
            <w:tcW w:w="1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2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1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58"/>
        </w:trPr>
        <w:tc>
          <w:tcPr>
            <w:tcW w:w="4160" w:type="dxa"/>
            <w:vAlign w:val="bottom"/>
            <w:gridSpan w:val="4"/>
            <w:vMerge w:val="continue"/>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3, 2012</w:t>
            </w:r>
          </w:p>
        </w:tc>
        <w:tc>
          <w:tcPr>
            <w:tcW w:w="1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43"/>
        </w:trPr>
        <w:tc>
          <w:tcPr>
            <w:tcW w:w="4160" w:type="dxa"/>
            <w:vAlign w:val="bottom"/>
            <w:gridSpan w:val="4"/>
          </w:tcPr>
          <w:p>
            <w:pPr>
              <w:ind w:left="40"/>
              <w:spacing w:after="0"/>
              <w:rPr>
                <w:sz w:val="20"/>
                <w:szCs w:val="20"/>
                <w:color w:val="auto"/>
              </w:rPr>
            </w:pPr>
            <w:r>
              <w:rPr>
                <w:rFonts w:ascii="Arial" w:cs="Arial" w:eastAsia="Arial" w:hAnsi="Arial"/>
                <w:sz w:val="18"/>
                <w:szCs w:val="18"/>
                <w:color w:val="auto"/>
              </w:rPr>
              <w:t>First quarter 2013 special charge</w:t>
            </w:r>
          </w:p>
        </w:tc>
        <w:tc>
          <w:tcPr>
            <w:tcW w:w="1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1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4160" w:type="dxa"/>
            <w:vAlign w:val="bottom"/>
            <w:gridSpan w:val="4"/>
          </w:tcPr>
          <w:p>
            <w:pPr>
              <w:ind w:left="40"/>
              <w:spacing w:after="0"/>
              <w:rPr>
                <w:sz w:val="20"/>
                <w:szCs w:val="20"/>
                <w:color w:val="auto"/>
              </w:rPr>
            </w:pPr>
            <w:r>
              <w:rPr>
                <w:rFonts w:ascii="Arial" w:cs="Arial" w:eastAsia="Arial" w:hAnsi="Arial"/>
                <w:sz w:val="18"/>
                <w:szCs w:val="18"/>
                <w:color w:val="auto"/>
              </w:rPr>
              <w:t>Effect of foreign currency on accrual</w:t>
            </w:r>
          </w:p>
        </w:tc>
        <w:tc>
          <w:tcPr>
            <w:tcW w:w="1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 2013</w:t>
            </w:r>
          </w:p>
        </w:tc>
        <w:tc>
          <w:tcPr>
            <w:tcW w:w="1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fiscal 2010 through fiscal 2012, the Company recorded special charges of approximately $22.1 million. These special charges included: $21.1 million for severance and fringe benefit costs in accordance with its ongoing benefit plan or statutory requirements at foreign locations for 269 manufacturing, engineering and selling, marketing, general and administrative (SMG&amp;A) employees; $0.2 million for lease obligation costs for facilities that the Company ceased using during the third quarter of fiscal 2012; $0.1 million for contract termination costs; $0.2 million for the write-off of property, plant and equipment; and $0.5 million related to the impairment of intellectual property. The Company terminated the employment of all employees associated with these actions.</w:t>
      </w:r>
    </w:p>
    <w:p>
      <w:pPr>
        <w:spacing w:after="0" w:line="5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During the first quarter of fiscal 2013, the Company recorded a special charge of approximately $14.1 million for severance and fringe benefit costs in accordance with its ongoing benefit plan or statutory requirements at foreign locations for 137 manufacturing, engineering and SMG&amp;A employees. As of February 2, 2013, the Company employed 19 of the 137 employees included in this cost reduction action. These employees must continue to be employed by the Company until their employment is involuntarily terminated in order to receive the severance benefit.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February 2, 2013</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February 4, 2012</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282,654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290,660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107,581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120,588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106,929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114,261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124,970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122,549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648,058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February 2, 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February 4, 2012</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4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285,135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157,853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164,454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95,693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96,238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531,183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545,827</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39,460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44,865</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570,643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590,692</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57,366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648,058</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8890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8890</wp:posOffset>
            </wp:positionV>
            <wp:extent cx="1818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-130175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-130175</wp:posOffset>
            </wp:positionV>
            <wp:extent cx="1818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Revenue by geographic region, based on the primary location of the Company's customers’ design activity for its products, for the three-month periods ended February 2, 2013 and February 4, 2012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February 4,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196,527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31,873</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206,098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64,688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80,339</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75,576</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57,645</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622,134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648,058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the three-month periods ended February 2, 2013 and February 4,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February 2, 2013 and November 3, 2012. The tables exclude cash on hand and assets and liabilities that are measured at historical cost or any basis other than fair value. As of February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t>2013 and November 3, 2012, the Company held $53.5 million and $38.9 million, respectively, of cash and held-to-maturity investments that were excluded from the tables below.</w:t>
      </w:r>
    </w:p>
    <w:p>
      <w:pPr>
        <w:spacing w:after="0" w:line="108"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February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109,407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109,407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632,856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632,856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2,734,473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2,734,473</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124,103</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28,962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28,962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138,369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3,830,437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3,968,806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February 2, 2013 was $3,351.4 million.</w:t>
      </w:r>
    </w:p>
    <w:p>
      <w:pPr>
        <w:spacing w:after="0" w:line="23"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February 2, 2013, contracts in a liability position of $0.9 million were netted against contracts in an asset position in the Company's condensed consolidated balance sheet.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ind w:left="7740"/>
        <w:spacing w:after="0"/>
        <w:rPr>
          <w:sz w:val="20"/>
          <w:szCs w:val="20"/>
          <w:color w:val="auto"/>
        </w:rPr>
      </w:pPr>
      <w:r>
        <w:rPr>
          <w:rFonts w:ascii="Arial" w:cs="Arial" w:eastAsia="Arial" w:hAnsi="Arial"/>
          <w:sz w:val="14"/>
          <w:szCs w:val="14"/>
          <w:b w:val="1"/>
          <w:bCs w:val="1"/>
          <w:color w:val="auto"/>
        </w:rPr>
        <w:t>November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143,876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143,876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2,818,798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2,818,798</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280,065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28,480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3,718,640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3,890,996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2012 was $3,327.5 million.</w:t>
      </w:r>
    </w:p>
    <w:p>
      <w:pPr>
        <w:spacing w:after="0" w:line="23" w:lineRule="exact"/>
        <w:rPr>
          <w:rFonts w:ascii="Arial" w:cs="Arial" w:eastAsia="Arial" w:hAnsi="Arial"/>
          <w:sz w:val="18"/>
          <w:szCs w:val="18"/>
          <w:color w:val="auto"/>
        </w:rPr>
      </w:pPr>
    </w:p>
    <w:p>
      <w:pPr>
        <w:ind w:left="660" w:right="4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November 3, 2012, contracts in a liability position of $1.9 million were netted against contracts in an asset position in the Company's condensed consolidated balance sheet.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third-party banks.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5" w:name="page16"/>
    <w:bookmarkEnd w:id="15"/>
    <w:p>
      <w:pPr>
        <w:ind w:right="220"/>
        <w:spacing w:after="0" w:line="264" w:lineRule="auto"/>
        <w:rPr>
          <w:sz w:val="20"/>
          <w:szCs w:val="20"/>
          <w:color w:val="auto"/>
        </w:rPr>
      </w:pPr>
      <w:r>
        <w:rPr>
          <w:rFonts w:ascii="Arial" w:cs="Arial" w:eastAsia="Arial" w:hAnsi="Arial"/>
          <w:sz w:val="18"/>
          <w:szCs w:val="18"/>
          <w:color w:val="auto"/>
        </w:rPr>
        <w:t>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40" w:type="dxa"/>
            <w:vAlign w:val="bottom"/>
            <w:gridSpan w:val="3"/>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 - 10%</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1 - 17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November 3, 2012 and February 2,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12,219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130</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February 2,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8,349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Company's condensed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June 30, 2009, the Company issued $375.0 million aggregate principal amount of 5.0% senior unsecured notes due July 1, 2014 (the 5.0% Notes) with semi-annual fixed interest payments due on January 1 and July 1 of each year, commencing January 1, 2010. Based on quotes received from third-party banks, the fair value of the 5.0% Notes as of February 2, 2013 and November 3, 2012 was $397.9 million and $402.5 million, respectively and is classified as a Level 1 measurement according to the fair value hierarchy.</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February 2, 2013 and November 3, 2012 was $397.2 million and $402.3 million, respectively and is classified as a Level 1 measurement according to the fair value hierarchy.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spacing w:after="0" w:line="269" w:lineRule="auto"/>
        <w:rPr>
          <w:sz w:val="20"/>
          <w:szCs w:val="20"/>
          <w:color w:val="auto"/>
        </w:rPr>
      </w:pPr>
      <w:r>
        <w:rPr>
          <w:rFonts w:ascii="Arial" w:cs="Arial" w:eastAsia="Arial" w:hAnsi="Arial"/>
          <w:sz w:val="17"/>
          <w:szCs w:val="17"/>
          <w:color w:val="auto"/>
        </w:rPr>
        <w:t>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6" w:name="page17"/>
    <w:bookmarkEnd w:id="16"/>
    <w:p>
      <w:pPr>
        <w:ind w:right="60"/>
        <w:spacing w:after="0" w:line="271" w:lineRule="auto"/>
        <w:rPr>
          <w:sz w:val="20"/>
          <w:szCs w:val="20"/>
          <w:color w:val="auto"/>
        </w:rPr>
      </w:pPr>
      <w:r>
        <w:rPr>
          <w:rFonts w:ascii="Arial" w:cs="Arial" w:eastAsia="Arial" w:hAnsi="Arial"/>
          <w:sz w:val="17"/>
          <w:szCs w:val="17"/>
          <w:color w:val="auto"/>
        </w:rPr>
        <w:t>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February 2, 2013 and November 3, 2012, the total notional amount of these undesignated hedges was $34.0 million and $31.5 million, respectively. The fair value of these hedging instruments in the Company’s condensed consolidated balance sheets as of February 2, 2013 and November 3, 2012 was immaterial.</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w:t>
      </w:r>
    </w:p>
    <w:p>
      <w:pPr>
        <w:spacing w:after="0" w:line="3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5.0% senior unsecured notes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w:t>
      </w:r>
    </w:p>
    <w:p>
      <w:pPr>
        <w:spacing w:after="0" w:line="2" w:lineRule="exact"/>
        <w:rPr>
          <w:sz w:val="20"/>
          <w:szCs w:val="20"/>
          <w:color w:val="auto"/>
        </w:rPr>
      </w:pPr>
    </w:p>
    <w:p>
      <w:pPr>
        <w:ind w:right="20" w:firstLine="8"/>
        <w:spacing w:after="0" w:line="269"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pay on the $375.0 million notional amount an annual three months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three-month period ended February 4, 2012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February 4, 2012</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income classification</w:t>
            </w:r>
          </w:p>
        </w:tc>
        <w:tc>
          <w:tcPr>
            <w:tcW w:w="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 on Swaps</w:t>
            </w: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Gain on Note</w:t>
            </w:r>
          </w:p>
        </w:tc>
        <w:tc>
          <w:tcPr>
            <w:tcW w:w="20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4"/>
                <w:szCs w:val="14"/>
                <w:b w:val="1"/>
                <w:bCs w:val="1"/>
                <w:color w:val="auto"/>
              </w:rPr>
              <w:t>Net Income Effect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32"/>
        <w:spacing w:after="0" w:line="289" w:lineRule="auto"/>
        <w:rPr>
          <w:sz w:val="20"/>
          <w:szCs w:val="20"/>
          <w:color w:val="auto"/>
        </w:rPr>
      </w:pPr>
      <w:r>
        <w:rPr>
          <w:rFonts w:ascii="Arial" w:cs="Arial" w:eastAsia="Arial" w:hAnsi="Arial"/>
          <w:sz w:val="16"/>
          <w:szCs w:val="16"/>
          <w:color w:val="auto"/>
        </w:rPr>
        <w:t>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Company's condensed consolidated statements of cash flows within operating activities. During fiscal year 2012, $5.3 million was amortized into earnings as a reduction of interest expense related to the swap termination. During the first three months of fiscal 2013, $2.0 million was amortized into earnings as a reduction of interest expense related to the swap termination.</w:t>
      </w:r>
    </w:p>
    <w:p>
      <w:pPr>
        <w:spacing w:after="0" w:line="11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February 2, 2013,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jc w:val="both"/>
        <w:ind w:right="380" w:firstLine="432"/>
        <w:spacing w:after="0" w:line="312" w:lineRule="auto"/>
        <w:rPr>
          <w:sz w:val="20"/>
          <w:szCs w:val="20"/>
          <w:color w:val="auto"/>
        </w:rPr>
      </w:pPr>
      <w:r>
        <w:rPr>
          <w:rFonts w:ascii="Arial" w:cs="Arial" w:eastAsia="Arial" w:hAnsi="Arial"/>
          <w:sz w:val="16"/>
          <w:szCs w:val="16"/>
          <w:color w:val="auto"/>
        </w:rPr>
        <w:t>The total notional amounts of derivative instruments designated as hedging instruments of cash flow hedges denominated in Euros, British Pounds, Philippine Pesos and Japanese Yen as of February 2, 2013 and November 3, 2012 was $157.9 million and $151.8 million, respectively. The fair values of these hedging instruments in the Company’s condensed consolidated balance sheets as of February 2, 2013 and November 3, 2012 were as follows:</w:t>
      </w:r>
    </w:p>
    <w:p>
      <w:pPr>
        <w:spacing w:after="0" w:line="15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Fair Value At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0" w:type="dxa"/>
            <w:vAlign w:val="bottom"/>
            <w:tcBorders>
              <w:top w:val="single" w:sz="8" w:color="CCEEFF"/>
            </w:tcBorders>
            <w:shd w:val="clear" w:color="auto" w:fill="CCEEFF"/>
          </w:tcPr>
          <w:p>
            <w:pPr>
              <w:spacing w:after="0"/>
              <w:rPr>
                <w:sz w:val="23"/>
                <w:szCs w:val="23"/>
                <w:color w:val="auto"/>
              </w:rPr>
            </w:pPr>
          </w:p>
        </w:tc>
        <w:tc>
          <w:tcPr>
            <w:tcW w:w="3440" w:type="dxa"/>
            <w:vAlign w:val="bottom"/>
            <w:tcBorders>
              <w:top w:val="single" w:sz="8" w:color="CCEEFF"/>
              <w:bottom w:val="single" w:sz="8" w:color="auto"/>
            </w:tcBorders>
            <w:shd w:val="clear" w:color="auto" w:fill="CCEEFF"/>
          </w:tcPr>
          <w:p>
            <w:pPr>
              <w:ind w:left="10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February 2, 2013</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4"/>
                <w:szCs w:val="14"/>
                <w:b w:val="1"/>
                <w:bCs w:val="1"/>
                <w:color w:val="auto"/>
                <w:w w:val="94"/>
              </w:rPr>
              <w:t>November 3, 2012</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1,161</w:t>
            </w:r>
          </w:p>
        </w:tc>
      </w:tr>
    </w:tbl>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effect of derivative instruments designated as cash flow hedges on the Company's condensed consolidated statements of income for the three-month periods ended February 2, 2013 and February 4, 2012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February 4,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recognized in OCI on derivatives (net of tax of $760 in 2013 and $1,123 in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loss reclassified from OCI into income (net of tax of $232 in 2013 and $294 in 2012)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2,030</w:t>
            </w:r>
          </w:p>
        </w:tc>
      </w:tr>
    </w:tbl>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for the three-month periods ended February 2, 2013 and February 4, 2012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February 4,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623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three-month periods ended February 2, 2013 and February 4,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4) or more frequently if indicators of impairment exist. For the Company’s latest annual impairment assessment that occurred on August 5, 2012,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performed as of the first day of the fourth quarter of fiscal 2013, unless indicators arise that would require the Company to reevaluate at an earlier date. The following table presents the changes in goodwill during the first three months of fiscal 2013: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February 2, 2013</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5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283,833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7"/>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5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284,367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February 2, 2013 and November 3, 2012, the Company’s finite-lived intangible assets consisted of the following which related to the acquisition of Multigig, Inc. (Note 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February 2, 2013</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November 3, 2012</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20" w:type="dxa"/>
            <w:vAlign w:val="bottom"/>
          </w:tcPr>
          <w:p>
            <w:pPr>
              <w:ind w:left="4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40" w:type="dxa"/>
            <w:vAlign w:val="bottom"/>
          </w:tcPr>
          <w:p>
            <w:pPr>
              <w:spacing w:after="0"/>
              <w:rPr>
                <w:sz w:val="13"/>
                <w:szCs w:val="13"/>
                <w:color w:val="auto"/>
              </w:rPr>
            </w:pPr>
          </w:p>
        </w:tc>
        <w:tc>
          <w:tcPr>
            <w:tcW w:w="13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64"/>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183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128</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Amortization expense related to finite-lived intangible assets was $0.1 million for the three-month period ended February 2, 2013. There was no amortization expense related to finite-lived intangible assets for the three-month period ended February 4, 2012. The remaining amortization expense will be recognized over a weighted-average period of approximately 2.2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6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60" w:type="dxa"/>
            <w:vAlign w:val="bottom"/>
            <w:gridSpan w:val="3"/>
            <w:vMerge w:val="restart"/>
          </w:tcPr>
          <w:p>
            <w:pPr>
              <w:ind w:left="40"/>
              <w:spacing w:after="0"/>
              <w:rPr>
                <w:sz w:val="20"/>
                <w:szCs w:val="20"/>
                <w:color w:val="auto"/>
              </w:rPr>
            </w:pPr>
            <w:r>
              <w:rPr>
                <w:rFonts w:ascii="Arial" w:cs="Arial" w:eastAsia="Arial" w:hAnsi="Arial"/>
                <w:sz w:val="18"/>
                <w:szCs w:val="18"/>
                <w:color w:val="auto"/>
              </w:rPr>
              <w:t>Remainder of fiscal 2013</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60" w:type="dxa"/>
            <w:vAlign w:val="bottom"/>
            <w:gridSpan w:val="3"/>
            <w:vMerge w:val="continue"/>
          </w:tcPr>
          <w:p>
            <w:pPr>
              <w:spacing w:after="0"/>
              <w:rPr>
                <w:sz w:val="20"/>
                <w:szCs w:val="20"/>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4) or more frequently if indicators of impairment exist. The impairment test involves the comparison of the fair values of the intangible assets with their carrying values. No impairment of intangible assets resulted from the impairment tests in any of the fiscal years presented.</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Indefinite-lived intangible assets consisted of $27.8 million of IPR&amp;D as of February 2, 2013 and November 3,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2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 2013</w:t>
            </w:r>
          </w:p>
        </w:tc>
        <w:tc>
          <w:tcPr>
            <w:tcW w:w="180" w:type="dxa"/>
            <w:vAlign w:val="bottom"/>
          </w:tcPr>
          <w:p>
            <w:pPr>
              <w:spacing w:after="0"/>
              <w:rPr>
                <w:sz w:val="22"/>
                <w:szCs w:val="22"/>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February 4,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2,764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Pension contributions of $4.4 million were made by the Company during the three months ended February 2, 2013. The Company presently anticipates contributing an additional $12.8 million to fund its defined benefit pension plans in fiscal year 2013 for a total of $17.2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22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As of February 2, 2013, the Company had $3,987.0 million of cash and cash equivalents and short-term investments, of which $1,137.0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February 2, 2013, the Company was compliant with these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2, 2013, the Company was compliant with these covenants. The notes are subordinated to any future secured debt and to the other liabilities of the Company’s subsidiaries.</w:t>
      </w:r>
    </w:p>
    <w:p>
      <w:pPr>
        <w:spacing w:after="0" w:line="12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On June 30, 2009, the Company entered into interest rate swap transactions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 (ii) pay on the $375.0 million notional amount an annual three month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changes in the fair value of the interest rate swaps were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38" w:right="239" w:bottom="1440" w:gutter="0" w:footer="0" w:header="0"/>
        </w:sectPr>
      </w:pPr>
    </w:p>
    <w:bookmarkStart w:id="20" w:name="page21"/>
    <w:bookmarkEnd w:id="20"/>
    <w:p>
      <w:pPr>
        <w:spacing w:after="0" w:line="270" w:lineRule="auto"/>
        <w:rPr>
          <w:sz w:val="20"/>
          <w:szCs w:val="20"/>
          <w:color w:val="auto"/>
        </w:rPr>
      </w:pPr>
      <w:r>
        <w:rPr>
          <w:rFonts w:ascii="Arial" w:cs="Arial" w:eastAsia="Arial" w:hAnsi="Arial"/>
          <w:sz w:val="17"/>
          <w:szCs w:val="17"/>
          <w:color w:val="auto"/>
        </w:rPr>
        <w:t>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the Company's condensed consolidated statements of cash flows within operating activities. During fiscal year 2012, $5.3 million was amortized into earnings as a reduction of interest expense related to the swap termination. During the first three months of fiscal year 2013, $2.0 million was amortized into earnings as a reduction of interest expense related to the swap termination.</w:t>
      </w:r>
    </w:p>
    <w:p>
      <w:pPr>
        <w:spacing w:after="0" w:line="128"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 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13"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February 2, 2013,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Company’s principal payments related to its debt obligations are due as follows: $375.0 million in fiscal year 2014; and $375.0 million in fiscal year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94"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$5.0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February 2, 2013, the Company had repurchased a total of approximately 129.2 million shares of its common stock for approximately $4,439.0 million under this program. An additional $561.0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Acquisitions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46" w:right="25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6"/>
          <w:szCs w:val="16"/>
          <w:color w:val="auto"/>
        </w:rPr>
        <w:t>million subject to an indemnification holdback that is payable within 15 months of the transaction date, which is included in accrued liabilities in the Company's condensed consolidated balance sheet as of February 2, 2013.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third quarter of fiscal 2012, the Company reduced this holdback amount by $0.1 million as a result of indemnification claims.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February 2, 2013, no royalty payments have been made. The Company recognized $0.5 million of acquisition-related costs that were expensed in fiscal 2012, which were included in operating expenses in the Company's condensed consolidated statement of income.</w:t>
      </w:r>
    </w:p>
    <w:p>
      <w:pPr>
        <w:spacing w:after="0" w:line="12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February 2, 2013, the Company had paid $6.0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$8.3 million as of February 2, 2013, of which $5.6 million is included in accrued liabilities and $2.7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February 2, 2013, no royalty payments have been made. The Company recognized $0.2 million of acquisition-related costs that were expensed in fiscal 2011, which were included in operating expenses in the Company's condensed consolidated statement of income.</w:t>
      </w:r>
    </w:p>
    <w:p>
      <w:pPr>
        <w:spacing w:after="0" w:line="12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Multigig and Lyric herein as these acquisitions were not considered material to the Company on either an individual or an aggregate basis. The Company included the results of operations of each acquisition in its condensed consolidated statement of income from the date of each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12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Company's effective tax rate reflects the applicable tax rate in effect in the various tax jurisdictions around the world where its income is earned. The Company's effective tax rate for the first quarter of fiscal 2013 reflects income earned in lower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65" w:right="279" w:bottom="1440" w:gutter="0" w:footer="0" w:header="0"/>
        </w:sectPr>
      </w:pPr>
    </w:p>
    <w:bookmarkStart w:id="22" w:name="page23"/>
    <w:bookmarkEnd w:id="22"/>
    <w:p>
      <w:pPr>
        <w:ind w:right="180"/>
        <w:spacing w:after="0" w:line="264" w:lineRule="auto"/>
        <w:rPr>
          <w:sz w:val="20"/>
          <w:szCs w:val="20"/>
          <w:color w:val="auto"/>
        </w:rPr>
      </w:pPr>
      <w:r>
        <w:rPr>
          <w:rFonts w:ascii="Arial" w:cs="Arial" w:eastAsia="Arial" w:hAnsi="Arial"/>
          <w:sz w:val="18"/>
          <w:szCs w:val="18"/>
          <w:color w:val="auto"/>
        </w:rPr>
        <w:t>tax rate jurisdictions established through an international tax restructuring effective January 1, 2013. In addition, the Company's effective tax rate includes a tax benefit from the reinstatement of the U.S. federal research and development tax credit in January 2013 retroactive to January 1, 2012 which resulted in lowering the Company's effective tax rate by approximately 4%.</w:t>
      </w:r>
    </w:p>
    <w:p>
      <w:pPr>
        <w:spacing w:after="0" w:line="12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has filed a petition with the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U.S. federal tax returns prior to fiscal year 2009 are no longer subject to examination.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tax returns in Ireland prior to fiscal year 2008 are no longer subject to examination.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In June 2011, the Financial Accounting Standards Board (FASB) issued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No. 2011-05). ASU No. 2011-05 amended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to converge the presentation of comprehensive income between U.S. GAAP and IFRS. ASU No. 2011-05 requires that all non-owner 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was effective for fiscal years, and interim periods within those years, beginning after December 15, 2011, which was the Company’s first quarter of fiscal year 2013. The adoption of ASU No. 2011-05 in the first quarter of fiscal 2013 affected the presentation of comprehensive income but did not impact the Company’s financial condition or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(ASU No. 2011-11). ASU No. 2011-11 amended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Subsequently, in January 2013, the FASB issued ASU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clarifies that the scope of ASU No.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will require additional disclosures related to offsetting assets and liabilities but will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 xml:space="preserve">In January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and ASU No. 2011-12, </w:t>
      </w:r>
      <w:r>
        <w:rPr>
          <w:rFonts w:ascii="Arial" w:cs="Arial" w:eastAsia="Arial" w:hAnsi="Arial"/>
          <w:sz w:val="16"/>
          <w:szCs w:val="16"/>
          <w:i w:val="1"/>
          <w:iCs w:val="1"/>
          <w:color w:val="auto"/>
        </w:rPr>
        <w:t>Deferral of the Effective Date for</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Presentation of Reclassifications of Items Out of Accumulated Other Comprehensive Income in Accounting Standards Update No. 2011-05</w:t>
      </w:r>
      <w:r>
        <w:rPr>
          <w:rFonts w:ascii="Arial" w:cs="Arial" w:eastAsia="Arial" w:hAnsi="Arial"/>
          <w:sz w:val="16"/>
          <w:szCs w:val="16"/>
          <w:color w:val="auto"/>
        </w:rPr>
        <w:t>. ASU No. 2013-02 is effective for reporting periods beginning after December 15, 2012, which is the Company's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ind w:right="380"/>
        <w:spacing w:after="0" w:line="277" w:lineRule="auto"/>
        <w:rPr>
          <w:sz w:val="20"/>
          <w:szCs w:val="20"/>
          <w:color w:val="auto"/>
        </w:rPr>
      </w:pPr>
      <w:r>
        <w:rPr>
          <w:rFonts w:ascii="Arial" w:cs="Arial" w:eastAsia="Arial" w:hAnsi="Arial"/>
          <w:sz w:val="18"/>
          <w:szCs w:val="18"/>
          <w:color w:val="auto"/>
        </w:rPr>
        <w:t>second quarter of fiscal year 2013. The adoption of ASU No. 2013-02 in the second quarter of fiscal 2013 will affect the presentation of comprehensive income but will not impact the Company's financial condition or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18, 2013, the Board of Directors of the Company declared a cash dividend of $0.34 per outstanding share of common stock. The dividend will be paid on March 12, 2013 to all shareholders of record at the close of business on March 1, 2013.</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665" w:right="339" w:bottom="1440" w:gutter="0" w:footer="0" w:header="0"/>
        </w:sectPr>
      </w:pPr>
    </w:p>
    <w:bookmarkStart w:id="24" w:name="page25"/>
    <w:bookmarkEnd w:id="24"/>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2012.</w:t>
      </w:r>
    </w:p>
    <w:p>
      <w:pPr>
        <w:spacing w:after="0" w:line="11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“may”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February 2, 2013</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February 4, 2012</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52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$622,134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$648,058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5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$131,222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15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Fiscal 2013 is a 52-week year and fiscal 2012 was a 53-week year. The additional week in fiscal 2012 was included in the first quarter ended February 4, 2012. Therefore, the first three months of fiscal 2012 included an additional week of operations as compared to the first three months of fiscal 2013.</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the first quarter of fiscal 2013, our revenue decreased 4% compared to the first quarter of fiscal 2012. Our diluted earnings per share was $0.42 compared to $0.46 in the first quarter of fiscal 2012. Cash flow from operations was $158.0 million, or 25% of revenue. We received $113.8 million in net proceeds from employee stock option exercises and $180.7 million from the net maturities of available-for-sale short term investments. We distributed $90.7 million to our shareholders in dividend payments, repaid the remaining outstanding principal balance on our $145.0 million term loan facility of $60.1 million and paid $18.3 million for property, plant and equipment additions. These factors contributed to the net increase in cash and cash equivalents of $267.0 million in the first quarter of fiscal 2013.</w:t>
      </w:r>
    </w:p>
    <w:p>
      <w:pPr>
        <w:spacing w:after="0" w:line="13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year-to-year decrease in revenue was primarily attributable to one less week of operations in the first quarter of fiscal 2013 as compared to the first quarter of fiscal 2012. We continue to operate in a weak demand environment as a result of ongoing economic uncertainty. Our customers continued to reduce the inventory levels of our products during the first two months of the first quarter of fiscal 2013. We believe that our variable cost structure and continued efforts to manage production, inventory levels and expenses helped to mitigate the effect that these lower sales levels had on our earnings.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February 2, 2013</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February 4, 2012</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282,654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290,660</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107,581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120,588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106,929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114,261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124,970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122,549</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648,058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year-to-year decrease in end market revenue in the industrial, automotive and consumer end markets in the three-month period ended February 2,</w:t>
      </w:r>
    </w:p>
    <w:p>
      <w:pPr>
        <w:spacing w:after="0" w:line="46"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2013 was primarily due to one less week of operations in the first quarter of fiscal 2013 as compared to the first quarter of fiscal 2012. Additionally, weak market conditions contributed to the decline in the automotive end market. The year-to-year increase in communications end market revenue in the three-month period ended February 2, 2013 was primarily the result of an increase in demand for products sold into the wireless base station end market sector.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February 2, 2013</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February 4, 2012</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34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w:t>
            </w: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40" w:type="dxa"/>
            <w:vAlign w:val="bottom"/>
          </w:tcPr>
          <w:p>
            <w:pPr>
              <w:jc w:val="right"/>
              <w:ind w:right="31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157,853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164,454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95,693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96,238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531,183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545,827</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39,460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44,865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570,643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590,692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57,366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622,134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648,058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8890</wp:posOffset>
            </wp:positionV>
            <wp:extent cx="16897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8890</wp:posOffset>
            </wp:positionV>
            <wp:extent cx="1689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-130175</wp:posOffset>
            </wp:positionV>
            <wp:extent cx="1689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-130175</wp:posOffset>
            </wp:positionV>
            <wp:extent cx="16897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year-to-year decrease in total revenue in the three-month period ended February 2, 2013 was primarily the result of one less week of operations in the first quarter of fiscal 2013 as compared to the first quarter of fiscal 2012. </w:t>
      </w:r>
      <w:r>
        <w:rPr>
          <w:rFonts w:ascii="Arial" w:cs="Arial" w:eastAsia="Arial" w:hAnsi="Arial"/>
          <w:sz w:val="18"/>
          <w:szCs w:val="18"/>
          <w:i w:val="1"/>
          <w:iCs w:val="1"/>
          <w:color w:val="auto"/>
        </w:rPr>
        <w:t>Revenue Trends by Geographic Region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 by geographic region, based upon the primary location of our customers’ design activity for our products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 2013 and February 4, 2012 were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 2013</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4, 2012</w:t>
            </w:r>
          </w:p>
        </w:tc>
        <w:tc>
          <w:tcPr>
            <w:tcW w:w="280" w:type="dxa"/>
            <w:vAlign w:val="bottom"/>
          </w:tcPr>
          <w:p>
            <w:pPr>
              <w:spacing w:after="0"/>
              <w:rPr>
                <w:sz w:val="19"/>
                <w:szCs w:val="19"/>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4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7,744</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23,512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64,688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80,339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(15,651)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9,193</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622,134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648,058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the three-month periods ended February 2, 2013 and February 4,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12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a regional basis Europe and Japan experienced the largest year-over-year sales decline. The decline in sales in Europe was primarily the result of lower demand in the automotive end market. The sales decline in Japan and sales increase in the United States were primarily the result of changes in demand for products used in consumer applications. Sales in China increased primarily as a result of an increase in demand for products sold into the communications end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17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February 4, 2012</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140" w:type="dxa"/>
            <w:vAlign w:val="bottom"/>
          </w:tcPr>
          <w:p>
            <w:pPr>
              <w:jc w:val="right"/>
              <w:ind w:right="422"/>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$390,284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$409,390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(19,106)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6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Gross margin percentage was lower by 50 basis points in the three months ended February 2, 2013, as compared to the three months ended February 4, 2012, primarily as a result of a higher concentration of our revenues from lower margin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4, 2012</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6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$125,164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R&amp;D expenses as a % of 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R&amp;D expenses remained flat compared to the prior year as general increases in operational spending and benefit expenses were partially offset by lower variable compensation expense, which is linked to our overall profitability and revenue growth.</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4, 2012</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36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SMG&amp;A expenses</w:t>
            </w:r>
          </w:p>
        </w:tc>
        <w:tc>
          <w:tcPr>
            <w:tcW w:w="16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$97,560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$99,045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SMG&amp;A expenses as a % of 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SMG&amp;A expenses were down slightly as compared to the prior year primarily as a result of lower variable compensation expense, which is linked to our overall profitability and revenue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fiscal 2010 through fiscal 2012, we recorded special charges of approximately $22.1 million. These special charges included: $21.1 million for severance and fringe benefit costs in accordance with our ongoing benefit plan or statutory requirements at foreign locations for 269 manufacturing, engineering and SMG&amp;A employees; $0.2 million for lease obligation costs for facilities that we ceased using during the third quarter of fiscal 2012; $0.1 million for contract termination costs; $0.2 million for the write-off of property, plant and equipment; and $0.5 million related to the impairment of intellectual property. These actions resulted in annual cost savings of approximately $32.0 million. We have terminated the employment of all employees associated with these actions.</w:t>
      </w:r>
    </w:p>
    <w:p>
      <w:pPr>
        <w:spacing w:after="0" w:line="13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first quarter of fiscal 2013, we recorded a special charge of approximately $14.1 million for severance and fringe benefit costs in accordance with our ongoing benefit plan or statutory requirements at foreign locations for 137 manufacturing, engineering and SMG&amp;A employees. As of February 2, 2013, we employed 19 of the 137 employees included in this cost reduction action. These employees must continue to be employed by us until their employment is involuntarily terminated in order to receive the severance benefit. We estimate this action will result in annual cost savings of approximately $17.0 million once fully implemented.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420" w:type="dxa"/>
            <w:vAlign w:val="bottom"/>
          </w:tcPr>
          <w:p>
            <w:pPr>
              <w:spacing w:after="0"/>
              <w:rPr>
                <w:sz w:val="22"/>
                <w:szCs w:val="22"/>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4, 2012</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36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$153,489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$183,372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(29,883)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 xml:space="preserve">The year-over-year decrease in operating income was primarily the result of a decrease in revenue of $25.9 million, a 50 basis point decrease in gross margin percentage and a $14.1 million special charge recorded in the first quarter of fiscal 2013 as more fully described above under the heading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Charges—Reduction of Operating Costs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6620" w:type="dxa"/>
            <w:vAlign w:val="bottom"/>
          </w:tcPr>
          <w:p>
            <w:pPr>
              <w:spacing w:after="0"/>
              <w:rPr>
                <w:sz w:val="22"/>
                <w:szCs w:val="22"/>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4, 2012</w:t>
            </w:r>
          </w:p>
        </w:tc>
        <w:tc>
          <w:tcPr>
            <w:tcW w:w="240" w:type="dxa"/>
            <w:vAlign w:val="bottom"/>
          </w:tcPr>
          <w:p>
            <w:pPr>
              <w:spacing w:after="0"/>
              <w:rPr>
                <w:sz w:val="22"/>
                <w:szCs w:val="22"/>
                <w:color w:val="auto"/>
              </w:rPr>
            </w:pPr>
          </w:p>
        </w:tc>
        <w:tc>
          <w:tcPr>
            <w:tcW w:w="1020" w:type="dxa"/>
            <w:vAlign w:val="bottom"/>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$18,887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$40,704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(21,817)</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decrease in our effective tax rate for the first quarter of fiscal 2013 compared to the first quarter of fiscal 2012 was primarily due to income earned in lower tax rate jurisdictions as a result of an international tax restructuring effective January 1, 2013. In addition our effective tax rate was lower due to a tax benefit from the reinstatement of the U.S. federal research and development tax credit in January 2013 retroactive to January 1, 2012 which resulted in lowering our effective tax rate by approximately 4%.</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our effective tax rate to be approximately 17% for the remainder of fiscal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420" w:type="dxa"/>
            <w:vAlign w:val="bottom"/>
          </w:tcPr>
          <w:p>
            <w:pPr>
              <w:spacing w:after="0"/>
              <w:rPr>
                <w:sz w:val="22"/>
                <w:szCs w:val="22"/>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 2013</w:t>
            </w: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4, 2012</w:t>
            </w:r>
          </w:p>
        </w:tc>
        <w:tc>
          <w:tcPr>
            <w:tcW w:w="18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$131,222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$139,382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6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income declined year-over-year as the $29.9 million decrease in operating income was partially offset by a lower provision for income taxes in the first quarter of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following statements are based on current expectations. These statements are forward-looking and our actual results may differ materially as a result of, among other things, the important factors contained in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3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are planning for revenue in the second quarter of fiscal 2013 to increase from the first quarter of fiscal 2013 by approximately 4% to 8%. Our plan is for gross margin for the second quarter of fiscal 2013 to be approximately 64% and for operating expenses to be approximately $224 million. We expect our effective tax rate to be approximately 17%. As a result, we are planning for diluted earnings per share to be in the range of $0.49 to $0.55 in the second quarter of fiscal 2013.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February 2, 2013, our principal source of liquidity was $3,987.0 million of cash and cash equivalents and short-term investments, of which approximately $1,137.0 million was held in the United States. The balance of our cash and cash equivalents and short-term investments was held outside the United States in various foreign subsidiaries. As we intend to</w:t>
      </w:r>
    </w:p>
    <w:p>
      <w:pPr>
        <w:ind w:right="140"/>
        <w:spacing w:after="0" w:line="253" w:lineRule="auto"/>
        <w:rPr>
          <w:sz w:val="20"/>
          <w:szCs w:val="20"/>
          <w:color w:val="auto"/>
        </w:rPr>
      </w:pPr>
      <w:r>
        <w:rPr>
          <w:rFonts w:ascii="Arial" w:cs="Arial" w:eastAsia="Arial" w:hAnsi="Arial"/>
          <w:sz w:val="18"/>
          <w:szCs w:val="18"/>
          <w:color w:val="auto"/>
        </w:rPr>
        <w:t>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37"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 2013</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February 4, 2012</w:t>
            </w:r>
          </w:p>
        </w:tc>
        <w:tc>
          <w:tcPr>
            <w:tcW w:w="30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$157,969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$214,820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17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At February 2, 2013, cash and cash equivalents totaled $795.8 million. The primary sources of funds for the first three months of fiscal 2013 were net cash generated from operating activities of $158.0 million. In addition, we received $113.8 million in net proceeds from employee stock option exercises and $180.7 million from the net maturities of available-for-sale short term investments. The principal uses of funds for the first three months of fiscal 2013 were dividend payments of $90.7 million, principal payments of $60.1 million related to our $145 million term loan facility and additions to property, plant and equipment of $18.3 million. These factors contributed to the net increase in cash and cash equivalents of $267.0 million in the first three months of fiscal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February 2, 2013</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3, 2012</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$307,263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7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decrease in accounts receivable was primarily the result of lower revenue in the final month of the first quarter of fiscal 2013 compared to the final month of the fourth quarter of fiscal 2012. Days sales outstanding increased as a result of higher product shipments made to our distributors in the final month of the first quarter of fiscal 2013 as compared to the final month of the fourth quarter of fiscal 2012.</w:t>
      </w:r>
    </w:p>
    <w:p>
      <w:pPr>
        <w:spacing w:after="0" w:line="12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Inventory decreased as a result of our continued efforts to balance manufacturing production, demand and inventory levels. Days cost of sales in inventory increased from 114 days at the end of the fourth fiscal quarter of 2012 to 121 days at the end of the first fiscal quarter of 2013 as a result of the decline in cost of sales by 8% while inventory decreased by only 2% for the same period.</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Current liabilities decreased to $508.5 million at February 2, 2013, a decrease of $16.5 million, or 3%, from $525.1 million at the end of fiscal 2012. This decrease was primarily due to a decrease in accrued liabilities as a result of lower variable compensation expense accruals and a decrease in the current portion of long term debt that related to the $145 million term loan facility, which we repaid in the first quarter of fiscal 2013. These decreases were partially offset by an increase in income taxes payable.</w:t>
      </w:r>
    </w:p>
    <w:p>
      <w:pPr>
        <w:spacing w:after="0" w:line="1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February 2, 2013 and November 3, 2012, we had gross deferred revenue of $302.4 million and $299.0 million, respectively, and gross deferred cost of sales of $59.0 million and $60.5 million, respectively. Deferred income on shipments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12" w:right="23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t>distributors increased in the first three months of fiscal 2013 as a result of a mix shift in favor of higher margin products in the channel.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 2013, we had $750.0 million in principal outstanding on our long term debt. Our debt obligations consist of the following: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5.0% senior unsecured notes</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June 30, 2009, we issued $375.0 million aggregate principal amount of 5.0% senior unsecured notes due July 1, 2014 (the 5.0% Notes) with semi-annual fixed interest payments due on January 1 and July 1 of each year, commencing January 1, 2010. We swapped the fixed interest portion of these notes for a variable interest rate based on the three-month LIBOR plus 2.05%. The variable interest payments based on the variable annual rate are payable quarterly. The LIBOR based rate is set quarterly three months prior to the date of the interest payment. In the second quarter of fiscal 2012, we terminated the interest rate swap agreement. We received $19.8 million in cash proceeds from the swap termination, which included $1.3 million in accrued interest. The proceeds, net of interest received, are disclosed in cash flows from financing activities in our condensed consolidated statements of cash flows. As a result of the termination, the carrying value of the 5.0% Notes was adjusted for the change in fair value of the interest component of the debt up to the date of the termination of the swap in an amount equal to the fair value of the swap, and will be amortized to earnings as a reduction of interest expense over the remaining life of the debt. This amortization is reflected in our condensed consolidated statements of cash flows within operating activities.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$145.0 million term loan facility</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December 22, 2010, Analog Devices Holdings B.V., our wholly owned subsidiary, entered into a credit agreement with Bank of America, N.A., London Branch as administrative agent. The credit agreement provided for a $145.0 million term loan facility, which was set to mature on December 22, 2013. During the first quarter of fiscal 2013, we repaid the remaining outstanding principal balance on the loan of $60.1 million and the credit agreement was terminated.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3.0% Notes) with semi-annual fixed interest payments due on April 15 and October 15 of each year, commencing October 15, 2011.</w:t>
      </w:r>
    </w:p>
    <w:p>
      <w:pPr>
        <w:spacing w:after="0" w:line="11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indenture governing the 5.0% Notes and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February 2, 2013, we were compliant with these covenants. See Note 13, Debt</w:t>
      </w:r>
      <w:r>
        <w:rPr>
          <w:rFonts w:ascii="Arial" w:cs="Arial" w:eastAsia="Arial" w:hAnsi="Arial"/>
          <w:sz w:val="18"/>
          <w:szCs w:val="18"/>
          <w:i w:val="1"/>
          <w:iCs w:val="1"/>
          <w:color w:val="auto"/>
        </w:rPr>
        <w:t>,</w:t>
      </w:r>
      <w:r>
        <w:rPr>
          <w:rFonts w:ascii="Arial" w:cs="Arial" w:eastAsia="Arial" w:hAnsi="Arial"/>
          <w:sz w:val="18"/>
          <w:szCs w:val="18"/>
          <w:color w:val="auto"/>
        </w:rPr>
        <w:t xml:space="preserve"> of the Notes to our Condensed Consolidated Financial Statements contained in Item 1 of this Quarterly Report on Form 10-Q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During December 2012, we terminated our five-year, $165.0 million unsecured revolving credit facility with certain institutional lenders entered into in May 2008. 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February 2, 2013, we were compliant with these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46" w:right="259" w:bottom="1440" w:gutter="0" w:footer="0" w:header="0"/>
        </w:sectPr>
      </w:pPr>
    </w:p>
    <w:bookmarkStart w:id="31" w:name="page32"/>
    <w:bookmarkEnd w:id="31"/>
    <w:p>
      <w:pPr>
        <w:ind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In the aggregate, our Board of Directors has authorized us to repurchase $5.0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February 2, 2013, we had repurchased a total of approximately 129.2 million shares of our common stock for approximately $4,439.0 million under this program. As of February 2, 2013, an additional $561.0 million worth of shares remains available for repurchase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additions to property, plant and equipment were $18.3 million in the first three months of fiscal 2013 and were funded with a combination of cash on hand and cash generated from operations. We expect capital expenditures to be in the range of approximately $90 million to $110 million in fiscal 2013 to be used primarily for our manufacturing and engineering capabilities, which will be funded with a combination of cash on hand and cash generated from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On February 18, 2013, our Board of Directors declared a cash dividend of $0.34 per outstanding share of common stock. The dividend will be paid on March 12, 2013 to all shareholders of record at the close of business on March 1, 2013 and is expected to total approximately $104.0 million. We currently expect quarterly dividends to continue at $0.34 per share, although they remain subject to determination and declaration by our Board of Directors. The payment of future dividends, if any, will be based on several factors, including our financial performance, outlook and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the first quarter of fiscal 2013, we repaid the remaining outstanding principal balance of $60.1 million on our $145.0 million term loan. As a result of the repayment, the amounts previously reflected as “Debt obligations” in the contractual obligations table contained in the section entitled “Management’s Discussion and Analysis of Financial Condition and Results of Operations” of our Annual Report on Form 10-K for the fiscal year ended November 3, 2012 are lower by $60.1 million.</w:t>
      </w:r>
    </w:p>
    <w:p>
      <w:pPr>
        <w:spacing w:after="0" w:line="13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have not been any other material changes during the first three months of fiscal 2013 to the amounts presented in the table summarizing our contractual obligations included in our Annual Report on Form 10-K for the fiscal year ended November 3,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17, 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were no material changes in the first three months of fiscal 2013 to the information provided under the heading “Critical Accounting Policies and Estimates” included in our Annual Report on Form 10-K for the fiscal year ended November 3, 2012.</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There were no material changes in the first three months of fiscal 2013 to the information provided under Item 7A. “Quantitative and Qualitative Disclosures about Market Risk” set forth in our Annual Report on Form 10-K for the fiscal year ended November 3, 2012.</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2" w:name="page33"/>
    <w:bookmarkEnd w:id="32"/>
    <w:p>
      <w:pPr>
        <w:ind w:firstLine="8"/>
        <w:spacing w:after="0" w:line="269"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February 2, 2013.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2, 2013, our Chief Executive Officer and Chief Financial Officer concluded that, as of such date, our disclosure controls and procedures were effective at the reasonable assurance level.</w:t>
      </w:r>
    </w:p>
    <w:p>
      <w:pPr>
        <w:spacing w:after="0" w:line="125" w:lineRule="exact"/>
        <w:rPr>
          <w:rFonts w:ascii="Arial" w:cs="Arial" w:eastAsia="Arial" w:hAnsi="Arial"/>
          <w:sz w:val="17"/>
          <w:szCs w:val="17"/>
          <w:color w:val="auto"/>
        </w:rPr>
      </w:pPr>
    </w:p>
    <w:p>
      <w:pPr>
        <w:ind w:right="20" w:firstLine="8"/>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February 2, 2013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3,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3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60" w:hanging="328"/>
        <w:spacing w:after="0" w:line="3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65" w:right="239" w:bottom="1440" w:gutter="0" w:footer="0" w:header="0"/>
        </w:sectPr>
      </w:pPr>
    </w:p>
    <w:bookmarkStart w:id="33" w:name="page34"/>
    <w:bookmarkEnd w:id="33"/>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660" w:right="160" w:hanging="328"/>
        <w:spacing w:after="0" w:line="3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jc w:val="both"/>
        <w:ind w:right="10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changes in tax laws or the interpretation of such tax laws; increases in tax rates in various jurisdictions; variation in the jurisdictions in which profits are earned and taxed;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638" w:right="299" w:bottom="1440" w:gutter="0" w:footer="0" w:header="0"/>
        </w:sectPr>
      </w:pPr>
    </w:p>
    <w:bookmarkStart w:id="34" w:name="page35"/>
    <w:bookmarkEnd w:id="34"/>
    <w:p>
      <w:pPr>
        <w:ind w:right="40"/>
        <w:spacing w:after="0" w:line="270" w:lineRule="auto"/>
        <w:rPr>
          <w:sz w:val="20"/>
          <w:szCs w:val="20"/>
          <w:color w:val="auto"/>
        </w:rPr>
      </w:pPr>
      <w:r>
        <w:rPr>
          <w:rFonts w:ascii="Arial" w:cs="Arial" w:eastAsia="Arial" w:hAnsi="Arial"/>
          <w:sz w:val="17"/>
          <w:szCs w:val="17"/>
          <w:color w:val="auto"/>
        </w:rPr>
        <w:t>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 significant percentage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65" w:right="279" w:bottom="1440" w:gutter="0" w:footer="0" w:header="0"/>
        </w:sectPr>
      </w:pPr>
    </w:p>
    <w:bookmarkStart w:id="35" w:name="page36"/>
    <w:bookmarkEnd w:id="35"/>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3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 We may also be subject to security breaches caused by computer viruses, illegal break-ins or hacking, sabotage or acts of vandalism by third parties. Our security measures or those of our third party service providers may not detect or prevent such security breaches. Any such compromise of our information security could result in unauthorized access to our confidential business or proprietary information.</w:t>
      </w:r>
    </w:p>
    <w:p>
      <w:pPr>
        <w:spacing w:after="0" w:line="11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27" w:right="25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our competitors may be able to offer products similar to ours. Our competitors may also be able to develop similar technology independently or design around our patents.</w:t>
      </w:r>
    </w:p>
    <w:p>
      <w:pPr>
        <w:spacing w:after="0" w:line="116"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also involve a number of risks, including:</w:t>
      </w:r>
    </w:p>
    <w:p>
      <w:pPr>
        <w:spacing w:after="0" w:line="2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fiscal 2011, our revenue in Japan declined as a result of the severe earthquake and tsunami in that country. In addition, flooding in Thailand and the Philippines in 2012 had disruptive effects on local semiconductor-related businesses. Any prolonged inability to utilize one of our manufacturing facilities, or those of our subcontractors or third-party wafer fabrication foundries, as a result of fire, flood, natural disaster, unavailability of utilities or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46" w:right="259" w:bottom="1440" w:gutter="0" w:footer="0" w:header="0"/>
        </w:sectPr>
      </w:pPr>
    </w:p>
    <w:bookmarkStart w:id="37" w:name="page38"/>
    <w:bookmarkEnd w:id="37"/>
    <w:p>
      <w:pPr>
        <w:ind w:right="460"/>
        <w:spacing w:after="0" w:line="277" w:lineRule="auto"/>
        <w:rPr>
          <w:sz w:val="20"/>
          <w:szCs w:val="20"/>
          <w:color w:val="auto"/>
        </w:rPr>
      </w:pPr>
      <w:r>
        <w:rPr>
          <w:rFonts w:ascii="Arial" w:cs="Arial" w:eastAsia="Arial" w:hAnsi="Arial"/>
          <w:sz w:val="18"/>
          <w:szCs w:val="18"/>
          <w:color w:val="auto"/>
        </w:rPr>
        <w:t>otherwise, could result in a temporary or permanent loss of customers for affected products, which could have a material adverse effect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Approximately 67%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February 2, 2013, our principal source of liquidity was $3,987.0 million of cash and cash equivalents and short-term investments, of which approximately$1,137.0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2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 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1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65" w:right="239" w:bottom="1440" w:gutter="0" w:footer="0" w:header="0"/>
        </w:sectPr>
      </w:pPr>
    </w:p>
    <w:bookmarkStart w:id="38" w:name="page39"/>
    <w:bookmarkEnd w:id="38"/>
    <w:p>
      <w:pPr>
        <w:ind w:right="120"/>
        <w:spacing w:after="0" w:line="255" w:lineRule="auto"/>
        <w:rPr>
          <w:sz w:val="20"/>
          <w:szCs w:val="20"/>
          <w:color w:val="auto"/>
        </w:rPr>
      </w:pPr>
      <w:r>
        <w:rPr>
          <w:rFonts w:ascii="Arial" w:cs="Arial" w:eastAsia="Arial" w:hAnsi="Arial"/>
          <w:sz w:val="18"/>
          <w:szCs w:val="18"/>
          <w:color w:val="auto"/>
        </w:rPr>
        <w:t>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39"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issuances of $375.0 million senior unsecured notes.</w:t>
      </w:r>
    </w:p>
    <w:p>
      <w:pPr>
        <w:spacing w:after="0" w:line="3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fiscal 2009, we issued in a public offering $375.0 million aggregate principal amount of 5.0% senior unsecured notes due July 1, 2014. In April 2011, we issued in a public offering $375.0 million aggregate principal amount of 3.0% senior unsecured notes due April 15, 2016.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227"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current revolving credit facility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p>
      <w:pPr>
        <w:ind w:right="62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8"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00" w:hanging="247"/>
        <w:spacing w:after="0" w:line="3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665"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00" w:type="dxa"/>
            <w:vAlign w:val="bottom"/>
            <w:gridSpan w:val="4"/>
          </w:tcPr>
          <w:p>
            <w:pPr>
              <w:ind w:left="2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4, 2012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18"/>
                <w:szCs w:val="18"/>
                <w:color w:val="auto"/>
              </w:rPr>
            </w:pPr>
          </w:p>
        </w:tc>
        <w:tc>
          <w:tcPr>
            <w:tcW w:w="1920" w:type="dxa"/>
            <w:vAlign w:val="bottom"/>
            <w:gridSpan w:val="2"/>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39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December 1, 2012</w:t>
            </w: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CCEEFF"/>
            </w:tcBorders>
            <w:gridSpan w:val="2"/>
            <w:vMerge w:val="continue"/>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December 2, 2012 through</w:t>
            </w:r>
          </w:p>
        </w:tc>
        <w:tc>
          <w:tcPr>
            <w:tcW w:w="1840" w:type="dxa"/>
            <w:vAlign w:val="bottom"/>
            <w:vMerge w:val="restart"/>
          </w:tcPr>
          <w:p>
            <w:pPr>
              <w:jc w:val="right"/>
              <w:ind w:right="38"/>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36"/>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c>
          <w:tcPr>
            <w:tcW w:w="1920" w:type="dxa"/>
            <w:vAlign w:val="bottom"/>
            <w:gridSpan w:val="2"/>
            <w:vMerge w:val="restart"/>
          </w:tcPr>
          <w:p>
            <w:pPr>
              <w:ind w:left="15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color w:val="auto"/>
              </w:rPr>
              <w:t>December 29, 2012</w:t>
            </w: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30, 2012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397,371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9"/>
                <w:szCs w:val="19"/>
                <w:color w:val="auto"/>
              </w:rPr>
            </w:pPr>
          </w:p>
        </w:tc>
        <w:tc>
          <w:tcPr>
            <w:tcW w:w="1920" w:type="dxa"/>
            <w:vAlign w:val="bottom"/>
            <w:gridSpan w:val="2"/>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88"/>
              </w:rPr>
              <w:t>February 2, 2013</w:t>
            </w:r>
          </w:p>
        </w:tc>
        <w:tc>
          <w:tcPr>
            <w:tcW w:w="262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bottom w:val="single" w:sz="8" w:color="CCEEFF"/>
            </w:tcBorders>
            <w:vMerge w:val="continue"/>
            <w:shd w:val="clear" w:color="auto" w:fill="CCEEFF"/>
          </w:tcPr>
          <w:p>
            <w:pPr>
              <w:spacing w:after="0"/>
              <w:rPr>
                <w:sz w:val="11"/>
                <w:szCs w:val="11"/>
                <w:color w:val="auto"/>
              </w:rPr>
            </w:pPr>
          </w:p>
        </w:tc>
        <w:tc>
          <w:tcPr>
            <w:tcW w:w="262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tcPr>
          <w:p>
            <w:pPr>
              <w:ind w:left="4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399,804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399,804 shares withheld by us from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60" w:right="160" w:hanging="328"/>
        <w:spacing w:after="0" w:line="29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780" w:type="dxa"/>
            <w:vAlign w:val="bottom"/>
            <w:gridSpan w:val="2"/>
          </w:tcPr>
          <w:p>
            <w:pPr>
              <w:ind w:left="1500"/>
              <w:spacing w:after="0"/>
              <w:rPr>
                <w:sz w:val="20"/>
                <w:szCs w:val="20"/>
                <w:color w:val="auto"/>
              </w:rPr>
            </w:pPr>
            <w:r>
              <w:rPr>
                <w:rFonts w:ascii="Arial" w:cs="Arial" w:eastAsia="Arial" w:hAnsi="Arial"/>
                <w:sz w:val="18"/>
                <w:szCs w:val="18"/>
                <w:color w:val="auto"/>
              </w:rPr>
              <w:t>ANALOG DEVICES, INC.</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February 19, 2013</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ERALD</w:t>
            </w:r>
            <w:r>
              <w:rPr>
                <w:rFonts w:ascii="Arial" w:cs="Arial" w:eastAsia="Arial" w:hAnsi="Arial"/>
                <w:sz w:val="18"/>
                <w:szCs w:val="18"/>
                <w:color w:val="auto"/>
              </w:rPr>
              <w:t xml:space="preserve"> G. F</w:t>
            </w:r>
            <w:r>
              <w:rPr>
                <w:rFonts w:ascii="Arial" w:cs="Arial" w:eastAsia="Arial" w:hAnsi="Arial"/>
                <w:sz w:val="14"/>
                <w:szCs w:val="14"/>
                <w:color w:val="auto"/>
              </w:rPr>
              <w:t>ISHMAN</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Jerald G. Fishman</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February 19, 2013</w:t>
            </w:r>
          </w:p>
        </w:tc>
        <w:tc>
          <w:tcPr>
            <w:tcW w:w="2020" w:type="dxa"/>
            <w:vAlign w:val="bottom"/>
          </w:tcPr>
          <w:p>
            <w:pPr>
              <w:ind w:left="150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David A. Zinsner</w:t>
            </w:r>
          </w:p>
        </w:tc>
      </w:tr>
      <w:tr>
        <w:trPr>
          <w:trHeight w:val="270"/>
        </w:trPr>
        <w:tc>
          <w:tcPr>
            <w:tcW w:w="3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bl>
    <w:p>
      <w:pPr>
        <w:spacing w:after="0" w:line="4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240" w:top="580" w:right="579" w:bottom="1440" w:gutter="0" w:footer="0" w:header="0"/>
        </w:sectPr>
      </w:pPr>
    </w:p>
    <w:bookmarkStart w:id="42" w:name="page43"/>
    <w:bookmarkEnd w:id="42"/>
    <w:p>
      <w:pPr>
        <w:ind w:left="472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1360"/>
          </w:cols>
          <w:pgMar w:left="240" w:top="715" w:right="299" w:bottom="1440" w:gutter="0" w:footer="0" w:header="0"/>
        </w:sectPr>
      </w:pPr>
    </w:p>
    <w:p>
      <w:pPr>
        <w:spacing w:after="0" w:line="259" w:lineRule="exact"/>
        <w:rPr>
          <w:sz w:val="20"/>
          <w:szCs w:val="20"/>
          <w:color w:val="auto"/>
        </w:rPr>
      </w:pPr>
    </w:p>
    <w:p>
      <w:pPr>
        <w:jc w:val="right"/>
        <w:ind w:right="160"/>
        <w:spacing w:after="0"/>
        <w:rPr>
          <w:sz w:val="20"/>
          <w:szCs w:val="20"/>
          <w:color w:val="auto"/>
        </w:rPr>
      </w:pPr>
      <w:r>
        <w:rPr>
          <w:rFonts w:ascii="Arial" w:cs="Arial" w:eastAsia="Arial" w:hAnsi="Arial"/>
          <w:sz w:val="13"/>
          <w:szCs w:val="13"/>
          <w:b w:val="1"/>
          <w:bCs w:val="1"/>
          <w:u w:val="single" w:color="auto"/>
          <w:color w:val="auto"/>
        </w:rPr>
        <w:t>Exhibit No.</w:t>
      </w:r>
    </w:p>
    <w:p>
      <w:pPr>
        <w:spacing w:after="0" w:line="6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5659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125" w:lineRule="exact"/>
        <w:rPr>
          <w:sz w:val="20"/>
          <w:szCs w:val="20"/>
          <w:color w:val="auto"/>
        </w:rPr>
      </w:pPr>
    </w:p>
    <w:p>
      <w:pPr>
        <w:ind w:right="1040"/>
        <w:spacing w:after="0" w:line="259" w:lineRule="auto"/>
        <w:rPr>
          <w:sz w:val="20"/>
          <w:szCs w:val="20"/>
          <w:color w:val="auto"/>
        </w:rPr>
      </w:pPr>
      <w:r>
        <w:rPr>
          <w:rFonts w:ascii="Arial" w:cs="Arial" w:eastAsia="Arial" w:hAnsi="Arial"/>
          <w:sz w:val="18"/>
          <w:szCs w:val="18"/>
          <w:color w:val="auto"/>
        </w:rPr>
        <w:t>Credit Agreement, dated as of December 19, 2012, among Analog Devices, Inc., as Borrower, Bank of America, N.A. as Administrative Agent, Swing Line Lender and L/C Issuer, and each lender from time to time party thereto, filed as an exhibit to the Company's Current Report on Form 8-K (File No. 1-7819) as filed with the Commission on December 20, 2012 and incorporated herein by reference.</w:t>
      </w:r>
    </w:p>
    <w:p>
      <w:pPr>
        <w:spacing w:after="0" w:line="200" w:lineRule="exact"/>
        <w:rPr>
          <w:sz w:val="20"/>
          <w:szCs w:val="20"/>
          <w:color w:val="auto"/>
        </w:rPr>
      </w:pPr>
    </w:p>
    <w:p>
      <w:pPr>
        <w:sectPr>
          <w:pgSz w:w="11900" w:h="16838" w:orient="portrait"/>
          <w:cols w:equalWidth="0" w:num="2">
            <w:col w:w="900" w:space="720"/>
            <w:col w:w="9740"/>
          </w:cols>
          <w:pgMar w:left="240" w:top="715" w:right="299" w:bottom="1440" w:gutter="0" w:footer="0" w:header="0"/>
          <w:type w:val="continuous"/>
        </w:sectPr>
      </w:pPr>
    </w:p>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31.1†</w:t>
            </w:r>
          </w:p>
        </w:tc>
        <w:tc>
          <w:tcPr>
            <w:tcW w:w="8340" w:type="dxa"/>
            <w:vAlign w:val="bottom"/>
          </w:tcPr>
          <w:p>
            <w:pPr>
              <w:ind w:left="340"/>
              <w:spacing w:after="0"/>
              <w:rPr>
                <w:sz w:val="20"/>
                <w:szCs w:val="20"/>
                <w:color w:val="auto"/>
              </w:rPr>
            </w:pPr>
            <w:r>
              <w:rPr>
                <w:rFonts w:ascii="Arial" w:cs="Arial" w:eastAsia="Arial" w:hAnsi="Arial"/>
                <w:sz w:val="18"/>
                <w:szCs w:val="18"/>
                <w:color w:val="auto"/>
                <w:w w:val="90"/>
              </w:rPr>
              <w:t>Certification Pursuant to Rule 13a-14(a) and 15d-14(a) of the Securities Exchange Act, as Adopted Pursuant to</w:t>
            </w:r>
          </w:p>
        </w:tc>
      </w:tr>
      <w:tr>
        <w:trPr>
          <w:trHeight w:val="230"/>
        </w:trPr>
        <w:tc>
          <w:tcPr>
            <w:tcW w:w="102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 (Chief Executive Officer).</w:t>
            </w:r>
          </w:p>
        </w:tc>
      </w:tr>
      <w:tr>
        <w:trPr>
          <w:trHeight w:val="256"/>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31.2†</w:t>
            </w:r>
          </w:p>
        </w:tc>
        <w:tc>
          <w:tcPr>
            <w:tcW w:w="8340" w:type="dxa"/>
            <w:vAlign w:val="bottom"/>
          </w:tcPr>
          <w:p>
            <w:pPr>
              <w:ind w:left="340"/>
              <w:spacing w:after="0"/>
              <w:rPr>
                <w:sz w:val="20"/>
                <w:szCs w:val="20"/>
                <w:color w:val="auto"/>
              </w:rPr>
            </w:pPr>
            <w:r>
              <w:rPr>
                <w:rFonts w:ascii="Arial" w:cs="Arial" w:eastAsia="Arial" w:hAnsi="Arial"/>
                <w:sz w:val="18"/>
                <w:szCs w:val="18"/>
                <w:color w:val="auto"/>
                <w:w w:val="90"/>
              </w:rPr>
              <w:t>Certification Pursuant to Rule 13a-14(a) and 15d-14(a) of the Securities Exchange Act, as Adopted Pursuant to</w:t>
            </w:r>
          </w:p>
        </w:tc>
      </w:tr>
      <w:tr>
        <w:trPr>
          <w:trHeight w:val="230"/>
        </w:trPr>
        <w:tc>
          <w:tcPr>
            <w:tcW w:w="102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 (Chief Financial Officer).</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32.1†</w:t>
            </w:r>
          </w:p>
        </w:tc>
        <w:tc>
          <w:tcPr>
            <w:tcW w:w="8340" w:type="dxa"/>
            <w:vAlign w:val="bottom"/>
          </w:tcPr>
          <w:p>
            <w:pPr>
              <w:ind w:left="34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3"/>
              </w:rPr>
              <w:t>32.2†</w:t>
            </w:r>
          </w:p>
        </w:tc>
        <w:tc>
          <w:tcPr>
            <w:tcW w:w="8340" w:type="dxa"/>
            <w:vAlign w:val="bottom"/>
          </w:tcPr>
          <w:p>
            <w:pPr>
              <w:ind w:left="34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5"/>
              </w:rPr>
              <w:t>101.INS</w:t>
            </w:r>
          </w:p>
        </w:tc>
        <w:tc>
          <w:tcPr>
            <w:tcW w:w="83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0"/>
              </w:rPr>
              <w:t>101.SCH</w:t>
            </w:r>
          </w:p>
        </w:tc>
        <w:tc>
          <w:tcPr>
            <w:tcW w:w="834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4"/>
              </w:rPr>
              <w:t>101.CAL</w:t>
            </w:r>
          </w:p>
        </w:tc>
        <w:tc>
          <w:tcPr>
            <w:tcW w:w="834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5"/>
              </w:rPr>
              <w:t>101.LAB</w:t>
            </w:r>
          </w:p>
        </w:tc>
        <w:tc>
          <w:tcPr>
            <w:tcW w:w="8340" w:type="dxa"/>
            <w:vAlign w:val="bottom"/>
          </w:tcPr>
          <w:p>
            <w:pPr>
              <w:ind w:left="340"/>
              <w:spacing w:after="0"/>
              <w:rPr>
                <w:sz w:val="20"/>
                <w:szCs w:val="20"/>
                <w:color w:val="auto"/>
              </w:rPr>
            </w:pPr>
            <w:r>
              <w:rPr>
                <w:rFonts w:ascii="Arial" w:cs="Arial" w:eastAsia="Arial" w:hAnsi="Arial"/>
                <w:sz w:val="18"/>
                <w:szCs w:val="18"/>
                <w:color w:val="auto"/>
              </w:rPr>
              <w:t>XBRL Labels Linkbase Document.**</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1"/>
              </w:rPr>
              <w:t>101.PRE</w:t>
            </w:r>
          </w:p>
        </w:tc>
        <w:tc>
          <w:tcPr>
            <w:tcW w:w="8340" w:type="dxa"/>
            <w:vAlign w:val="bottom"/>
          </w:tcPr>
          <w:p>
            <w:pPr>
              <w:ind w:left="34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2"/>
              </w:rPr>
              <w:t>101.DEF</w:t>
            </w:r>
          </w:p>
        </w:tc>
        <w:tc>
          <w:tcPr>
            <w:tcW w:w="834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bl>
    <w:p>
      <w:pPr>
        <w:spacing w:after="0" w:line="40" w:lineRule="exact"/>
        <w:rPr>
          <w:sz w:val="20"/>
          <w:szCs w:val="20"/>
          <w:color w:val="auto"/>
        </w:rPr>
      </w:pPr>
    </w:p>
    <w:p>
      <w:pPr>
        <w:ind w:left="1620" w:hanging="107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Income for the three months ended February 2, 2013 and February 4, 2012, (ii) Condensed Consolidated Statements of Comprehensive Income for the three months ended February 2, 2013 and February 4, 2012, (iii) Condensed Consolidated Balance Sheets at February 2, 2013 and November 3, 2012,</w:t>
      </w:r>
    </w:p>
    <w:p>
      <w:pPr>
        <w:ind w:right="440" w:firstLine="8"/>
        <w:spacing w:after="0" w:line="261"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February 2, 2013 and February 4, 2012 and (v) Notes to Condensed Consolidated Financial Statements.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715" w:right="29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Jerald G. Fishman, certify that:</w:t>
      </w:r>
    </w:p>
    <w:p>
      <w:pPr>
        <w:spacing w:after="0" w:line="5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Analog Devices, Inc.;</w:t>
      </w:r>
    </w:p>
    <w:p>
      <w:pPr>
        <w:spacing w:after="0" w:line="59" w:lineRule="exact"/>
        <w:rPr>
          <w:rFonts w:ascii="Arial" w:cs="Arial" w:eastAsia="Arial" w:hAnsi="Arial"/>
          <w:sz w:val="16"/>
          <w:szCs w:val="16"/>
          <w:color w:val="auto"/>
        </w:rPr>
      </w:pPr>
    </w:p>
    <w:p>
      <w:pPr>
        <w:ind w:left="660" w:right="20" w:hanging="328"/>
        <w:spacing w:after="0" w:line="300"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56" w:lineRule="exact"/>
        <w:rPr>
          <w:rFonts w:ascii="Arial" w:cs="Arial" w:eastAsia="Arial" w:hAnsi="Arial"/>
          <w:sz w:val="14"/>
          <w:szCs w:val="14"/>
          <w:color w:val="auto"/>
        </w:rPr>
      </w:pPr>
    </w:p>
    <w:p>
      <w:pPr>
        <w:ind w:left="1300" w:right="18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rFonts w:ascii="Arial" w:cs="Arial" w:eastAsia="Arial" w:hAnsi="Arial"/>
          <w:sz w:val="16"/>
          <w:szCs w:val="16"/>
          <w:color w:val="auto"/>
        </w:rPr>
      </w:pPr>
    </w:p>
    <w:p>
      <w:pPr>
        <w:ind w:left="1300" w:right="8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6"/>
          <w:szCs w:val="16"/>
          <w:color w:val="auto"/>
        </w:rPr>
      </w:pPr>
    </w:p>
    <w:p>
      <w:pPr>
        <w:ind w:left="1300" w:right="20" w:hanging="320"/>
        <w:spacing w:after="0" w:line="26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Arial" w:cs="Arial" w:eastAsia="Arial" w:hAnsi="Arial"/>
          <w:sz w:val="16"/>
          <w:szCs w:val="16"/>
          <w:color w:val="auto"/>
        </w:rPr>
      </w:pPr>
    </w:p>
    <w:p>
      <w:pPr>
        <w:ind w:left="1300" w:right="26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1300" w:right="460" w:hanging="320"/>
        <w:spacing w:after="0" w:line="27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February 19, 2013</w:t>
      </w:r>
      <w:r>
        <w:rPr>
          <w:sz w:val="20"/>
          <w:szCs w:val="20"/>
          <w:color w:val="auto"/>
        </w:rPr>
        <w:tab/>
      </w:r>
      <w:r>
        <w:rPr>
          <w:rFonts w:ascii="Arial" w:cs="Arial" w:eastAsia="Arial" w:hAnsi="Arial"/>
          <w:sz w:val="14"/>
          <w:szCs w:val="14"/>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Jerald G. Fishman</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13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David A. Zinsner, certify that:</w:t>
      </w:r>
    </w:p>
    <w:p>
      <w:pPr>
        <w:spacing w:after="0" w:line="7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Analog Devices, Inc.;</w:t>
      </w:r>
    </w:p>
    <w:p>
      <w:pPr>
        <w:spacing w:after="0" w:line="63" w:lineRule="exact"/>
        <w:rPr>
          <w:rFonts w:ascii="Arial" w:cs="Arial" w:eastAsia="Arial" w:hAnsi="Arial"/>
          <w:sz w:val="18"/>
          <w:szCs w:val="18"/>
          <w:color w:val="auto"/>
        </w:rPr>
      </w:pPr>
    </w:p>
    <w:p>
      <w:pPr>
        <w:ind w:left="660" w:right="20" w:hanging="328"/>
        <w:spacing w:after="0" w:line="30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97" w:lineRule="exact"/>
        <w:rPr>
          <w:rFonts w:ascii="Arial" w:cs="Arial" w:eastAsia="Arial" w:hAnsi="Arial"/>
          <w:sz w:val="16"/>
          <w:szCs w:val="16"/>
          <w:color w:val="auto"/>
        </w:rPr>
      </w:pPr>
    </w:p>
    <w:p>
      <w:pPr>
        <w:ind w:left="1300" w:right="180" w:hanging="320"/>
        <w:spacing w:after="0" w:line="27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1300" w:right="80" w:hanging="320"/>
        <w:spacing w:after="0" w:line="27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8"/>
          <w:szCs w:val="18"/>
          <w:color w:val="auto"/>
        </w:rPr>
      </w:pPr>
    </w:p>
    <w:p>
      <w:pPr>
        <w:ind w:left="1300" w:right="80" w:hanging="320"/>
        <w:spacing w:after="0" w:line="28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300" w:right="20" w:hanging="320"/>
        <w:spacing w:after="0" w:line="27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18"/>
          <w:szCs w:val="18"/>
          <w:color w:val="auto"/>
        </w:rPr>
      </w:pPr>
    </w:p>
    <w:p>
      <w:pPr>
        <w:ind w:left="660" w:right="480" w:hanging="328"/>
        <w:spacing w:after="0" w:line="28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left="1300" w:right="260" w:hanging="320"/>
        <w:spacing w:after="0" w:line="28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300" w:right="460" w:hanging="320"/>
        <w:spacing w:after="0" w:line="28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February 19, 2013</w:t>
      </w:r>
      <w:r>
        <w:rPr>
          <w:sz w:val="20"/>
          <w:szCs w:val="20"/>
          <w:color w:val="auto"/>
        </w:rPr>
        <w:tab/>
      </w:r>
      <w:r>
        <w:rPr>
          <w:rFonts w:ascii="Arial" w:cs="Arial" w:eastAsia="Arial" w:hAnsi="Arial"/>
          <w:sz w:val="15"/>
          <w:szCs w:val="15"/>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David A. Zinsner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Vice President, Finance</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and Chief Financial Officer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13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connection with the Quarterly Report on Form 10-Q of Analog Devices, Inc. (the “Company”) for the period ended February 2, 2013 as filed with the Securities and Exchange Commission on the date hereof (the “Report”), the undersigned, Jerald G. Fishman, Chief Executive Officer of the Company, hereby certifies, pursuant to 18 U.S.C. Section 1350, that:</w:t>
      </w:r>
    </w:p>
    <w:p>
      <w:pPr>
        <w:spacing w:after="0" w:line="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February 19, 2013</w:t>
      </w:r>
      <w:r>
        <w:rPr>
          <w:sz w:val="20"/>
          <w:szCs w:val="20"/>
          <w:color w:val="auto"/>
        </w:rPr>
        <w:tab/>
      </w:r>
      <w:r>
        <w:rPr>
          <w:rFonts w:ascii="Arial" w:cs="Arial" w:eastAsia="Arial" w:hAnsi="Arial"/>
          <w:sz w:val="14"/>
          <w:szCs w:val="14"/>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Jerald G. Fishman</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3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color w:val="auto"/>
        </w:rPr>
        <w:t>Exhibit 32.2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connection with the Quarterly Report on Form 10-Q of Analog Devices, Inc. (the “Company”) for the period ended February 2, 2013 as filed with the Securities and Exchange Commission on the date hereof (the “Report”), the undersigned, David A. Zinsner, Chief Financial Officer of the Company, hereby certifies, pursuant to 18 U.S.C. Section 1350, that:</w:t>
      </w:r>
    </w:p>
    <w:p>
      <w:pPr>
        <w:spacing w:after="0" w:line="3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61"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February 19, 2013</w:t>
      </w:r>
      <w:r>
        <w:rPr>
          <w:sz w:val="20"/>
          <w:szCs w:val="20"/>
          <w:color w:val="auto"/>
        </w:rPr>
        <w:tab/>
      </w:r>
      <w:r>
        <w:rPr>
          <w:rFonts w:ascii="Arial" w:cs="Arial" w:eastAsia="Arial" w:hAnsi="Arial"/>
          <w:sz w:val="15"/>
          <w:szCs w:val="15"/>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David A. Zinsner</w:t>
      </w:r>
    </w:p>
    <w:p>
      <w:pPr>
        <w:spacing w:after="0" w:line="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Roman"/>
      <w:start w:val="2"/>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Roman"/>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Roman"/>
      <w:start w:val="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2019-12-05T03:48:44Z</dcterms:created>
  <dcterms:modified xsi:type="dcterms:W3CDTF">2019-12-05T03:48:44Z</dcterms:modified>
</cp:coreProperties>
</file>