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30,121,670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30,121,670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30,121,670 shares or 8.0% of the 375,840,000 shares of Common Stock believed to be outstanding as a result of acting as investment adviser to various investment companies registered under Section 8 of the Investment Company Act of 1940.</w:t>
      </w:r>
    </w:p>
    <w:p>
      <w:pPr>
        <w:spacing w:after="0" w:line="1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2005</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0" w:gutter="0" w:footer="0" w:header="0"/>
          <w:type w:val="continuous"/>
        </w:sectPr>
      </w:pPr>
    </w:p>
    <w:p>
      <w:pPr>
        <w:spacing w:after="0" w:line="7" w:lineRule="exact"/>
        <w:rPr>
          <w:sz w:val="20"/>
          <w:szCs w:val="20"/>
          <w:color w:val="auto"/>
        </w:rPr>
      </w:pPr>
    </w:p>
    <w:p>
      <w:pPr>
        <w:ind w:left="158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10, 2005 included as an Exhibit to Schedule 13G filed with the Securities and Exchange Commission by Capital Research and Management Company on February 4, 2005 with</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respect to Advanced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2019-12-19T19:11:09Z</dcterms:created>
  <dcterms:modified xsi:type="dcterms:W3CDTF">2019-12-19T19:11:09Z</dcterms:modified>
</cp:coreProperties>
</file>