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11-K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4"/>
          <w:szCs w:val="24"/>
          <w:color w:val="auto"/>
        </w:rPr>
      </w:pPr>
    </w:p>
    <w:p>
      <w:pPr>
        <w:ind w:left="1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 (d) OF THE SECURITIES EXCHANGE ACT OF 1934 (NO FEE REQUIRED)</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380" w:right="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 (d) OF THE SECURITIES EXCHANGE ACT OF 1934 (NO FEE REQUIRED)</w:t>
      </w:r>
    </w:p>
    <w:p>
      <w:pPr>
        <w:spacing w:after="0" w:line="172"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________________</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1-7819</w:t>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INVESTMENT PARTNERSHIP PLAN</w:t>
      </w:r>
    </w:p>
    <w:p>
      <w:pPr>
        <w:ind w:left="3940"/>
        <w:spacing w:after="0"/>
        <w:rPr>
          <w:sz w:val="20"/>
          <w:szCs w:val="20"/>
          <w:color w:val="auto"/>
        </w:rPr>
      </w:pPr>
      <w:r>
        <w:rPr>
          <w:rFonts w:ascii="Arial" w:cs="Arial" w:eastAsia="Arial" w:hAnsi="Arial"/>
          <w:sz w:val="18"/>
          <w:szCs w:val="18"/>
          <w:i w:val="1"/>
          <w:iCs w:val="1"/>
          <w:color w:val="auto"/>
        </w:rPr>
        <w:t>(Full title of the plan and the address of the plan,</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i w:val="1"/>
          <w:iCs w:val="1"/>
          <w:color w:val="auto"/>
        </w:rPr>
        <w:t>if different from that of the issuer named below)</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(Name of issuer of the securities held pursuant to the plan and the</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its principal executive office)</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One Technology Way</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Norwood, Massachusetts 02062-9106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22" w:right="319" w:bottom="1440" w:gutter="0" w:footer="0" w:header="0"/>
        </w:sectPr>
      </w:pPr>
    </w:p>
    <w:bookmarkStart w:id="1" w:name="page2"/>
    <w:bookmarkEnd w:id="1"/>
    <w:p>
      <w:pPr>
        <w:jc w:val="center"/>
        <w:ind w:right="-1192"/>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ind w:right="-1192"/>
        <w:spacing w:after="0"/>
        <w:rPr>
          <w:sz w:val="20"/>
          <w:szCs w:val="20"/>
          <w:color w:val="auto"/>
        </w:rPr>
      </w:pPr>
      <w:r>
        <w:rPr>
          <w:rFonts w:ascii="Arial" w:cs="Arial" w:eastAsia="Arial" w:hAnsi="Arial"/>
          <w:sz w:val="18"/>
          <w:szCs w:val="18"/>
          <w:color w:val="auto"/>
        </w:rPr>
        <w:t>THE INVESTMENT PARTNERSHIP PLAN</w:t>
      </w:r>
    </w:p>
    <w:p>
      <w:pPr>
        <w:spacing w:after="0" w:line="103" w:lineRule="exact"/>
        <w:rPr>
          <w:sz w:val="20"/>
          <w:szCs w:val="20"/>
          <w:color w:val="auto"/>
        </w:rPr>
      </w:pPr>
    </w:p>
    <w:p>
      <w:pPr>
        <w:ind w:left="4952"/>
        <w:spacing w:after="0"/>
        <w:rPr>
          <w:sz w:val="20"/>
          <w:szCs w:val="20"/>
          <w:color w:val="auto"/>
        </w:rPr>
      </w:pPr>
      <w:r>
        <w:rPr>
          <w:rFonts w:ascii="Arial" w:cs="Arial" w:eastAsia="Arial" w:hAnsi="Arial"/>
          <w:sz w:val="18"/>
          <w:szCs w:val="18"/>
          <w:u w:val="single" w:color="auto"/>
          <w:color w:val="auto"/>
        </w:rPr>
        <w:t>Financial Statements</w:t>
      </w:r>
    </w:p>
    <w:p>
      <w:pPr>
        <w:spacing w:after="0" w:line="117" w:lineRule="exact"/>
        <w:rPr>
          <w:sz w:val="20"/>
          <w:szCs w:val="20"/>
          <w:color w:val="auto"/>
        </w:rPr>
      </w:pPr>
    </w:p>
    <w:p>
      <w:pPr>
        <w:ind w:left="212" w:hanging="212"/>
        <w:spacing w:after="0"/>
        <w:tabs>
          <w:tab w:leader="none" w:pos="212"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Report of Independent Registered Public Accounting Firm.</w:t>
      </w:r>
    </w:p>
    <w:p>
      <w:pPr>
        <w:spacing w:after="0" w:line="130" w:lineRule="exact"/>
        <w:rPr>
          <w:rFonts w:ascii="Arial" w:cs="Arial" w:eastAsia="Arial" w:hAnsi="Arial"/>
          <w:sz w:val="18"/>
          <w:szCs w:val="18"/>
          <w:b w:val="1"/>
          <w:bCs w:val="1"/>
          <w:color w:val="auto"/>
        </w:rPr>
      </w:pPr>
    </w:p>
    <w:p>
      <w:pPr>
        <w:ind w:left="212" w:hanging="212"/>
        <w:spacing w:after="0"/>
        <w:tabs>
          <w:tab w:leader="none" w:pos="212"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Audited Statements of Net Assets Available for Benefits as of December 31, 2010 and 2009.</w:t>
      </w:r>
    </w:p>
    <w:p>
      <w:pPr>
        <w:spacing w:after="0" w:line="130" w:lineRule="exact"/>
        <w:rPr>
          <w:rFonts w:ascii="Arial" w:cs="Arial" w:eastAsia="Arial" w:hAnsi="Arial"/>
          <w:sz w:val="18"/>
          <w:szCs w:val="18"/>
          <w:b w:val="1"/>
          <w:bCs w:val="1"/>
          <w:color w:val="auto"/>
        </w:rPr>
      </w:pPr>
    </w:p>
    <w:p>
      <w:pPr>
        <w:ind w:left="212" w:hanging="212"/>
        <w:spacing w:after="0"/>
        <w:tabs>
          <w:tab w:leader="none" w:pos="212"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Audited Statements of Changes in Net Assets Available for Benefits for the Years Ended December 31, 2010 and 2009.</w:t>
      </w:r>
    </w:p>
    <w:p>
      <w:pPr>
        <w:spacing w:after="0" w:line="153" w:lineRule="exact"/>
        <w:rPr>
          <w:rFonts w:ascii="Arial" w:cs="Arial" w:eastAsia="Arial" w:hAnsi="Arial"/>
          <w:sz w:val="16"/>
          <w:szCs w:val="16"/>
          <w:b w:val="1"/>
          <w:bCs w:val="1"/>
          <w:color w:val="auto"/>
        </w:rPr>
      </w:pPr>
    </w:p>
    <w:p>
      <w:pPr>
        <w:ind w:left="212" w:hanging="212"/>
        <w:spacing w:after="0"/>
        <w:tabs>
          <w:tab w:leader="none" w:pos="212"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ind w:left="4852"/>
        <w:spacing w:after="0"/>
        <w:rPr>
          <w:sz w:val="20"/>
          <w:szCs w:val="20"/>
          <w:color w:val="auto"/>
        </w:rPr>
      </w:pPr>
      <w:r>
        <w:rPr>
          <w:rFonts w:ascii="Arial" w:cs="Arial" w:eastAsia="Arial" w:hAnsi="Arial"/>
          <w:sz w:val="18"/>
          <w:szCs w:val="18"/>
          <w:u w:val="single" w:color="auto"/>
          <w:color w:val="auto"/>
        </w:rPr>
        <w:t>Supplemental Schedule</w:t>
      </w:r>
    </w:p>
    <w:p>
      <w:pPr>
        <w:spacing w:after="0" w:line="117" w:lineRule="exact"/>
        <w:rPr>
          <w:sz w:val="20"/>
          <w:szCs w:val="20"/>
          <w:color w:val="auto"/>
        </w:rPr>
      </w:pPr>
    </w:p>
    <w:p>
      <w:pPr>
        <w:ind w:left="212" w:hanging="212"/>
        <w:spacing w:after="0"/>
        <w:tabs>
          <w:tab w:leader="none" w:pos="212"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Schedule H-Line 4i — Schedule of Assets (Held at End of Year).</w:t>
      </w:r>
    </w:p>
    <w:p>
      <w:pPr>
        <w:spacing w:after="0" w:line="333" w:lineRule="exact"/>
        <w:rPr>
          <w:sz w:val="20"/>
          <w:szCs w:val="20"/>
          <w:color w:val="auto"/>
        </w:rPr>
      </w:pPr>
    </w:p>
    <w:p>
      <w:pPr>
        <w:ind w:left="5412"/>
        <w:spacing w:after="0"/>
        <w:rPr>
          <w:sz w:val="20"/>
          <w:szCs w:val="20"/>
          <w:color w:val="auto"/>
        </w:rPr>
      </w:pPr>
      <w:r>
        <w:rPr>
          <w:rFonts w:ascii="Arial" w:cs="Arial" w:eastAsia="Arial" w:hAnsi="Arial"/>
          <w:sz w:val="18"/>
          <w:szCs w:val="18"/>
          <w:u w:val="single" w:color="auto"/>
          <w:color w:val="auto"/>
        </w:rPr>
        <w:t>Exhibits</w:t>
      </w:r>
    </w:p>
    <w:p>
      <w:pPr>
        <w:spacing w:after="0" w:line="117" w:lineRule="exact"/>
        <w:rPr>
          <w:sz w:val="20"/>
          <w:szCs w:val="20"/>
          <w:color w:val="auto"/>
        </w:rPr>
      </w:pPr>
    </w:p>
    <w:p>
      <w:pPr>
        <w:ind w:left="5652" w:right="4459" w:hanging="5652"/>
        <w:spacing w:after="0" w:line="414" w:lineRule="auto"/>
        <w:tabs>
          <w:tab w:leader="none" w:pos="207"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Consent of Independent Registered Public Accounting Firm, filed herewith.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337185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962" w:right="1440"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Administration Committee and Participants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Partnership Plan</w:t>
      </w:r>
    </w:p>
    <w:p>
      <w:pPr>
        <w:spacing w:after="0" w:line="10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Analog Devices, Inc. The Investment Partnership Plan as of December 31, 2010 and 2009,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at December 31, 2010 and 2009, and the changes in its net assets available for benefits for the years then ended, in conformity with US generally accepted accounting principles.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2010,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10, 2011</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60"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 and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20" w:type="dxa"/>
            <w:vAlign w:val="bottom"/>
            <w:gridSpan w:val="2"/>
          </w:tcPr>
          <w:p>
            <w:pPr>
              <w:spacing w:after="0"/>
              <w:rPr>
                <w:sz w:val="14"/>
                <w:szCs w:val="14"/>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6560" w:type="dxa"/>
            <w:vAlign w:val="bottom"/>
            <w:gridSpan w:val="5"/>
            <w:shd w:val="clear" w:color="auto" w:fill="CCEEFF"/>
          </w:tcPr>
          <w:p>
            <w:pPr>
              <w:jc w:val="right"/>
              <w:ind w:right="56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6240" w:type="dxa"/>
            <w:vAlign w:val="bottom"/>
            <w:gridSpan w:val="4"/>
          </w:tcPr>
          <w:p>
            <w:pPr>
              <w:jc w:val="right"/>
              <w:ind w:right="20"/>
              <w:spacing w:after="0"/>
              <w:rPr>
                <w:sz w:val="20"/>
                <w:szCs w:val="20"/>
                <w:color w:val="auto"/>
              </w:rPr>
            </w:pPr>
            <w:r>
              <w:rPr>
                <w:rFonts w:ascii="Arial" w:cs="Arial" w:eastAsia="Arial" w:hAnsi="Arial"/>
                <w:sz w:val="18"/>
                <w:szCs w:val="18"/>
                <w:color w:val="auto"/>
              </w:rPr>
              <w:t>$ 794,496,241</w:t>
            </w:r>
          </w:p>
        </w:tc>
        <w:tc>
          <w:tcPr>
            <w:tcW w:w="3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$ 706,756,647</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dividends</w:t>
            </w:r>
          </w:p>
        </w:tc>
        <w:tc>
          <w:tcPr>
            <w:tcW w:w="656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17,869</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19,956</w:t>
            </w: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Notes receivable from participants</w:t>
            </w:r>
          </w:p>
        </w:tc>
        <w:tc>
          <w:tcPr>
            <w:tcW w:w="5220" w:type="dxa"/>
            <w:vAlign w:val="bottom"/>
            <w:gridSpan w:val="2"/>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8,688,893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8,632,849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803,203,003</w:t>
            </w:r>
          </w:p>
        </w:tc>
        <w:tc>
          <w:tcPr>
            <w:tcW w:w="3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715,409,452</w:t>
            </w: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rPr>
              <w:t>LIABILITIES</w:t>
            </w: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3"/>
              </w:rPr>
              <w:t>Payables — Pending investment transactions</w:t>
            </w:r>
          </w:p>
        </w:tc>
        <w:tc>
          <w:tcPr>
            <w:tcW w:w="65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5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803,203,001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715,409,182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2010 and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1320" w:type="dxa"/>
            <w:vAlign w:val="bottom"/>
            <w:gridSpan w:val="2"/>
          </w:tcPr>
          <w:p>
            <w:pPr>
              <w:jc w:val="right"/>
              <w:ind w:right="290"/>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Net appreciation in fair value of investments</w:t>
            </w:r>
          </w:p>
        </w:tc>
        <w:tc>
          <w:tcPr>
            <w:tcW w:w="4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79,766,322</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$ 137,983,537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interest and capital gains distributions</w:t>
            </w:r>
          </w:p>
        </w:tc>
        <w:tc>
          <w:tcPr>
            <w:tcW w:w="4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10,885,895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10,749,417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Net investment income</w:t>
            </w: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90,652,217</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148,732,954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notes receivable from participants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423,874</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668,706</w:t>
            </w:r>
          </w:p>
        </w:tc>
        <w:tc>
          <w:tcPr>
            <w:tcW w:w="0" w:type="dxa"/>
            <w:vAlign w:val="bottom"/>
          </w:tcPr>
          <w:p>
            <w:pPr>
              <w:spacing w:after="0"/>
              <w:rPr>
                <w:sz w:val="1"/>
                <w:szCs w:val="1"/>
                <w:color w:val="auto"/>
              </w:rPr>
            </w:pP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20,047,857</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21,331,936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Employee</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28,090,834</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25,963,275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Rollover</w:t>
            </w:r>
          </w:p>
        </w:tc>
        <w:tc>
          <w:tcPr>
            <w:tcW w:w="4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1,461,468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Total contributions</w:t>
            </w: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49,600,159</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47,938,192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Participant withdrawals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(52,882,431)</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(51,258,293)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Net increase in net assets available for benefits</w:t>
            </w:r>
          </w:p>
        </w:tc>
        <w:tc>
          <w:tcPr>
            <w:tcW w:w="4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87,793,819</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146,081,559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4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715,409,182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569,327,623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32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end of year</w:t>
            </w:r>
          </w:p>
        </w:tc>
        <w:tc>
          <w:tcPr>
            <w:tcW w:w="4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803,203,001</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715,409,182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420" w:type="dxa"/>
            <w:vAlign w:val="bottom"/>
            <w:gridSpan w:val="2"/>
          </w:tcPr>
          <w:p>
            <w:pPr>
              <w:jc w:val="center"/>
              <w:ind w:right="1640"/>
              <w:spacing w:after="0"/>
              <w:rPr>
                <w:sz w:val="20"/>
                <w:szCs w:val="20"/>
                <w:color w:val="auto"/>
              </w:rPr>
            </w:pPr>
            <w:r>
              <w:rPr>
                <w:rFonts w:ascii="Arial" w:cs="Arial" w:eastAsia="Arial" w:hAnsi="Arial"/>
                <w:sz w:val="18"/>
                <w:szCs w:val="18"/>
                <w:color w:val="auto"/>
                <w:w w:val="87"/>
              </w:rPr>
              <w:t>See accompanying notes.</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320" w:type="dxa"/>
            <w:vAlign w:val="bottom"/>
          </w:tcPr>
          <w:p>
            <w:pPr>
              <w:jc w:val="right"/>
              <w:ind w:right="279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Years ended December 31, 2010 and 2009</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Description of Plan</w:t>
      </w:r>
    </w:p>
    <w:p>
      <w:pPr>
        <w:spacing w:after="0" w:line="121" w:lineRule="exact"/>
        <w:rPr>
          <w:sz w:val="20"/>
          <w:szCs w:val="20"/>
          <w:color w:val="auto"/>
        </w:rPr>
      </w:pPr>
    </w:p>
    <w:p>
      <w:pPr>
        <w:ind w:left="460" w:right="780"/>
        <w:spacing w:after="0" w:line="308" w:lineRule="auto"/>
        <w:rPr>
          <w:sz w:val="20"/>
          <w:szCs w:val="20"/>
          <w:color w:val="auto"/>
        </w:rPr>
      </w:pPr>
      <w:r>
        <w:rPr>
          <w:rFonts w:ascii="Arial" w:cs="Arial" w:eastAsia="Arial" w:hAnsi="Arial"/>
          <w:sz w:val="17"/>
          <w:szCs w:val="17"/>
          <w:color w:val="auto"/>
        </w:rPr>
        <w:t>The following description of the Analog Devices, Inc. (the “Company”) The Investment Partnership Plan (the “Plan”) provides only general information. Participants should refer to the Plan agreement for a more complete description of the Plan’s provisions.</w:t>
      </w:r>
    </w:p>
    <w:p>
      <w:pPr>
        <w:spacing w:after="0" w:line="38" w:lineRule="exact"/>
        <w:rPr>
          <w:sz w:val="20"/>
          <w:szCs w:val="20"/>
          <w:color w:val="auto"/>
        </w:rPr>
      </w:pPr>
    </w:p>
    <w:p>
      <w:pPr>
        <w:ind w:left="460" w:right="20" w:firstLine="4"/>
        <w:spacing w:after="0" w:line="26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Plan is a contributory defined contribution plan sponsored and administered by the Company. The Administrative Committee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is responsible for the administration of the plan. It is subject to the provisions of the Employee Retirement Income Security Act of 1974 (“ERISA”).</w:t>
      </w:r>
    </w:p>
    <w:p>
      <w:pPr>
        <w:spacing w:after="0" w:line="73" w:lineRule="exact"/>
        <w:rPr>
          <w:rFonts w:ascii="Arial" w:cs="Arial" w:eastAsia="Arial" w:hAnsi="Arial"/>
          <w:sz w:val="18"/>
          <w:szCs w:val="18"/>
          <w:color w:val="auto"/>
        </w:rPr>
      </w:pPr>
    </w:p>
    <w:p>
      <w:pPr>
        <w:jc w:val="both"/>
        <w:ind w:left="460" w:right="140" w:firstLine="4"/>
        <w:spacing w:after="0" w:line="26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Domestic employees of the Company are eligible to participate in the Plan on the first day of employment. The Company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effective on the first day following one year of service. For eligibility purposes, a year of service is a 12-month period during which an employee completes at least 1,000 hours of service.</w:t>
      </w:r>
    </w:p>
    <w:p>
      <w:pPr>
        <w:spacing w:after="0" w:line="73" w:lineRule="exact"/>
        <w:rPr>
          <w:rFonts w:ascii="Arial" w:cs="Arial" w:eastAsia="Arial" w:hAnsi="Arial"/>
          <w:sz w:val="18"/>
          <w:szCs w:val="18"/>
          <w:color w:val="auto"/>
        </w:rPr>
      </w:pPr>
    </w:p>
    <w:p>
      <w:pPr>
        <w:ind w:left="460" w:firstLine="4"/>
        <w:spacing w:after="0" w:line="290"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Contributions</w:t>
      </w:r>
      <w:r>
        <w:rPr>
          <w:rFonts w:ascii="Arial" w:cs="Arial" w:eastAsia="Arial" w:hAnsi="Arial"/>
          <w:sz w:val="16"/>
          <w:szCs w:val="16"/>
          <w:color w:val="auto"/>
        </w:rPr>
        <w:t>. Basic contributions are made at the sole discretion of the Company. For 2010 and 2009, the Company decided to make the annual</w:t>
      </w:r>
      <w:r>
        <w:rPr>
          <w:rFonts w:ascii="Arial" w:cs="Arial" w:eastAsia="Arial" w:hAnsi="Arial"/>
          <w:sz w:val="16"/>
          <w:szCs w:val="16"/>
          <w:i w:val="1"/>
          <w:iCs w:val="1"/>
          <w:color w:val="auto"/>
        </w:rPr>
        <w:t xml:space="preserve"> </w:t>
      </w:r>
      <w:r>
        <w:rPr>
          <w:rFonts w:ascii="Arial" w:cs="Arial" w:eastAsia="Arial" w:hAnsi="Arial"/>
          <w:sz w:val="16"/>
          <w:szCs w:val="16"/>
          <w:color w:val="auto"/>
        </w:rPr>
        <w:t>basic contribution at 5% of each participant’s total eligible compensation. The Internal Revenue Service defined total eligible compensation as an amount not to exceed $245,000 for 2010 and 2009. For 2011, this amount will remain at $245,000. In addition to the basic contribution, the Company matches each participant’s pre-tax contribution, if any, by contributing an amount not to exceed 3% of such participant’s total eligible compensation. A participant may voluntarily contribute to the Plan up to 50% of his or her pre-tax total eligible compensation; however, pre-tax contributions could not exceed $16,500 in 2010 and 2009. This amount will remain at $16,500 for 2011. An employee who does not elect to make pre-tax contributions to the Plan nor gives the Company notice of his or her intent not to contribute within sixty days of his or her employment commencement date will be automatically enrolled to make a pre-tax contribution of 4% of his or her eligible compensation.</w:t>
      </w:r>
    </w:p>
    <w:p>
      <w:pPr>
        <w:spacing w:after="0" w:line="58" w:lineRule="exact"/>
        <w:rPr>
          <w:sz w:val="20"/>
          <w:szCs w:val="20"/>
          <w:color w:val="auto"/>
        </w:rPr>
      </w:pPr>
    </w:p>
    <w:p>
      <w:pPr>
        <w:ind w:left="460" w:right="840"/>
        <w:spacing w:after="0" w:line="277" w:lineRule="auto"/>
        <w:rPr>
          <w:sz w:val="20"/>
          <w:szCs w:val="20"/>
          <w:color w:val="auto"/>
        </w:rPr>
      </w:pPr>
      <w:r>
        <w:rPr>
          <w:rFonts w:ascii="Arial" w:cs="Arial" w:eastAsia="Arial" w:hAnsi="Arial"/>
          <w:sz w:val="18"/>
          <w:szCs w:val="18"/>
          <w:color w:val="auto"/>
        </w:rPr>
        <w:t>Company contributions, participants’ pre-tax contributions and the net investment income related to all contributions are excluded from the participants’ income for federal income tax purposes until such amounts are withdrawn or distributed.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62" w:right="319" w:bottom="1440" w:gutter="0" w:footer="0" w:header="0"/>
        </w:sectPr>
      </w:pPr>
    </w:p>
    <w:bookmarkStart w:id="6" w:name="page7"/>
    <w:bookmarkEnd w:id="6"/>
    <w:p>
      <w:pPr>
        <w:ind w:left="424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Years ended December 31, 2010 and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Investment Options</w:t>
      </w:r>
      <w:r>
        <w:rPr>
          <w:rFonts w:ascii="Arial" w:cs="Arial" w:eastAsia="Arial" w:hAnsi="Arial"/>
          <w:sz w:val="18"/>
          <w:szCs w:val="18"/>
          <w:color w:val="auto"/>
        </w:rPr>
        <w:t>. The investment options of the Plan are listed below.</w:t>
      </w:r>
    </w:p>
    <w:p>
      <w:pPr>
        <w:spacing w:after="0" w:line="11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Analog Devices, Inc. Stock Fund Calamos Growth Fund</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Diversified International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Equity Income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Growth Company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Low-Priced Stock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Income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2000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2005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2010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2015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2020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2025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2030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2035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2040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2045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Freedom 2050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Institutional Money Market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Magellan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U.S. Bond Index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Fidelity U.S. Equity Index Commingled Pool</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Hotchkis and Wiley Mid-Cap Value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Oppenheimer Developing Markets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Pyramid Petroleum Inc. Large Cap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Spartan International Index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Templeton Foreign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Royce Low-Priced Stock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Vanguard Mid-Cap Index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Vanguard Short-Term Bond Index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Vanguard Small-Cap Index Fund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Vanguard Inflation Protected Securities Fund</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participants have the option to invest assets in a self-directed brokerage service that allows participants access to a wide variety of stocks, bonds, short-term securities and mutual funds.</w:t>
      </w:r>
    </w:p>
    <w:p>
      <w:pPr>
        <w:spacing w:after="0" w:line="62" w:lineRule="exact"/>
        <w:rPr>
          <w:sz w:val="20"/>
          <w:szCs w:val="20"/>
          <w:color w:val="auto"/>
        </w:rPr>
      </w:pPr>
    </w:p>
    <w:p>
      <w:pPr>
        <w:ind w:right="220" w:firstLine="4"/>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w:t>
      </w:r>
      <w:r>
        <w:rPr>
          <w:rFonts w:ascii="Arial" w:cs="Arial" w:eastAsia="Arial" w:hAnsi="Arial"/>
          <w:sz w:val="18"/>
          <w:szCs w:val="18"/>
          <w:i w:val="1"/>
          <w:iCs w:val="1"/>
          <w:color w:val="auto"/>
        </w:rPr>
        <w:t xml:space="preserve"> Employee contributions</w:t>
      </w:r>
      <w:r>
        <w:rPr>
          <w:rFonts w:ascii="Arial" w:cs="Arial" w:eastAsia="Arial" w:hAnsi="Arial"/>
          <w:sz w:val="18"/>
          <w:szCs w:val="18"/>
          <w:color w:val="auto"/>
        </w:rPr>
        <w:t>: Employee contributions are immediately 100% vested and nonforfeitable at the time they are deducted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compensation. Investment income on employee contributions vests as earned.</w:t>
      </w:r>
    </w:p>
    <w:p>
      <w:pPr>
        <w:spacing w:after="0" w:line="14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00" w:top="962" w:right="319" w:bottom="1440" w:gutter="0" w:footer="0" w:header="0"/>
        </w:sectPr>
      </w:pPr>
    </w:p>
    <w:bookmarkStart w:id="7" w:name="page8"/>
    <w:bookmarkEnd w:id="7"/>
    <w:p>
      <w:pPr>
        <w:ind w:left="424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Years ended December 31, 2010 and 2009</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 xml:space="preserve">Company Contributions: </w:t>
      </w:r>
      <w:r>
        <w:rPr>
          <w:rFonts w:ascii="Arial" w:cs="Arial" w:eastAsia="Arial" w:hAnsi="Arial"/>
          <w:sz w:val="16"/>
          <w:szCs w:val="16"/>
          <w:color w:val="auto"/>
        </w:rPr>
        <w:t>Company basic and match contributions and investment earnings thereon become fully vested upon the first to occur of</w:t>
      </w:r>
    </w:p>
    <w:p>
      <w:pPr>
        <w:spacing w:after="0" w:line="46" w:lineRule="exact"/>
        <w:rPr>
          <w:sz w:val="20"/>
          <w:szCs w:val="20"/>
          <w:color w:val="auto"/>
        </w:rPr>
      </w:pPr>
    </w:p>
    <w:p>
      <w:pPr>
        <w:ind w:right="60" w:firstLine="4"/>
        <w:spacing w:after="0" w:line="255"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three years of service with the Company, (ii) reaching age 65 while employed by the Company, (iii) death or permanent disability while employed by the Company or (iv) if employment is terminated by the Company due to job elimination, the closing of a facility or as the result of the disposition of a business unit.</w:t>
      </w:r>
    </w:p>
    <w:p>
      <w:pPr>
        <w:spacing w:after="0" w:line="82" w:lineRule="exact"/>
        <w:rPr>
          <w:sz w:val="20"/>
          <w:szCs w:val="20"/>
          <w:color w:val="auto"/>
        </w:rPr>
      </w:pPr>
    </w:p>
    <w:p>
      <w:pPr>
        <w:ind w:right="60" w:firstLine="4"/>
        <w:spacing w:after="0" w:line="276"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Benefits</w:t>
      </w:r>
      <w:r>
        <w:rPr>
          <w:rFonts w:ascii="Arial" w:cs="Arial" w:eastAsia="Arial" w:hAnsi="Arial"/>
          <w:sz w:val="17"/>
          <w:szCs w:val="17"/>
          <w:color w:val="auto"/>
        </w:rPr>
        <w:t>. Upon normal retirement at age 65, death, permanent disability or termination of employment, the participant’s vested benefits are paid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participant or his or her beneficiary, at the election of the participant, either in a lump sum or in monthly installments over a period of up to ten years. A participant may elect to defer payment of his or her account until he or she attains age 70 1/2. However, if a participant’s vested benefits are less than $1,000 upon termination of employment, distribution will be made in the form of a lump-sum payment within one year following termination of employment. Participants may request an in-service withdrawal for any reason after he or she attains age 59 1/2.</w:t>
      </w:r>
    </w:p>
    <w:p>
      <w:pPr>
        <w:spacing w:after="0" w:line="64" w:lineRule="exact"/>
        <w:rPr>
          <w:rFonts w:ascii="Arial" w:cs="Arial" w:eastAsia="Arial" w:hAnsi="Arial"/>
          <w:sz w:val="17"/>
          <w:szCs w:val="17"/>
          <w:color w:val="auto"/>
        </w:rPr>
      </w:pPr>
    </w:p>
    <w:p>
      <w:pPr>
        <w:ind w:firstLine="4"/>
        <w:spacing w:after="0" w:line="297"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Notes Receivable from Participants</w:t>
      </w:r>
      <w:r>
        <w:rPr>
          <w:rFonts w:ascii="Arial" w:cs="Arial" w:eastAsia="Arial" w:hAnsi="Arial"/>
          <w:sz w:val="16"/>
          <w:szCs w:val="16"/>
          <w:color w:val="auto"/>
        </w:rPr>
        <w:t>. Participants may borrow the lesser of 50% of their vested account balance, as defined by the plan, or $50,000.</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repay loans plus interest to their accounts through payroll deductions, generally over a five-year period unless for the purchase of a primary residence, in which case the repayment period may be extended up to a maximum of twenty years. Beginning October 1, 2009, the interest rate on loans, which is announced quarterly, is Prime plus 1%. Prior to October 1, 2009, the interest rate on loans, which was announced quarterly, was tied to the interest rate of Treasury Bonds with 3- and 10-year maturities. Once determined, the interest rate is fixed for the duration of the loan.</w:t>
      </w:r>
    </w:p>
    <w:p>
      <w:pPr>
        <w:spacing w:after="0" w:line="50" w:lineRule="exact"/>
        <w:rPr>
          <w:rFonts w:ascii="Arial" w:cs="Arial" w:eastAsia="Arial" w:hAnsi="Arial"/>
          <w:sz w:val="16"/>
          <w:szCs w:val="16"/>
          <w:color w:val="auto"/>
        </w:rPr>
      </w:pPr>
    </w:p>
    <w:p>
      <w:pPr>
        <w:ind w:right="140" w:firstLine="4"/>
        <w:spacing w:after="0" w:line="273"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Accounting</w:t>
      </w:r>
      <w:r>
        <w:rPr>
          <w:rFonts w:ascii="Arial" w:cs="Arial" w:eastAsia="Arial" w:hAnsi="Arial"/>
          <w:sz w:val="17"/>
          <w:szCs w:val="17"/>
          <w:color w:val="auto"/>
        </w:rPr>
        <w:t>. A separate account is maintained for each participant. Account balances are adjusted periodically for employee and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withdrawals and a pro rata share of net investment income or loss. Forfeitures that arise when participants terminate employment with the Company prior to vesting are used to offset future Company contributions and administrative expenses of the Plan. If an employee who had terminated returns to the employment of the Company within five years, any amount that had been forfeited will be reinstated by the Company. Unallocated forfeiture balances as of December 31, 2010 and 2009 were $133,992 and $81,795, respectively, and forfeitures used to reduce Company contributions for 2010 and 2009 were $1,296,963 and $197,814, respectively.</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62"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2010 and 2009</w:t>
      </w:r>
    </w:p>
    <w:p>
      <w:pPr>
        <w:spacing w:after="0" w:line="11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All transactions of the Plan (including contributions, withdrawals and exchanges) have been accounted for and reported using units as well as dollars. Net investment income (loss) in each fund is allocated based on the shares or units in each participant’s account, except for the Self-Directed Brokerage Service, whereby earnings are recorded on a transaction specific basis.</w:t>
      </w:r>
    </w:p>
    <w:p>
      <w:pPr>
        <w:spacing w:after="0" w:line="73" w:lineRule="exact"/>
        <w:rPr>
          <w:sz w:val="20"/>
          <w:szCs w:val="20"/>
          <w:color w:val="auto"/>
        </w:rPr>
      </w:pPr>
    </w:p>
    <w:p>
      <w:pPr>
        <w:ind w:left="460" w:right="160" w:firstLine="4"/>
        <w:spacing w:after="0" w:line="312" w:lineRule="auto"/>
        <w:tabs>
          <w:tab w:leader="none" w:pos="64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Investment allocation</w:t>
      </w:r>
      <w:r>
        <w:rPr>
          <w:rFonts w:ascii="Arial" w:cs="Arial" w:eastAsia="Arial" w:hAnsi="Arial"/>
          <w:sz w:val="16"/>
          <w:szCs w:val="16"/>
          <w:color w:val="auto"/>
        </w:rPr>
        <w:t>. The vested and nonvested share of a participant’s account balance is invested in one or more of the investment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depending upon the allocation instructions of the participant. In the absence of such allocation instructions, all amounts accruing to the participant are invested in a Fidelity Freedom Fund, based on their projected retirement timeframe. Participants may change this election at any time.</w:t>
      </w:r>
    </w:p>
    <w:p>
      <w:pPr>
        <w:spacing w:after="0" w:line="38" w:lineRule="exact"/>
        <w:rPr>
          <w:rFonts w:ascii="Arial" w:cs="Arial" w:eastAsia="Arial" w:hAnsi="Arial"/>
          <w:sz w:val="16"/>
          <w:szCs w:val="16"/>
          <w:color w:val="auto"/>
        </w:rPr>
      </w:pPr>
    </w:p>
    <w:p>
      <w:pPr>
        <w:ind w:left="460" w:right="140" w:firstLine="4"/>
        <w:spacing w:after="0" w:line="342" w:lineRule="auto"/>
        <w:tabs>
          <w:tab w:leader="none" w:pos="73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Continuation of the Plan</w:t>
      </w:r>
      <w:r>
        <w:rPr>
          <w:rFonts w:ascii="Arial" w:cs="Arial" w:eastAsia="Arial" w:hAnsi="Arial"/>
          <w:sz w:val="16"/>
          <w:szCs w:val="16"/>
          <w:color w:val="auto"/>
        </w:rPr>
        <w:t>. While the Company has not expressed any intent to terminate the Plan or suspend contributions, it is free to do so at any</w:t>
      </w:r>
      <w:r>
        <w:rPr>
          <w:rFonts w:ascii="Arial" w:cs="Arial" w:eastAsia="Arial" w:hAnsi="Arial"/>
          <w:sz w:val="16"/>
          <w:szCs w:val="16"/>
          <w:i w:val="1"/>
          <w:iCs w:val="1"/>
          <w:color w:val="auto"/>
        </w:rPr>
        <w:t xml:space="preserve"> </w:t>
      </w:r>
      <w:r>
        <w:rPr>
          <w:rFonts w:ascii="Arial" w:cs="Arial" w:eastAsia="Arial" w:hAnsi="Arial"/>
          <w:sz w:val="16"/>
          <w:szCs w:val="16"/>
          <w:color w:val="auto"/>
        </w:rPr>
        <w:t>time. In the event of such termination or suspension, each participant would have a nonforfeitable right to all monies in his or her account.</w:t>
      </w:r>
    </w:p>
    <w:p>
      <w:pPr>
        <w:spacing w:after="0" w:line="1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B.   Summary of Significant Accounting Policies</w:t>
      </w:r>
    </w:p>
    <w:p>
      <w:pPr>
        <w:spacing w:after="0" w:line="121" w:lineRule="exact"/>
        <w:rPr>
          <w:rFonts w:ascii="Arial" w:cs="Arial" w:eastAsia="Arial" w:hAnsi="Arial"/>
          <w:sz w:val="16"/>
          <w:szCs w:val="16"/>
          <w:color w:val="auto"/>
        </w:rPr>
      </w:pPr>
    </w:p>
    <w:p>
      <w:pPr>
        <w:ind w:left="640" w:hanging="176"/>
        <w:spacing w:after="0"/>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 The accompanying financial statements have been prepared on the accrual basis of accounting.</w:t>
      </w:r>
    </w:p>
    <w:p>
      <w:pPr>
        <w:spacing w:after="0" w:line="117" w:lineRule="exact"/>
        <w:rPr>
          <w:rFonts w:ascii="Arial" w:cs="Arial" w:eastAsia="Arial" w:hAnsi="Arial"/>
          <w:sz w:val="18"/>
          <w:szCs w:val="18"/>
          <w:color w:val="auto"/>
        </w:rPr>
      </w:pPr>
    </w:p>
    <w:p>
      <w:pPr>
        <w:ind w:left="460" w:right="40" w:firstLine="4"/>
        <w:spacing w:after="0" w:line="279" w:lineRule="auto"/>
        <w:tabs>
          <w:tab w:leader="none" w:pos="640"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Notes receivable from participants. </w:t>
      </w:r>
      <w:r>
        <w:rPr>
          <w:rFonts w:ascii="Arial" w:cs="Arial" w:eastAsia="Arial" w:hAnsi="Arial"/>
          <w:sz w:val="17"/>
          <w:szCs w:val="17"/>
          <w:color w:val="auto"/>
        </w:rPr>
        <w:t>Notes receivable from participants represent participant loans that are recorded at their unpaid principle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plus any accrued but unpaid interest. Interest income on notes receivable from participants is recorded when it is earned. No allowance for credit losses has been recorded as of December 31, 2009 or 2010. If a participant ceases to make loan repayments and the plan administrator deems the participant loan to be a distribution, the participant loan balance is reduced and a benefit payment is recorded.</w:t>
      </w:r>
    </w:p>
    <w:p>
      <w:pPr>
        <w:spacing w:after="0" w:line="63" w:lineRule="exact"/>
        <w:rPr>
          <w:rFonts w:ascii="Arial" w:cs="Arial" w:eastAsia="Arial" w:hAnsi="Arial"/>
          <w:sz w:val="17"/>
          <w:szCs w:val="17"/>
          <w:color w:val="auto"/>
        </w:rPr>
      </w:pPr>
    </w:p>
    <w:p>
      <w:pPr>
        <w:ind w:left="640" w:hanging="176"/>
        <w:spacing w:after="0"/>
        <w:tabs>
          <w:tab w:leader="none" w:pos="640"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New accounting pronouncements </w:t>
      </w:r>
      <w:r>
        <w:rPr>
          <w:rFonts w:ascii="Arial" w:cs="Arial" w:eastAsia="Arial" w:hAnsi="Arial"/>
          <w:sz w:val="17"/>
          <w:szCs w:val="17"/>
          <w:color w:val="auto"/>
        </w:rPr>
        <w:t>In May 2011, the Financial Accounting Standards Board (FASB) issued Accounting Standards Update</w:t>
      </w:r>
    </w:p>
    <w:p>
      <w:pPr>
        <w:spacing w:after="0" w:line="35" w:lineRule="exact"/>
        <w:rPr>
          <w:sz w:val="20"/>
          <w:szCs w:val="20"/>
          <w:color w:val="auto"/>
        </w:rPr>
      </w:pPr>
    </w:p>
    <w:p>
      <w:pPr>
        <w:ind w:left="460" w:right="60"/>
        <w:spacing w:after="0" w:line="270" w:lineRule="auto"/>
        <w:rPr>
          <w:sz w:val="20"/>
          <w:szCs w:val="20"/>
          <w:color w:val="auto"/>
        </w:rPr>
      </w:pPr>
      <w:r>
        <w:rPr>
          <w:rFonts w:ascii="Arial" w:cs="Arial" w:eastAsia="Arial" w:hAnsi="Arial"/>
          <w:sz w:val="17"/>
          <w:szCs w:val="17"/>
          <w:color w:val="auto"/>
        </w:rPr>
        <w:t xml:space="preserve">(ASU) 2011-04, </w:t>
      </w:r>
      <w:r>
        <w:rPr>
          <w:rFonts w:ascii="Arial" w:cs="Arial" w:eastAsia="Arial" w:hAnsi="Arial"/>
          <w:sz w:val="17"/>
          <w:szCs w:val="17"/>
          <w:i w:val="1"/>
          <w:iCs w:val="1"/>
          <w:color w:val="auto"/>
        </w:rPr>
        <w:t>Amendments to Achieve Common Fair Value Measurements and Disclosure Requirements in U.S. GAAP and IFRSs, (ASU 2011-04).</w:t>
      </w:r>
      <w:r>
        <w:rPr>
          <w:rFonts w:ascii="Arial" w:cs="Arial" w:eastAsia="Arial" w:hAnsi="Arial"/>
          <w:sz w:val="17"/>
          <w:szCs w:val="17"/>
          <w:color w:val="auto"/>
        </w:rPr>
        <w:t xml:space="preserve"> ASU 2011-04 amended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to converge the fair value measurement guidance in GAAP and International Financial Reporting Standards (IFRSs). Some of the amendments clarify the application of existing fair value measurement requirements, while other amendments change a particular principle in ASC 820. In addition, ASU 2011-04 requires additional fair value disclosures. The amendments are to be applied prospectively and are effective for annual periods beginning after December 15, 2011. Plan management is currently evaluating the effect that the provisions of ASU 2011-04 will have on the Plan’s financial statements.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9" w:name="page10"/>
    <w:bookmarkEnd w:id="9"/>
    <w:p>
      <w:pPr>
        <w:jc w:val="center"/>
        <w:ind w:right="44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Years ended December 31, 2010 and 2009</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January 2010, FASB issued ASU No. 2010-06, </w:t>
      </w:r>
      <w:r>
        <w:rPr>
          <w:rFonts w:ascii="Arial" w:cs="Arial" w:eastAsia="Arial" w:hAnsi="Arial"/>
          <w:sz w:val="17"/>
          <w:szCs w:val="17"/>
          <w:i w:val="1"/>
          <w:iCs w:val="1"/>
          <w:color w:val="auto"/>
        </w:rPr>
        <w:t>Fair Value Measurements and Disclosures (ASC Topic 820) — Improving Disclosures About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Measurements</w:t>
      </w:r>
      <w:r>
        <w:rPr>
          <w:rFonts w:ascii="Arial" w:cs="Arial" w:eastAsia="Arial" w:hAnsi="Arial"/>
          <w:sz w:val="17"/>
          <w:szCs w:val="17"/>
          <w:color w:val="auto"/>
        </w:rPr>
        <w:t>. This ASU requires new disclosures about transfers into and out of Levels 1 and 2 and separate disclosures about purchases, sales,</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issuances, and settlements relating to Level 3 measurements. It also clarifies existing fair value disclosures about the level of disaggregation and about inputs and valuation techniques used to measure fair value. The new disclosures and clarifications of existing disclosures were effective for the Plan’s fiscal year ending December 31, 2010, except for the disclosures about purchases, sales, issuances, and settlements relating to Level 3 measurements, which are effective for the Plan’s fiscal year ending December 31, 2011. The adoption of this new guidance required additional disclosures but did not have a material impact on the Plan’s financial statements.</w:t>
      </w:r>
    </w:p>
    <w:p>
      <w:pPr>
        <w:spacing w:after="0" w:line="7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In September 2010, the FASB issued ASU 2010-25, </w:t>
      </w:r>
      <w:r>
        <w:rPr>
          <w:rFonts w:ascii="Arial" w:cs="Arial" w:eastAsia="Arial" w:hAnsi="Arial"/>
          <w:sz w:val="17"/>
          <w:szCs w:val="17"/>
          <w:i w:val="1"/>
          <w:iCs w:val="1"/>
          <w:color w:val="auto"/>
        </w:rPr>
        <w:t>Reporting Loans to Participants by Defined Contribution Pension Plans,</w:t>
      </w:r>
      <w:r>
        <w:rPr>
          <w:rFonts w:ascii="Arial" w:cs="Arial" w:eastAsia="Arial" w:hAnsi="Arial"/>
          <w:sz w:val="17"/>
          <w:szCs w:val="17"/>
          <w:color w:val="auto"/>
        </w:rPr>
        <w:t xml:space="preserve"> (ASU 2010-25). ASU 2010-25 requires participant loans to be measured at their unpaid principal balance plus any accrued by unpaid interest and classified as notes receivable from participants. Previously loans were measured at fair value and classified as investments. ASU 2010-25 is effective for fiscal years ending after December 15, 2010 and is required to be applied retrospectively. The adoption of ASU 2010-25 did not change the value of participant loans from the amount previously reported as of December 31, 2009.</w:t>
      </w:r>
    </w:p>
    <w:p>
      <w:pPr>
        <w:spacing w:after="0" w:line="64" w:lineRule="exact"/>
        <w:rPr>
          <w:sz w:val="20"/>
          <w:szCs w:val="20"/>
          <w:color w:val="auto"/>
        </w:rPr>
      </w:pPr>
    </w:p>
    <w:p>
      <w:pPr>
        <w:ind w:firstLine="4"/>
        <w:spacing w:after="0" w:line="279"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Investments. </w:t>
      </w:r>
      <w:r>
        <w:rPr>
          <w:rFonts w:ascii="Arial" w:cs="Arial" w:eastAsia="Arial" w:hAnsi="Arial"/>
          <w:sz w:val="17"/>
          <w:szCs w:val="17"/>
          <w:color w:val="auto"/>
        </w:rPr>
        <w:t>Investments are reported at fair value. ASC 820 defines fair value as the price that would be received to sell an asset or paid to transfer a</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 an orderly transaction between market participants at the measurement date. The Plan establishes a three level hierarchy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described below:</w:t>
      </w:r>
    </w:p>
    <w:p>
      <w:pPr>
        <w:spacing w:after="0" w:line="117"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62"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As of December 31, 2010 and 2009 the Plan held no level 3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Purchases and sale of securities are recorded on a trade-date basis.</w:t>
      </w:r>
    </w:p>
    <w:p>
      <w:pPr>
        <w:spacing w:after="0" w:line="1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62" w:right="259" w:bottom="1440" w:gutter="0" w:footer="0" w:header="0"/>
        </w:sectPr>
      </w:pPr>
    </w:p>
    <w:bookmarkStart w:id="10" w:name="page11"/>
    <w:bookmarkEnd w:id="10"/>
    <w:p>
      <w:pPr>
        <w:ind w:left="470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Years ended December 31, 2010 and 2009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Plan’s investments at December 31, 2010 and December 31, 2009 are measured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Level 1</w:t>
            </w:r>
          </w:p>
        </w:tc>
        <w:tc>
          <w:tcPr>
            <w:tcW w:w="2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Assets at Fair Value as of December 31, 2010</w:t>
            </w:r>
          </w:p>
        </w:tc>
        <w:tc>
          <w:tcPr>
            <w:tcW w:w="118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60" w:type="dxa"/>
            <w:vAlign w:val="bottom"/>
          </w:tcPr>
          <w:p>
            <w:pPr>
              <w:jc w:val="right"/>
              <w:ind w:right="552"/>
              <w:spacing w:after="0"/>
              <w:rPr>
                <w:sz w:val="20"/>
                <w:szCs w:val="20"/>
                <w:color w:val="auto"/>
              </w:rPr>
            </w:pPr>
            <w:r>
              <w:rPr>
                <w:rFonts w:ascii="Arial" w:cs="Arial" w:eastAsia="Arial" w:hAnsi="Arial"/>
                <w:sz w:val="14"/>
                <w:szCs w:val="14"/>
                <w:b w:val="1"/>
                <w:bCs w:val="1"/>
                <w:color w:val="auto"/>
              </w:rPr>
              <w:t>Level 2</w:t>
            </w:r>
          </w:p>
        </w:tc>
        <w:tc>
          <w:tcPr>
            <w:tcW w:w="5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Stock Investments</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243,915,568</w:t>
            </w:r>
          </w:p>
        </w:tc>
        <w:tc>
          <w:tcPr>
            <w:tcW w:w="2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7"/>
              </w:rPr>
              <w:t>243,915,568</w:t>
            </w:r>
          </w:p>
        </w:tc>
        <w:tc>
          <w:tcPr>
            <w:tcW w:w="0" w:type="dxa"/>
            <w:vAlign w:val="bottom"/>
          </w:tcPr>
          <w:p>
            <w:pPr>
              <w:spacing w:after="0"/>
              <w:rPr>
                <w:sz w:val="1"/>
                <w:szCs w:val="1"/>
                <w:color w:val="auto"/>
              </w:rPr>
            </w:pPr>
          </w:p>
        </w:tc>
      </w:tr>
      <w:tr>
        <w:trPr>
          <w:trHeight w:val="216"/>
        </w:trPr>
        <w:tc>
          <w:tcPr>
            <w:tcW w:w="420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56,979,456</w:t>
            </w:r>
          </w:p>
        </w:tc>
        <w:tc>
          <w:tcPr>
            <w:tcW w:w="22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w w:val="99"/>
              </w:rPr>
              <w:t>56,979,456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 Term Investments</w:t>
            </w: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128,138,600</w:t>
            </w:r>
          </w:p>
        </w:tc>
        <w:tc>
          <w:tcPr>
            <w:tcW w:w="2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7"/>
              </w:rPr>
              <w:t>128,138,600</w:t>
            </w: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Lifecycle Funds</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76,697,371</w:t>
            </w:r>
          </w:p>
        </w:tc>
        <w:tc>
          <w:tcPr>
            <w:tcW w:w="22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w w:val="99"/>
              </w:rPr>
              <w:t>76,697,371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Investments</w:t>
            </w:r>
          </w:p>
        </w:tc>
        <w:tc>
          <w:tcPr>
            <w:tcW w:w="20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62,406,364</w:t>
            </w:r>
          </w:p>
        </w:tc>
        <w:tc>
          <w:tcPr>
            <w:tcW w:w="22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62,406,364</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Mutual Funds</w:t>
            </w:r>
          </w:p>
        </w:tc>
        <w:tc>
          <w:tcPr>
            <w:tcW w:w="20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568,137,359</w:t>
            </w:r>
          </w:p>
        </w:tc>
        <w:tc>
          <w:tcPr>
            <w:tcW w:w="22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1"/>
              <w:spacing w:after="0"/>
              <w:rPr>
                <w:sz w:val="20"/>
                <w:szCs w:val="20"/>
                <w:color w:val="auto"/>
              </w:rPr>
            </w:pPr>
            <w:r>
              <w:rPr>
                <w:rFonts w:ascii="Arial" w:cs="Arial" w:eastAsia="Arial" w:hAnsi="Arial"/>
                <w:sz w:val="18"/>
                <w:szCs w:val="18"/>
                <w:color w:val="auto"/>
                <w:w w:val="87"/>
              </w:rPr>
              <w:t>568,137,359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Analog Common Stock Fund</w:t>
            </w: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107,677,872</w:t>
            </w:r>
          </w:p>
        </w:tc>
        <w:tc>
          <w:tcPr>
            <w:tcW w:w="2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7"/>
              </w:rPr>
              <w:t>107,677,872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Self-directed Brokerage Account:</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Investments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43,129,256</w:t>
            </w:r>
          </w:p>
        </w:tc>
        <w:tc>
          <w:tcPr>
            <w:tcW w:w="2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43,129,256</w:t>
            </w: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24,512,063</w:t>
            </w:r>
          </w:p>
        </w:tc>
        <w:tc>
          <w:tcPr>
            <w:tcW w:w="22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w w:val="99"/>
              </w:rPr>
              <w:t>24,512,063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Mutual Funds</w:t>
            </w: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17,458,955</w:t>
            </w:r>
          </w:p>
        </w:tc>
        <w:tc>
          <w:tcPr>
            <w:tcW w:w="2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17,458,955</w:t>
            </w: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Bonds</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1,161,157</w:t>
            </w:r>
          </w:p>
        </w:tc>
        <w:tc>
          <w:tcPr>
            <w:tcW w:w="22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1,161,157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527,371</w:t>
            </w:r>
          </w:p>
        </w:tc>
        <w:tc>
          <w:tcPr>
            <w:tcW w:w="22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527,371</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Self-directed Brokerage Account</w:t>
            </w:r>
          </w:p>
        </w:tc>
        <w:tc>
          <w:tcPr>
            <w:tcW w:w="20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86,788,802</w:t>
            </w:r>
          </w:p>
        </w:tc>
        <w:tc>
          <w:tcPr>
            <w:tcW w:w="22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w w:val="99"/>
              </w:rPr>
              <w:t>86,788,802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Commingled Fund</w:t>
            </w:r>
          </w:p>
        </w:tc>
        <w:tc>
          <w:tcPr>
            <w:tcW w:w="20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31,892,208</w:t>
            </w: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31,892,208</w:t>
            </w:r>
          </w:p>
        </w:tc>
        <w:tc>
          <w:tcPr>
            <w:tcW w:w="0" w:type="dxa"/>
            <w:vAlign w:val="bottom"/>
          </w:tcPr>
          <w:p>
            <w:pPr>
              <w:spacing w:after="0"/>
              <w:rPr>
                <w:sz w:val="1"/>
                <w:szCs w:val="1"/>
                <w:color w:val="auto"/>
              </w:rPr>
            </w:pPr>
          </w:p>
        </w:tc>
      </w:tr>
      <w:tr>
        <w:trPr>
          <w:trHeight w:val="439"/>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Investments at Fair Value</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762,604,033</w:t>
            </w:r>
          </w:p>
        </w:tc>
        <w:tc>
          <w:tcPr>
            <w:tcW w:w="2260" w:type="dxa"/>
            <w:vAlign w:val="bottom"/>
          </w:tcPr>
          <w:p>
            <w:pPr>
              <w:jc w:val="right"/>
              <w:ind w:right="372"/>
              <w:spacing w:after="0"/>
              <w:rPr>
                <w:sz w:val="20"/>
                <w:szCs w:val="20"/>
                <w:color w:val="auto"/>
              </w:rPr>
            </w:pPr>
            <w:r>
              <w:rPr>
                <w:rFonts w:ascii="Arial" w:cs="Arial" w:eastAsia="Arial" w:hAnsi="Arial"/>
                <w:sz w:val="18"/>
                <w:szCs w:val="18"/>
                <w:b w:val="1"/>
                <w:bCs w:val="1"/>
                <w:color w:val="auto"/>
              </w:rPr>
              <w:t>$31,892,208</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91"/>
              <w:spacing w:after="0"/>
              <w:rPr>
                <w:sz w:val="20"/>
                <w:szCs w:val="20"/>
                <w:color w:val="auto"/>
              </w:rPr>
            </w:pPr>
            <w:r>
              <w:rPr>
                <w:rFonts w:ascii="Arial" w:cs="Arial" w:eastAsia="Arial" w:hAnsi="Arial"/>
                <w:sz w:val="18"/>
                <w:szCs w:val="18"/>
                <w:b w:val="1"/>
                <w:bCs w:val="1"/>
                <w:color w:val="auto"/>
                <w:w w:val="87"/>
              </w:rPr>
              <w:t>794,496,241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40" w:type="dxa"/>
            <w:vAlign w:val="bottom"/>
            <w:vMerge w:val="restart"/>
          </w:tcPr>
          <w:p>
            <w:pPr>
              <w:jc w:val="right"/>
              <w:ind w:right="350"/>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2010 and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Level 1</w:t>
            </w:r>
          </w:p>
        </w:tc>
        <w:tc>
          <w:tcPr>
            <w:tcW w:w="2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Assets at Fair Value as of December 31, 2009</w:t>
            </w:r>
          </w:p>
        </w:tc>
        <w:tc>
          <w:tcPr>
            <w:tcW w:w="118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60" w:type="dxa"/>
            <w:vAlign w:val="bottom"/>
          </w:tcPr>
          <w:p>
            <w:pPr>
              <w:jc w:val="right"/>
              <w:ind w:right="552"/>
              <w:spacing w:after="0"/>
              <w:rPr>
                <w:sz w:val="20"/>
                <w:szCs w:val="20"/>
                <w:color w:val="auto"/>
              </w:rPr>
            </w:pPr>
            <w:r>
              <w:rPr>
                <w:rFonts w:ascii="Arial" w:cs="Arial" w:eastAsia="Arial" w:hAnsi="Arial"/>
                <w:sz w:val="14"/>
                <w:szCs w:val="14"/>
                <w:b w:val="1"/>
                <w:bCs w:val="1"/>
                <w:color w:val="auto"/>
              </w:rPr>
              <w:t>Level 2</w:t>
            </w:r>
          </w:p>
        </w:tc>
        <w:tc>
          <w:tcPr>
            <w:tcW w:w="5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Stock Investments</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202,166,349</w:t>
            </w:r>
          </w:p>
        </w:tc>
        <w:tc>
          <w:tcPr>
            <w:tcW w:w="2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7"/>
              </w:rPr>
              <w:t>202,166,349</w:t>
            </w:r>
          </w:p>
        </w:tc>
        <w:tc>
          <w:tcPr>
            <w:tcW w:w="0" w:type="dxa"/>
            <w:vAlign w:val="bottom"/>
          </w:tcPr>
          <w:p>
            <w:pPr>
              <w:spacing w:after="0"/>
              <w:rPr>
                <w:sz w:val="1"/>
                <w:szCs w:val="1"/>
                <w:color w:val="auto"/>
              </w:rPr>
            </w:pPr>
          </w:p>
        </w:tc>
      </w:tr>
      <w:tr>
        <w:trPr>
          <w:trHeight w:val="216"/>
        </w:trPr>
        <w:tc>
          <w:tcPr>
            <w:tcW w:w="420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51,987,184</w:t>
            </w:r>
          </w:p>
        </w:tc>
        <w:tc>
          <w:tcPr>
            <w:tcW w:w="22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w w:val="99"/>
              </w:rPr>
              <w:t>51,987,184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 Term Investments</w:t>
            </w: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137,303,798</w:t>
            </w:r>
          </w:p>
        </w:tc>
        <w:tc>
          <w:tcPr>
            <w:tcW w:w="2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7"/>
              </w:rPr>
              <w:t>137,303,798</w:t>
            </w: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Lifecycle Funds</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61,881,061</w:t>
            </w:r>
          </w:p>
        </w:tc>
        <w:tc>
          <w:tcPr>
            <w:tcW w:w="22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w w:val="99"/>
              </w:rPr>
              <w:t>61,881,061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Investments</w:t>
            </w:r>
          </w:p>
        </w:tc>
        <w:tc>
          <w:tcPr>
            <w:tcW w:w="20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51,977,839</w:t>
            </w:r>
          </w:p>
        </w:tc>
        <w:tc>
          <w:tcPr>
            <w:tcW w:w="22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51,977,839</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Mutual Funds</w:t>
            </w:r>
          </w:p>
        </w:tc>
        <w:tc>
          <w:tcPr>
            <w:tcW w:w="20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505,316,231</w:t>
            </w:r>
          </w:p>
        </w:tc>
        <w:tc>
          <w:tcPr>
            <w:tcW w:w="22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1"/>
              <w:spacing w:after="0"/>
              <w:rPr>
                <w:sz w:val="20"/>
                <w:szCs w:val="20"/>
                <w:color w:val="auto"/>
              </w:rPr>
            </w:pPr>
            <w:r>
              <w:rPr>
                <w:rFonts w:ascii="Arial" w:cs="Arial" w:eastAsia="Arial" w:hAnsi="Arial"/>
                <w:sz w:val="18"/>
                <w:szCs w:val="18"/>
                <w:color w:val="auto"/>
                <w:w w:val="87"/>
              </w:rPr>
              <w:t>505,316,231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Analog Common Stock Fund</w:t>
            </w: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101,381,902</w:t>
            </w:r>
          </w:p>
        </w:tc>
        <w:tc>
          <w:tcPr>
            <w:tcW w:w="2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7"/>
              </w:rPr>
              <w:t>101,381,902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Self-directed Brokerage Account:</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Investments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36,594,394</w:t>
            </w:r>
          </w:p>
        </w:tc>
        <w:tc>
          <w:tcPr>
            <w:tcW w:w="2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36,594,394</w:t>
            </w: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21,872,695</w:t>
            </w:r>
          </w:p>
        </w:tc>
        <w:tc>
          <w:tcPr>
            <w:tcW w:w="22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w w:val="99"/>
              </w:rPr>
              <w:t>21,872,695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Mutual Funds</w:t>
            </w: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14,695,177</w:t>
            </w:r>
          </w:p>
        </w:tc>
        <w:tc>
          <w:tcPr>
            <w:tcW w:w="22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14,695,177</w:t>
            </w: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Bonds</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452,505</w:t>
            </w:r>
          </w:p>
        </w:tc>
        <w:tc>
          <w:tcPr>
            <w:tcW w:w="22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452,505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542,326</w:t>
            </w:r>
          </w:p>
        </w:tc>
        <w:tc>
          <w:tcPr>
            <w:tcW w:w="22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542,326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Self-directed Brokerage Account</w:t>
            </w:r>
          </w:p>
        </w:tc>
        <w:tc>
          <w:tcPr>
            <w:tcW w:w="20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74,157,097</w:t>
            </w:r>
          </w:p>
        </w:tc>
        <w:tc>
          <w:tcPr>
            <w:tcW w:w="22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w w:val="99"/>
              </w:rPr>
              <w:t>74,157,097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Commingled Fund</w:t>
            </w:r>
          </w:p>
        </w:tc>
        <w:tc>
          <w:tcPr>
            <w:tcW w:w="20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25,901,417</w:t>
            </w:r>
          </w:p>
        </w:tc>
        <w:tc>
          <w:tcPr>
            <w:tcW w:w="5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25,901,417</w:t>
            </w:r>
          </w:p>
        </w:tc>
        <w:tc>
          <w:tcPr>
            <w:tcW w:w="0" w:type="dxa"/>
            <w:vAlign w:val="bottom"/>
          </w:tcPr>
          <w:p>
            <w:pPr>
              <w:spacing w:after="0"/>
              <w:rPr>
                <w:sz w:val="1"/>
                <w:szCs w:val="1"/>
                <w:color w:val="auto"/>
              </w:rPr>
            </w:pPr>
          </w:p>
        </w:tc>
      </w:tr>
      <w:tr>
        <w:trPr>
          <w:trHeight w:val="439"/>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Investments at Fair Value</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680,855,230</w:t>
            </w:r>
          </w:p>
        </w:tc>
        <w:tc>
          <w:tcPr>
            <w:tcW w:w="2260" w:type="dxa"/>
            <w:vAlign w:val="bottom"/>
          </w:tcPr>
          <w:p>
            <w:pPr>
              <w:jc w:val="right"/>
              <w:ind w:right="372"/>
              <w:spacing w:after="0"/>
              <w:rPr>
                <w:sz w:val="20"/>
                <w:szCs w:val="20"/>
                <w:color w:val="auto"/>
              </w:rPr>
            </w:pPr>
            <w:r>
              <w:rPr>
                <w:rFonts w:ascii="Arial" w:cs="Arial" w:eastAsia="Arial" w:hAnsi="Arial"/>
                <w:sz w:val="18"/>
                <w:szCs w:val="18"/>
                <w:b w:val="1"/>
                <w:bCs w:val="1"/>
                <w:color w:val="auto"/>
              </w:rPr>
              <w:t>$25,901,417</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91"/>
              <w:spacing w:after="0"/>
              <w:rPr>
                <w:sz w:val="20"/>
                <w:szCs w:val="20"/>
                <w:color w:val="auto"/>
              </w:rPr>
            </w:pPr>
            <w:r>
              <w:rPr>
                <w:rFonts w:ascii="Arial" w:cs="Arial" w:eastAsia="Arial" w:hAnsi="Arial"/>
                <w:sz w:val="18"/>
                <w:szCs w:val="18"/>
                <w:b w:val="1"/>
                <w:bCs w:val="1"/>
                <w:color w:val="auto"/>
                <w:w w:val="87"/>
              </w:rPr>
              <w:t>706,756,647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40" w:type="dxa"/>
            <w:vAlign w:val="bottom"/>
            <w:vMerge w:val="restart"/>
          </w:tcPr>
          <w:p>
            <w:pPr>
              <w:jc w:val="right"/>
              <w:ind w:right="350"/>
              <w:spacing w:after="0"/>
              <w:rPr>
                <w:sz w:val="20"/>
                <w:szCs w:val="20"/>
                <w:color w:val="auto"/>
              </w:rPr>
            </w:pPr>
            <w:r>
              <w:rPr>
                <w:rFonts w:ascii="Arial" w:cs="Arial" w:eastAsia="Arial" w:hAnsi="Arial"/>
                <w:sz w:val="18"/>
                <w:szCs w:val="18"/>
                <w:color w:val="auto"/>
              </w:rPr>
              <w:t>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2" w:name="page13"/>
    <w:bookmarkEnd w:id="12"/>
    <w:p>
      <w:pPr>
        <w:ind w:left="424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Years ended December 31, 2010 and 2009</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 xml:space="preserve">Mutual Funds: </w:t>
      </w:r>
      <w:r>
        <w:rPr>
          <w:rFonts w:ascii="Arial" w:cs="Arial" w:eastAsia="Arial" w:hAnsi="Arial"/>
          <w:sz w:val="17"/>
          <w:szCs w:val="17"/>
          <w:color w:val="auto"/>
        </w:rPr>
        <w:t>valued at the net asset value (“NAV”) of shares held by the Plan at year end based on quoted prices in the active market.</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Common Stocks and Bonds: </w:t>
      </w:r>
      <w:r>
        <w:rPr>
          <w:rFonts w:ascii="Arial" w:cs="Arial" w:eastAsia="Arial" w:hAnsi="Arial"/>
          <w:sz w:val="18"/>
          <w:szCs w:val="18"/>
          <w:color w:val="auto"/>
        </w:rPr>
        <w:t>valued based on quoted market price on which the individual securities are traded.</w:t>
      </w:r>
    </w:p>
    <w:p>
      <w:pPr>
        <w:spacing w:after="0" w:line="117" w:lineRule="exact"/>
        <w:rPr>
          <w:sz w:val="20"/>
          <w:szCs w:val="20"/>
          <w:color w:val="auto"/>
        </w:rPr>
      </w:pPr>
    </w:p>
    <w:p>
      <w:pPr>
        <w:ind w:right="180" w:firstLine="225"/>
        <w:spacing w:after="0" w:line="286" w:lineRule="auto"/>
        <w:rPr>
          <w:sz w:val="20"/>
          <w:szCs w:val="20"/>
          <w:color w:val="auto"/>
        </w:rPr>
      </w:pPr>
      <w:r>
        <w:rPr>
          <w:rFonts w:ascii="Arial" w:cs="Arial" w:eastAsia="Arial" w:hAnsi="Arial"/>
          <w:sz w:val="17"/>
          <w:szCs w:val="17"/>
          <w:i w:val="1"/>
          <w:iCs w:val="1"/>
          <w:color w:val="auto"/>
        </w:rPr>
        <w:t xml:space="preserve">Commingled Fund: </w:t>
      </w:r>
      <w:r>
        <w:rPr>
          <w:rFonts w:ascii="Arial" w:cs="Arial" w:eastAsia="Arial" w:hAnsi="Arial"/>
          <w:sz w:val="17"/>
          <w:szCs w:val="17"/>
          <w:color w:val="auto"/>
        </w:rPr>
        <w:t>valued at redemption price on the last business day of the plan year, where value is based on the fair value of the underlying</w:t>
      </w:r>
      <w:r>
        <w:rPr>
          <w:rFonts w:ascii="Arial" w:cs="Arial" w:eastAsia="Arial" w:hAnsi="Arial"/>
          <w:sz w:val="17"/>
          <w:szCs w:val="17"/>
          <w:i w:val="1"/>
          <w:iCs w:val="1"/>
          <w:color w:val="auto"/>
        </w:rPr>
        <w:t xml:space="preserve"> </w:t>
      </w:r>
      <w:r>
        <w:rPr>
          <w:rFonts w:ascii="Arial" w:cs="Arial" w:eastAsia="Arial" w:hAnsi="Arial"/>
          <w:sz w:val="17"/>
          <w:szCs w:val="17"/>
          <w:color w:val="auto"/>
        </w:rPr>
        <w:t>assets held by the fund. The U.S. Equity Index Commingled Pool is the only commingled fund held by the Plan. Its strategy is to provide investment results that correspond to the total return performance of common stock publicly traded in the United States.</w:t>
      </w:r>
    </w:p>
    <w:p>
      <w:pPr>
        <w:spacing w:after="0" w:line="57" w:lineRule="exact"/>
        <w:rPr>
          <w:sz w:val="20"/>
          <w:szCs w:val="20"/>
          <w:color w:val="auto"/>
        </w:rPr>
      </w:pPr>
    </w:p>
    <w:p>
      <w:pPr>
        <w:ind w:right="720" w:firstLine="4"/>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Contributions. </w:t>
      </w:r>
      <w:r>
        <w:rPr>
          <w:rFonts w:ascii="Arial" w:cs="Arial" w:eastAsia="Arial" w:hAnsi="Arial"/>
          <w:sz w:val="16"/>
          <w:szCs w:val="16"/>
          <w:color w:val="auto"/>
        </w:rPr>
        <w:t>Contributions from employees are recorded when the Company makes payroll deductions from plan participants.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are accrued at the end of the period in which they become obligations of the Company based upon the terms of the Plan.</w:t>
      </w:r>
    </w:p>
    <w:p>
      <w:pPr>
        <w:spacing w:after="0" w:line="15" w:lineRule="exact"/>
        <w:rPr>
          <w:rFonts w:ascii="Arial" w:cs="Arial" w:eastAsia="Arial" w:hAnsi="Arial"/>
          <w:sz w:val="16"/>
          <w:szCs w:val="16"/>
          <w:color w:val="auto"/>
        </w:rPr>
      </w:pPr>
    </w:p>
    <w:p>
      <w:pPr>
        <w:jc w:val="both"/>
        <w:ind w:firstLine="4"/>
        <w:spacing w:after="0" w:line="259"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Investment income</w:t>
      </w:r>
      <w:r>
        <w:rPr>
          <w:rFonts w:ascii="Arial" w:cs="Arial" w:eastAsia="Arial" w:hAnsi="Arial"/>
          <w:sz w:val="18"/>
          <w:szCs w:val="18"/>
          <w:color w:val="auto"/>
        </w:rPr>
        <w:t>. Net investment income consists of interest income, dividends and capital gain/loss distributions, realized gains or losses on sales</w:t>
      </w:r>
      <w:r>
        <w:rPr>
          <w:rFonts w:ascii="Arial" w:cs="Arial" w:eastAsia="Arial" w:hAnsi="Arial"/>
          <w:sz w:val="18"/>
          <w:szCs w:val="18"/>
          <w:i w:val="1"/>
          <w:iCs w:val="1"/>
          <w:color w:val="auto"/>
        </w:rPr>
        <w:t xml:space="preserve"> </w:t>
      </w:r>
      <w:r>
        <w:rPr>
          <w:rFonts w:ascii="Arial" w:cs="Arial" w:eastAsia="Arial" w:hAnsi="Arial"/>
          <w:sz w:val="18"/>
          <w:szCs w:val="18"/>
          <w:color w:val="auto"/>
        </w:rPr>
        <w:t>of investments and the change in net unrealized appreciation between the cost and market value of investments at the beginning and end of the period. Dividends are recorded on the ex-dividend date. Net appreciation includes the Plan’s gains and losses on investments bought and sold as well as held during the year.</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All interest, dividends and capital gains distributions are reinvested in the respective funds and are recorded as earned on an accrual basis.</w:t>
      </w:r>
    </w:p>
    <w:p>
      <w:pPr>
        <w:spacing w:after="0" w:line="21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00" w:top="962" w:right="319" w:bottom="1440" w:gutter="0" w:footer="0" w:header="0"/>
        </w:sectPr>
      </w:pPr>
    </w:p>
    <w:bookmarkStart w:id="13" w:name="page14"/>
    <w:bookmarkEnd w:id="13"/>
    <w:p>
      <w:pPr>
        <w:jc w:val="center"/>
        <w:ind w:right="46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Years ended December 31, 2010 and 2009</w:t>
      </w:r>
    </w:p>
    <w:p>
      <w:pPr>
        <w:spacing w:after="0" w:line="117" w:lineRule="exact"/>
        <w:rPr>
          <w:sz w:val="20"/>
          <w:szCs w:val="20"/>
          <w:color w:val="auto"/>
        </w:rPr>
      </w:pPr>
    </w:p>
    <w:p>
      <w:pPr>
        <w:ind w:right="200" w:firstLine="4"/>
        <w:spacing w:after="0" w:line="276"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Income tax status. </w:t>
      </w:r>
      <w:r>
        <w:rPr>
          <w:rFonts w:ascii="Arial" w:cs="Arial" w:eastAsia="Arial" w:hAnsi="Arial"/>
          <w:sz w:val="17"/>
          <w:szCs w:val="17"/>
          <w:color w:val="auto"/>
        </w:rPr>
        <w:t>The Plan has received a determination letter from the Internal Revenue Service, dated May 1, 2003, stating that the Plan is</w:t>
      </w:r>
      <w:r>
        <w:rPr>
          <w:rFonts w:ascii="Arial" w:cs="Arial" w:eastAsia="Arial" w:hAnsi="Arial"/>
          <w:sz w:val="17"/>
          <w:szCs w:val="17"/>
          <w:i w:val="1"/>
          <w:iCs w:val="1"/>
          <w:color w:val="auto"/>
        </w:rPr>
        <w:t xml:space="preserve"> </w:t>
      </w:r>
      <w:r>
        <w:rPr>
          <w:rFonts w:ascii="Arial" w:cs="Arial" w:eastAsia="Arial" w:hAnsi="Arial"/>
          <w:sz w:val="17"/>
          <w:szCs w:val="17"/>
          <w:color w:val="auto"/>
        </w:rPr>
        <w:t>qualified under Section 401(a) of the Internal Revenue Code (the “Code”) and, therefore, the related trust is exempt from taxation. Subsequent to this determination by the Internal Revenue Service, the Plan was amended and restated. Once qualified, the Plan is required to operate in conformity with the Code to maintain its qualified status. The Committee believes the Plan is being operated in compliance with the applicable requirements of the Code and therefore believes that the Plan, as amended, is qualified and the related trust is tax exempt.</w:t>
      </w:r>
    </w:p>
    <w:p>
      <w:pPr>
        <w:spacing w:after="0" w:line="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Accounting principles generally accepted in the United States require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2010, there are no uncertain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2007.</w:t>
      </w:r>
    </w:p>
    <w:p>
      <w:pPr>
        <w:spacing w:after="0" w:line="70" w:lineRule="exact"/>
        <w:rPr>
          <w:sz w:val="20"/>
          <w:szCs w:val="20"/>
          <w:color w:val="auto"/>
        </w:rPr>
      </w:pPr>
    </w:p>
    <w:p>
      <w:pPr>
        <w:ind w:right="440" w:firstLine="4"/>
        <w:spacing w:after="0" w:line="30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Related Party. </w:t>
      </w:r>
      <w:r>
        <w:rPr>
          <w:rFonts w:ascii="Arial" w:cs="Arial" w:eastAsia="Arial" w:hAnsi="Arial"/>
          <w:sz w:val="16"/>
          <w:szCs w:val="16"/>
          <w:color w:val="auto"/>
        </w:rPr>
        <w:t>Certain Plan investments are shares of mutual funds managed by Fidelity Management and Research (FMR) Corporation. FMR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is a related party to the trustee and recordkeeper of the Plan, and therefore, these transactions qualify as party-in-interest transactions, however, they are exempt from the prohibited transaction rules under ERISA. Fees paid by the Company to the trustee and recordkeeper for administrative expenses amounted to $35,114 and $33,425 for the years ended December 31, 2010 and 2009, respectively.</w:t>
      </w:r>
    </w:p>
    <w:p>
      <w:pPr>
        <w:spacing w:after="0" w:line="4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Plan also offers the Analog Devices, Inc. Common Stock Fund investment option. The Analog Devices, Inc. Common Stock Fund is designed for investment in the common stock of the Company. In addition, some of the investments in the Plan hold the Company’s Common stock. These transactions qualify as party-in-interest transactions.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Notes receivable from participants also qualify as party-in-interest transactions.</w:t>
      </w:r>
    </w:p>
    <w:p>
      <w:pPr>
        <w:spacing w:after="0" w:line="117" w:lineRule="exact"/>
        <w:rPr>
          <w:sz w:val="20"/>
          <w:szCs w:val="20"/>
          <w:color w:val="auto"/>
        </w:rPr>
      </w:pPr>
    </w:p>
    <w:p>
      <w:pPr>
        <w:ind w:right="360" w:firstLine="4"/>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Administrative expenses</w:t>
      </w:r>
      <w:r>
        <w:rPr>
          <w:rFonts w:ascii="Arial" w:cs="Arial" w:eastAsia="Arial" w:hAnsi="Arial"/>
          <w:sz w:val="17"/>
          <w:szCs w:val="17"/>
          <w:color w:val="auto"/>
        </w:rPr>
        <w:t>. For the years ended December 31, 2010 and 2009, the Company elected to pay the administrative expenses of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expenses resulting from participant loans and investment fees are deducted directly from participant accounts.</w:t>
      </w:r>
    </w:p>
    <w:p>
      <w:pPr>
        <w:spacing w:after="0" w:line="38" w:lineRule="exact"/>
        <w:rPr>
          <w:rFonts w:ascii="Arial" w:cs="Arial" w:eastAsia="Arial" w:hAnsi="Arial"/>
          <w:sz w:val="17"/>
          <w:szCs w:val="17"/>
          <w:color w:val="auto"/>
        </w:rPr>
      </w:pPr>
    </w:p>
    <w:p>
      <w:pPr>
        <w:ind w:right="80" w:firstLine="4"/>
        <w:spacing w:after="0" w:line="286" w:lineRule="auto"/>
        <w:tabs>
          <w:tab w:leader="none" w:pos="27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U.S. generally accepted accounting principles requires management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estimates that affect the reported amounts of assets and liabilities at the date of the financial statements and the reported amounts of changes in net assets available for benefits during the reporting period. Actual results could differ from those estimates</w:t>
      </w:r>
      <w:r>
        <w:rPr>
          <w:rFonts w:ascii="Arial" w:cs="Arial" w:eastAsia="Arial" w:hAnsi="Arial"/>
          <w:sz w:val="17"/>
          <w:szCs w:val="17"/>
          <w:i w:val="1"/>
          <w:iCs w:val="1"/>
          <w:color w:val="auto"/>
        </w:rPr>
        <w:t>.</w:t>
      </w:r>
    </w:p>
    <w:p>
      <w:pPr>
        <w:spacing w:after="0" w:line="13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6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2010 and 2009</w:t>
      </w:r>
    </w:p>
    <w:p>
      <w:pPr>
        <w:spacing w:after="0" w:line="117" w:lineRule="exact"/>
        <w:rPr>
          <w:sz w:val="20"/>
          <w:szCs w:val="20"/>
          <w:color w:val="auto"/>
        </w:rPr>
      </w:pPr>
    </w:p>
    <w:p>
      <w:pPr>
        <w:ind w:left="460" w:right="60" w:firstLine="4"/>
        <w:spacing w:after="0" w:line="259" w:lineRule="auto"/>
        <w:tabs>
          <w:tab w:leader="none" w:pos="723"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Risk and uncertainties. </w:t>
      </w:r>
      <w:r>
        <w:rPr>
          <w:rFonts w:ascii="Arial" w:cs="Arial" w:eastAsia="Arial" w:hAnsi="Arial"/>
          <w:sz w:val="18"/>
          <w:szCs w:val="18"/>
          <w:color w:val="auto"/>
        </w:rPr>
        <w:t>The Plan and its participants invest in various securities. Investment securities are exposed to various risks such as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market liquidity and credit risks.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78" w:lineRule="exact"/>
        <w:rPr>
          <w:rFonts w:ascii="Arial" w:cs="Arial" w:eastAsia="Arial" w:hAnsi="Arial"/>
          <w:sz w:val="18"/>
          <w:szCs w:val="18"/>
          <w:color w:val="auto"/>
        </w:rPr>
      </w:pPr>
    </w:p>
    <w:p>
      <w:pPr>
        <w:ind w:left="740" w:hanging="27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prior year amounts have been reclassified to conform to the current year presentation.</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Trustee and Plan Recordkeeper</w:t>
      </w:r>
    </w:p>
    <w:p>
      <w:pPr>
        <w:spacing w:after="0" w:line="121"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Fidelity Management Trust Company and Fidelity Institutional Retirement Services Company serve as trustee and recordkeeper, respectively, to the Plan.</w:t>
      </w:r>
    </w:p>
    <w:p>
      <w:pPr>
        <w:spacing w:after="0" w:line="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Investments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investments represent five percent or more of the Plan’s net assets available for benefits: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1360"/>
              <w:spacing w:after="0"/>
              <w:rPr>
                <w:sz w:val="20"/>
                <w:szCs w:val="20"/>
                <w:color w:val="auto"/>
              </w:rPr>
            </w:pPr>
            <w:r>
              <w:rPr>
                <w:rFonts w:ascii="Arial" w:cs="Arial" w:eastAsia="Arial" w:hAnsi="Arial"/>
                <w:sz w:val="14"/>
                <w:szCs w:val="14"/>
                <w:i w:val="1"/>
                <w:iCs w:val="1"/>
                <w:color w:val="auto"/>
                <w:w w:val="9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300" w:type="dxa"/>
            <w:vAlign w:val="bottom"/>
          </w:tcPr>
          <w:p>
            <w:pPr>
              <w:jc w:val="right"/>
              <w:ind w:right="313"/>
              <w:spacing w:after="0" w:line="142" w:lineRule="exact"/>
              <w:rPr>
                <w:sz w:val="20"/>
                <w:szCs w:val="20"/>
                <w:color w:val="auto"/>
              </w:rPr>
            </w:pPr>
            <w:r>
              <w:rPr>
                <w:rFonts w:ascii="Arial" w:cs="Arial" w:eastAsia="Arial" w:hAnsi="Arial"/>
                <w:sz w:val="14"/>
                <w:szCs w:val="14"/>
                <w:color w:val="auto"/>
              </w:rPr>
              <w:t>2010</w:t>
            </w:r>
          </w:p>
        </w:tc>
        <w:tc>
          <w:tcPr>
            <w:tcW w:w="2220" w:type="dxa"/>
            <w:vAlign w:val="bottom"/>
            <w:gridSpan w:val="3"/>
          </w:tcPr>
          <w:p>
            <w:pPr>
              <w:jc w:val="right"/>
              <w:ind w:right="620"/>
              <w:spacing w:after="0" w:line="142"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Inc. Common Stock Fund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$107,677,872</w:t>
            </w:r>
          </w:p>
        </w:tc>
        <w:tc>
          <w:tcPr>
            <w:tcW w:w="2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$101,381,902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Fidelity Equity Income Fund</w:t>
            </w:r>
          </w:p>
        </w:tc>
        <w:tc>
          <w:tcPr>
            <w:tcW w:w="1300" w:type="dxa"/>
            <w:vAlign w:val="bottom"/>
          </w:tcPr>
          <w:p>
            <w:pPr>
              <w:jc w:val="right"/>
              <w:spacing w:after="0"/>
              <w:rPr>
                <w:sz w:val="20"/>
                <w:szCs w:val="20"/>
                <w:color w:val="auto"/>
              </w:rPr>
            </w:pPr>
            <w:r>
              <w:rPr>
                <w:rFonts w:ascii="Arial" w:cs="Arial" w:eastAsia="Arial" w:hAnsi="Arial"/>
                <w:sz w:val="18"/>
                <w:szCs w:val="18"/>
                <w:color w:val="auto"/>
              </w:rPr>
              <w:t>41,951,489</w:t>
            </w:r>
          </w:p>
        </w:tc>
        <w:tc>
          <w:tcPr>
            <w:tcW w:w="2220" w:type="dxa"/>
            <w:vAlign w:val="bottom"/>
            <w:gridSpan w:val="3"/>
          </w:tcPr>
          <w:p>
            <w:pPr>
              <w:jc w:val="right"/>
              <w:ind w:right="300"/>
              <w:spacing w:after="0"/>
              <w:rPr>
                <w:sz w:val="20"/>
                <w:szCs w:val="20"/>
                <w:color w:val="auto"/>
              </w:rPr>
            </w:pPr>
            <w:r>
              <w:rPr>
                <w:rFonts w:ascii="Arial" w:cs="Arial" w:eastAsia="Arial" w:hAnsi="Arial"/>
                <w:sz w:val="18"/>
                <w:szCs w:val="18"/>
                <w:color w:val="auto"/>
              </w:rPr>
              <w:t>36,927,632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Fidelity Growth Company Fund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57,168,098</w:t>
            </w:r>
          </w:p>
        </w:tc>
        <w:tc>
          <w:tcPr>
            <w:tcW w:w="2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48,144,525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Fidelity Institutional Money Market Fund</w:t>
            </w:r>
          </w:p>
        </w:tc>
        <w:tc>
          <w:tcPr>
            <w:tcW w:w="1300" w:type="dxa"/>
            <w:vAlign w:val="bottom"/>
          </w:tcPr>
          <w:p>
            <w:pPr>
              <w:jc w:val="right"/>
              <w:spacing w:after="0"/>
              <w:rPr>
                <w:sz w:val="20"/>
                <w:szCs w:val="20"/>
                <w:color w:val="auto"/>
              </w:rPr>
            </w:pPr>
            <w:r>
              <w:rPr>
                <w:rFonts w:ascii="Arial" w:cs="Arial" w:eastAsia="Arial" w:hAnsi="Arial"/>
                <w:sz w:val="18"/>
                <w:szCs w:val="18"/>
                <w:color w:val="auto"/>
              </w:rPr>
              <w:t>128,138,600</w:t>
            </w:r>
          </w:p>
        </w:tc>
        <w:tc>
          <w:tcPr>
            <w:tcW w:w="2220" w:type="dxa"/>
            <w:vAlign w:val="bottom"/>
            <w:gridSpan w:val="3"/>
          </w:tcPr>
          <w:p>
            <w:pPr>
              <w:jc w:val="right"/>
              <w:ind w:right="300"/>
              <w:spacing w:after="0"/>
              <w:rPr>
                <w:sz w:val="20"/>
                <w:szCs w:val="20"/>
                <w:color w:val="auto"/>
              </w:rPr>
            </w:pPr>
            <w:r>
              <w:rPr>
                <w:rFonts w:ascii="Arial" w:cs="Arial" w:eastAsia="Arial" w:hAnsi="Arial"/>
                <w:sz w:val="18"/>
                <w:szCs w:val="18"/>
                <w:color w:val="auto"/>
              </w:rPr>
              <w:t>137,303,798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Fidelity U.S. Bond Index Fund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41,039,183</w:t>
            </w:r>
          </w:p>
        </w:tc>
        <w:tc>
          <w:tcPr>
            <w:tcW w:w="2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36,160,810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Plan’s investments (including gains and losses on investments bought and sold, as well as held during the year) appreciated in value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80" w:type="dxa"/>
            <w:vAlign w:val="bottom"/>
            <w:gridSpan w:val="6"/>
          </w:tcPr>
          <w:p>
            <w:pPr>
              <w:jc w:val="right"/>
              <w:ind w:right="1000"/>
              <w:spacing w:after="0"/>
              <w:rPr>
                <w:sz w:val="20"/>
                <w:szCs w:val="20"/>
                <w:color w:val="auto"/>
              </w:rPr>
            </w:pPr>
            <w:r>
              <w:rPr>
                <w:rFonts w:ascii="Arial" w:cs="Arial" w:eastAsia="Arial" w:hAnsi="Arial"/>
                <w:sz w:val="14"/>
                <w:szCs w:val="14"/>
                <w:i w:val="1"/>
                <w:i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color w:val="auto"/>
              </w:rPr>
              <w:t>2010</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5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$23,329,952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50,793,390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Mutual funds</w:t>
            </w:r>
          </w:p>
        </w:tc>
        <w:tc>
          <w:tcPr>
            <w:tcW w:w="5560" w:type="dxa"/>
            <w:vAlign w:val="bottom"/>
            <w:gridSpan w:val="3"/>
          </w:tcPr>
          <w:p>
            <w:pPr>
              <w:jc w:val="right"/>
              <w:ind w:right="320"/>
              <w:spacing w:after="0"/>
              <w:rPr>
                <w:sz w:val="20"/>
                <w:szCs w:val="20"/>
                <w:color w:val="auto"/>
              </w:rPr>
            </w:pPr>
            <w:r>
              <w:rPr>
                <w:rFonts w:ascii="Arial" w:cs="Arial" w:eastAsia="Arial" w:hAnsi="Arial"/>
                <w:sz w:val="18"/>
                <w:szCs w:val="18"/>
                <w:color w:val="auto"/>
              </w:rPr>
              <w:t>52,158,746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81,722,011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Commingled funds</w:t>
            </w:r>
          </w:p>
        </w:tc>
        <w:tc>
          <w:tcPr>
            <w:tcW w:w="5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4,122,676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5,314,379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Bonds</w:t>
            </w:r>
          </w:p>
        </w:tc>
        <w:tc>
          <w:tcPr>
            <w:tcW w:w="5560" w:type="dxa"/>
            <w:vAlign w:val="bottom"/>
            <w:gridSpan w:val="3"/>
          </w:tcPr>
          <w:p>
            <w:pPr>
              <w:jc w:val="right"/>
              <w:ind w:right="320"/>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154,620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158,425</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Net appreciation in fair value of investments</w:t>
            </w:r>
          </w:p>
        </w:tc>
        <w:tc>
          <w:tcPr>
            <w:tcW w:w="4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79,766,322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137,983,537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320" w:type="dxa"/>
            <w:vAlign w:val="bottom"/>
            <w:vMerge w:val="restart"/>
          </w:tcPr>
          <w:p>
            <w:pPr>
              <w:jc w:val="right"/>
              <w:ind w:right="2850"/>
              <w:spacing w:after="0"/>
              <w:rPr>
                <w:sz w:val="20"/>
                <w:szCs w:val="20"/>
                <w:color w:val="auto"/>
              </w:rPr>
            </w:pPr>
            <w:r>
              <w:rPr>
                <w:rFonts w:ascii="Arial" w:cs="Arial" w:eastAsia="Arial" w:hAnsi="Arial"/>
                <w:sz w:val="18"/>
                <w:szCs w:val="18"/>
                <w:color w:val="auto"/>
              </w:rPr>
              <w:t>15</w:t>
            </w: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INVESTMENT PARTNERSHIP PLAN</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SUPPLEMENTAL SCHEDULE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DECEMBER 31, 2010</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NO: 04-2348234 PLAN NO: 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H-LINE 4i — SCHEDULE OF ASSETS (HELD AT END OF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Current</w:t>
            </w:r>
          </w:p>
        </w:tc>
        <w:tc>
          <w:tcPr>
            <w:tcW w:w="0" w:type="dxa"/>
            <w:vAlign w:val="bottom"/>
          </w:tcPr>
          <w:p>
            <w:pPr>
              <w:spacing w:after="0"/>
              <w:rPr>
                <w:sz w:val="1"/>
                <w:szCs w:val="1"/>
                <w:color w:val="auto"/>
              </w:rPr>
            </w:pPr>
          </w:p>
        </w:tc>
      </w:tr>
      <w:tr>
        <w:trPr>
          <w:trHeight w:val="167"/>
        </w:trPr>
        <w:tc>
          <w:tcPr>
            <w:tcW w:w="8640" w:type="dxa"/>
            <w:vAlign w:val="bottom"/>
          </w:tcPr>
          <w:p>
            <w:pPr>
              <w:spacing w:after="0"/>
              <w:rPr>
                <w:sz w:val="14"/>
                <w:szCs w:val="14"/>
                <w:color w:val="auto"/>
              </w:rPr>
            </w:pPr>
          </w:p>
        </w:tc>
        <w:tc>
          <w:tcPr>
            <w:tcW w:w="1660" w:type="dxa"/>
            <w:vAlign w:val="bottom"/>
            <w:gridSpan w:val="2"/>
          </w:tcPr>
          <w:p>
            <w:pPr>
              <w:ind w:left="32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Investment:</w:t>
            </w:r>
          </w:p>
        </w:tc>
        <w:tc>
          <w:tcPr>
            <w:tcW w:w="10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Mutual Funds: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Institutional Money Market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128,138,600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128,138,600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Diversified International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837,604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25,228,651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Equity Income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948,271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41,951,489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Income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459,460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5,251,627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2000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155,953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2005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34,696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431,624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2010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814,809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10,331,782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2015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236,277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3,005,438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2020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1,195,825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15,772,935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2025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468,653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6,279,952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2030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1,280,281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17,411,823</w:t>
            </w: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2035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306,241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4,220,007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2040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568,915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7,885,164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2045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157,671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2,201,091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2050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149,674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2,098,428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Growth Company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687,943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57,168,098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Low-Priced Stock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1,028,436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39,450,806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Magellan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277,514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19,870,022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U.S. Bond Index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3,622,170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41,039,183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Calamos Growth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232,366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13,509,759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Hotchkis and Wiley Mid-Cap Value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854,458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20,489,903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Oppenheimer Developing Markets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87,005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3,138,268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Pyramid Petroleum Inc. Large Cap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328,246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5,816,523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Royce Low-Priced Stock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895,400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16,403,722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Templeton Foreign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2,101,188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14,519,208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Spartan International Index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400,720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14,093,329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Vanguard Mid-Cap Index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882,372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17,965,097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Vanguard Short-Term Bond Index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1,451,156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15,309,698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Vanguard Inflation Protected Securities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465,960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6,057,483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220"/>
              <w:spacing w:after="0"/>
              <w:rPr>
                <w:sz w:val="20"/>
                <w:szCs w:val="20"/>
                <w:color w:val="auto"/>
              </w:rPr>
            </w:pPr>
            <w:r>
              <w:rPr>
                <w:rFonts w:ascii="Arial" w:cs="Arial" w:eastAsia="Arial" w:hAnsi="Arial"/>
                <w:sz w:val="18"/>
                <w:szCs w:val="18"/>
                <w:color w:val="auto"/>
              </w:rPr>
              <w:t>Vanguard Small-Cap Index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324,709</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11,290,149</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568,137,359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Analog Devices, Inc. Common Stock Fund:</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Analog Devices, Inc. Common Stock</w:t>
            </w:r>
            <w:r>
              <w:rPr>
                <w:rFonts w:ascii="Arial" w:cs="Arial" w:eastAsia="Arial" w:hAnsi="Arial"/>
                <w:sz w:val="15"/>
                <w:szCs w:val="15"/>
                <w:color w:val="auto"/>
              </w:rPr>
              <w:t>(1)</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2,719,326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102,437,010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Institutional Cash Portfolio — Money Market Portfolio</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5,240,862</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5,240,862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107,677,872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Participants Self-Directed Brokerage Accounts</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86,788,802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Commingled Fund:</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U.S. Equity Index Commingled Pool</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727,302</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31,892,208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794,496,241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color w:val="auto"/>
              </w:rPr>
              <w:t xml:space="preserve">Notes Receivable from Participants </w:t>
            </w:r>
            <w:r>
              <w:rPr>
                <w:rFonts w:ascii="Arial" w:cs="Arial" w:eastAsia="Arial" w:hAnsi="Arial"/>
                <w:sz w:val="15"/>
                <w:szCs w:val="15"/>
                <w:color w:val="auto"/>
              </w:rPr>
              <w:t>(1) (2)</w:t>
            </w: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8,688,893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Indicates party-in-interest to the Plan.</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7"/>
          <w:szCs w:val="17"/>
          <w:color w:val="auto"/>
        </w:rPr>
        <w:t>The loan account at December 31, 2010 bears interest at rates ranging from 3.3% to 10.0%, with terms ranging from less than 1 year to 20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Note: Cost information has not been included because all investments are participant-directed.</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7" w:name="page18"/>
    <w:bookmarkEnd w:id="17"/>
    <w:p>
      <w:pPr>
        <w:jc w:val="center"/>
        <w:ind w:right="-19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A. Zinsner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President-Finance and Chief Financial Officer of</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Analog Devices,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June 10, 2011</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963" w:right="4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(Form S-8 Nos. 33-2502, 2-95495, 33-43128, and 333-08493) pertaining to the Analog Devices, Inc. The Investment Partnership Plan of our report dated June 10, 2011, with respect to the financial statements and schedule of the Analog Devices, Inc. The Investment Partnership Plan included in this Annual Report (Form 11-K) for the year ended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10,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lowerRoman"/>
      <w:start w:val="1"/>
    </w:lvl>
  </w:abstractNum>
  <w:abstractNum w:abstractNumId="8">
    <w:nsid w:val="109CF92E"/>
    <w:multiLevelType w:val="hybridMultilevel"/>
    <w:lvl w:ilvl="0">
      <w:lvlJc w:val="left"/>
      <w:lvlText w:val="%1."/>
      <w:numFmt w:val="decimal"/>
      <w:start w:val="6"/>
    </w:lvl>
  </w:abstractNum>
  <w:abstractNum w:abstractNumId="9">
    <w:nsid w:val="DED7263"/>
    <w:multiLevelType w:val="hybridMultilevel"/>
    <w:lvl w:ilvl="0">
      <w:lvlJc w:val="left"/>
      <w:lvlText w:val="%1"/>
      <w:numFmt w:val="upperLetter"/>
      <w:start w:val="1"/>
    </w:lvl>
    <w:lvl w:ilvl="1">
      <w:lvlJc w:val="left"/>
      <w:lvlText w:val="%2."/>
      <w:numFmt w:val="decimal"/>
      <w:start w:val="9"/>
    </w:lvl>
  </w:abstractNum>
  <w:abstractNum w:abstractNumId="10">
    <w:nsid w:val="7FDCC233"/>
    <w:multiLevelType w:val="hybridMultilevel"/>
    <w:lvl w:ilvl="0">
      <w:lvlJc w:val="left"/>
      <w:lvlText w:val="%1"/>
      <w:numFmt w:val="upperLetter"/>
      <w:start w:val="1"/>
    </w:lvl>
    <w:lvl w:ilvl="1">
      <w:lvlJc w:val="left"/>
      <w:lvlText w:val="%2."/>
      <w:numFmt w:val="decimal"/>
      <w:start w:val="1"/>
    </w:lvl>
  </w:abstractNum>
  <w:abstractNum w:abstractNumId="11">
    <w:nsid w:val="1BEFD79F"/>
    <w:multiLevelType w:val="hybridMultilevel"/>
    <w:lvl w:ilvl="0">
      <w:lvlJc w:val="left"/>
      <w:lvlText w:val="%1."/>
      <w:numFmt w:val="decimal"/>
      <w:start w:val="4"/>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1."/>
      <w:numFmt w:val="decimal"/>
      <w:start w:val="7"/>
    </w:lvl>
  </w:abstractNum>
  <w:abstractNum w:abstractNumId="14">
    <w:nsid w:val="4E6AFB66"/>
    <w:multiLevelType w:val="hybridMultilevel"/>
    <w:lvl w:ilvl="0">
      <w:lvlJc w:val="left"/>
      <w:lvlText w:val="%1."/>
      <w:numFmt w:val="decimal"/>
      <w:start w:val="8"/>
    </w:lvl>
  </w:abstractNum>
  <w:abstractNum w:abstractNumId="15">
    <w:nsid w:val="25E45D32"/>
    <w:multiLevelType w:val="hybridMultilevel"/>
    <w:lvl w:ilvl="0">
      <w:lvlJc w:val="left"/>
      <w:lvlText w:val="%1."/>
      <w:numFmt w:val="decimal"/>
      <w:start w:val="9"/>
    </w:lvl>
  </w:abstractNum>
  <w:abstractNum w:abstractNumId="16">
    <w:nsid w:val="519B500D"/>
    <w:multiLevelType w:val="hybridMultilevel"/>
    <w:lvl w:ilvl="0">
      <w:lvlJc w:val="left"/>
      <w:lvlText w:val="%1."/>
      <w:numFmt w:val="decimal"/>
      <w:start w:val="1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2019-12-09T22:15:55Z</dcterms:created>
  <dcterms:modified xsi:type="dcterms:W3CDTF">2019-12-09T22:15:55Z</dcterms:modified>
</cp:coreProperties>
</file>