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15, 2018</w:t>
      </w:r>
    </w:p>
    <w:p>
      <w:pPr>
        <w:spacing w:after="0" w:line="27" w:lineRule="exact"/>
        <w:rPr>
          <w:sz w:val="24"/>
          <w:szCs w:val="24"/>
          <w:color w:val="auto"/>
        </w:rPr>
      </w:pPr>
    </w:p>
    <w:p>
      <w:pPr>
        <w:ind w:left="9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85"/>
              </w:rPr>
              <w:t>Massachusetts</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04-2348234</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Technology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Norwood, Massachusetts 02062-9106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781-329-4700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Margaret K. Seif,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Chief Legal Officer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Norwood, Massachusetts 02062-9106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781-329-4700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G. Borden,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Erika L. Robinson,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212-230-8800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92" w:lineRule="exact"/>
        <w:rPr>
          <w:sz w:val="24"/>
          <w:szCs w:val="24"/>
          <w:color w:val="auto"/>
        </w:rPr>
      </w:pPr>
    </w:p>
    <w:p>
      <w:pPr>
        <w:ind w:right="34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47" w:lineRule="exact"/>
        <w:rPr>
          <w:sz w:val="24"/>
          <w:szCs w:val="24"/>
          <w:color w:val="auto"/>
        </w:rPr>
      </w:pPr>
    </w:p>
    <w:p>
      <w:pPr>
        <w:jc w:val="both"/>
        <w:ind w:right="40"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34" w:lineRule="exact"/>
        <w:rPr>
          <w:sz w:val="24"/>
          <w:szCs w:val="24"/>
          <w:color w:val="auto"/>
        </w:rPr>
      </w:pPr>
    </w:p>
    <w:p>
      <w:pPr>
        <w:jc w:val="both"/>
        <w:ind w:right="40"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4" w:lineRule="exact"/>
        <w:rPr>
          <w:sz w:val="24"/>
          <w:szCs w:val="24"/>
          <w:color w:val="auto"/>
        </w:rPr>
      </w:pPr>
    </w:p>
    <w:p>
      <w:pPr>
        <w:ind w:right="2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7" w:lineRule="exact"/>
        <w:rPr>
          <w:sz w:val="24"/>
          <w:szCs w:val="24"/>
          <w:color w:val="auto"/>
        </w:rPr>
      </w:pPr>
    </w:p>
    <w:p>
      <w:pPr>
        <w:ind w:right="44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34" w:lineRule="exact"/>
        <w:rPr>
          <w:sz w:val="24"/>
          <w:szCs w:val="24"/>
          <w:color w:val="auto"/>
        </w:rPr>
      </w:pPr>
    </w:p>
    <w:p>
      <w:pPr>
        <w:ind w:right="1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34" w:lineRule="exact"/>
        <w:rPr>
          <w:sz w:val="24"/>
          <w:szCs w:val="24"/>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420"/>
          </w:cols>
          <w:pgMar w:left="240" w:top="230" w:right="239" w:bottom="0" w:gutter="0" w:footer="0" w:header="0"/>
        </w:sectPr>
      </w:pPr>
    </w:p>
    <w:bookmarkStart w:id="1" w:name="page2"/>
    <w:bookmarkEnd w:id="1"/>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8"/>
              </w:rPr>
              <w:t>per Unit</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Securities(1)</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460" w:right="80" w:hanging="452"/>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 indeterminate amount of debt securities of Analog Devices, Inc. to be offered from time to time at indeterminate prices is being registered pursuant to this registration statement. In accordance with Rules 456(b) and Rule 457(r) under the Securities Act of 1933, as amended, the registrant is deferring payment of all registration fees and will pay the registration fees subsequently in advance or on a “pay as you 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172085</wp:posOffset>
            </wp:positionV>
            <wp:extent cx="240093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9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Analog Devices, Inc.</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may from time to time offer to sell the debt securities described in this prospectus. The debt securities will be senior unsecured obligations and will rank equally with all of our other senior unsecured indebtedness.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time we offer debt securities using this prospectus, we will provide specific terms and offering prices in supplements to this prospectus. The prospectus supplements may also add to,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w:t>
      </w:r>
    </w:p>
    <w:p>
      <w:pPr>
        <w:spacing w:after="0" w:line="18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One Technology Way, Norwood, Massachusetts 02062, and our telephone number is (781) 329-4700.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235585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456"/>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these debt securities involves certain risks. See “</w:t>
      </w:r>
      <w:hyperlink w:anchor="page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186055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176530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June 15, 2018.</w:t>
      </w:r>
    </w:p>
    <w:p>
      <w:pPr>
        <w:sectPr>
          <w:pgSz w:w="11900" w:h="16838" w:orient="portrait"/>
          <w:cols w:equalWidth="0" w:num="1">
            <w:col w:w="11400"/>
          </w:cols>
          <w:pgMar w:left="240" w:top="459"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940" w:type="dxa"/>
            <w:vAlign w:val="bottom"/>
            <w:gridSpan w:val="1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20" w:type="dxa"/>
            <w:vAlign w:val="bottom"/>
            <w:gridSpan w:val="2"/>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4"/>
                <w:szCs w:val="24"/>
                <w:color w:val="auto"/>
              </w:rPr>
            </w:pPr>
          </w:p>
        </w:tc>
      </w:tr>
      <w:tr>
        <w:trPr>
          <w:trHeight w:val="527"/>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6700" w:type="dxa"/>
            <w:vAlign w:val="bottom"/>
            <w:gridSpan w:val="6"/>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RISK FACTORS</w:t>
              </w:r>
            </w:hyperlink>
          </w:p>
        </w:tc>
        <w:tc>
          <w:tcPr>
            <w:tcW w:w="7680" w:type="dxa"/>
            <w:vAlign w:val="bottom"/>
            <w:gridSpan w:val="13"/>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89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82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INCORPORATION BY REFERENCE</w:t>
              </w:r>
            </w:hyperlink>
          </w:p>
        </w:tc>
        <w:tc>
          <w:tcPr>
            <w:tcW w:w="5120" w:type="dxa"/>
            <w:vAlign w:val="bottom"/>
            <w:gridSpan w:val="2"/>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4"/>
        </w:trPr>
        <w:tc>
          <w:tcPr>
            <w:tcW w:w="894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FORWARD LOOKING STATEMENTS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920" w:type="dxa"/>
            <w:vAlign w:val="bottom"/>
            <w:tcBorders>
              <w:top w:val="single" w:sz="8" w:color="0000EE"/>
            </w:tcBorders>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THE COMPANY</w:t>
              </w:r>
            </w:hyperlink>
          </w:p>
        </w:tc>
        <w:tc>
          <w:tcPr>
            <w:tcW w:w="6020" w:type="dxa"/>
            <w:vAlign w:val="bottom"/>
            <w:gridSpan w:val="4"/>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4"/>
        </w:trPr>
        <w:tc>
          <w:tcPr>
            <w:tcW w:w="8940" w:type="dxa"/>
            <w:vAlign w:val="bottom"/>
            <w:gridSpan w:val="1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CONSOLIDATED RATIOS OF EARNINGS TO FIXED CHARGES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5020" w:type="dxa"/>
            <w:vAlign w:val="bottom"/>
            <w:tcBorders>
              <w:top w:val="single" w:sz="8" w:color="0000EE"/>
            </w:tcBorders>
            <w:gridSpan w:val="1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39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DESCRIPTION OF DEBT SECURITIES</w:t>
              </w:r>
            </w:hyperlink>
          </w:p>
        </w:tc>
        <w:tc>
          <w:tcPr>
            <w:tcW w:w="5900" w:type="dxa"/>
            <w:vAlign w:val="bottom"/>
            <w:gridSpan w:val="3"/>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96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FORMS OF SECURITIES</w:t>
              </w:r>
            </w:hyperlink>
          </w:p>
        </w:tc>
        <w:tc>
          <w:tcPr>
            <w:tcW w:w="6980" w:type="dxa"/>
            <w:vAlign w:val="bottom"/>
            <w:gridSpan w:val="8"/>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20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PLAN OF DISTRIBUTION</w:t>
              </w:r>
            </w:hyperlink>
          </w:p>
        </w:tc>
        <w:tc>
          <w:tcPr>
            <w:tcW w:w="688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894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24"/>
                <w:szCs w:val="24"/>
                <w:color w:val="auto"/>
              </w:rPr>
            </w:pPr>
          </w:p>
        </w:tc>
        <w:tc>
          <w:tcPr>
            <w:tcW w:w="7480" w:type="dxa"/>
            <w:vAlign w:val="bottom"/>
            <w:gridSpan w:val="10"/>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bl>
    <w:p>
      <w:pPr>
        <w:jc w:val="right"/>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w:t>
      </w:r>
    </w:p>
    <w:p>
      <w:pPr>
        <w:spacing w:after="0" w:line="18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any accompanying prospectus supplement or an offer to sell or the solicitation of an offer to buy such debt securities in any circumstances in which such offer or solicitation is unlawful.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terms “the Company,” “we,” “our,” “ours” and “us” refer to Analog Devices, Inc. and its subsidiaries on a consolidated basis, unless the context otherwise requires.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Investing in our debt securities involves risk. You should carefully consider the risks and uncertainties described in the accompanying prospectus supplement, as well as all of the risk factors contained in our filings with the SEC that are incorporated by reference in this prospectus, including the risk factors in our Annual Report on Form 10-K for the fiscal year ended October 28, 2017 and our Quarterly Reports on Form 10-Q for the fiscal quarters ended February 3, 2018 and May 5, 2018, before making an investment decision pursuant to this prospectus and any accompanying prospectus supplement relating to a specific offering.</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certain information filed by us with the SEC are also available on our website at </w:t>
      </w:r>
      <w:r>
        <w:rPr>
          <w:rFonts w:ascii="Arial" w:cs="Arial" w:eastAsia="Arial" w:hAnsi="Arial"/>
          <w:sz w:val="18"/>
          <w:szCs w:val="18"/>
          <w:i w:val="1"/>
          <w:iCs w:val="1"/>
          <w:color w:val="auto"/>
        </w:rPr>
        <w:t>http://www.analog.com</w:t>
      </w:r>
      <w:r>
        <w:rPr>
          <w:rFonts w:ascii="Arial" w:cs="Arial" w:eastAsia="Arial" w:hAnsi="Arial"/>
          <w:sz w:val="18"/>
          <w:szCs w:val="18"/>
          <w:color w:val="auto"/>
        </w:rPr>
        <w:t>. The information contained on, or that can be accessed through, our website is not a part of this prospectus and is not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We have included our website address in this prospectus solely as an inactive textual reference. You may also read and copy any document we file at the SEC’s Public Reference Room, 100 F Street, N.E., Washington, D.C. 20549. Please call the SEC at 1-800-SEC-0330 for further information on the operation of the Public Reference Room.</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72" w:lineRule="exact"/>
        <w:rPr>
          <w:sz w:val="20"/>
          <w:szCs w:val="20"/>
          <w:color w:val="auto"/>
        </w:rPr>
      </w:pPr>
    </w:p>
    <w:p>
      <w:pPr>
        <w:ind w:left="900" w:right="4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October 28, 2017, filed with the SEC on November 22, 2017, including the information specifically incorporated by reference into the Annual Report on Form 10-K from our Definitive Proxy Statement for our 2018 Annual Meeting of Stockholders, filed with the SEC on January 26, 2018;</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February 3, 2018, filed with the SEC on February 28,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May 5, 2018, filed with the SEC on May 30, 2018;</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30, 2018 (Item 8.01 only), February 28, 2018 (Item 8.01 only), March 9, 2018, March 12, 2018, March 15, 2018, and June 14, 2018;</w:t>
      </w:r>
    </w:p>
    <w:p>
      <w:pPr>
        <w:spacing w:after="0" w:line="75"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audited consolidated balance sheets of Linear Technology Corporation as of July 3, 2016 and June 28, 2015, the audited consolidated statements of income, consolidated statements of comprehensive income, consolidated statements of stockholders’ equity and consolidated statements of cash flows of Linear Technology Corporation for each of the three fiscal years in the period ended July 3, 2016 and the schedule and independent registered public accounting firm’s report related thereto, filed as Exhibit 99.1 to our Current Report on Form 8-K, filed with the SEC on November 30, 2016;</w:t>
      </w:r>
    </w:p>
    <w:p>
      <w:pPr>
        <w:spacing w:after="0" w:line="93"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 of Linear Technology Corporation as of January 1, 2017, the unaudited condensed consolidated statements of operations, comprehensive income and cash flows for the six-month periods ended January 1, 2017 and January 3, 2016 and the related notes to such unaudited condensed consolidated financial statement, filed as Exhibit 99.2 to Amendment No. 1 to our Current Report on Form 8-K, filed with the SEC on May 23, 2017; and</w:t>
      </w:r>
    </w:p>
    <w:p>
      <w:pPr>
        <w:spacing w:after="0" w:line="92"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unaudited pro forma condensed combined statements of income for the fiscal year ended October 28, 2017, which give effect to the acquisition of Linear Technology Corporation as if it had occurred on October 30, 2016, and the related notes to such unaudited pro forma condensed combined financial statements, filed as Exhibit 99.1 to our Form 10-Q for the quarterly period ended February 3, 2018, filed with the SEC on February 28,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or telephone number: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(781) 461-3282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contain “forward-looking statements” regarding future events and our future results that are subject to the safe harbor created under the Private Securities Litigation Reform Act of 1995 and other safe harbors under the Securities Act of 1933, as amended, or the Securities Act, and the Securities Exchange Act of 1934, as amended, or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including the Tax Cuts and Jobs Act of 2017 in the United States; the effect of new accounting pronouncements; our ability to successfully integrate acquired businesses and technologies, including the integration of the acquired business, operations and employees of Linear Technology Corporation; and other characterizations of future events or circumstances are forward-looking statements. You are cautioned that these forward-looking statements are only predictions and are subject to risks, uncertainties and assumptions that are difficult to predict. 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 on Form 10-Q for the quarter ended May 5, 2018 and our Current Reports on Form 8-K. Actual results may differ materially and adversely from those expressed in any forward-looking statements. We undertake no obligation to revise or update any forward-looking statements, including to reflect events or circumstances occurring after the date of the filing of this prospectus, except to the extent required by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Analog Devices, Inc. (“we,” “Analog Devices” or the “Company”) is a leading global high-performance analog technology company. Our products and technologies intelligently bridge the physical and digital domains through sensing, measuring, powering, connecting and interpreting. We design, manufacture and market a broad portfolio of solutions that leverage high-performance analog, mixed-signal and digital signal processing technology, including integrated circuits (“ICs”), algorithms, software and subsystems. Since our inception in 1965, we have focused on solving our customers’ toughest signal processing engineering challenges and playing a fundamental role in converting, conditioning, and processing real-world phenomena such as temperature, pressure, sound, light, speed and motion into electrical signals to be used in a wide array of electronic devices. We combine sensors, data converters, amplifiers and linear products, radio frequency ICs, power management products and signal processing products into technology platforms that meet specific customer and market needs, leveraging our engineering investment across a broad base of markets and customers. As new generations of applications evolve, such as autonomous vehicles and the Internet of Things, new needs for our high-performance analog signal processing and digital signal processing products and technologies are emerging.</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focus on key strategic markets where our signal processing technology is often a critical differentiator in our customers’ products; in particular, the industrial, automotive, consumer and communications markets. Used by more than 125,000 customers worldwide, our products are embedded inside many different types of electronic equipment including:</w:t>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  Industrial process control systems</w:t>
            </w:r>
          </w:p>
        </w:tc>
        <w:tc>
          <w:tcPr>
            <w:tcW w:w="1520" w:type="dxa"/>
            <w:vAlign w:val="bottom"/>
          </w:tcPr>
          <w:p>
            <w:pPr>
              <w:ind w:left="1360"/>
              <w:spacing w:after="0"/>
              <w:rPr>
                <w:sz w:val="20"/>
                <w:szCs w:val="20"/>
                <w:color w:val="auto"/>
              </w:rPr>
            </w:pPr>
            <w:r>
              <w:rPr>
                <w:rFonts w:ascii="Arial" w:cs="Arial" w:eastAsia="Arial" w:hAnsi="Arial"/>
                <w:sz w:val="18"/>
                <w:szCs w:val="18"/>
                <w:color w:val="auto"/>
              </w:rPr>
              <w:t>•</w:t>
            </w:r>
          </w:p>
        </w:tc>
        <w:tc>
          <w:tcPr>
            <w:tcW w:w="2820" w:type="dxa"/>
            <w:vAlign w:val="bottom"/>
          </w:tcPr>
          <w:p>
            <w:pPr>
              <w:ind w:left="100"/>
              <w:spacing w:after="0"/>
              <w:rPr>
                <w:sz w:val="20"/>
                <w:szCs w:val="20"/>
                <w:color w:val="auto"/>
              </w:rPr>
            </w:pPr>
            <w:r>
              <w:rPr>
                <w:rFonts w:ascii="Arial" w:cs="Arial" w:eastAsia="Arial" w:hAnsi="Arial"/>
                <w:sz w:val="18"/>
                <w:szCs w:val="18"/>
                <w:color w:val="auto"/>
              </w:rPr>
              <w:t>Medical imaging equipment</w:t>
            </w: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  Factory process automation systems</w:t>
            </w:r>
          </w:p>
        </w:tc>
        <w:tc>
          <w:tcPr>
            <w:tcW w:w="4340" w:type="dxa"/>
            <w:vAlign w:val="bottom"/>
            <w:gridSpan w:val="2"/>
          </w:tcPr>
          <w:p>
            <w:pPr>
              <w:ind w:left="1360"/>
              <w:spacing w:after="0"/>
              <w:rPr>
                <w:sz w:val="20"/>
                <w:szCs w:val="20"/>
                <w:color w:val="auto"/>
              </w:rPr>
            </w:pPr>
            <w:r>
              <w:rPr>
                <w:rFonts w:ascii="Arial" w:cs="Arial" w:eastAsia="Arial" w:hAnsi="Arial"/>
                <w:sz w:val="18"/>
                <w:szCs w:val="18"/>
                <w:color w:val="auto"/>
                <w:w w:val="95"/>
              </w:rPr>
              <w:t>•  Patient vital signs monitoring devices</w:t>
            </w: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  Instrumentation and measurement systems</w:t>
            </w:r>
          </w:p>
        </w:tc>
        <w:tc>
          <w:tcPr>
            <w:tcW w:w="1520" w:type="dxa"/>
            <w:vAlign w:val="bottom"/>
          </w:tcPr>
          <w:p>
            <w:pPr>
              <w:ind w:left="1360"/>
              <w:spacing w:after="0"/>
              <w:rPr>
                <w:sz w:val="20"/>
                <w:szCs w:val="20"/>
                <w:color w:val="auto"/>
              </w:rPr>
            </w:pPr>
            <w:r>
              <w:rPr>
                <w:rFonts w:ascii="Arial" w:cs="Arial" w:eastAsia="Arial" w:hAnsi="Arial"/>
                <w:sz w:val="18"/>
                <w:szCs w:val="18"/>
                <w:color w:val="auto"/>
              </w:rPr>
              <w:t>•</w:t>
            </w:r>
          </w:p>
        </w:tc>
        <w:tc>
          <w:tcPr>
            <w:tcW w:w="2820" w:type="dxa"/>
            <w:vAlign w:val="bottom"/>
          </w:tcPr>
          <w:p>
            <w:pPr>
              <w:ind w:left="100"/>
              <w:spacing w:after="0"/>
              <w:rPr>
                <w:sz w:val="20"/>
                <w:szCs w:val="20"/>
                <w:color w:val="auto"/>
              </w:rPr>
            </w:pPr>
            <w:r>
              <w:rPr>
                <w:rFonts w:ascii="Arial" w:cs="Arial" w:eastAsia="Arial" w:hAnsi="Arial"/>
                <w:sz w:val="18"/>
                <w:szCs w:val="18"/>
                <w:color w:val="auto"/>
              </w:rPr>
              <w:t>Wireless infrastructure equipment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Pr>
          <w:p>
            <w:pPr>
              <w:ind w:left="100"/>
              <w:spacing w:after="0"/>
              <w:rPr>
                <w:sz w:val="20"/>
                <w:szCs w:val="20"/>
                <w:color w:val="auto"/>
              </w:rPr>
            </w:pPr>
            <w:r>
              <w:rPr>
                <w:rFonts w:ascii="Arial" w:cs="Arial" w:eastAsia="Arial" w:hAnsi="Arial"/>
                <w:sz w:val="18"/>
                <w:szCs w:val="18"/>
                <w:color w:val="auto"/>
              </w:rPr>
              <w:t>Energy management systems</w:t>
            </w:r>
          </w:p>
        </w:tc>
        <w:tc>
          <w:tcPr>
            <w:tcW w:w="1520" w:type="dxa"/>
            <w:vAlign w:val="bottom"/>
          </w:tcPr>
          <w:p>
            <w:pPr>
              <w:ind w:left="1360"/>
              <w:spacing w:after="0"/>
              <w:rPr>
                <w:sz w:val="20"/>
                <w:szCs w:val="20"/>
                <w:color w:val="auto"/>
              </w:rPr>
            </w:pPr>
            <w:r>
              <w:rPr>
                <w:rFonts w:ascii="Arial" w:cs="Arial" w:eastAsia="Arial" w:hAnsi="Arial"/>
                <w:sz w:val="18"/>
                <w:szCs w:val="18"/>
                <w:color w:val="auto"/>
              </w:rPr>
              <w:t>•</w:t>
            </w:r>
          </w:p>
        </w:tc>
        <w:tc>
          <w:tcPr>
            <w:tcW w:w="2820" w:type="dxa"/>
            <w:vAlign w:val="bottom"/>
          </w:tcPr>
          <w:p>
            <w:pPr>
              <w:ind w:left="100"/>
              <w:spacing w:after="0"/>
              <w:rPr>
                <w:sz w:val="20"/>
                <w:szCs w:val="20"/>
                <w:color w:val="auto"/>
              </w:rPr>
            </w:pPr>
            <w:r>
              <w:rPr>
                <w:rFonts w:ascii="Arial" w:cs="Arial" w:eastAsia="Arial" w:hAnsi="Arial"/>
                <w:sz w:val="18"/>
                <w:szCs w:val="18"/>
                <w:color w:val="auto"/>
              </w:rPr>
              <w:t>Networking equipment</w:t>
            </w: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  Aerospace and defense electronics</w:t>
            </w:r>
          </w:p>
        </w:tc>
        <w:tc>
          <w:tcPr>
            <w:tcW w:w="1520" w:type="dxa"/>
            <w:vAlign w:val="bottom"/>
          </w:tcPr>
          <w:p>
            <w:pPr>
              <w:ind w:left="1360"/>
              <w:spacing w:after="0"/>
              <w:rPr>
                <w:sz w:val="20"/>
                <w:szCs w:val="20"/>
                <w:color w:val="auto"/>
              </w:rPr>
            </w:pPr>
            <w:r>
              <w:rPr>
                <w:rFonts w:ascii="Arial" w:cs="Arial" w:eastAsia="Arial" w:hAnsi="Arial"/>
                <w:sz w:val="18"/>
                <w:szCs w:val="18"/>
                <w:color w:val="auto"/>
              </w:rPr>
              <w:t>•</w:t>
            </w:r>
          </w:p>
        </w:tc>
        <w:tc>
          <w:tcPr>
            <w:tcW w:w="2820" w:type="dxa"/>
            <w:vAlign w:val="bottom"/>
          </w:tcPr>
          <w:p>
            <w:pPr>
              <w:ind w:left="100"/>
              <w:spacing w:after="0"/>
              <w:rPr>
                <w:sz w:val="20"/>
                <w:szCs w:val="20"/>
                <w:color w:val="auto"/>
              </w:rPr>
            </w:pPr>
            <w:r>
              <w:rPr>
                <w:rFonts w:ascii="Arial" w:cs="Arial" w:eastAsia="Arial" w:hAnsi="Arial"/>
                <w:sz w:val="18"/>
                <w:szCs w:val="18"/>
                <w:color w:val="auto"/>
              </w:rPr>
              <w:t>Optical systems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Pr>
          <w:p>
            <w:pPr>
              <w:ind w:left="80"/>
              <w:spacing w:after="0"/>
              <w:rPr>
                <w:sz w:val="20"/>
                <w:szCs w:val="20"/>
                <w:color w:val="auto"/>
              </w:rPr>
            </w:pPr>
            <w:r>
              <w:rPr>
                <w:rFonts w:ascii="Arial" w:cs="Arial" w:eastAsia="Arial" w:hAnsi="Arial"/>
                <w:sz w:val="18"/>
                <w:szCs w:val="18"/>
                <w:color w:val="auto"/>
              </w:rPr>
              <w:t>Automobiles</w:t>
            </w:r>
          </w:p>
        </w:tc>
        <w:tc>
          <w:tcPr>
            <w:tcW w:w="1520" w:type="dxa"/>
            <w:vAlign w:val="bottom"/>
          </w:tcPr>
          <w:p>
            <w:pPr>
              <w:ind w:left="1360"/>
              <w:spacing w:after="0"/>
              <w:rPr>
                <w:sz w:val="20"/>
                <w:szCs w:val="20"/>
                <w:color w:val="auto"/>
              </w:rPr>
            </w:pPr>
            <w:r>
              <w:rPr>
                <w:rFonts w:ascii="Arial" w:cs="Arial" w:eastAsia="Arial" w:hAnsi="Arial"/>
                <w:sz w:val="18"/>
                <w:szCs w:val="18"/>
                <w:color w:val="auto"/>
              </w:rPr>
              <w:t>•</w:t>
            </w:r>
          </w:p>
        </w:tc>
        <w:tc>
          <w:tcPr>
            <w:tcW w:w="2820" w:type="dxa"/>
            <w:vAlign w:val="bottom"/>
          </w:tcPr>
          <w:p>
            <w:pPr>
              <w:ind w:left="100"/>
              <w:spacing w:after="0"/>
              <w:rPr>
                <w:sz w:val="20"/>
                <w:szCs w:val="20"/>
                <w:color w:val="auto"/>
              </w:rPr>
            </w:pPr>
            <w:r>
              <w:rPr>
                <w:rFonts w:ascii="Arial" w:cs="Arial" w:eastAsia="Arial" w:hAnsi="Arial"/>
                <w:sz w:val="18"/>
                <w:szCs w:val="18"/>
                <w:color w:val="auto"/>
              </w:rPr>
              <w:t>Portable consumer devices</w:t>
            </w:r>
          </w:p>
        </w:tc>
      </w:tr>
    </w:tbl>
    <w:p>
      <w:pPr>
        <w:spacing w:after="0" w:line="2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were incorporated in Massachusetts in 1965. Our headquarters is near Boston, in Norwood, Massachusetts. In addition, we have manufacturing facilities in the United States, Ireland and Southeast Asia. We have more than 50 design, development, field application engineering, sales and manufacturing centers worldwide. Our common stock is listed on The Nasdaq Global Select Market under the symbol ADI and is included in the Standard &amp; Poor’s 500 Index.</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7"/>
              </w:rPr>
              <w:t>Fiscal Year Ended</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May 5,</w:t>
            </w:r>
          </w:p>
        </w:tc>
        <w:tc>
          <w:tcPr>
            <w:tcW w:w="32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7"/>
              </w:rPr>
              <w:t>October 28,</w:t>
            </w:r>
          </w:p>
        </w:tc>
        <w:tc>
          <w:tcPr>
            <w:tcW w:w="820" w:type="dxa"/>
            <w:vAlign w:val="bottom"/>
            <w:tcBorders>
              <w:top w:val="single" w:sz="8" w:color="auto"/>
            </w:tcBorders>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October 29,</w:t>
            </w: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7"/>
              </w:rPr>
              <w:t>October 31,</w:t>
            </w:r>
          </w:p>
        </w:tc>
        <w:tc>
          <w:tcPr>
            <w:tcW w:w="110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7"/>
              </w:rPr>
              <w:t>November 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4"/>
                <w:szCs w:val="14"/>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740" w:type="dxa"/>
            <w:vAlign w:val="bottom"/>
          </w:tcPr>
          <w:p>
            <w:pPr>
              <w:jc w:val="right"/>
              <w:ind w:right="14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Ratios of Earnings to Fixed Charges(1)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52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purposes of computing the ratio of earnings to fixed charges, earnings consist of income before income taxes plus amortization of capitalized interest and fixed charges. Fixed charges consist of interest expense (including an estimate of interest within rent expense).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and/or refinancing of debt, working capital, capital expenditures, repurchases of our common stock under our stock repurchase program and dividend payments. We have not determined the amount of net proceeds to be used specifically for such purposes. As a result, management will retain broad discretion over the allocation of net proceeds.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Unless otherwise specified in a supplement to this prospectus, the debt securities will be our direct, unsecured obligations and will rank equally with all of our other unsecured and unsubordinated indebtedness.</w:t>
      </w:r>
    </w:p>
    <w:p>
      <w:pPr>
        <w:spacing w:after="0" w:line="17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debt securities will be issued under an indenture dated June 3, 2013 between us and The Bank of New York Mellon Trust Company, N.A., as trustee, which we refer to as the “indenture.” We have summarized select portions of the indenture below. The summary is not complete. The indenture has been incorporated by reference as an exhibit to the registration statement and you should read the indenture for provisions that may be important to you. Capitalized terms used in the summary and not defined herein have the meanings specified in the indenture.</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When we refer to “the Company,” “we,” “our” and “us” in this section, we mean Analog Devices, Inc. excluding, unless the context otherwise requires or as otherwise expressly stated, our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66"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or dates on which we will pay the principal on the debt securities;</w:t>
      </w:r>
    </w:p>
    <w:p>
      <w:pPr>
        <w:spacing w:after="0" w:line="225" w:lineRule="exact"/>
        <w:rPr>
          <w:rFonts w:ascii="Arial" w:cs="Arial" w:eastAsia="Arial" w:hAnsi="Arial"/>
          <w:sz w:val="18"/>
          <w:szCs w:val="18"/>
          <w:color w:val="auto"/>
        </w:rPr>
      </w:pPr>
    </w:p>
    <w:p>
      <w:pPr>
        <w:ind w:firstLine="464"/>
        <w:spacing w:after="0" w:line="312" w:lineRule="auto"/>
        <w:tabs>
          <w:tab w:leader="none" w:pos="71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place or places where principal of, premium and any interest on the debt securities will be payable;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conditions upon which we may redeem the debt securities;</w:t>
      </w:r>
    </w:p>
    <w:p>
      <w:pPr>
        <w:spacing w:after="0" w:line="225"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w:t>
      </w:r>
    </w:p>
    <w:p>
      <w:pPr>
        <w:spacing w:after="0" w:line="170" w:lineRule="exact"/>
        <w:rPr>
          <w:rFonts w:ascii="Arial" w:cs="Arial" w:eastAsia="Arial" w:hAnsi="Arial"/>
          <w:sz w:val="18"/>
          <w:szCs w:val="18"/>
          <w:color w:val="auto"/>
        </w:rPr>
      </w:pPr>
    </w:p>
    <w:p>
      <w:pPr>
        <w:ind w:right="600" w:firstLine="464"/>
        <w:spacing w:after="0" w:line="27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hanging="33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payable upon declaration of acceleration of the maturity date, if other than the principal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amount;</w:t>
      </w:r>
    </w:p>
    <w:p>
      <w:pPr>
        <w:spacing w:after="0" w:line="210" w:lineRule="exact"/>
        <w:rPr>
          <w:rFonts w:ascii="Arial" w:cs="Arial" w:eastAsia="Arial" w:hAnsi="Arial"/>
          <w:sz w:val="16"/>
          <w:szCs w:val="16"/>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designation of the currency, currencies or currency units in which payment of principal of, premium and any interest on the debt securities will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made;</w:t>
      </w:r>
    </w:p>
    <w:p>
      <w:pPr>
        <w:spacing w:after="0" w:line="210" w:lineRule="exact"/>
        <w:rPr>
          <w:rFonts w:ascii="Arial" w:cs="Arial" w:eastAsia="Arial" w:hAnsi="Arial"/>
          <w:sz w:val="16"/>
          <w:szCs w:val="16"/>
          <w:color w:val="auto"/>
        </w:rPr>
      </w:pPr>
    </w:p>
    <w:p>
      <w:pPr>
        <w:ind w:right="60" w:firstLine="464"/>
        <w:spacing w:after="0" w:line="342" w:lineRule="auto"/>
        <w:tabs>
          <w:tab w:leader="none" w:pos="801"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payments of principal of, premium or any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3" w:lineRule="exact"/>
        <w:rPr>
          <w:rFonts w:ascii="Arial" w:cs="Arial" w:eastAsia="Arial" w:hAnsi="Arial"/>
          <w:sz w:val="16"/>
          <w:szCs w:val="16"/>
          <w:color w:val="auto"/>
        </w:rPr>
      </w:pPr>
    </w:p>
    <w:p>
      <w:pPr>
        <w:ind w:firstLine="464"/>
        <w:spacing w:after="0" w:line="264" w:lineRule="auto"/>
        <w:tabs>
          <w:tab w:leader="none" w:pos="80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or any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8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right="500" w:firstLine="464"/>
        <w:spacing w:after="0" w:line="308" w:lineRule="auto"/>
        <w:tabs>
          <w:tab w:leader="none" w:pos="801"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46" w:lineRule="exact"/>
        <w:rPr>
          <w:rFonts w:ascii="Arial" w:cs="Arial" w:eastAsia="Arial" w:hAnsi="Arial"/>
          <w:sz w:val="17"/>
          <w:szCs w:val="17"/>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this prospectus or in the indenture with respect to the debt securities;</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listing on a securities exchange;</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public offering price, if any is established for such debt securities;</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other terms of the debt securities, which may supplement, modify or delete any provision of the indenture as it applies to that series; and</w:t>
      </w:r>
    </w:p>
    <w:p>
      <w:pPr>
        <w:spacing w:after="0" w:line="236" w:lineRule="exact"/>
        <w:rPr>
          <w:rFonts w:ascii="Arial" w:cs="Arial" w:eastAsia="Arial" w:hAnsi="Arial"/>
          <w:sz w:val="17"/>
          <w:szCs w:val="17"/>
          <w:color w:val="auto"/>
        </w:rPr>
      </w:pPr>
    </w:p>
    <w:p>
      <w:pPr>
        <w:ind w:right="220" w:firstLine="464"/>
        <w:spacing w:after="0" w:line="277" w:lineRule="auto"/>
        <w:tabs>
          <w:tab w:leader="none" w:pos="801"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 if other than those appointed in the indenture.</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material United States federal income tax considerations and other special considerations applicable to any of these debt securities in the applicable prospectus supplement.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“Forms of Securities” in this prospectus for a description of transfer and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0" w:lineRule="exact"/>
        <w:rPr>
          <w:sz w:val="20"/>
          <w:szCs w:val="20"/>
          <w:color w:val="auto"/>
        </w:rPr>
      </w:pPr>
    </w:p>
    <w:p>
      <w:pPr>
        <w:jc w:val="both"/>
        <w:ind w:right="120" w:firstLine="464"/>
        <w:spacing w:after="0" w:line="342" w:lineRule="auto"/>
        <w:tabs>
          <w:tab w:leader="none" w:pos="711"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w:t>
      </w:r>
    </w:p>
    <w:p>
      <w:pPr>
        <w:spacing w:after="0" w:line="123" w:lineRule="exact"/>
        <w:rPr>
          <w:rFonts w:ascii="Arial" w:cs="Arial" w:eastAsia="Arial" w:hAnsi="Arial"/>
          <w:sz w:val="16"/>
          <w:szCs w:val="16"/>
          <w:color w:val="auto"/>
        </w:rPr>
      </w:pPr>
    </w:p>
    <w:p>
      <w:pPr>
        <w:ind w:right="120" w:firstLine="464"/>
        <w:spacing w:after="0" w:line="27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any subsidiary of ours may consolidate with, merge into or transfer all or part of its properties to 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with respect to any series of debt securities, any of the following unless otherwise provided in the resolutions, officers’ certificate or supplemental indenture establishing such series:</w:t>
      </w:r>
    </w:p>
    <w:p>
      <w:pPr>
        <w:spacing w:after="0" w:line="170" w:lineRule="exact"/>
        <w:rPr>
          <w:sz w:val="20"/>
          <w:szCs w:val="20"/>
          <w:color w:val="auto"/>
        </w:rPr>
      </w:pPr>
    </w:p>
    <w:p>
      <w:pPr>
        <w:ind w:right="180" w:firstLine="464"/>
        <w:spacing w:after="0" w:line="277"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that default for a period of 30 days;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on any debt security of that series when due and payable;</w:t>
      </w:r>
    </w:p>
    <w:p>
      <w:pPr>
        <w:spacing w:after="0" w:line="225" w:lineRule="exact"/>
        <w:rPr>
          <w:rFonts w:ascii="Arial" w:cs="Arial" w:eastAsia="Arial" w:hAnsi="Arial"/>
          <w:sz w:val="18"/>
          <w:szCs w:val="18"/>
          <w:color w:val="auto"/>
        </w:rPr>
      </w:pPr>
    </w:p>
    <w:p>
      <w:pPr>
        <w:jc w:val="both"/>
        <w:ind w:firstLine="464"/>
        <w:spacing w:after="0" w:line="259"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by us in the indenture (other than a covenant that has been included in the indenture solely for the benefit of a series of debt securities other than such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and</w:t>
      </w:r>
    </w:p>
    <w:p>
      <w:pPr>
        <w:spacing w:after="0" w:line="225" w:lineRule="exact"/>
        <w:rPr>
          <w:rFonts w:ascii="Arial" w:cs="Arial" w:eastAsia="Arial" w:hAnsi="Arial"/>
          <w:sz w:val="18"/>
          <w:szCs w:val="18"/>
          <w:color w:val="auto"/>
        </w:rPr>
      </w:pPr>
    </w:p>
    <w:p>
      <w:pPr>
        <w:ind w:right="780" w:firstLine="464"/>
        <w:spacing w:after="0" w:line="277"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accompanying this prospectus.</w:t>
      </w:r>
    </w:p>
    <w:p>
      <w:pPr>
        <w:spacing w:after="0" w:line="17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w:t>
      </w:r>
    </w:p>
    <w:p>
      <w:pPr>
        <w:spacing w:after="0" w:line="18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indenture provides that the trustee will be under no obligation to exercise any of its rights or powers under the indenture unless the trustee receives security or indemnity satisfactory to it against any cost,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70"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 and</w:t>
      </w:r>
    </w:p>
    <w:p>
      <w:pPr>
        <w:spacing w:after="0" w:line="236" w:lineRule="exact"/>
        <w:rPr>
          <w:rFonts w:ascii="Arial" w:cs="Arial" w:eastAsia="Arial" w:hAnsi="Arial"/>
          <w:sz w:val="17"/>
          <w:szCs w:val="17"/>
          <w:color w:val="auto"/>
        </w:rPr>
      </w:pPr>
    </w:p>
    <w:p>
      <w:pPr>
        <w:ind w:right="20" w:firstLine="464"/>
        <w:spacing w:after="0" w:line="259"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Notwithstanding the foregoing, the holder of any debt security will have an absolute and unconditional right to receive payment of the principal of, any premium and any interest on that debt security on or after the due dates expressed in that debt security and to institute suit for the enforcement of payment.</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and the trustee may amend or supplement the indenture or the debt securities of one or more series without the consent of the holders of the outstanding debt securities under the indenture:</w:t>
      </w:r>
    </w:p>
    <w:p>
      <w:pPr>
        <w:spacing w:after="0" w:line="170"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provide for a supplemental indenture as contemplated by Article V of the indenture;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 under the indenture;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under the indenture as permitted thereunder;</w:t>
      </w:r>
    </w:p>
    <w:p>
      <w:pPr>
        <w:spacing w:after="0" w:line="236" w:lineRule="exact"/>
        <w:rPr>
          <w:rFonts w:ascii="Arial" w:cs="Arial" w:eastAsia="Arial" w:hAnsi="Arial"/>
          <w:sz w:val="17"/>
          <w:szCs w:val="17"/>
          <w:color w:val="auto"/>
        </w:rPr>
      </w:pPr>
    </w:p>
    <w:p>
      <w:pPr>
        <w:jc w:val="both"/>
        <w:ind w:right="120" w:firstLine="464"/>
        <w:spacing w:after="0" w:line="342" w:lineRule="auto"/>
        <w:tabs>
          <w:tab w:leader="none" w:pos="711"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In addition, we and the trustee may enter into a supplemental indenture as to all other matters with the written consent of the holders of at least a majority in principal amount of the outstanding debt securities of each series affected by such supplemental indenture, provided however that we may not make any modification or amendment without the consent of the holders of each affected debt security then outstanding if that amendment will:</w:t>
      </w:r>
    </w:p>
    <w:p>
      <w:pPr>
        <w:spacing w:after="0" w:line="147"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64"/>
        <w:spacing w:after="0" w:line="277"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25"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any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right="140" w:firstLine="464"/>
        <w:spacing w:after="0" w:line="342" w:lineRule="auto"/>
        <w:tabs>
          <w:tab w:leader="none" w:pos="711"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any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 discharged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and all obligations in respect of the debt securities of any series (except for certain obligations, including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w:t>
      </w:r>
    </w:p>
    <w:p>
      <w:pPr>
        <w:spacing w:after="0" w:line="19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70" w:lineRule="exact"/>
        <w:rPr>
          <w:sz w:val="20"/>
          <w:szCs w:val="20"/>
          <w:color w:val="auto"/>
        </w:rPr>
      </w:pPr>
    </w:p>
    <w:p>
      <w:pPr>
        <w:ind w:right="140" w:firstLine="464"/>
        <w:spacing w:after="0" w:line="277"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70" w:lineRule="exact"/>
        <w:rPr>
          <w:rFonts w:ascii="Arial" w:cs="Arial" w:eastAsia="Arial" w:hAnsi="Arial"/>
          <w:sz w:val="18"/>
          <w:szCs w:val="18"/>
          <w:color w:val="auto"/>
        </w:rPr>
      </w:pPr>
    </w:p>
    <w:p>
      <w:pPr>
        <w:ind w:right="400" w:firstLine="464"/>
        <w:spacing w:after="0" w:line="277"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right="20" w:firstLine="464"/>
        <w:spacing w:after="0" w:line="276" w:lineRule="auto"/>
        <w:tabs>
          <w:tab w:leader="none" w:pos="7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72" w:lineRule="exact"/>
        <w:rPr>
          <w:rFonts w:ascii="Arial" w:cs="Arial" w:eastAsia="Arial" w:hAnsi="Arial"/>
          <w:sz w:val="17"/>
          <w:szCs w:val="17"/>
          <w:color w:val="auto"/>
        </w:rPr>
      </w:pPr>
    </w:p>
    <w:p>
      <w:pPr>
        <w:ind w:firstLine="464"/>
        <w:spacing w:after="0" w:line="340" w:lineRule="auto"/>
        <w:tabs>
          <w:tab w:leader="none" w:pos="711"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delivering to the trustee an opinion of counsel stating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3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Covenant Defeasance and Events of Default</w:t>
      </w:r>
      <w:r>
        <w:rPr>
          <w:rFonts w:ascii="Arial" w:cs="Arial" w:eastAsia="Arial" w:hAnsi="Arial"/>
          <w:sz w:val="17"/>
          <w:szCs w:val="17"/>
          <w:color w:val="auto"/>
        </w:rPr>
        <w:t>. In the event we exercise our option to effect covenant defeasance with respect to any series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Government Obligations</w:t>
      </w:r>
      <w:r>
        <w:rPr>
          <w:rFonts w:ascii="Arial" w:cs="Arial" w:eastAsia="Arial" w:hAnsi="Arial"/>
          <w:sz w:val="16"/>
          <w:szCs w:val="16"/>
          <w:color w:val="auto"/>
        </w:rPr>
        <w:t>” means, with respect to debt securities of any series that are denominated in a currency other than U.S. Dollars:</w:t>
      </w:r>
    </w:p>
    <w:p>
      <w:pPr>
        <w:spacing w:after="0" w:line="248" w:lineRule="exact"/>
        <w:rPr>
          <w:sz w:val="20"/>
          <w:szCs w:val="20"/>
          <w:color w:val="auto"/>
        </w:rPr>
      </w:pPr>
    </w:p>
    <w:p>
      <w:pPr>
        <w:ind w:right="60" w:firstLine="464"/>
        <w:spacing w:after="0" w:line="277" w:lineRule="auto"/>
        <w:tabs>
          <w:tab w:leader="none" w:pos="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170" w:lineRule="exact"/>
        <w:rPr>
          <w:rFonts w:ascii="Arial" w:cs="Arial" w:eastAsia="Arial" w:hAnsi="Arial"/>
          <w:sz w:val="18"/>
          <w:szCs w:val="18"/>
          <w:color w:val="auto"/>
        </w:rPr>
      </w:pPr>
    </w:p>
    <w:p>
      <w:pPr>
        <w:ind w:right="300" w:firstLine="464"/>
        <w:spacing w:after="0" w:line="342" w:lineRule="auto"/>
        <w:tabs>
          <w:tab w:leader="none" w:pos="711"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12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Government Obligations</w:t>
      </w:r>
      <w:r>
        <w:rPr>
          <w:rFonts w:ascii="Arial" w:cs="Arial" w:eastAsia="Arial" w:hAnsi="Arial"/>
          <w:sz w:val="17"/>
          <w:szCs w:val="17"/>
          <w:color w:val="auto"/>
        </w:rPr>
        <w:t>”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Prior to Maturity</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Company has the right at any time to satisfy and discharge its obligations, other than certain specified obligations, under all debt securities issued pursuant to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 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debt securities when due upon redemption or at maturity, all the obligations of the Company under the indenture will be discharged and terminated except as otherwise provided in the indenture.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may issue the debt securities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5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global security desires to give or take any action that a holder is entitled to give or take under the indenture,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Principal, premium, if any, and interest payments on debt securities represented by a global security registered in the name of a depositary or its nominee will be made to the depositary or its nominee, as the case may be, as the registered owner of the global security. None of the Company, the trustee, or any other agent of the Company or the trustee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expect that the depositary for any of the securities represented by a global security, upon receipt of any payment to holders of principal, premium, interest or other distribution of underlying securities or other property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securities held for the accounts of customers registered in “street name,” and will be the responsibility of those participants.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In addition, we may, at any time and in our sole discretion and subject to the procedures of the depositary, determine not to have securities represented by global securities and, in that event, will issue securities in definitive form for the global securities of that series. Any securities issued in definitive form in exchange for a global security will be registered in the name or names that the depositary gives to the trustee or other relevant agent of ours or theirs. It is expected that the depositary’s instructions will be based on directions received by the depositary from participants with respect to ownership of beneficial interests in the global security that had been held by the depositary.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debt securities:</w:t>
      </w:r>
    </w:p>
    <w:p>
      <w:pPr>
        <w:spacing w:after="0" w:line="225" w:lineRule="exact"/>
        <w:rPr>
          <w:sz w:val="20"/>
          <w:szCs w:val="20"/>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prospectus may be used in connection with any offering of our debt securities through any of these methods or other methods described in the applicable prospectus supplement.</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debt securities may be effected from time to time in one or more transactions:</w:t>
      </w:r>
    </w:p>
    <w:p>
      <w:pPr>
        <w:spacing w:after="0" w:line="225" w:lineRule="exact"/>
        <w:rPr>
          <w:sz w:val="20"/>
          <w:szCs w:val="20"/>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prospectus supplement will describe the method of distribution of the debt securities and any applicable restrictions.</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prospectus supplement with respect to the debt securities of a particular series will describe the terms of the offering of the debt securities, including the following:</w:t>
      </w:r>
    </w:p>
    <w:p>
      <w:pPr>
        <w:spacing w:after="0" w:line="170"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debt securities;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exchanges on which the debt securities will be listed.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 dealer is utilized in the sale of the debt securities in respect of which this prospectus is delivered, we will sell such debt securities to the dealer, as principal. The dealer may then resell such securities to the public at varying prices to be determined by such dealer at the time of resale.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right="180" w:firstLine="464"/>
        <w:spacing w:after="0" w:line="277" w:lineRule="auto"/>
        <w:tabs>
          <w:tab w:leader="none" w:pos="7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by an institution of the debt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Certain agents, underwriters,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w:t>
      </w:r>
    </w:p>
    <w:p>
      <w:pPr>
        <w:spacing w:after="0" w:line="19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w:t>
      </w:r>
    </w:p>
    <w:p>
      <w:pPr>
        <w:spacing w:after="0" w:line="158"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debt securities in respect of which this prospectus is being delivered will be passed upon by Wilmer Cutler Pickering Hale and Dorr LLP.</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consolidated financial statements of Analog Devices, Inc. appearing in Analog Devices, Inc.’s Annual Report (Form 10-K) for the year ended October 28, 2017 (including the schedule appearing therein), and the effectiveness of Analog Devices, Inc.’s internal control over financial reporting as of October 28, 2017, have been audited by Ernst &amp; Young LLP, independent registered public accounting firm, as set forth in their reports thereon included therein, and incorporated herein by reference. Such financial statements and Analog Devices, Inc. management’s assessment of the effectiveness of internal control over financial reporting as of October 28, 2017 are, and audited financial statements and Analog Devices, Inc. management’s assessment of internal control over financial reporting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consolidated financial statements of Linear Technology Corporation appearing in Analog Devices, Inc.’s Current Report on Form 8-K dated November 30, 2016 for the year ended July 3, 2016 (including the schedule appearing therein) have been audited by Ernst &amp; Young LLP, independent registered public accounting firm, as set forth in their report thereon included therein, and incorporated herein by reference. Such financial statements are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registrant’s best estimate as to anticipated expenses and costs (other than underwriting discounts and commissions)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incurred in connection with a distribution of debt securities registered hereby:</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3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Accounting services</w:t>
            </w:r>
          </w:p>
        </w:tc>
        <w:tc>
          <w:tcPr>
            <w:tcW w:w="3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33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Legal fees of Registrant’s counsel</w:t>
            </w:r>
          </w:p>
        </w:tc>
        <w:tc>
          <w:tcPr>
            <w:tcW w:w="3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Rating agency fees</w:t>
            </w:r>
          </w:p>
        </w:tc>
        <w:tc>
          <w:tcPr>
            <w:tcW w:w="33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9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940" w:type="dxa"/>
            <w:vAlign w:val="bottom"/>
            <w:vMerge w:val="continue"/>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Deferred in reliance upon Rules 456(b) and 457(r) under the Securities Act.</w:t>
      </w:r>
    </w:p>
    <w:p>
      <w:pPr>
        <w:spacing w:after="0" w:line="23"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fees and expenses are based on the amount of securities offered and the number of issuances and, accordingly, are not estimated at this time and will be reflected in the applicable prospectus supplement.</w:t>
      </w:r>
    </w:p>
    <w:p>
      <w:pPr>
        <w:spacing w:after="0" w:line="3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Article 6A of the Company’s Restated Articles of Organization, as amended (the “Restated Articles”) provides that the Company shall indemnify each person who is, or was, a director or officer of the Company or who is or was a director or employee of the Company and is serving or has served as a director of another organization at the request of the Company or in any capacity with respect to an employee benefit plan of the Company,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Company or as a result of his having served with respect to any such employee benefit plan. Article 6A further provides that the Company shall provide no indemnification with respect to any matter as to which any director or officer shall be finally adjudicated in such action, suit or proceeding not to have acted in good faith in the reasonable belief that his action was in the best interests of the Company or, if the matter relates to an employee benefit plan, the participants or beneficiaries of such employee benefit plan. The right to indemnification conferred by Article 6A includes the right to be paid by the Company for liabilities and expenses incurred in connection with settlement or compromise of any such action pursuant to a consent decree or otherwise, unless a determination is made by the board of directors that such settlement or compromise is not in the best interests of the Company or, if the matter relates to an employee benefit plan, the participants or beneficiaries of such employee benefit plan.</w:t>
      </w:r>
    </w:p>
    <w:p>
      <w:pPr>
        <w:spacing w:after="0" w:line="17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Article 6A of the Restated Articles includes the right to payment by the Company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Company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Company or the participants or beneficiaries of such employee benefit plan, as the case may be.</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Company for some or a portion of the liabilities or expenses imposed upon or incurred by such individual in the investigation, defense, appeal or settlement of any action, suit or proceeding but not, however, for the total amount thereof, the Company shall nevertheless indemnify such individual for the portion of such liabilities or expenses to which such individual is entitled. The Company’s obligation to provide indemnification under the Restated Articles shall be offset to the extent of any other source of indemnification or any otherwise applicable insurance coverage under a policy maintained by the Company or any other person.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Article 6D of the Restated Articles, to the fullest extent permitted by the Massachusetts Business Corporation Act, as may be amended from time to time, no director shall be personally liable to the Company or its stockholders for monetary damages for breach of his fiduciary duty as a director, notwithstanding any provision of law imposing such liability.</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also entered into indemnification agreements with its directors and executive officers, each of which creates a direct contractual obligation of the Company to indemnify the individual under certain circumstances. Each agreement generally provides that the Company will indemnify the director or officer to the fullest extent permitted under Massachusetts law for claims arising in such individual’s capacity as a director or officer of the Company or in connection with his or her service at the request of the Company for another entity. Each agreement, among other things, establishes certain remedies for claims and contains deadlines and procedures to be followed in connection with a request for indemnification and/or advancement of expenses, including in the event of a change in control of the Company.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has directors and officers liability insurance for the benefit of its directors and officers.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580" w:type="dxa"/>
            <w:vAlign w:val="bottom"/>
            <w:gridSpan w:val="21"/>
          </w:tcPr>
          <w:p>
            <w:pPr>
              <w:ind w:left="200"/>
              <w:spacing w:after="0"/>
              <w:rPr>
                <w:sz w:val="20"/>
                <w:szCs w:val="20"/>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tc>
      </w:tr>
      <w:tr>
        <w:trPr>
          <w:trHeight w:val="405"/>
        </w:trPr>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 Number</w:t>
            </w:r>
          </w:p>
        </w:tc>
        <w:tc>
          <w:tcPr>
            <w:tcW w:w="3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17"/>
          </w:tcPr>
          <w:p>
            <w:pPr>
              <w:ind w:left="160"/>
              <w:spacing w:after="0"/>
              <w:rPr>
                <w:sz w:val="20"/>
                <w:szCs w:val="20"/>
                <w:color w:val="auto"/>
              </w:rPr>
            </w:pPr>
            <w:r>
              <w:rPr>
                <w:rFonts w:ascii="Arial" w:cs="Arial" w:eastAsia="Arial" w:hAnsi="Arial"/>
                <w:sz w:val="14"/>
                <w:szCs w:val="14"/>
                <w:b w:val="1"/>
                <w:bCs w:val="1"/>
                <w:color w:val="auto"/>
              </w:rPr>
              <w:t>Description of Exhibit</w:t>
            </w:r>
          </w:p>
        </w:tc>
      </w:tr>
      <w:tr>
        <w:trPr>
          <w:trHeight w:val="304"/>
        </w:trPr>
        <w:tc>
          <w:tcPr>
            <w:tcW w:w="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3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tcBorders>
              <w:top w:val="single" w:sz="8" w:color="auto"/>
            </w:tcBorders>
            <w:gridSpan w:val="19"/>
          </w:tcPr>
          <w:p>
            <w:pPr>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840" w:type="dxa"/>
            <w:vAlign w:val="bottom"/>
          </w:tcPr>
          <w:p>
            <w:pPr>
              <w:ind w:left="10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19"/>
          </w:tcPr>
          <w:p>
            <w:pPr>
              <w:spacing w:after="0"/>
              <w:rPr>
                <w:rFonts w:ascii="Arial" w:cs="Arial" w:eastAsia="Arial" w:hAnsi="Arial"/>
                <w:sz w:val="18"/>
                <w:szCs w:val="18"/>
                <w:color w:val="0000EE"/>
                <w:w w:val="93"/>
              </w:rPr>
            </w:pPr>
            <w:hyperlink r:id="rId49">
              <w:r>
                <w:rPr>
                  <w:rFonts w:ascii="Arial" w:cs="Arial" w:eastAsia="Arial" w:hAnsi="Arial"/>
                  <w:sz w:val="18"/>
                  <w:szCs w:val="18"/>
                  <w:color w:val="0000EE"/>
                  <w:w w:val="93"/>
                </w:rPr>
                <w:t>Agreement and Plan of Merger, dated as of July 26, 2016, by and among Analog Devices, Inc., Linear Technology Corporation and</w:t>
              </w:r>
            </w:hyperlink>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Tahoe Acquisition Corp., filed as exhibit 2.1 to the Company’s Current Report on Form 8-K (File No. 1-7819) as filed with the</w:t>
              </w:r>
            </w:hyperlink>
          </w:p>
        </w:tc>
        <w:tc>
          <w:tcPr>
            <w:tcW w:w="360" w:type="dxa"/>
            <w:vAlign w:val="bottom"/>
            <w:tcBorders>
              <w:top w:val="single" w:sz="8" w:color="0000EE"/>
            </w:tcBorders>
            <w:gridSpan w:val="3"/>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gridSpan w:val="19"/>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Commission on July 29, 2016 and incorporated herein by reference.</w:t>
              </w:r>
            </w:hyperlink>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840" w:type="dxa"/>
            <w:vAlign w:val="bottom"/>
          </w:tcPr>
          <w:p>
            <w:pPr>
              <w:ind w:left="1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60" w:type="dxa"/>
            <w:vAlign w:val="bottom"/>
            <w:tcBorders>
              <w:bottom w:val="single" w:sz="8" w:color="0000EE"/>
            </w:tcBorders>
            <w:gridSpan w:val="18"/>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Restated Articles of Organization of the Company, as amended, filed as Exhibit 3.1 to the Company’s Quarterly Report on Form 10-Q</w:t>
              </w:r>
            </w:hyperlink>
          </w:p>
        </w:tc>
        <w:tc>
          <w:tcPr>
            <w:tcW w:w="14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for the fiscal quarter ended May 3, 2008 (File No. 001-07819), as filed with the SEC on May 20, 2008.</w:t>
              </w:r>
            </w:hyperlink>
          </w:p>
        </w:tc>
        <w:tc>
          <w:tcPr>
            <w:tcW w:w="2380" w:type="dxa"/>
            <w:vAlign w:val="bottom"/>
            <w:gridSpan w:val="10"/>
          </w:tcPr>
          <w:p>
            <w:pPr>
              <w:spacing w:after="0"/>
              <w:rPr>
                <w:sz w:val="17"/>
                <w:szCs w:val="17"/>
                <w:color w:val="auto"/>
              </w:rPr>
            </w:pPr>
          </w:p>
        </w:tc>
      </w:tr>
      <w:tr>
        <w:trPr>
          <w:trHeight w:val="304"/>
        </w:trPr>
        <w:tc>
          <w:tcPr>
            <w:tcW w:w="840" w:type="dxa"/>
            <w:vAlign w:val="bottom"/>
          </w:tcPr>
          <w:p>
            <w:pPr>
              <w:ind w:left="10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19"/>
          </w:tcPr>
          <w:p>
            <w:pPr>
              <w:spacing w:after="0"/>
              <w:rPr>
                <w:rFonts w:ascii="Arial" w:cs="Arial" w:eastAsia="Arial" w:hAnsi="Arial"/>
                <w:sz w:val="18"/>
                <w:szCs w:val="18"/>
                <w:color w:val="0000EE"/>
                <w:w w:val="93"/>
              </w:rPr>
            </w:pPr>
            <w:hyperlink r:id="rId51">
              <w:r>
                <w:rPr>
                  <w:rFonts w:ascii="Arial" w:cs="Arial" w:eastAsia="Arial" w:hAnsi="Arial"/>
                  <w:sz w:val="18"/>
                  <w:szCs w:val="18"/>
                  <w:color w:val="0000EE"/>
                  <w:w w:val="93"/>
                </w:rPr>
                <w:t>Amendment to Restated Articles of Organization of the Company, filed as Exhibit 3.1 to the Company’s Current Report on Form 8-K</w:t>
              </w:r>
            </w:hyperlink>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(File No. 001-07819), as filed with the SEC on December 8, 2008.</w:t>
              </w:r>
            </w:hyperlink>
          </w:p>
        </w:tc>
        <w:tc>
          <w:tcPr>
            <w:tcW w:w="200" w:type="dxa"/>
            <w:vAlign w:val="bottom"/>
            <w:gridSpan w:val="2"/>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840" w:type="dxa"/>
            <w:vAlign w:val="bottom"/>
          </w:tcPr>
          <w:p>
            <w:pPr>
              <w:ind w:left="10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80" w:type="dxa"/>
            <w:vAlign w:val="bottom"/>
            <w:tcBorders>
              <w:bottom w:val="single" w:sz="8" w:color="0000EE"/>
            </w:tcBorders>
            <w:gridSpan w:val="11"/>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Amended and Restated By-laws of the Company, filed as Exhibit 3.1 to the Company’s Current Report on Form 8-K (File</w:t>
              </w:r>
            </w:hyperlink>
          </w:p>
        </w:tc>
        <w:tc>
          <w:tcPr>
            <w:tcW w:w="1020" w:type="dxa"/>
            <w:vAlign w:val="bottom"/>
            <w:gridSpan w:val="8"/>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No. 001-07819), as filed with the SEC on January 28, 2010.</w:t>
              </w:r>
            </w:hyperlink>
          </w:p>
        </w:tc>
        <w:tc>
          <w:tcPr>
            <w:tcW w:w="5480" w:type="dxa"/>
            <w:vAlign w:val="bottom"/>
            <w:gridSpan w:val="16"/>
          </w:tcPr>
          <w:p>
            <w:pPr>
              <w:spacing w:after="0"/>
              <w:rPr>
                <w:sz w:val="17"/>
                <w:szCs w:val="17"/>
                <w:color w:val="auto"/>
              </w:rPr>
            </w:pPr>
          </w:p>
        </w:tc>
      </w:tr>
      <w:tr>
        <w:trPr>
          <w:trHeight w:val="304"/>
        </w:trPr>
        <w:tc>
          <w:tcPr>
            <w:tcW w:w="840" w:type="dxa"/>
            <w:vAlign w:val="bottom"/>
          </w:tcPr>
          <w:p>
            <w:pPr>
              <w:ind w:left="10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19"/>
          </w:tcPr>
          <w:p>
            <w:pPr>
              <w:spacing w:after="0"/>
              <w:rPr>
                <w:rFonts w:ascii="Arial" w:cs="Arial" w:eastAsia="Arial" w:hAnsi="Arial"/>
                <w:sz w:val="18"/>
                <w:szCs w:val="18"/>
                <w:color w:val="0000EE"/>
                <w:w w:val="93"/>
              </w:rPr>
            </w:pPr>
            <w:hyperlink r:id="rId53">
              <w:r>
                <w:rPr>
                  <w:rFonts w:ascii="Arial" w:cs="Arial" w:eastAsia="Arial" w:hAnsi="Arial"/>
                  <w:sz w:val="18"/>
                  <w:szCs w:val="18"/>
                  <w:color w:val="0000EE"/>
                  <w:w w:val="93"/>
                </w:rPr>
                <w:t>Indenture dated June 3, 2013, by and between the Company and The Bank of New York Mellon Trust Company, N.A. (as Trustee),</w:t>
              </w:r>
            </w:hyperlink>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80" w:type="dxa"/>
            <w:vAlign w:val="bottom"/>
            <w:tcBorders>
              <w:top w:val="single" w:sz="8" w:color="0000EE"/>
            </w:tcBorders>
            <w:gridSpan w:val="14"/>
          </w:tcPr>
          <w:p>
            <w:pPr>
              <w:spacing w:after="0" w:line="196"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filed as Exhibit 4.1 to the Company’s Current Report on Form 8-K (File No. 001-07819), as filed with the SEC on June 3, 2013.</w:t>
              </w:r>
            </w:hyperlink>
          </w:p>
        </w:tc>
        <w:tc>
          <w:tcPr>
            <w:tcW w:w="320" w:type="dxa"/>
            <w:vAlign w:val="bottom"/>
            <w:gridSpan w:val="5"/>
          </w:tcPr>
          <w:p>
            <w:pPr>
              <w:spacing w:after="0"/>
              <w:rPr>
                <w:sz w:val="17"/>
                <w:szCs w:val="17"/>
                <w:color w:val="auto"/>
              </w:rPr>
            </w:pPr>
          </w:p>
        </w:tc>
      </w:tr>
      <w:tr>
        <w:trPr>
          <w:trHeight w:val="304"/>
        </w:trPr>
        <w:tc>
          <w:tcPr>
            <w:tcW w:w="840" w:type="dxa"/>
            <w:vAlign w:val="bottom"/>
          </w:tcPr>
          <w:p>
            <w:pPr>
              <w:ind w:left="10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2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Opinion of Wilmer Cutler Pickering Hale and Dorr LLP.</w:t>
            </w:r>
          </w:p>
        </w:tc>
        <w:tc>
          <w:tcPr>
            <w:tcW w:w="580" w:type="dxa"/>
            <w:vAlign w:val="bottom"/>
            <w:gridSpan w:val="6"/>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80" w:type="dxa"/>
            <w:vAlign w:val="bottom"/>
            <w:tcBorders>
              <w:bottom w:val="single" w:sz="8" w:color="0000EE"/>
            </w:tcBorders>
            <w:gridSpan w:val="16"/>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Computation of Consolidated Ratios of Earnings to Fixed Charges, filed as Exhibit 12.1 to the Company’s Quarterly Report on Form</w:t>
              </w:r>
            </w:hyperlink>
          </w:p>
        </w:tc>
        <w:tc>
          <w:tcPr>
            <w:tcW w:w="22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gridSpan w:val="19"/>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10-Q for the fiscal quarter ended May 5, 2018 (File No. 001-07819), as filed with the SEC on May 30, 2018.</w:t>
              </w:r>
            </w:hyperlink>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1940" w:type="dxa"/>
            <w:vAlign w:val="bottom"/>
            <w:tcBorders>
              <w:top w:val="single" w:sz="8" w:color="0000EE"/>
            </w:tcBorders>
            <w:gridSpan w:val="4"/>
          </w:tcPr>
          <w:p>
            <w:pPr>
              <w:spacing w:after="0"/>
              <w:rPr>
                <w:sz w:val="24"/>
                <w:szCs w:val="24"/>
                <w:color w:val="auto"/>
              </w:rPr>
            </w:pPr>
          </w:p>
        </w:tc>
        <w:tc>
          <w:tcPr>
            <w:tcW w:w="1980" w:type="dxa"/>
            <w:vAlign w:val="bottom"/>
            <w:gridSpan w:val="9"/>
          </w:tcPr>
          <w:p>
            <w:pPr>
              <w:spacing w:after="0"/>
              <w:rPr>
                <w:sz w:val="24"/>
                <w:szCs w:val="24"/>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3920" w:type="dxa"/>
            <w:vAlign w:val="bottom"/>
            <w:gridSpan w:val="13"/>
          </w:tcPr>
          <w:p>
            <w:pPr>
              <w:spacing w:after="0"/>
              <w:rPr>
                <w:sz w:val="24"/>
                <w:szCs w:val="24"/>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3"/>
              </w:rPr>
              <w:t>Consent of Wilmer Cutler Pickering Hale and Dorr LLP (included in Exhibit 5.1).</w:t>
            </w:r>
          </w:p>
        </w:tc>
        <w:tc>
          <w:tcPr>
            <w:tcW w:w="3900" w:type="dxa"/>
            <w:vAlign w:val="bottom"/>
            <w:gridSpan w:val="12"/>
          </w:tcPr>
          <w:p>
            <w:pPr>
              <w:spacing w:after="0"/>
              <w:rPr>
                <w:sz w:val="24"/>
                <w:szCs w:val="24"/>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2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Powers of Attorney (included on signature pages).</w:t>
              </w:r>
            </w:hyperlink>
          </w:p>
        </w:tc>
        <w:tc>
          <w:tcPr>
            <w:tcW w:w="6180" w:type="dxa"/>
            <w:vAlign w:val="bottom"/>
            <w:gridSpan w:val="18"/>
          </w:tcPr>
          <w:p>
            <w:pPr>
              <w:spacing w:after="0"/>
              <w:rPr>
                <w:sz w:val="24"/>
                <w:szCs w:val="24"/>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Statement of Eligibility on Form T-1 of The Bank of New York Mellon Trust Company, N.A., Trustee.</w:t>
            </w:r>
          </w:p>
        </w:tc>
        <w:tc>
          <w:tcPr>
            <w:tcW w:w="2420" w:type="dxa"/>
            <w:vAlign w:val="bottom"/>
            <w:gridSpan w:val="1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with the SEC and incorporated herein by reference.</w:t>
      </w:r>
    </w:p>
    <w:p>
      <w:pPr>
        <w:spacing w:after="0" w:line="23" w:lineRule="exact"/>
        <w:rPr>
          <w:sz w:val="20"/>
          <w:szCs w:val="20"/>
          <w:color w:val="auto"/>
        </w:rPr>
      </w:pPr>
    </w:p>
    <w:p>
      <w:pPr>
        <w:ind w:left="5580" w:right="2040" w:hanging="5572"/>
        <w:spacing w:after="0" w:line="433" w:lineRule="auto"/>
        <w:tabs>
          <w:tab w:leader="none" w:pos="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be filed by an amendment or as an exhibit to a report filed under the Exchange Act and incorporated herein by reference. II-2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To file, during any period in which offers or sales are being made, a post-effective amendment to this registration statement:</w:t>
      </w:r>
    </w:p>
    <w:p>
      <w:pPr>
        <w:spacing w:after="0" w:line="131" w:lineRule="exact"/>
        <w:rPr>
          <w:sz w:val="20"/>
          <w:szCs w:val="20"/>
          <w:color w:val="auto"/>
        </w:rPr>
      </w:pPr>
    </w:p>
    <w:p>
      <w:pPr>
        <w:ind w:left="1480" w:hanging="56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ind w:left="1480" w:right="60" w:hanging="567"/>
        <w:spacing w:after="0" w:line="272" w:lineRule="auto"/>
        <w:tabs>
          <w:tab w:leader="none" w:pos="1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480" w:right="220" w:hanging="567"/>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2" w:lineRule="exact"/>
        <w:rPr>
          <w:sz w:val="20"/>
          <w:szCs w:val="20"/>
          <w:color w:val="auto"/>
        </w:rPr>
      </w:pPr>
    </w:p>
    <w:p>
      <w:pPr>
        <w:ind w:left="900" w:right="2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86"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480" w:hanging="567"/>
        <w:spacing w:after="0" w:line="269" w:lineRule="auto"/>
        <w:tabs>
          <w:tab w:leader="none" w:pos="14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5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preliminary prospectus or prospectus of such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480" w:right="60" w:hanging="567"/>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Registrant to the purchaser.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30" w:lineRule="exact"/>
        <w:rPr>
          <w:rFonts w:ascii="Arial" w:cs="Arial" w:eastAsia="Arial" w:hAnsi="Arial"/>
          <w:sz w:val="18"/>
          <w:szCs w:val="18"/>
          <w:color w:val="auto"/>
        </w:rPr>
      </w:pPr>
    </w:p>
    <w:p>
      <w:pPr>
        <w:jc w:val="both"/>
        <w:ind w:left="1480" w:right="120" w:hanging="567"/>
        <w:spacing w:after="0" w:line="264"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86" w:lineRule="exact"/>
        <w:rPr>
          <w:rFonts w:ascii="Arial" w:cs="Arial" w:eastAsia="Arial" w:hAnsi="Arial"/>
          <w:sz w:val="18"/>
          <w:szCs w:val="18"/>
          <w:color w:val="auto"/>
        </w:rPr>
      </w:pPr>
    </w:p>
    <w:p>
      <w:pPr>
        <w:jc w:val="both"/>
        <w:ind w:left="1480" w:right="480" w:hanging="567"/>
        <w:spacing w:after="0" w:line="342" w:lineRule="auto"/>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29" w:lineRule="exact"/>
        <w:rPr>
          <w:sz w:val="20"/>
          <w:szCs w:val="20"/>
          <w:color w:val="auto"/>
        </w:rPr>
      </w:pPr>
    </w:p>
    <w:p>
      <w:pPr>
        <w:ind w:left="900" w:right="20" w:hanging="446"/>
        <w:spacing w:after="0" w:line="25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900" w:right="50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86"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Town of Norwood, Commonwealth of Massachusetts, on June 15, 2018.</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Vincent Roche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the undersigned officers and directors of Analog Devices, Inc., hereby severally constitute and appoint Vincent T. Roche, Prashanth Mahendra-Rajah and Margaret K. Seif,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subsequent registration statement filed pursuant to Rule 462(b) under the Securities Act of 1933, as amended, and to file the same with all exhibits thereto, and the other documents in connection therewith, with the Securities and Exchange Commission, and generally to do all such things in our name and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p>
      <w:pPr>
        <w:ind w:left="13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Ray Stata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Vincent Roche</w:t>
      </w:r>
    </w:p>
    <w:p>
      <w:pPr>
        <w:spacing w:after="0" w:line="225" w:lineRule="exact"/>
        <w:rPr>
          <w:sz w:val="20"/>
          <w:szCs w:val="20"/>
          <w:color w:val="auto"/>
        </w:rPr>
      </w:pPr>
    </w:p>
    <w:p>
      <w:pPr>
        <w:ind w:right="1440"/>
        <w:spacing w:after="0" w:line="377" w:lineRule="auto"/>
        <w:rPr>
          <w:sz w:val="20"/>
          <w:szCs w:val="20"/>
          <w:color w:val="auto"/>
        </w:rPr>
      </w:pPr>
      <w:r>
        <w:rPr>
          <w:rFonts w:ascii="Arial" w:cs="Arial" w:eastAsia="Arial" w:hAnsi="Arial"/>
          <w:sz w:val="16"/>
          <w:szCs w:val="16"/>
          <w:color w:val="auto"/>
        </w:rPr>
        <w:t>/s/ Prashanth Mahendra-Rajah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126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Eileen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Eileen Wynne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Champy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Champy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Bruce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Bruce R. Evans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H.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H. Frank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M.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M. Little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Chairman of the Board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661"/>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President, Chief Executive Officer and Director</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230"/>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4"/>
              </w:rPr>
              <w:t>(Principal Executive Officer)</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45"/>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Senior Vice President, Finance and Chief Financial Officer</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230"/>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(Principal Financial Officer)</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45"/>
        </w:trPr>
        <w:tc>
          <w:tcPr>
            <w:tcW w:w="480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Vice President and Chief Accounting Officer</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230"/>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(Principal Accounting Officer)</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59"/>
        </w:trPr>
        <w:tc>
          <w:tcPr>
            <w:tcW w:w="48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675"/>
        </w:trPr>
        <w:tc>
          <w:tcPr>
            <w:tcW w:w="48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675"/>
        </w:trPr>
        <w:tc>
          <w:tcPr>
            <w:tcW w:w="48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675"/>
        </w:trPr>
        <w:tc>
          <w:tcPr>
            <w:tcW w:w="48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581"/>
        </w:trPr>
        <w:tc>
          <w:tcPr>
            <w:tcW w:w="1980" w:type="dxa"/>
            <w:vAlign w:val="bottom"/>
          </w:tcPr>
          <w:p>
            <w:pPr>
              <w:jc w:val="right"/>
              <w:ind w:right="47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2">
            <w:col w:w="3620" w:space="720"/>
            <w:col w:w="708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960"/>
        <w:spacing w:after="0"/>
        <w:rPr>
          <w:sz w:val="20"/>
          <w:szCs w:val="20"/>
          <w:color w:val="auto"/>
        </w:rPr>
      </w:pPr>
      <w:r>
        <w:rPr>
          <w:rFonts w:ascii="Arial" w:cs="Arial" w:eastAsia="Arial" w:hAnsi="Arial"/>
          <w:sz w:val="14"/>
          <w:szCs w:val="14"/>
          <w:b w:val="1"/>
          <w:bCs w:val="1"/>
          <w:u w:val="single" w:color="auto"/>
          <w:color w:val="auto"/>
        </w:rPr>
        <w:t>Signature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Neil Novich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Neil Novich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Kenton J. Sicchitano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Kenton J. Sicchitano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Lisa T. 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266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Lisa T. 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1266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Karen M. Golz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52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060" w:type="dxa"/>
            <w:vAlign w:val="bottom"/>
            <w:gridSpan w:val="3"/>
          </w:tcPr>
          <w:p>
            <w:pPr>
              <w:jc w:val="center"/>
              <w:ind w:right="1460"/>
              <w:spacing w:after="0"/>
              <w:rPr>
                <w:sz w:val="20"/>
                <w:szCs w:val="20"/>
                <w:color w:val="auto"/>
              </w:rPr>
            </w:pPr>
            <w:r>
              <w:rPr>
                <w:rFonts w:ascii="Arial" w:cs="Arial" w:eastAsia="Arial" w:hAnsi="Arial"/>
                <w:sz w:val="18"/>
                <w:szCs w:val="18"/>
                <w:color w:val="auto"/>
                <w:w w:val="95"/>
              </w:rPr>
              <w:t>Director</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675"/>
        </w:trPr>
        <w:tc>
          <w:tcPr>
            <w:tcW w:w="2060" w:type="dxa"/>
            <w:vAlign w:val="bottom"/>
            <w:gridSpan w:val="3"/>
          </w:tcPr>
          <w:p>
            <w:pPr>
              <w:jc w:val="center"/>
              <w:ind w:right="1460"/>
              <w:spacing w:after="0"/>
              <w:rPr>
                <w:sz w:val="20"/>
                <w:szCs w:val="20"/>
                <w:color w:val="auto"/>
              </w:rPr>
            </w:pPr>
            <w:r>
              <w:rPr>
                <w:rFonts w:ascii="Arial" w:cs="Arial" w:eastAsia="Arial" w:hAnsi="Arial"/>
                <w:sz w:val="18"/>
                <w:szCs w:val="18"/>
                <w:color w:val="auto"/>
                <w:w w:val="95"/>
              </w:rPr>
              <w:t>Director</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675"/>
        </w:trPr>
        <w:tc>
          <w:tcPr>
            <w:tcW w:w="2060" w:type="dxa"/>
            <w:vAlign w:val="bottom"/>
            <w:gridSpan w:val="3"/>
          </w:tcPr>
          <w:p>
            <w:pPr>
              <w:jc w:val="center"/>
              <w:ind w:right="1460"/>
              <w:spacing w:after="0"/>
              <w:rPr>
                <w:sz w:val="20"/>
                <w:szCs w:val="20"/>
                <w:color w:val="auto"/>
              </w:rPr>
            </w:pPr>
            <w:r>
              <w:rPr>
                <w:rFonts w:ascii="Arial" w:cs="Arial" w:eastAsia="Arial" w:hAnsi="Arial"/>
                <w:sz w:val="18"/>
                <w:szCs w:val="18"/>
                <w:color w:val="auto"/>
                <w:w w:val="95"/>
              </w:rPr>
              <w:t>Director</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June 15, 2018</w:t>
            </w:r>
          </w:p>
        </w:tc>
      </w:tr>
      <w:tr>
        <w:trPr>
          <w:trHeight w:val="675"/>
        </w:trPr>
        <w:tc>
          <w:tcPr>
            <w:tcW w:w="2060" w:type="dxa"/>
            <w:vAlign w:val="bottom"/>
            <w:gridSpan w:val="3"/>
          </w:tcPr>
          <w:p>
            <w:pPr>
              <w:jc w:val="center"/>
              <w:ind w:right="146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-2211705</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940" w:space="720"/>
            <w:col w:w="5040"/>
          </w:cols>
          <w:pgMar w:left="240" w:top="459" w:right="9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172085</wp:posOffset>
            </wp:positionV>
            <wp:extent cx="110617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10617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+1 212 230 8800 (t)</w:t>
      </w:r>
    </w:p>
    <w:p>
      <w:pPr>
        <w:ind w:left="10260"/>
        <w:spacing w:after="0"/>
        <w:rPr>
          <w:sz w:val="20"/>
          <w:szCs w:val="20"/>
          <w:color w:val="auto"/>
        </w:rPr>
      </w:pPr>
      <w:r>
        <w:rPr>
          <w:rFonts w:ascii="Arial" w:cs="Arial" w:eastAsia="Arial" w:hAnsi="Arial"/>
          <w:sz w:val="13"/>
          <w:szCs w:val="13"/>
          <w:color w:val="auto"/>
        </w:rPr>
        <w:t>+1 212 230 8888 (f)</w:t>
      </w:r>
    </w:p>
    <w:p>
      <w:pPr>
        <w:ind w:left="10480"/>
        <w:spacing w:after="0"/>
        <w:rPr>
          <w:sz w:val="20"/>
          <w:szCs w:val="20"/>
          <w:color w:val="auto"/>
        </w:rPr>
      </w:pPr>
      <w:r>
        <w:rPr>
          <w:rFonts w:ascii="Arial" w:cs="Arial" w:eastAsia="Arial" w:hAnsi="Arial"/>
          <w:sz w:val="13"/>
          <w:szCs w:val="13"/>
          <w:color w:val="auto"/>
        </w:rPr>
        <w:t>wilmerhale.com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02062-9106</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opinion is furnished to you in connection with a Registration Statement on Form S-3 (the “Registration Statement”) to be filed by Analog Devices, Inc., a Massachusetts corporation (the “Company”) with the Securities and Exchange Commission (the “Commission”) under the Securities Act of 1933, as amended (the “Securities Act”) for the registration of an unlimited amount of debt securities (“Debt Securities”), which may be issued from time to time on a delayed or continuous basis pursuant to Rule 415 under the Securities Act at an indeterminate aggregate offering price, as set forth in the Registration Statement, the base prospectus contained therein (the “Prospectus”) and any amendments or supplements thereto.</w:t>
      </w:r>
    </w:p>
    <w:p>
      <w:pPr>
        <w:spacing w:after="0" w:line="1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are acting as counsel for the Company in connection with the filing of the Registration Statement. The Debt Securities may be issued pursuant to the Indenture dated as of June 3, 2013 (the “Indenture”) between the Company and The Bank of New York Mellon Trust Company, N.A., as trustee (the “Trustee”), which is filed as an exhibit to the Registration Statement.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examined and relied upon signed copies of the Registration Statement to be filed with the Commission, including the exhibits thereto. We have also examined and relied upon the Restated Articles of Organization of the Company (as amended or restated from time to time), the Amended and Restated By-Laws of the Company (as amended or restated from time to time) and minutes of meetings of the Board of Directors of the Company as provided to us by the Company.</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 provided to us by the Company.</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relied as to certain matters on information obtained from public officials and officers of the Company, and we have assumed (i) the Registration Statement will be effective and will comply with all applicable laws at the time any Debt Securities are offered or issued as contemplated by the Registration Statement; (ii) one or more prospectus supplements and term sheets, as applicable, will have been prepared and filed with the Commission describing the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316230</wp:posOffset>
            </wp:positionV>
            <wp:extent cx="5471160"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471160" cy="2317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05740"/>
                    </a:xfrm>
                    <a:prstGeom prst="rect">
                      <a:avLst/>
                    </a:prstGeom>
                    <a:noFill/>
                  </pic:spPr>
                </pic:pic>
              </a:graphicData>
            </a:graphic>
          </wp:anchor>
        </w:drawing>
        <w:t>June 15,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Securities offered thereby; (iii) all Debt Securities will be issued and sold in compliance with applicable federal and state securities laws and in the manner stated in the Registration Statement, the Prospectus and any applicable prospectus supplement; (iv) the Trustee has the power, corporate or other, to enter into and perform its obligations under the Indenture; (v) the Indenture has been duly authorized, executed and delivered by the Trustee; (vi) the Trustee will be duly eligible to serve as trustee; (vii) the Indenture is a valid and binding obligation of the Trustee; (viii) the Debt Securities will be duly authenticated by the Trustee named in the Indenture; (ix) the Trustee shall have been qualified under the Trust Indenture Act of 1939, as amended; (x) a definitive purchase, underwriting or similar agreement with respect to any Debt Securities offered will be duly authorized, executed and delivered by all parties thereto other than the Company; (xi) the issuance, sale, amount and terms of the Debt Securities, to be offered from time to time, will be duly authorized and established by all requisite action, corporate or other, by the Company; and (xii) at the time of the issuance and sale of the Debt Securities, the Company will be validly existing as a corporation and in good standing under the laws of the Commonwealth of Massachusetts.</w:t>
      </w:r>
    </w:p>
    <w:p>
      <w:pPr>
        <w:spacing w:after="0" w:line="18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are expressing no opinion herein as to the application of any federal or state law or regulation to the power, authority or competence of any party to any agreement with respect to any Debt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any Debt Securities, any change in law affecting the validity or enforceability of such Debt Securities and that at the time of the issuance and sale of any Debt Securities,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the Debt Securities.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opinion below is qualified to the extent that it may be subject to or affected by (i) applicable bankruptcy, insolvency, reorganization, moratorium, usury, fraudulent conveyance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w:t>
      </w:r>
    </w:p>
    <w:p>
      <w:pPr>
        <w:sectPr>
          <w:pgSz w:w="11900" w:h="16838" w:orient="portrait"/>
          <w:cols w:equalWidth="0" w:num="1">
            <w:col w:w="11380"/>
          </w:cols>
          <w:pgMar w:left="240" w:top="814"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05740"/>
                    </a:xfrm>
                    <a:prstGeom prst="rect">
                      <a:avLst/>
                    </a:prstGeom>
                    <a:noFill/>
                  </pic:spPr>
                </pic:pic>
              </a:graphicData>
            </a:graphic>
          </wp:anchor>
        </w:drawing>
        <w:t>June 15,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59" w:lineRule="exact"/>
        <w:rPr>
          <w:sz w:val="20"/>
          <w:szCs w:val="20"/>
          <w:color w:val="auto"/>
        </w:rPr>
      </w:pPr>
    </w:p>
    <w:p>
      <w:pPr>
        <w:ind w:right="20" w:firstLine="8"/>
        <w:spacing w:after="0" w:line="254" w:lineRule="auto"/>
        <w:tabs>
          <w:tab w:leader="none" w:pos="3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acceleration of the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instruments or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state laws of the Commonwealth of Massachusetts.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also express no opinion herein as to any provision of any instrument or agreement (i) that may be deemed to or construed to waive any right of the Company; (ii) to the effect that rights and remedies are not exclusive, or that every right or remedy is cumulative and may be exercised in addition to or with any other right or remedy and does not preclude recourse to one or more other rights or remedies; (iii) relating to the effect of invalidity or unenforceability of any provision of any instrument or agreement on the validity or enforceability of any other provision thereof; (iv) that is in violation of public policy;</w:t>
      </w:r>
    </w:p>
    <w:p>
      <w:pPr>
        <w:spacing w:after="0" w:line="2" w:lineRule="exact"/>
        <w:rPr>
          <w:sz w:val="20"/>
          <w:szCs w:val="20"/>
          <w:color w:val="auto"/>
        </w:rPr>
      </w:pPr>
    </w:p>
    <w:p>
      <w:pPr>
        <w:ind w:firstLine="8"/>
        <w:spacing w:after="0" w:line="281"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relating to indemnification and contribution with respect to securities law matters; (vi) that provides that the terms of any instrument or agreement may not be waived or modified except in writing; (vii) purporting to indemnify any person against his, her or its own negligence or intentional misconduct;</w:t>
      </w:r>
    </w:p>
    <w:p>
      <w:pPr>
        <w:spacing w:after="0" w:line="1" w:lineRule="exact"/>
        <w:rPr>
          <w:rFonts w:ascii="Arial" w:cs="Arial" w:eastAsia="Arial" w:hAnsi="Arial"/>
          <w:sz w:val="16"/>
          <w:szCs w:val="16"/>
          <w:color w:val="auto"/>
        </w:rPr>
      </w:pPr>
    </w:p>
    <w:p>
      <w:pPr>
        <w:ind w:left="420" w:hanging="412"/>
        <w:spacing w:after="0"/>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requiring the payment of penalties, consequential damages or liquidated damages or (ix) relating to choice of law or consent to jurisdiction.</w:t>
      </w:r>
    </w:p>
    <w:p>
      <w:pPr>
        <w:spacing w:after="0" w:line="22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Based upon and subject to the foregoing, we are of the opinion that when (i) specifically authorized for issuance by proper action of the Board of Directors of the Company or an authorized committee thereof (the “Authorizing Resolutions”); (ii) the terms of the Debt Securities and of their issuance and sale have been duly established in conformity with the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(iii) such Debt Securities have been duly executed by the Company and duly authenticated by the Trustee in accordance with the terms of the Indenture, and delivered and sold as contemplated by the Registration Statement, the Prospectus and any applicable Prospectus Supplement in accordance with the applicable underwriting agreement or other purchase agreement against payment therefor; and (iv) the Company has received the consideration provided for in the Authorizing Resolutions and the applicable underwriting agreement or other purchase agreement, such Debt Securities will constitute valid and binding obligations of the Company, enforceable against the Company in accordance with their terms.</w:t>
      </w:r>
    </w:p>
    <w:p>
      <w:pPr>
        <w:sectPr>
          <w:pgSz w:w="11900" w:h="16838" w:orient="portrait"/>
          <w:cols w:equalWidth="0" w:num="1">
            <w:col w:w="11420"/>
          </w:cols>
          <w:pgMar w:left="240" w:top="81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05740"/>
                    </a:xfrm>
                    <a:prstGeom prst="rect">
                      <a:avLst/>
                    </a:prstGeom>
                    <a:noFill/>
                  </pic:spPr>
                </pic:pic>
              </a:graphicData>
            </a:graphic>
          </wp:anchor>
        </w:drawing>
        <w:t>June 15,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5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is rendered as of the date hereof, and we disclaim any obligation to advise you of any change in any of these sources of law or subsequent legal or factual developments that might affect any matters or opinions set forth herein.</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Erika L. Robinson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Erika L. Robinson,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6416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ectPr>
          <w:pgSz w:w="11900" w:h="16838" w:orient="portrait"/>
          <w:cols w:equalWidth="0" w:num="1">
            <w:col w:w="11400"/>
          </w:cols>
          <w:pgMar w:left="240" w:top="814" w:right="2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related Prospectus of Analog Devices, Inc. for the registration of its debt securities and to the incorporation by reference therein of our report dated November 22, 2017, with respect to the consolidated financial statements and schedule of Analog Devices, Inc., and the effectiveness of internal control over financial reporting of Analog Devices, Inc., included in its Annual Report (Form 10-K) for the year ended October 28, 2017, filed with the Securities and Exchange Commission.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14, 2018</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for the registration of debt securities of Analog Devices, Inc. and to the incorporation by reference therein of our report dated August 25, 2016, with respect to the consolidated financial statements and schedule of Linear Technology Corporation for the year ended July 3, 2016, included in Analog Devices, Inc.’s Current Report on Form 8-K dated November 30, 2016,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14, 2018</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60" w:right="560" w:hanging="452"/>
        <w:spacing w:after="0" w:line="256" w:lineRule="auto"/>
        <w:tabs>
          <w:tab w:leader="none" w:pos="460" w:val="left"/>
        </w:tabs>
        <w:numPr>
          <w:ilvl w:val="0"/>
          <w:numId w:val="29"/>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129540</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TRUST COMPANY, N.A.</w:t>
      </w:r>
    </w:p>
    <w:tbl>
      <w:tblPr>
        <w:tblLayout w:type="fixed"/>
        <w:tblInd w:w="0" w:type="dxa"/>
        <w:tblCellMar>
          <w:top w:w="0" w:type="dxa"/>
          <w:left w:w="0" w:type="dxa"/>
          <w:bottom w:w="0" w:type="dxa"/>
          <w:right w:w="0" w:type="dxa"/>
        </w:tblCellMar>
      </w:tblPr>
      <w:tr>
        <w:trPr>
          <w:trHeight w:val="234"/>
        </w:trPr>
        <w:tc>
          <w:tcPr>
            <w:tcW w:w="7840" w:type="dxa"/>
            <w:vAlign w:val="bottom"/>
            <w:gridSpan w:val="3"/>
          </w:tcPr>
          <w:p>
            <w:pPr>
              <w:jc w:val="center"/>
              <w:ind w:left="3499"/>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580" w:type="dxa"/>
            <w:vAlign w:val="bottom"/>
            <w:vMerge w:val="restart"/>
          </w:tcPr>
          <w:p>
            <w:pPr>
              <w:jc w:val="center"/>
              <w:ind w:right="1881"/>
              <w:spacing w:after="0"/>
              <w:rPr>
                <w:sz w:val="20"/>
                <w:szCs w:val="20"/>
                <w:color w:val="auto"/>
              </w:rPr>
            </w:pPr>
            <w:r>
              <w:rPr>
                <w:rFonts w:ascii="Arial" w:cs="Arial" w:eastAsia="Arial" w:hAnsi="Arial"/>
                <w:sz w:val="18"/>
                <w:szCs w:val="18"/>
                <w:b w:val="1"/>
                <w:bCs w:val="1"/>
                <w:color w:val="auto"/>
                <w:w w:val="89"/>
              </w:rPr>
              <w:t>95-3571558</w:t>
            </w:r>
          </w:p>
        </w:tc>
        <w:tc>
          <w:tcPr>
            <w:tcW w:w="0" w:type="dxa"/>
            <w:vAlign w:val="bottom"/>
          </w:tcPr>
          <w:p>
            <w:pPr>
              <w:spacing w:after="0"/>
              <w:rPr>
                <w:sz w:val="1"/>
                <w:szCs w:val="1"/>
                <w:color w:val="auto"/>
              </w:rPr>
            </w:pPr>
          </w:p>
        </w:tc>
      </w:tr>
      <w:tr>
        <w:trPr>
          <w:trHeight w:val="470"/>
        </w:trPr>
        <w:tc>
          <w:tcPr>
            <w:tcW w:w="4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4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580" w:type="dxa"/>
            <w:vAlign w:val="bottom"/>
          </w:tcPr>
          <w:p>
            <w:pPr>
              <w:jc w:val="center"/>
              <w:ind w:right="188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4"/>
              </w:rPr>
              <w:t>if not a U.S. national bank)</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2"/>
        </w:trPr>
        <w:tc>
          <w:tcPr>
            <w:tcW w:w="784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9"/>
              </w:rPr>
              <w:t>400 South Hope Street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Suite 500</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0"/>
              </w:rPr>
              <w:t>Los Angeles, California</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91"/>
              </w:rPr>
              <w:t>90071</w:t>
            </w: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520" w:type="dxa"/>
            <w:vAlign w:val="bottom"/>
          </w:tcPr>
          <w:p>
            <w:pPr>
              <w:spacing w:after="0"/>
              <w:rPr>
                <w:sz w:val="24"/>
                <w:szCs w:val="24"/>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Analog Devices, Inc.</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left="3499"/>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2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5"/>
              </w:rPr>
              <w:t>Massachusetts</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04-2348234</w:t>
            </w:r>
          </w:p>
        </w:tc>
        <w:tc>
          <w:tcPr>
            <w:tcW w:w="0" w:type="dxa"/>
            <w:vAlign w:val="bottom"/>
          </w:tcPr>
          <w:p>
            <w:pPr>
              <w:spacing w:after="0"/>
              <w:rPr>
                <w:sz w:val="1"/>
                <w:szCs w:val="1"/>
                <w:color w:val="auto"/>
              </w:rPr>
            </w:pPr>
          </w:p>
        </w:tc>
      </w:tr>
      <w:tr>
        <w:trPr>
          <w:trHeight w:val="149"/>
        </w:trPr>
        <w:tc>
          <w:tcPr>
            <w:tcW w:w="784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80" w:type="dxa"/>
            <w:vAlign w:val="bottom"/>
          </w:tcPr>
          <w:p>
            <w:pPr>
              <w:jc w:val="center"/>
              <w:ind w:right="188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5"/>
              </w:rPr>
              <w:t>Incorporation or Organization)</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2"/>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One Technology Way,</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7"/>
              </w:rPr>
              <w:t>Norwood, Massachusetts</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02062-9106</w:t>
            </w: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520" w:type="dxa"/>
            <w:vAlign w:val="bottom"/>
          </w:tcPr>
          <w:p>
            <w:pPr>
              <w:spacing w:after="0"/>
              <w:rPr>
                <w:sz w:val="24"/>
                <w:szCs w:val="24"/>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8"/>
              </w:rPr>
              <w:t>Debt Securities</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ind w:left="452" w:hanging="452"/>
        <w:spacing w:after="0"/>
        <w:tabs>
          <w:tab w:leader="none" w:pos="4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48"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Address</w:t>
            </w:r>
          </w:p>
        </w:tc>
      </w:tr>
      <w:tr>
        <w:trPr>
          <w:trHeight w:val="20"/>
        </w:trPr>
        <w:tc>
          <w:tcPr>
            <w:tcW w:w="2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9"/>
        </w:trPr>
        <w:tc>
          <w:tcPr>
            <w:tcW w:w="5220" w:type="dxa"/>
            <w:vAlign w:val="bottom"/>
            <w:gridSpan w:val="3"/>
          </w:tcPr>
          <w:p>
            <w:pPr>
              <w:ind w:left="460"/>
              <w:spacing w:after="0"/>
              <w:rPr>
                <w:sz w:val="20"/>
                <w:szCs w:val="20"/>
                <w:color w:val="auto"/>
              </w:rPr>
            </w:pPr>
            <w:r>
              <w:rPr>
                <w:rFonts w:ascii="Arial" w:cs="Arial" w:eastAsia="Arial" w:hAnsi="Arial"/>
                <w:sz w:val="18"/>
                <w:szCs w:val="18"/>
                <w:color w:val="auto"/>
              </w:rPr>
              <w:t>Comptroller of the Currency</w:t>
            </w:r>
          </w:p>
        </w:tc>
        <w:tc>
          <w:tcPr>
            <w:tcW w:w="2080" w:type="dxa"/>
            <w:vAlign w:val="bottom"/>
            <w:gridSpan w:val="3"/>
          </w:tcPr>
          <w:p>
            <w:pPr>
              <w:ind w:left="220"/>
              <w:spacing w:after="0"/>
              <w:rPr>
                <w:sz w:val="20"/>
                <w:szCs w:val="20"/>
                <w:color w:val="auto"/>
              </w:rPr>
            </w:pPr>
            <w:r>
              <w:rPr>
                <w:rFonts w:ascii="Arial" w:cs="Arial" w:eastAsia="Arial" w:hAnsi="Arial"/>
                <w:sz w:val="18"/>
                <w:szCs w:val="18"/>
                <w:color w:val="auto"/>
                <w:w w:val="98"/>
              </w:rPr>
              <w:t>Washington, DC 20219</w:t>
            </w:r>
          </w:p>
        </w:tc>
      </w:tr>
      <w:tr>
        <w:trPr>
          <w:trHeight w:val="230"/>
        </w:trPr>
        <w:tc>
          <w:tcPr>
            <w:tcW w:w="5220" w:type="dxa"/>
            <w:vAlign w:val="bottom"/>
            <w:gridSpan w:val="3"/>
          </w:tcPr>
          <w:p>
            <w:pPr>
              <w:ind w:left="460"/>
              <w:spacing w:after="0"/>
              <w:rPr>
                <w:sz w:val="20"/>
                <w:szCs w:val="20"/>
                <w:color w:val="auto"/>
              </w:rPr>
            </w:pPr>
            <w:r>
              <w:rPr>
                <w:rFonts w:ascii="Arial" w:cs="Arial" w:eastAsia="Arial" w:hAnsi="Arial"/>
                <w:sz w:val="18"/>
                <w:szCs w:val="18"/>
                <w:color w:val="auto"/>
              </w:rPr>
              <w:t>United States Department of the Treasury</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24"/>
        </w:trPr>
        <w:tc>
          <w:tcPr>
            <w:tcW w:w="5220" w:type="dxa"/>
            <w:vAlign w:val="bottom"/>
            <w:gridSpan w:val="3"/>
          </w:tcPr>
          <w:p>
            <w:pPr>
              <w:ind w:left="460"/>
              <w:spacing w:after="0"/>
              <w:rPr>
                <w:sz w:val="20"/>
                <w:szCs w:val="20"/>
                <w:color w:val="auto"/>
              </w:rPr>
            </w:pPr>
            <w:r>
              <w:rPr>
                <w:rFonts w:ascii="Arial" w:cs="Arial" w:eastAsia="Arial" w:hAnsi="Arial"/>
                <w:sz w:val="18"/>
                <w:szCs w:val="18"/>
                <w:color w:val="auto"/>
              </w:rPr>
              <w:t>Federal Reserve Bank of New York</w:t>
            </w:r>
          </w:p>
        </w:tc>
        <w:tc>
          <w:tcPr>
            <w:tcW w:w="2080" w:type="dxa"/>
            <w:vAlign w:val="bottom"/>
            <w:gridSpan w:val="3"/>
          </w:tcPr>
          <w:p>
            <w:pPr>
              <w:ind w:left="220"/>
              <w:spacing w:after="0"/>
              <w:rPr>
                <w:sz w:val="20"/>
                <w:szCs w:val="20"/>
                <w:color w:val="auto"/>
              </w:rPr>
            </w:pPr>
            <w:r>
              <w:rPr>
                <w:rFonts w:ascii="Arial" w:cs="Arial" w:eastAsia="Arial" w:hAnsi="Arial"/>
                <w:sz w:val="18"/>
                <w:szCs w:val="18"/>
                <w:color w:val="auto"/>
                <w:w w:val="89"/>
              </w:rPr>
              <w:t>San Francisco, CA 94105</w:t>
            </w:r>
          </w:p>
        </w:tc>
      </w:tr>
      <w:tr>
        <w:trPr>
          <w:trHeight w:val="324"/>
        </w:trPr>
        <w:tc>
          <w:tcPr>
            <w:tcW w:w="5220" w:type="dxa"/>
            <w:vAlign w:val="bottom"/>
            <w:gridSpan w:val="3"/>
          </w:tcPr>
          <w:p>
            <w:pPr>
              <w:ind w:left="460"/>
              <w:spacing w:after="0"/>
              <w:rPr>
                <w:sz w:val="20"/>
                <w:szCs w:val="20"/>
                <w:color w:val="auto"/>
              </w:rPr>
            </w:pPr>
            <w:r>
              <w:rPr>
                <w:rFonts w:ascii="Arial" w:cs="Arial" w:eastAsia="Arial" w:hAnsi="Arial"/>
                <w:sz w:val="18"/>
                <w:szCs w:val="18"/>
                <w:color w:val="auto"/>
              </w:rPr>
              <w:t>Federal Deposit Insurance Corporation</w:t>
            </w:r>
          </w:p>
        </w:tc>
        <w:tc>
          <w:tcPr>
            <w:tcW w:w="2080" w:type="dxa"/>
            <w:vAlign w:val="bottom"/>
            <w:gridSpan w:val="3"/>
          </w:tcPr>
          <w:p>
            <w:pPr>
              <w:ind w:left="220"/>
              <w:spacing w:after="0"/>
              <w:rPr>
                <w:sz w:val="20"/>
                <w:szCs w:val="20"/>
                <w:color w:val="auto"/>
              </w:rPr>
            </w:pPr>
            <w:r>
              <w:rPr>
                <w:rFonts w:ascii="Arial" w:cs="Arial" w:eastAsia="Arial" w:hAnsi="Arial"/>
                <w:sz w:val="18"/>
                <w:szCs w:val="18"/>
                <w:color w:val="auto"/>
                <w:w w:val="93"/>
              </w:rPr>
              <w:t>Washington, D.C. 20429</w:t>
            </w:r>
          </w:p>
        </w:tc>
      </w:tr>
      <w:tr>
        <w:trPr>
          <w:trHeight w:val="459"/>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w w:val="95"/>
              </w:rPr>
              <w:t>(b)   Whether it is authorized to exercise corporate trust powers.</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24"/>
        </w:trPr>
        <w:tc>
          <w:tcPr>
            <w:tcW w:w="5220" w:type="dxa"/>
            <w:vAlign w:val="bottom"/>
            <w:gridSpan w:val="3"/>
          </w:tcPr>
          <w:p>
            <w:pPr>
              <w:spacing w:after="0"/>
              <w:rPr>
                <w:sz w:val="20"/>
                <w:szCs w:val="20"/>
                <w:color w:val="auto"/>
              </w:rPr>
            </w:pPr>
            <w:r>
              <w:rPr>
                <w:rFonts w:ascii="Arial" w:cs="Arial" w:eastAsia="Arial" w:hAnsi="Arial"/>
                <w:sz w:val="18"/>
                <w:szCs w:val="18"/>
                <w:color w:val="auto"/>
              </w:rPr>
              <w:t>Yes.</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25" w:lineRule="exact"/>
        <w:rPr>
          <w:sz w:val="20"/>
          <w:szCs w:val="20"/>
          <w:color w:val="auto"/>
        </w:rPr>
      </w:pPr>
    </w:p>
    <w:p>
      <w:pPr>
        <w:ind w:left="452" w:hanging="452"/>
        <w:spacing w:after="0"/>
        <w:tabs>
          <w:tab w:leader="none" w:pos="4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52" w:right="536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81"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1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hanging="446"/>
        <w:spacing w:after="0"/>
        <w:tabs>
          <w:tab w:leader="none" w:pos="8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copy of the existing By-laws of the Trustee (</w:t>
      </w:r>
      <w:hyperlink r:id="rId88">
        <w:r>
          <w:rPr>
            <w:rFonts w:ascii="Arial" w:cs="Arial" w:eastAsia="Arial" w:hAnsi="Arial"/>
            <w:sz w:val="18"/>
            <w:szCs w:val="18"/>
            <w:u w:val="single" w:color="auto"/>
            <w:color w:val="0000EE"/>
          </w:rPr>
          <w:t>Exhibit 4 to Form T-1 filed with Registration Statement No. 333-188382</w:t>
        </w:r>
      </w:hyperlink>
      <w:r>
        <w:rPr>
          <w:rFonts w:ascii="Arial" w:cs="Arial" w:eastAsia="Arial" w:hAnsi="Arial"/>
          <w:sz w:val="18"/>
          <w:szCs w:val="18"/>
          <w:color w:val="auto"/>
        </w:rPr>
        <w:t>).</w:t>
      </w:r>
    </w:p>
    <w:p>
      <w:pPr>
        <w:spacing w:after="0" w:line="131" w:lineRule="exact"/>
        <w:rPr>
          <w:sz w:val="20"/>
          <w:szCs w:val="20"/>
          <w:color w:val="auto"/>
        </w:rPr>
      </w:pPr>
    </w:p>
    <w:p>
      <w:pPr>
        <w:ind w:left="892" w:hanging="446"/>
        <w:spacing w:after="0"/>
        <w:tabs>
          <w:tab w:leader="none" w:pos="89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w:t>
      </w:r>
      <w:hyperlink r:id="rId88">
        <w:r>
          <w:rPr>
            <w:rFonts w:ascii="Arial" w:cs="Arial" w:eastAsia="Arial" w:hAnsi="Arial"/>
            <w:sz w:val="16"/>
            <w:szCs w:val="16"/>
            <w:u w:val="single" w:color="auto"/>
            <w:color w:val="0000EE"/>
          </w:rPr>
          <w:t>Exhibit 6 to Form T-1 filed with Registration Statement No. 333-188382</w:t>
        </w:r>
      </w:hyperlink>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892" w:hanging="446"/>
        <w:spacing w:after="0"/>
        <w:tabs>
          <w:tab w:leader="none" w:pos="892" w:val="left"/>
        </w:tabs>
        <w:numPr>
          <w:ilvl w:val="0"/>
          <w:numId w:val="33"/>
        </w:numPr>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A copy of the latest report of condition of the Trustee published pursuant to law or to the requirements of its supervising or examining authority.</w:t>
        </w:r>
      </w:hyperlink>
    </w:p>
    <w:p>
      <w:pPr>
        <w:spacing w:after="0" w:line="180" w:lineRule="exact"/>
        <w:rPr>
          <w:rFonts w:ascii="Arial" w:cs="Arial" w:eastAsia="Arial" w:hAnsi="Arial"/>
          <w:sz w:val="16"/>
          <w:szCs w:val="16"/>
          <w:u w:val="single" w:color="auto"/>
          <w:color w:val="0000EE"/>
        </w:rPr>
      </w:pPr>
    </w:p>
    <w:p>
      <w:pPr>
        <w:ind w:left="5652" w:hanging="96"/>
        <w:spacing w:after="0"/>
        <w:tabs>
          <w:tab w:leader="none" w:pos="56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272"/>
          </w:cols>
          <w:pgMar w:left="248" w:top="270" w:right="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corporation organized and existing under the laws of the United States of America, has duly caused this statement of eligibility to be signed on its behalf by the undersigned, thereunto duly authorized, all in The City of Chicago and State of Illinois, on the 5th day of June, 2018.</w:t>
      </w: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 COMPANY, N.A.</w:t>
      </w:r>
    </w:p>
    <w:p>
      <w:pPr>
        <w:spacing w:after="0" w:line="31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 Tarnas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R. Tarnas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business March 31, 2018, published in accordance with Federal regulatory authority instructions.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Dollar amounts</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in thousands</w:t>
            </w:r>
          </w:p>
        </w:tc>
        <w:tc>
          <w:tcPr>
            <w:tcW w:w="0" w:type="dxa"/>
            <w:vAlign w:val="bottom"/>
          </w:tcPr>
          <w:p>
            <w:pPr>
              <w:spacing w:after="0"/>
              <w:rPr>
                <w:sz w:val="1"/>
                <w:szCs w:val="1"/>
                <w:color w:val="auto"/>
              </w:rPr>
            </w:pPr>
          </w:p>
        </w:tc>
      </w:tr>
      <w:tr>
        <w:trPr>
          <w:trHeight w:val="176"/>
        </w:trPr>
        <w:tc>
          <w:tcPr>
            <w:tcW w:w="6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0"/>
              </w:rPr>
              <w:t>ASSETS</w:t>
            </w:r>
          </w:p>
        </w:tc>
        <w:tc>
          <w:tcPr>
            <w:tcW w:w="7580" w:type="dxa"/>
            <w:vAlign w:val="bottom"/>
            <w:tcBorders>
              <w:top w:val="single" w:sz="8" w:color="CCEEFF"/>
              <w:bottom w:val="single" w:sz="8" w:color="CCEEFF"/>
            </w:tcBorders>
            <w:shd w:val="clear" w:color="auto" w:fill="CCEEFF"/>
          </w:tcPr>
          <w:p>
            <w:pPr>
              <w:spacing w:after="0"/>
              <w:rPr>
                <w:sz w:val="15"/>
                <w:szCs w:val="15"/>
                <w:color w:val="auto"/>
              </w:rPr>
            </w:pPr>
          </w:p>
        </w:tc>
        <w:tc>
          <w:tcPr>
            <w:tcW w:w="21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8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432,247</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8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593,024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80" w:type="dxa"/>
            <w:vAlign w:val="bottom"/>
          </w:tcPr>
          <w:p>
            <w:pPr>
              <w:ind w:left="6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80" w:type="dxa"/>
            <w:vAlign w:val="bottom"/>
          </w:tcPr>
          <w:p>
            <w:pPr>
              <w:ind w:left="60"/>
              <w:spacing w:after="0"/>
              <w:rPr>
                <w:sz w:val="20"/>
                <w:szCs w:val="20"/>
                <w:color w:val="auto"/>
              </w:rPr>
            </w:pPr>
            <w:r>
              <w:rPr>
                <w:rFonts w:ascii="Arial" w:cs="Arial" w:eastAsia="Arial" w:hAnsi="Arial"/>
                <w:sz w:val="18"/>
                <w:szCs w:val="18"/>
                <w:color w:val="auto"/>
              </w:rPr>
              <w:t>Federal funds sold</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Loans and lease financing receivables:</w:t>
            </w: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sale</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80" w:type="dxa"/>
            <w:vAlign w:val="bottom"/>
          </w:tcPr>
          <w:p>
            <w:pPr>
              <w:ind w:left="60"/>
              <w:spacing w:after="0"/>
              <w:rPr>
                <w:sz w:val="20"/>
                <w:szCs w:val="20"/>
                <w:color w:val="auto"/>
              </w:rPr>
            </w:pPr>
            <w:r>
              <w:rPr>
                <w:rFonts w:ascii="Arial" w:cs="Arial" w:eastAsia="Arial" w:hAnsi="Arial"/>
                <w:sz w:val="18"/>
                <w:szCs w:val="18"/>
                <w:color w:val="auto"/>
              </w:rPr>
              <w:t>Loans and leases, held for investment</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80" w:type="dxa"/>
            <w:vAlign w:val="bottom"/>
          </w:tcPr>
          <w:p>
            <w:pPr>
              <w:ind w:left="60"/>
              <w:spacing w:after="0"/>
              <w:rPr>
                <w:sz w:val="20"/>
                <w:szCs w:val="20"/>
                <w:color w:val="auto"/>
              </w:rPr>
            </w:pPr>
            <w:r>
              <w:rPr>
                <w:rFonts w:ascii="Arial" w:cs="Arial" w:eastAsia="Arial" w:hAnsi="Arial"/>
                <w:sz w:val="18"/>
                <w:szCs w:val="18"/>
                <w:color w:val="auto"/>
              </w:rPr>
              <w:t>Loans and leases held for investment, net of allowance</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856,313</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Other intangible assets</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17,729</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123,432</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2,036,719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ind w:left="5660"/>
              <w:spacing w:after="0"/>
              <w:rPr>
                <w:sz w:val="20"/>
                <w:szCs w:val="20"/>
                <w:color w:val="auto"/>
              </w:rPr>
            </w:pPr>
            <w:r>
              <w:rPr>
                <w:rFonts w:ascii="Arial" w:cs="Arial" w:eastAsia="Arial" w:hAnsi="Arial"/>
                <w:sz w:val="18"/>
                <w:szCs w:val="18"/>
                <w:color w:val="auto"/>
              </w:rPr>
              <w:t>1</w:t>
            </w:r>
          </w:p>
        </w:tc>
        <w:tc>
          <w:tcPr>
            <w:tcW w:w="2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4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Dollar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rPr>
              <w:t>LIABILITIES</w:t>
            </w:r>
          </w:p>
        </w:tc>
        <w:tc>
          <w:tcPr>
            <w:tcW w:w="93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0" w:type="dxa"/>
            <w:vAlign w:val="bottom"/>
            <w:gridSpan w:val="4"/>
          </w:tcPr>
          <w:p>
            <w:pPr>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70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Not applicable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700"/>
              <w:spacing w:after="0"/>
              <w:rPr>
                <w:sz w:val="20"/>
                <w:szCs w:val="20"/>
                <w:color w:val="auto"/>
              </w:rPr>
            </w:pPr>
            <w:r>
              <w:rPr>
                <w:rFonts w:ascii="Arial" w:cs="Arial" w:eastAsia="Arial" w:hAnsi="Arial"/>
                <w:sz w:val="18"/>
                <w:szCs w:val="18"/>
                <w:color w:val="auto"/>
              </w:rPr>
              <w:t>Federal funds purchased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Securities sold under agreements to repurchase</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70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0400" w:type="dxa"/>
            <w:vAlign w:val="bottom"/>
            <w:gridSpan w:val="4"/>
          </w:tcPr>
          <w:p>
            <w:pPr>
              <w:spacing w:after="0"/>
              <w:rPr>
                <w:sz w:val="20"/>
                <w:szCs w:val="20"/>
                <w:color w:val="auto"/>
              </w:rPr>
            </w:pPr>
            <w:r>
              <w:rPr>
                <w:rFonts w:ascii="Arial" w:cs="Arial" w:eastAsia="Arial" w:hAnsi="Arial"/>
                <w:sz w:val="18"/>
                <w:szCs w:val="18"/>
                <w:color w:val="auto"/>
              </w:rPr>
              <w:t>Perpetual preferred stock and related surplus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1,123,298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687,782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1,809,567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1,809,567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2,036,719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208" w:lineRule="exact"/>
        <w:rPr>
          <w:sz w:val="20"/>
          <w:szCs w:val="20"/>
          <w:color w:val="auto"/>
        </w:rPr>
      </w:pPr>
    </w:p>
    <w:p>
      <w:pPr>
        <w:ind w:left="460"/>
        <w:spacing w:after="0"/>
        <w:tabs>
          <w:tab w:leader="none" w:pos="3500" w:val="left"/>
          <w:tab w:leader="none" w:pos="412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3" w:right="239" w:bottom="1440" w:gutter="0" w:footer="0" w:header="0"/>
        </w:sectPr>
      </w:pPr>
    </w:p>
    <w:p>
      <w:pPr>
        <w:spacing w:after="0" w:line="208"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2800" w:space="720"/>
            <w:col w:w="60" w:space="560"/>
            <w:col w:w="7280"/>
          </w:cols>
          <w:pgMar w:left="240" w:top="253"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sectPr>
      <w:pgSz w:w="11900" w:h="16838" w:orient="portrait"/>
      <w:cols w:equalWidth="0" w:num="1">
        <w:col w:w="11420"/>
      </w:cols>
      <w:pgMar w:left="240" w:top="25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2"/>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Roman"/>
      <w:start w:val="1"/>
    </w:lvl>
  </w:abstractNum>
  <w:abstractNum w:abstractNumId="22">
    <w:nsid w:val="2CA88611"/>
    <w:multiLevelType w:val="hybridMultilevel"/>
    <w:lvl w:ilvl="0">
      <w:lvlJc w:val="left"/>
      <w:lvlText w:val="(%1)"/>
      <w:numFmt w:val="decimal"/>
      <w:start w:val="2"/>
    </w:lvl>
    <w:lvl w:ilvl="1">
      <w:lvlJc w:val="left"/>
      <w:lvlText w:val="(%2)"/>
      <w:numFmt w:val="lowerRoman"/>
      <w:start w:val="1"/>
    </w:lvl>
  </w:abstractNum>
  <w:abstractNum w:abstractNumId="23">
    <w:nsid w:val="836C40E"/>
    <w:multiLevelType w:val="hybridMultilevel"/>
    <w:lvl w:ilvl="0">
      <w:lvlJc w:val="left"/>
      <w:lvlText w:val="(%1)"/>
      <w:numFmt w:val="decimal"/>
      <w:start w:val="5"/>
    </w:lvl>
    <w:lvl w:ilvl="1">
      <w:lvlJc w:val="left"/>
      <w:lvlText w:val="(%2)"/>
      <w:numFmt w:val="lowerRoman"/>
      <w:start w:val="1"/>
    </w:lvl>
  </w:abstractNum>
  <w:abstractNum w:abstractNumId="24">
    <w:nsid w:val="2901D82"/>
    <w:multiLevelType w:val="hybridMultilevel"/>
    <w:lvl w:ilvl="0">
      <w:lvlJc w:val="left"/>
      <w:lvlText w:val="(%1)"/>
      <w:numFmt w:val="lowerLetter"/>
      <w:start w:val="2"/>
    </w:lvl>
  </w:abstractNum>
  <w:abstractNum w:abstractNumId="25">
    <w:nsid w:val="3A95F874"/>
    <w:multiLevelType w:val="hybridMultilevel"/>
    <w:lvl w:ilvl="0">
      <w:lvlJc w:val="left"/>
      <w:lvlText w:val="(%1)"/>
      <w:numFmt w:val="lowerRoman"/>
      <w:start w:val="4"/>
    </w:lvl>
  </w:abstractNum>
  <w:abstractNum w:abstractNumId="26">
    <w:nsid w:val="8138641"/>
    <w:multiLevelType w:val="hybridMultilevel"/>
    <w:lvl w:ilvl="0">
      <w:lvlJc w:val="left"/>
      <w:lvlText w:val="(%1)"/>
      <w:numFmt w:val="lowerRoman"/>
      <w:start w:val="5"/>
    </w:lvl>
  </w:abstractNum>
  <w:abstractNum w:abstractNumId="27">
    <w:nsid w:val="1E7FF521"/>
    <w:multiLevelType w:val="hybridMultilevel"/>
    <w:lvl w:ilvl="0">
      <w:lvlJc w:val="left"/>
      <w:lvlText w:val="(%1)"/>
      <w:numFmt w:val="lowerRoman"/>
      <w:start w:val="8"/>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2"/>
    </w:lvl>
  </w:abstractNum>
  <w:abstractNum w:abstractNumId="31">
    <w:nsid w:val="22221A70"/>
    <w:multiLevelType w:val="hybridMultilevel"/>
    <w:lvl w:ilvl="0">
      <w:lvlJc w:val="left"/>
      <w:lvlText w:val="%1."/>
      <w:numFmt w:val="decimal"/>
      <w:start w:val="16"/>
    </w:lvl>
    <w:lvl w:ilvl="1">
      <w:lvlJc w:val="left"/>
      <w:lvlText w:val="%2."/>
      <w:numFmt w:val="decimal"/>
      <w:start w:val="4"/>
    </w:lvl>
  </w:abstractNum>
  <w:abstractNum w:abstractNumId="32">
    <w:nsid w:val="4516DDE9"/>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jpeg"/><Relationship Id="rId74" Type="http://schemas.openxmlformats.org/officeDocument/2006/relationships/image" Target="media/image61.jpeg"/><Relationship Id="rId75" Type="http://schemas.openxmlformats.org/officeDocument/2006/relationships/image" Target="media/image62.png"/><Relationship Id="rId76" Type="http://schemas.openxmlformats.org/officeDocument/2006/relationships/image" Target="media/image63.jpeg"/><Relationship Id="rId77" Type="http://schemas.openxmlformats.org/officeDocument/2006/relationships/image" Target="media/image64.png"/><Relationship Id="rId78" Type="http://schemas.openxmlformats.org/officeDocument/2006/relationships/image" Target="media/image65.jpeg"/><Relationship Id="rId79" Type="http://schemas.openxmlformats.org/officeDocument/2006/relationships/image" Target="media/image66.png"/><Relationship Id="rId80" Type="http://schemas.openxmlformats.org/officeDocument/2006/relationships/image" Target="media/image67.jpe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49" Type="http://schemas.openxmlformats.org/officeDocument/2006/relationships/hyperlink" Target="http://www.sec.gov/Archives/edgar/data/6281/000119312516664807/d202922dex21.htm" TargetMode="External"/><Relationship Id="rId50" Type="http://schemas.openxmlformats.org/officeDocument/2006/relationships/hyperlink" Target="http://www.sec.gov/Archives/edgar/data/6281/000095013508003842/b69749adexv3w1.htm" TargetMode="External"/><Relationship Id="rId51" Type="http://schemas.openxmlformats.org/officeDocument/2006/relationships/hyperlink" Target="http://www.sec.gov/Archives/edgar/data/6281/000095013508007881/b73171adexv3w1.htm" TargetMode="External"/><Relationship Id="rId52" Type="http://schemas.openxmlformats.org/officeDocument/2006/relationships/hyperlink" Target="http://www.sec.gov/Archives/edgar/data/6281/000095012310005988/b79098exv3w1.htm" TargetMode="External"/><Relationship Id="rId53" Type="http://schemas.openxmlformats.org/officeDocument/2006/relationships/hyperlink" Target="http://www.sec.gov/Archives/edgar/data/6281/000119312513245264/d548763dex41.htm" TargetMode="External"/><Relationship Id="rId54" Type="http://schemas.openxmlformats.org/officeDocument/2006/relationships/hyperlink" Target="http://www.sec.gov/Archives/edgar/data/6281/000000628118000084/q218exhibit121.htm" TargetMode="External"/><Relationship Id="rId88" Type="http://schemas.openxmlformats.org/officeDocument/2006/relationships/hyperlink" Target="http://www.sec.gov/Archives/edgar/data/732717/000119312513201685/d531930dex2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2019-12-05T01:21:12Z</dcterms:created>
  <dcterms:modified xsi:type="dcterms:W3CDTF">2019-12-05T01:21:12Z</dcterms:modified>
</cp:coreProperties>
</file>