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30, 2010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91" w:lineRule="exact"/>
        <w:rPr>
          <w:sz w:val="20"/>
          <w:szCs w:val="20"/>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60" w:space="720"/>
            <w:col w:w="3340" w:space="460"/>
            <w:col w:w="2200"/>
          </w:cols>
          <w:pgMar w:left="240" w:top="122" w:right="279" w:bottom="1440" w:gutter="0" w:footer="0" w:header="0"/>
          <w:type w:val="continuous"/>
        </w:sectPr>
      </w:pPr>
    </w:p>
    <w:p>
      <w:pPr>
        <w:ind w:left="220" w:right="1980" w:firstLine="1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January 30, 2010 there were 297,690,739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81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7">
        <w:r>
          <w:rPr>
            <w:rFonts w:ascii="Arial" w:cs="Arial" w:eastAsia="Arial" w:hAnsi="Arial"/>
            <w:sz w:val="22"/>
            <w:szCs w:val="22"/>
            <w:u w:val="single" w:color="auto"/>
            <w:color w:val="0000EE"/>
          </w:rPr>
          <w:t>ITEM 3. Quantitative and Qualitative Disclosures About Market Risk</w:t>
        </w:r>
      </w:hyperlink>
    </w:p>
    <w:p>
      <w:pPr>
        <w:spacing w:after="0" w:line="1" w:lineRule="exact"/>
        <w:rPr>
          <w:sz w:val="20"/>
          <w:szCs w:val="20"/>
          <w:color w:val="auto"/>
        </w:rPr>
      </w:pPr>
    </w:p>
    <w:p>
      <w:pPr>
        <w:jc w:val="right"/>
        <w:ind w:right="6479"/>
        <w:spacing w:after="0"/>
        <w:rPr>
          <w:rFonts w:ascii="Arial" w:cs="Arial" w:eastAsia="Arial" w:hAnsi="Arial"/>
          <w:sz w:val="19"/>
          <w:szCs w:val="19"/>
          <w:u w:val="single" w:color="auto"/>
          <w:color w:val="0000EE"/>
        </w:rPr>
      </w:pPr>
      <w:hyperlink w:anchor="page37">
        <w:r>
          <w:rPr>
            <w:rFonts w:ascii="Arial" w:cs="Arial" w:eastAsia="Arial" w:hAnsi="Arial"/>
            <w:sz w:val="19"/>
            <w:szCs w:val="19"/>
            <w:u w:val="single" w:color="auto"/>
            <w:color w:val="0000EE"/>
          </w:rPr>
          <w:t>PART II - OTHER INFORMATION</w:t>
        </w:r>
      </w:hyperlink>
    </w:p>
    <w:p>
      <w:pPr>
        <w:spacing w:after="0" w:line="25" w:lineRule="exact"/>
        <w:rPr>
          <w:sz w:val="20"/>
          <w:szCs w:val="20"/>
          <w:color w:val="auto"/>
        </w:rPr>
      </w:pPr>
    </w:p>
    <w:p>
      <w:pPr>
        <w:jc w:val="right"/>
        <w:ind w:right="6399"/>
        <w:spacing w:after="0"/>
        <w:rPr>
          <w:rFonts w:ascii="Arial" w:cs="Arial" w:eastAsia="Arial" w:hAnsi="Arial"/>
          <w:sz w:val="21"/>
          <w:szCs w:val="21"/>
          <w:u w:val="single" w:color="auto"/>
          <w:color w:val="0000EE"/>
        </w:rPr>
      </w:pPr>
      <w:hyperlink w:anchor="page37">
        <w:r>
          <w:rPr>
            <w:rFonts w:ascii="Arial" w:cs="Arial" w:eastAsia="Arial" w:hAnsi="Arial"/>
            <w:sz w:val="21"/>
            <w:szCs w:val="21"/>
            <w:u w:val="single" w:color="auto"/>
            <w:color w:val="0000EE"/>
          </w:rPr>
          <w:t>ITEM 4. Controls and Procedures</w:t>
        </w:r>
      </w:hyperlink>
    </w:p>
    <w:p>
      <w:pPr>
        <w:ind w:left="320"/>
        <w:spacing w:after="0" w:line="232"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EX-10.1 Fourth Amendment to 2006 Stock Incentive Plan of Analog Devices, Inc.</w:t>
      </w:r>
    </w:p>
    <w:p>
      <w:pPr>
        <w:spacing w:after="0" w:line="230" w:lineRule="auto"/>
        <w:rPr>
          <w:sz w:val="20"/>
          <w:szCs w:val="20"/>
          <w:color w:val="auto"/>
        </w:rPr>
      </w:pPr>
      <w:r>
        <w:rPr>
          <w:rFonts w:ascii="Arial" w:cs="Arial" w:eastAsia="Arial" w:hAnsi="Arial"/>
          <w:sz w:val="22"/>
          <w:szCs w:val="22"/>
          <w:u w:val="single" w:color="auto"/>
          <w:color w:val="0000EE"/>
        </w:rPr>
        <w:t>EX-10.2 Fifth Amendment to 2006 Stock Incentive Plan of Analog Devices, Inc.</w:t>
      </w:r>
    </w:p>
    <w:p>
      <w:pPr>
        <w:spacing w:after="0" w:line="231" w:lineRule="auto"/>
        <w:rPr>
          <w:sz w:val="20"/>
          <w:szCs w:val="20"/>
          <w:color w:val="auto"/>
        </w:rPr>
      </w:pPr>
      <w:r>
        <w:rPr>
          <w:rFonts w:ascii="Arial" w:cs="Arial" w:eastAsia="Arial" w:hAnsi="Arial"/>
          <w:sz w:val="22"/>
          <w:szCs w:val="22"/>
          <w:u w:val="single" w:color="auto"/>
          <w:color w:val="0000EE"/>
        </w:rPr>
        <w:t>EX-31.1 CEO CERTIFICATION PURSUANT TO SECTION 302</w:t>
      </w:r>
    </w:p>
    <w:p>
      <w:pPr>
        <w:spacing w:after="0" w:line="231" w:lineRule="auto"/>
        <w:rPr>
          <w:sz w:val="20"/>
          <w:szCs w:val="20"/>
          <w:color w:val="auto"/>
        </w:rPr>
      </w:pPr>
      <w:r>
        <w:rPr>
          <w:rFonts w:ascii="Arial" w:cs="Arial" w:eastAsia="Arial" w:hAnsi="Arial"/>
          <w:sz w:val="22"/>
          <w:szCs w:val="22"/>
          <w:u w:val="single" w:color="auto"/>
          <w:color w:val="0000EE"/>
        </w:rPr>
        <w:t>EX-31.2 CFO CERTIFICATION PURSUANT TO SECTION 302</w:t>
      </w:r>
    </w:p>
    <w:p>
      <w:pPr>
        <w:ind w:right="3879"/>
        <w:spacing w:after="0" w:line="230" w:lineRule="auto"/>
        <w:rPr>
          <w:sz w:val="20"/>
          <w:szCs w:val="20"/>
          <w:color w:val="auto"/>
        </w:rPr>
      </w:pPr>
      <w:r>
        <w:rPr>
          <w:rFonts w:ascii="Arial" w:cs="Arial" w:eastAsia="Arial" w:hAnsi="Arial"/>
          <w:sz w:val="22"/>
          <w:szCs w:val="22"/>
          <w:u w:val="single" w:color="auto"/>
          <w:color w:val="0000EE"/>
        </w:rPr>
        <w:t>EX-32.1 CEO CERTIFICATION PURSUANT TO SECTION 906 EX-32.2 CFO CERTIFICATION PURSUANT TO SECTION 906 EX-101 INSTANCE DOCUMENT EX-101 SCHEMA DOCUMENT</w:t>
      </w:r>
    </w:p>
    <w:p>
      <w:pPr>
        <w:spacing w:after="0" w:line="233"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0" w:lineRule="auto"/>
        <w:rPr>
          <w:sz w:val="20"/>
          <w:szCs w:val="20"/>
          <w:color w:val="auto"/>
        </w:rPr>
      </w:pPr>
      <w:r>
        <w:rPr>
          <w:rFonts w:ascii="Arial" w:cs="Arial" w:eastAsia="Arial" w:hAnsi="Arial"/>
          <w:sz w:val="22"/>
          <w:szCs w:val="22"/>
          <w:u w:val="single" w:color="auto"/>
          <w:color w:val="0000EE"/>
        </w:rPr>
        <w:t>EX-101 LABELS LINKBASE DOCUMENT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30, 2010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602,983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476,569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 (1)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234,507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207,567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368,476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114,398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88,481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Special charge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16,483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219,362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249,411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148,267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27,958</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28,667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119,600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120,459</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295,611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304,871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200"/>
              <w:spacing w:after="0"/>
              <w:rPr>
                <w:sz w:val="20"/>
                <w:szCs w:val="20"/>
                <w:color w:val="auto"/>
              </w:rPr>
            </w:pPr>
            <w:r>
              <w:rPr>
                <w:rFonts w:ascii="Arial" w:cs="Arial" w:eastAsia="Arial" w:hAnsi="Arial"/>
                <w:sz w:val="18"/>
                <w:szCs w:val="18"/>
                <w:color w:val="auto"/>
              </w:rPr>
              <w:t>(1) Includes stock-based compensation expense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1,671</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5,359</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January 30,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914,268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639,729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1,264,696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1,176,244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313,288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301,036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12,412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167,803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173,696</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63,060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66,092</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243,275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74,036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78,740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29,951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40,363</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2,840,955</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2,490,636</w:t>
            </w:r>
          </w:p>
        </w:tc>
        <w:tc>
          <w:tcPr>
            <w:tcW w:w="100" w:type="dxa"/>
            <w:vAlign w:val="bottom"/>
            <w:shd w:val="clear" w:color="auto" w:fill="CCEEFF"/>
          </w:tcPr>
          <w:p>
            <w:pPr>
              <w:spacing w:after="0"/>
              <w:rPr>
                <w:sz w:val="18"/>
                <w:szCs w:val="18"/>
                <w:color w:val="auto"/>
              </w:rPr>
            </w:pPr>
          </w:p>
        </w:tc>
      </w:tr>
      <w:tr>
        <w:trPr>
          <w:trHeight w:val="439"/>
        </w:trPr>
        <w:tc>
          <w:tcPr>
            <w:tcW w:w="868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395,051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395,151</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1,522,997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1,511,822</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56,294</w:t>
            </w: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66,824</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66,847</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2,040,948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2,030,114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1,576,492</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1,553,598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464,456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476,516</w:t>
            </w:r>
          </w:p>
        </w:tc>
      </w:tr>
      <w:tr>
        <w:trPr>
          <w:trHeight w:val="20"/>
        </w:trPr>
        <w:tc>
          <w:tcPr>
            <w:tcW w:w="8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68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7,205</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253,510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250,881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76,639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73,646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49,481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62,037</w:t>
            </w: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392,759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437,142</w:t>
            </w: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3,698,170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3,404,294</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260" w:firstLine="8"/>
        <w:spacing w:after="0" w:line="402"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$2,537 and $2,718 related to stock-based compensation at January 30, 2010 and October 31, 2009,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January 30, 2010</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113,746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177,029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21,293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137,922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451,431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386,613</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381,425</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45,912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7,201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48,048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482,586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297,690,739 shares issued and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outstanding (291,861,767 on October 31, 2009)</w:t>
            </w:r>
          </w:p>
        </w:tc>
        <w:tc>
          <w:tcPr>
            <w:tcW w:w="18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49,616</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233,303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2,496,035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2,434,446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(14,801)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2,764,153</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2,529,149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3,698,170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3,404,294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color w:val="auto"/>
                <w:w w:val="93"/>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color w:val="auto"/>
              </w:rPr>
              <w:t>January 30, 2010</w:t>
            </w:r>
          </w:p>
        </w:tc>
        <w:tc>
          <w:tcPr>
            <w:tcW w:w="1280" w:type="dxa"/>
            <w:vAlign w:val="bottom"/>
            <w:gridSpan w:val="3"/>
          </w:tcPr>
          <w:p>
            <w:pPr>
              <w:ind w:left="280"/>
              <w:spacing w:after="0" w:line="142" w:lineRule="exact"/>
              <w:rPr>
                <w:sz w:val="20"/>
                <w:szCs w:val="20"/>
                <w:color w:val="auto"/>
              </w:rPr>
            </w:pPr>
            <w:r>
              <w:rPr>
                <w:rFonts w:ascii="Arial" w:cs="Arial" w:eastAsia="Arial" w:hAnsi="Arial"/>
                <w:sz w:val="14"/>
                <w:szCs w:val="14"/>
                <w:color w:val="auto"/>
                <w:w w:val="90"/>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120,459</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29,281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11,835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5,597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Non-cash portion of special charge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45,047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213,773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(714,332)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(263,906)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625,921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sale of business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63,036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(17,179)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Increase in other assets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provided by investing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(42,961)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175,993</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(58,870)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163,487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(used) for financing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104,670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(57,959)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274,539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639,729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914,268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31, 2009 and related notes. The results of operations for the interim period shown in this report are not necessarily indicative of the results that may be expected for the fiscal year ending October 30, 2010 or any future period.</w:t>
      </w:r>
    </w:p>
    <w:p>
      <w:pPr>
        <w:spacing w:after="0" w:line="6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 as of October 31,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2010 and fiscal 2009 are 52-week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previous years have been reclassified to conform to the fiscal 2010 presentation. Such reclassified amounts were immaterial.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product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79" w:lineRule="exact"/>
        <w:rPr>
          <w:sz w:val="20"/>
          <w:szCs w:val="20"/>
          <w:color w:val="auto"/>
        </w:rPr>
      </w:pPr>
    </w:p>
    <w:p>
      <w:pPr>
        <w:jc w:val="both"/>
        <w:ind w:right="40" w:firstLine="22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As of January 30, 2010 and October 31, 2009, the Company had gross deferred revenue of $253.3 million and $230.8 million, respectively, and gross deferred cost of sales of $76.3 million and $81.5 million, respectively. Deferred income on shipments to distributors as of January 30, 2010 was higher than the amount as of October 31, 2009 by $28 million, primarily as a result of the Company’s shipments to its distributors in the first quarter of fiscal 2010 exceeding the distributors’ sales to their customers during this same time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either of the three-month periods ended January 30, 2010 and January 31, 2009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to calculate the fair value of stock options granted during the three-month periods ended January 30, 2010 and January 31, 2009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20" w:type="dxa"/>
            <w:vAlign w:val="bottom"/>
            <w:gridSpan w:val="2"/>
            <w:vMerge w:val="continue"/>
          </w:tcPr>
          <w:p>
            <w:pPr>
              <w:spacing w:after="0"/>
              <w:rPr>
                <w:sz w:val="12"/>
                <w:szCs w:val="12"/>
                <w:color w:val="auto"/>
              </w:rPr>
            </w:pPr>
          </w:p>
        </w:tc>
        <w:tc>
          <w:tcPr>
            <w:tcW w:w="154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January 30, 2010</w:t>
            </w:r>
          </w:p>
        </w:tc>
        <w:tc>
          <w:tcPr>
            <w:tcW w:w="156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January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84"/>
              </w:rPr>
              <w:t>1,812</w:t>
            </w:r>
          </w:p>
        </w:tc>
        <w:tc>
          <w:tcPr>
            <w:tcW w:w="7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8"/>
              </w:rPr>
              <w:t>5,420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31.55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Assumptions: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8"/>
              </w:rPr>
              <w:t>31.43%</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440" w:type="dxa"/>
            <w:vAlign w:val="bottom"/>
          </w:tcPr>
          <w:p>
            <w:pPr>
              <w:spacing w:after="0"/>
              <w:rPr>
                <w:sz w:val="18"/>
                <w:szCs w:val="18"/>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18"/>
                <w:szCs w:val="18"/>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January 30, 2010.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activity under the Company’s stock option plans as of January 30, 2010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Options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January 30, 2010</w:t>
            </w:r>
          </w:p>
        </w:tc>
        <w:tc>
          <w:tcPr>
            <w:tcW w:w="1940" w:type="dxa"/>
            <w:vAlign w:val="bottom"/>
            <w:gridSpan w:val="4"/>
          </w:tcPr>
          <w:p>
            <w:pPr>
              <w:jc w:val="center"/>
              <w:ind w:left="29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80" w:type="dxa"/>
            <w:vAlign w:val="bottom"/>
          </w:tcPr>
          <w:p>
            <w:pPr>
              <w:jc w:val="center"/>
              <w:ind w:left="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5140" w:type="dxa"/>
            <w:vAlign w:val="bottom"/>
            <w:gridSpan w:val="2"/>
            <w:vMerge w:val="continue"/>
          </w:tcPr>
          <w:p>
            <w:pPr>
              <w:spacing w:after="0"/>
              <w:rPr>
                <w:sz w:val="15"/>
                <w:szCs w:val="15"/>
                <w:color w:val="auto"/>
              </w:rPr>
            </w:pPr>
          </w:p>
        </w:tc>
        <w:tc>
          <w:tcPr>
            <w:tcW w:w="194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180" w:type="dxa"/>
            <w:vAlign w:val="bottom"/>
          </w:tcPr>
          <w:p>
            <w:pPr>
              <w:jc w:val="center"/>
              <w:ind w:left="5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31, 2009</w:t>
            </w:r>
          </w:p>
        </w:tc>
        <w:tc>
          <w:tcPr>
            <w:tcW w:w="14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52,463</w:t>
            </w:r>
          </w:p>
        </w:tc>
        <w:tc>
          <w:tcPr>
            <w:tcW w:w="5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$29.71</w:t>
            </w:r>
          </w:p>
        </w:tc>
        <w:tc>
          <w:tcPr>
            <w:tcW w:w="14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1,812</w:t>
            </w:r>
          </w:p>
        </w:tc>
        <w:tc>
          <w:tcPr>
            <w:tcW w:w="52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$31.55</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(6,609)</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$28.38</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940" w:type="dxa"/>
            <w:vAlign w:val="bottom"/>
            <w:gridSpan w:val="4"/>
          </w:tcPr>
          <w:p>
            <w:pPr>
              <w:jc w:val="right"/>
              <w:ind w:right="480"/>
              <w:spacing w:after="0"/>
              <w:rPr>
                <w:sz w:val="20"/>
                <w:szCs w:val="20"/>
                <w:color w:val="auto"/>
              </w:rPr>
            </w:pPr>
            <w:r>
              <w:rPr>
                <w:rFonts w:ascii="Arial" w:cs="Arial" w:eastAsia="Arial" w:hAnsi="Arial"/>
                <w:sz w:val="18"/>
                <w:szCs w:val="18"/>
                <w:color w:val="auto"/>
              </w:rPr>
              <w:t>(359)</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$27.91</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(413)</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$38.68</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January 30, 2010</w:t>
            </w:r>
          </w:p>
        </w:tc>
        <w:tc>
          <w:tcPr>
            <w:tcW w:w="9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46,894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$29.91</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1180" w:type="dxa"/>
            <w:vAlign w:val="bottom"/>
          </w:tcPr>
          <w:p>
            <w:pPr>
              <w:jc w:val="right"/>
              <w:ind w:right="179"/>
              <w:spacing w:after="0"/>
              <w:rPr>
                <w:sz w:val="20"/>
                <w:szCs w:val="20"/>
                <w:color w:val="auto"/>
              </w:rPr>
            </w:pPr>
            <w:r>
              <w:rPr>
                <w:rFonts w:ascii="Arial" w:cs="Arial" w:eastAsia="Arial" w:hAnsi="Arial"/>
                <w:sz w:val="18"/>
                <w:szCs w:val="18"/>
                <w:color w:val="auto"/>
              </w:rPr>
              <w:t>$79,510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January 30, 2010</w:t>
            </w:r>
          </w:p>
        </w:tc>
        <w:tc>
          <w:tcPr>
            <w:tcW w:w="9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21,026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$33.03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$46,690</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January 30, 2010 (1)</w:t>
            </w:r>
          </w:p>
        </w:tc>
        <w:tc>
          <w:tcPr>
            <w:tcW w:w="1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vMerge w:val="restart"/>
          </w:tcPr>
          <w:p>
            <w:pPr>
              <w:jc w:val="right"/>
              <w:ind w:right="515"/>
              <w:spacing w:after="0"/>
              <w:rPr>
                <w:sz w:val="20"/>
                <w:szCs w:val="20"/>
                <w:color w:val="auto"/>
              </w:rPr>
            </w:pPr>
            <w:r>
              <w:rPr>
                <w:rFonts w:ascii="Arial" w:cs="Arial" w:eastAsia="Arial" w:hAnsi="Arial"/>
                <w:sz w:val="18"/>
                <w:szCs w:val="18"/>
                <w:color w:val="auto"/>
              </w:rPr>
              <w:t>$30.03</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7"/>
              </w:rPr>
              <w:t>5.1</w:t>
            </w:r>
          </w:p>
        </w:tc>
        <w:tc>
          <w:tcPr>
            <w:tcW w:w="1180" w:type="dxa"/>
            <w:vAlign w:val="bottom"/>
            <w:vMerge w:val="restart"/>
          </w:tcPr>
          <w:p>
            <w:pPr>
              <w:jc w:val="right"/>
              <w:ind w:right="179"/>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45,003</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62"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During the three months ended January 30, 2010 and January 31, 2009, the total intrinsic value of options exercised (i.e., the difference between the market price at exercise and the price paid by the employee to exercise the options) was $13.2 million and $0.1 million, respectively, and the total amount of proceeds received from exercise of these options was $187.6 million and $1 million, respectively. Proceeds from stock option exercises pursuant to employee stock plans in the Company’s statement of cash flows during the three months ended January 30, 2010 and January 31, 2009 of $163.5 million and</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0.8 million, respectively, is net of the value of shares surrendered by employees in certain limited circumstances to satisfy the exercise price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months ended January 30, 2010 and January 31, 2009 was approximately $31.4 million and $70.5 million, respectively.</w:t>
      </w:r>
    </w:p>
    <w:p>
      <w:pPr>
        <w:spacing w:after="0" w:line="83"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January 30, 2010 and changes during the quarter then ended is presented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660" w:type="dxa"/>
            <w:vAlign w:val="bottom"/>
            <w:gridSpan w:val="3"/>
          </w:tcPr>
          <w:p>
            <w:pPr>
              <w:jc w:val="center"/>
              <w:ind w:left="1959"/>
              <w:spacing w:after="0"/>
              <w:rPr>
                <w:sz w:val="20"/>
                <w:szCs w:val="20"/>
                <w:color w:val="auto"/>
              </w:rPr>
            </w:pPr>
            <w:r>
              <w:rPr>
                <w:rFonts w:ascii="Arial" w:cs="Arial" w:eastAsia="Arial" w:hAnsi="Arial"/>
                <w:sz w:val="14"/>
                <w:szCs w:val="14"/>
                <w:b w:val="1"/>
                <w:bCs w:val="1"/>
                <w:color w:val="auto"/>
                <w:w w:val="90"/>
              </w:rPr>
              <w:t>Restricted</w:t>
            </w:r>
          </w:p>
        </w:tc>
        <w:tc>
          <w:tcPr>
            <w:tcW w:w="1460" w:type="dxa"/>
            <w:vAlign w:val="bottom"/>
          </w:tcPr>
          <w:p>
            <w:pPr>
              <w:jc w:val="center"/>
              <w:ind w:lef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60" w:type="dxa"/>
            <w:vAlign w:val="bottom"/>
            <w:gridSpan w:val="3"/>
          </w:tcPr>
          <w:p>
            <w:pPr>
              <w:jc w:val="center"/>
              <w:ind w:left="1959"/>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January 30, 2010</w:t>
            </w:r>
          </w:p>
        </w:tc>
        <w:tc>
          <w:tcPr>
            <w:tcW w:w="264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Units</w:t>
            </w: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00" w:type="dxa"/>
            <w:vAlign w:val="bottom"/>
            <w:gridSpan w:val="2"/>
            <w:vMerge w:val="continue"/>
          </w:tcPr>
          <w:p>
            <w:pPr>
              <w:spacing w:after="0"/>
              <w:rPr>
                <w:sz w:val="15"/>
                <w:szCs w:val="15"/>
                <w:color w:val="auto"/>
              </w:rPr>
            </w:pPr>
          </w:p>
        </w:tc>
        <w:tc>
          <w:tcPr>
            <w:tcW w:w="3660" w:type="dxa"/>
            <w:vAlign w:val="bottom"/>
            <w:gridSpan w:val="3"/>
          </w:tcPr>
          <w:p>
            <w:pPr>
              <w:jc w:val="center"/>
              <w:ind w:left="1959"/>
              <w:spacing w:after="0"/>
              <w:rPr>
                <w:sz w:val="20"/>
                <w:szCs w:val="20"/>
                <w:color w:val="auto"/>
              </w:rPr>
            </w:pPr>
            <w:r>
              <w:rPr>
                <w:rFonts w:ascii="Arial" w:cs="Arial" w:eastAsia="Arial" w:hAnsi="Arial"/>
                <w:sz w:val="14"/>
                <w:szCs w:val="14"/>
                <w:b w:val="1"/>
                <w:bCs w:val="1"/>
                <w:color w:val="auto"/>
                <w:w w:val="94"/>
              </w:rPr>
              <w:t>Outstanding</w:t>
            </w:r>
          </w:p>
        </w:tc>
        <w:tc>
          <w:tcPr>
            <w:tcW w:w="1460" w:type="dxa"/>
            <w:vAlign w:val="bottom"/>
          </w:tcPr>
          <w:p>
            <w:pPr>
              <w:ind w:left="5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31, 2009</w:t>
            </w:r>
          </w:p>
        </w:tc>
        <w:tc>
          <w:tcPr>
            <w:tcW w:w="3660" w:type="dxa"/>
            <w:vAlign w:val="bottom"/>
            <w:tcBorders>
              <w:top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135</w:t>
            </w:r>
          </w:p>
        </w:tc>
        <w:tc>
          <w:tcPr>
            <w:tcW w:w="14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660" w:type="dxa"/>
            <w:vAlign w:val="bottom"/>
            <w:gridSpan w:val="3"/>
          </w:tcPr>
          <w:p>
            <w:pPr>
              <w:jc w:val="right"/>
              <w:ind w:right="600"/>
              <w:spacing w:after="0"/>
              <w:rPr>
                <w:sz w:val="20"/>
                <w:szCs w:val="20"/>
                <w:color w:val="auto"/>
              </w:rPr>
            </w:pPr>
            <w:r>
              <w:rPr>
                <w:rFonts w:ascii="Arial" w:cs="Arial" w:eastAsia="Arial" w:hAnsi="Arial"/>
                <w:sz w:val="18"/>
                <w:szCs w:val="18"/>
                <w:color w:val="auto"/>
              </w:rPr>
              <w:t>1,128</w:t>
            </w:r>
          </w:p>
        </w:tc>
        <w:tc>
          <w:tcPr>
            <w:tcW w:w="1460" w:type="dxa"/>
            <w:vAlign w:val="bottom"/>
          </w:tcPr>
          <w:p>
            <w:pPr>
              <w:ind w:left="56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4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60" w:type="dxa"/>
            <w:vAlign w:val="bottom"/>
          </w:tcPr>
          <w:p>
            <w:pPr>
              <w:ind w:left="5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January 30, 2010</w:t>
            </w:r>
          </w:p>
        </w:tc>
        <w:tc>
          <w:tcPr>
            <w:tcW w:w="26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1,256</w:t>
            </w:r>
          </w:p>
        </w:tc>
        <w:tc>
          <w:tcPr>
            <w:tcW w:w="600" w:type="dxa"/>
            <w:vAlign w:val="bottom"/>
            <w:shd w:val="clear" w:color="auto" w:fill="CCEEFF"/>
          </w:tcPr>
          <w:p>
            <w:pPr>
              <w:spacing w:after="0"/>
              <w:rPr>
                <w:sz w:val="18"/>
                <w:szCs w:val="18"/>
                <w:color w:val="auto"/>
              </w:rPr>
            </w:pP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342" w:lineRule="auto"/>
        <w:rPr>
          <w:sz w:val="20"/>
          <w:szCs w:val="20"/>
          <w:color w:val="auto"/>
        </w:rPr>
      </w:pPr>
      <w:r>
        <w:rPr>
          <w:rFonts w:ascii="Arial" w:cs="Arial" w:eastAsia="Arial" w:hAnsi="Arial"/>
          <w:sz w:val="16"/>
          <w:szCs w:val="16"/>
          <w:color w:val="auto"/>
        </w:rPr>
        <w:t>As of January 30, 2010, there was $136 million (before tax consideration) of total unrecognized compensation cost related to unvested share-based awards, including stock options, restricted stock and restricted stock units. That cost is expected to be recognized over a weighted-average period of 1.7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6"/>
              </w:rPr>
              <w:t>Three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88"/>
              </w:rPr>
              <w:t>January 30, 2010</w:t>
            </w:r>
          </w:p>
        </w:tc>
        <w:tc>
          <w:tcPr>
            <w:tcW w:w="64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119,600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2,132</w:t>
            </w:r>
          </w:p>
        </w:tc>
        <w:tc>
          <w:tcPr>
            <w:tcW w:w="3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right w:val="single" w:sz="8" w:color="CCEEFF"/>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Change in unrealized holding gains (losses) (net of taxes of $5 and $296, respectively) on securities classified</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as short-term investments</w:t>
            </w:r>
          </w:p>
        </w:tc>
        <w:tc>
          <w:tcPr>
            <w:tcW w:w="2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w w:val="96"/>
              </w:rPr>
              <w:t>Change in unrealized holding losses (net of taxes of $9 and $88, respectively) on securities classified as other</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right w:val="single" w:sz="8" w:color="CCEEFF"/>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Change in unrealized (losses) gains (net of taxes of $459 and $1,042, respectively) on derivative instruments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(7,005)</w:t>
            </w:r>
          </w:p>
        </w:tc>
        <w:tc>
          <w:tcPr>
            <w:tcW w:w="3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Transition asset (obligation)</w:t>
            </w:r>
          </w:p>
        </w:tc>
        <w:tc>
          <w:tcPr>
            <w:tcW w:w="2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actuarial gain (loss)</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(4,553)</w:t>
            </w:r>
          </w:p>
        </w:tc>
        <w:tc>
          <w:tcPr>
            <w:tcW w:w="6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115,047</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28,510</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859</w:t>
            </w:r>
          </w:p>
        </w:tc>
        <w:tc>
          <w:tcPr>
            <w:tcW w:w="6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115,906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28,874</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320" w:type="dxa"/>
            <w:vAlign w:val="bottom"/>
            <w:gridSpan w:val="6"/>
          </w:tcPr>
          <w:p>
            <w:pPr>
              <w:spacing w:after="0"/>
              <w:rPr>
                <w:sz w:val="20"/>
                <w:szCs w:val="20"/>
                <w:color w:val="auto"/>
              </w:rPr>
            </w:pPr>
            <w:r>
              <w:rPr>
                <w:rFonts w:ascii="Arial" w:cs="Arial" w:eastAsia="Arial" w:hAnsi="Arial"/>
                <w:sz w:val="18"/>
                <w:szCs w:val="18"/>
                <w:color w:val="auto"/>
                <w:w w:val="97"/>
              </w:rPr>
              <w:t>The components of accumulated other comprehensive income at January 30, 2010 and October 31, 2009 consisted of the following:</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4"/>
                <w:szCs w:val="14"/>
                <w:color w:val="auto"/>
              </w:rPr>
              <w:t>January 30, 2010</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w w:val="90"/>
              </w:rPr>
              <w:t>October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(5,344)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Unrealized gain on available-for-sale securities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(505)</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Unrealized (losses) gains on derivative instruments</w:t>
            </w:r>
          </w:p>
        </w:tc>
        <w:tc>
          <w:tcPr>
            <w:tcW w:w="24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(1,396)</w:t>
            </w: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Transition obligation</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actuarial loss</w:t>
            </w:r>
          </w:p>
        </w:tc>
        <w:tc>
          <w:tcPr>
            <w:tcW w:w="24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(8,388)</w:t>
            </w:r>
          </w:p>
        </w:tc>
        <w:tc>
          <w:tcPr>
            <w:tcW w:w="3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accumulated other comprehensive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(14,801)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aggregate fair value of investments with unrealized losses as of January 30, 2010 and October 31, 2009 was $479.8 million and $535.3 million, respectively. These unrealized losses are all related to commercial paper that earns lower interest rates than current market rates. None of these investments have been in a loss position for more than twelve months.</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restricted stock, and RSU’s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30, 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119,600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120,459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295,611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291,187</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295,611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291,187</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304,871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291,248</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19,159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60" w:right="4820" w:hanging="5652"/>
        <w:spacing w:after="0" w:line="481" w:lineRule="auto"/>
        <w:tabs>
          <w:tab w:leader="none" w:pos="4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 share amounts may not equal the total due to rounding.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3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Reduction</w:t>
            </w: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Closure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Wafer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Costs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Cambridge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20,315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20,315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Abandonment of equipment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 in estimate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items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2007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2008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26,583</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7,446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14,629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2009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30,333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2010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Workforce reductions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10,908</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Fiscal 2010 Charges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11,419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Consolidation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Closure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8"/>
              </w:rPr>
              <w:t>Closure of Wafer</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of a Wafer</w:t>
            </w:r>
          </w:p>
        </w:tc>
        <w:tc>
          <w:tcPr>
            <w:tcW w:w="16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Reduction of</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Wafer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640" w:type="dxa"/>
            <w:vAlign w:val="bottom"/>
            <w:gridSpan w:val="4"/>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230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rPr>
              <w:t>Fabrication Facility</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60" w:type="dxa"/>
            <w:vAlign w:val="bottom"/>
          </w:tcPr>
          <w:p>
            <w:pPr>
              <w:spacing w:after="0"/>
              <w:rPr>
                <w:sz w:val="12"/>
                <w:szCs w:val="12"/>
                <w:color w:val="auto"/>
              </w:rPr>
            </w:pP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in Sunnyvale</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Limerick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Costs</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in Cambridge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2009</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Fiscal 2010 special charges</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ceased production at its California wafer fabrication facility in November 2006. The Company has been paying the related lease obligation costs on a monthly basis over the remaining lease term, which expires in March 2010. A one-time settlement charge of $0.4 million was recorded in the first quarter of fiscal 2010 related to the termination of the lease. The Company does not expect to incur any additional charges related to this action.</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fiscal 2007, the Company recorded a special charge of $13.7 million as a result of its decision to only use eight-inch technology at its wafer fabrication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facility in Limerick. Certain manufacturing processes and products produced on the Limerick facility’s six-inch production line have transitioned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existing eight-inch production line in Limerick while others have transitioned to external foundries. The charge was for severance and fringe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benefit costs recorded in accordance with the Company’s ongoing benefit plan for 150 manufacturing employees associated with this action.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30, 2010, the Company still employed 1 of the 150 employees included in this action. The employee must continue to be employed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his employment is involuntarily terminated in order to receive the severance benefit. During fiscal 2008, the Company recorded an additional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related to this action, of which $1.2 million was an adjustment to the original estimate of the severance costs and $0.3 million was for clean-up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closure costs that were expensed as incurred. During fiscal 2009, the Company recorded additional charges of $1.2 million for clean-up and closure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were expensed as incurred. The production in the six-inch wafer fabrication facility ceased during the fourth quarter of fiscal 2009. The Company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expect to incur any further charges related to this action.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in accordance with its ongoing benefit plan or statutory requirements at foreign locations for 19 engineering, selling, marketing, general and administrative employees. The Company terminated the employment of all employees associated with this charge and is paying amounts owed to employees for severance as income continuance.</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$0.9 million was for the write-off of property, plant and equipment; and approximately $0.8 million was for contract termination costs and for clean-up and closure costs that were expensed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incurred. The remaining $26.5 million related to the severance and fringe benefit costs recorded in accordance with the Company’s ongoing benefit plan or statutory requirements at foreign locations for 245 manufacturing employees and 302 engineering and SMG&amp;A employees. As of January 30, 2010, the Company still employed 3 of the 547 employees included in this cost reduction action. These employees must continue to be employed by the Company until their employment is involuntarily terminated in order to receive the severance benefit.</w:t>
      </w:r>
    </w:p>
    <w:p>
      <w:pPr>
        <w:spacing w:after="0" w:line="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As of January 30, 2010, the Company still employed 86 of the 149 employees included in this cost reduction action. These employees must continue to be employed by the Company until their employment is involuntarily terminated in order to receive the severance benefit. Approximately $0.5 million of the charge relates to the Company’s decision to abandon efforts to develop a particular expertise in power management, resulting in the impairment of related intellectual property.</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6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are no longer needed at those facilities and therefore have no future use. The Company also recorded a special charge of $0.1 million for clean-up costs as the Company began its cleanup of the Cambridge wafer fabrication facility at the end of the fourth quarter of fiscal 2009. As of January 30, 2010, the Company still employed 9 of the employees included in this action. These employees must continue to be employed by the Company until their employment is involuntarily terminated in order to receive the severance benefit.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$3.4 million of the charge related to lease obligation costs for the Cambridge wafer fabrication facility, which the Company ceased using in the first quarter of fiscal 2010; the remaining $1.3 million of the charge related to cleanup and closure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January 30, 2010</w:t>
            </w:r>
          </w:p>
        </w:tc>
        <w:tc>
          <w:tcPr>
            <w:tcW w:w="6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2009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$ 259,962</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$ 218,662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74,643</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41,246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117,703</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135,519</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125,708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14,251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27%</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$ 602,983</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$ 476,569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January 30, 2010</w:t>
            </w:r>
          </w:p>
        </w:tc>
        <w:tc>
          <w:tcPr>
            <w:tcW w:w="6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34"/>
              <w:spacing w:after="0"/>
              <w:rPr>
                <w:sz w:val="20"/>
                <w:szCs w:val="20"/>
                <w:color w:val="auto"/>
              </w:rPr>
            </w:pPr>
            <w:r>
              <w:rPr>
                <w:rFonts w:ascii="Arial" w:cs="Arial" w:eastAsia="Arial" w:hAnsi="Arial"/>
                <w:sz w:val="14"/>
                <w:szCs w:val="14"/>
                <w:b w:val="1"/>
                <w:bCs w:val="1"/>
                <w:color w:val="auto"/>
                <w:w w:val="94"/>
              </w:rPr>
              <w:t>January 31, 2009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317,403</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53%</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252,925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148,066</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25%</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130,716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23,754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511,748</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407,395</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25,738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550,456</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433,133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52,527</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602,983</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476,569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three-month periods ended January 30, 2010 and January 31, 2009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Region</w:t>
            </w: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116,963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29,879</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142,066</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Japan</w:t>
            </w:r>
          </w:p>
        </w:tc>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110,350</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106,522</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Rest of Asia</w:t>
            </w:r>
          </w:p>
        </w:tc>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97,203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900" w:type="dxa"/>
            <w:vAlign w:val="bottom"/>
            <w:gridSpan w:val="3"/>
            <w:shd w:val="clear" w:color="auto" w:fill="CCEEFF"/>
          </w:tcPr>
          <w:p>
            <w:pPr>
              <w:ind w:left="36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602,983</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476,569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100" w:type="dxa"/>
            <w:vAlign w:val="bottom"/>
            <w:vMerge w:val="restart"/>
          </w:tcPr>
          <w:p>
            <w:pPr>
              <w:jc w:val="right"/>
              <w:ind w:right="215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three-month period ended January 30, 2010, the predominant countries comprising “Rest of North and South America” are Canada and Mexico; the predominant countries comprising “Europe” are Germany, Sweden, France and Holland; and the predominant countries comprising “Rest of Asia” are Taiwan and Korea.</w:t>
      </w:r>
    </w:p>
    <w:p>
      <w:pPr>
        <w:spacing w:after="0" w:line="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three-month period ended January 31, 2009 the predominant countries comprising “Rest of North and South America” are Canada and Mexico; the predominant countries comprising “Europe” are Germany, Sweden, France and Italy; and the predominant countries comprising “Rest of Asia” are Taiwan and Singapore.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ind w:right="120"/>
        <w:spacing w:after="0" w:line="261"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 asset or liability has a specified (contractual) term, a Level 2 input must be observable for substantially the full term of the asset or liability.</w:t>
      </w:r>
    </w:p>
    <w:p>
      <w:pPr>
        <w:spacing w:after="0" w:line="10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January 30, 2010, the Company held no assets or liabilities valued using Level 3 inputs.</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as of January 30, 2010. The table does not include cash on hand and also does not include assets and liabilities that are measured at historical cost or any basis other than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220"/>
              <w:spacing w:after="0"/>
              <w:rPr>
                <w:sz w:val="20"/>
                <w:szCs w:val="20"/>
                <w:color w:val="auto"/>
              </w:rPr>
            </w:pPr>
            <w:r>
              <w:rPr>
                <w:rFonts w:ascii="Arial" w:cs="Arial" w:eastAsia="Arial" w:hAnsi="Arial"/>
                <w:sz w:val="14"/>
                <w:szCs w:val="14"/>
                <w:b w:val="1"/>
                <w:bCs w:val="1"/>
                <w:color w:val="auto"/>
              </w:rPr>
              <w:t>Fair Value measurement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Portion of</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in Active</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32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Identical</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January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Institutional money market funds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783,419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783,419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0"/>
              <w:spacing w:after="0"/>
              <w:rPr>
                <w:sz w:val="20"/>
                <w:szCs w:val="20"/>
                <w:color w:val="auto"/>
              </w:rPr>
            </w:pPr>
            <w:r>
              <w:rPr>
                <w:rFonts w:ascii="Arial" w:cs="Arial" w:eastAsia="Arial" w:hAnsi="Arial"/>
                <w:sz w:val="18"/>
                <w:szCs w:val="18"/>
                <w:color w:val="auto"/>
              </w:rPr>
              <w:t>Corporate Obligations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104,944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Euro time deposits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Corporate obligations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1,264,696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Forward foreign currency exchange contracts (1)</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600"/>
              <w:spacing w:after="0"/>
              <w:rPr>
                <w:sz w:val="20"/>
                <w:szCs w:val="20"/>
                <w:color w:val="auto"/>
              </w:rPr>
            </w:pPr>
            <w:r>
              <w:rPr>
                <w:rFonts w:ascii="Arial" w:cs="Arial" w:eastAsia="Arial" w:hAnsi="Arial"/>
                <w:sz w:val="18"/>
                <w:szCs w:val="18"/>
                <w:color w:val="auto"/>
              </w:rPr>
              <w:t>Deferred compensation investments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investments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600"/>
              <w:spacing w:after="0"/>
              <w:rPr>
                <w:sz w:val="20"/>
                <w:szCs w:val="20"/>
                <w:color w:val="auto"/>
              </w:rPr>
            </w:pPr>
            <w:r>
              <w:rPr>
                <w:rFonts w:ascii="Arial" w:cs="Arial" w:eastAsia="Arial" w:hAnsi="Arial"/>
                <w:sz w:val="18"/>
                <w:szCs w:val="18"/>
                <w:color w:val="auto"/>
              </w:rPr>
              <w:t>Interest rate swap agreements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7,829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2,178,118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793,524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1,384,594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Forward foreign currency exchange contracts (2)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381,425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381,425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382,411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Contracts in a liability position of $1.6 million have been netted against contracts in an asset position in the Condensed Consolidated Balance Sheets.</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Contracts in an asset position of $1.0 million have been netted against contracts in a liability position in the Condensed Consolidated Balance Sheets.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prices.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long-term debt is based on quoted market values.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 taking into consideration current interest rates as well as the creditworthiness of the counterparty for assets and our creditworthiness for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 As of January 30, 2010, the total notional amount of these undesignated hedges was $76 million. The fair value of these hedging instruments in the Company’s condensed consolidated balance sheet as of January 30, 2010 was $0.3 million.</w:t>
      </w:r>
    </w:p>
    <w:p>
      <w:pPr>
        <w:spacing w:after="0" w:line="7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 5%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(2.30% as of January 30,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fair value of the swaps at inception were zero and subsequent changes in the fair value of the interest rate swaps were reflected in the carrying value of the interest rate swaps on the balance sheet. The carrying value of the debt on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balance sheet was adjusted by an equal and offsetting amount. The gain or loss on the hedged item (that is fixed-rate borrowings) attributable to the hedged benchmark interest rate risk and the offsetting gain or loss on the related interest rate swaps as of January 30, 2010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Gain/(Loss) on</w:t>
            </w:r>
          </w:p>
        </w:tc>
        <w:tc>
          <w:tcPr>
            <w:tcW w:w="5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5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Swaps</w:t>
            </w:r>
          </w:p>
        </w:tc>
        <w:tc>
          <w:tcPr>
            <w:tcW w:w="5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Note</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9"/>
                <w:szCs w:val="19"/>
                <w:color w:val="auto"/>
              </w:rPr>
            </w:pPr>
          </w:p>
        </w:tc>
        <w:tc>
          <w:tcPr>
            <w:tcW w:w="1180" w:type="dxa"/>
            <w:vAlign w:val="bottom"/>
          </w:tcPr>
          <w:p>
            <w:pPr>
              <w:jc w:val="right"/>
              <w:ind w:right="302"/>
              <w:spacing w:after="0"/>
              <w:rPr>
                <w:sz w:val="20"/>
                <w:szCs w:val="20"/>
                <w:color w:val="auto"/>
              </w:rPr>
            </w:pPr>
            <w:r>
              <w:rPr>
                <w:rFonts w:ascii="Arial" w:cs="Arial" w:eastAsia="Arial" w:hAnsi="Arial"/>
                <w:sz w:val="18"/>
                <w:szCs w:val="18"/>
                <w:color w:val="auto"/>
              </w:rPr>
              <w:t>$7,829</w:t>
            </w:r>
          </w:p>
        </w:tc>
        <w:tc>
          <w:tcPr>
            <w:tcW w:w="5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$(7,829)</w:t>
            </w:r>
          </w:p>
        </w:tc>
        <w:tc>
          <w:tcPr>
            <w:tcW w:w="52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total notional amount of derivative instruments designated as hedging instruments as of January 30, 2010 is as follows: $375 million of interest rate swap agreements accounted for as fair value hedges, and $161 million of cash flow hedges denominated in Euros, British Pounds and Philippine Pesos. The fair value of these hedging instruments in the Company’s condensed consolidated balance sheet as of January 30, 2010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Balance Sheet Location</w:t>
            </w:r>
          </w:p>
        </w:tc>
        <w:tc>
          <w:tcPr>
            <w:tcW w:w="5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5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Other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7,829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5320" w:type="dxa"/>
            <w:vAlign w:val="bottom"/>
            <w:gridSpan w:val="2"/>
          </w:tcPr>
          <w:p>
            <w:pPr>
              <w:ind w:left="120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121</w:t>
            </w:r>
          </w:p>
        </w:tc>
      </w:tr>
      <w:tr>
        <w:trPr>
          <w:trHeight w:val="216"/>
        </w:trPr>
        <w:tc>
          <w:tcPr>
            <w:tcW w:w="446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Accrued liabilities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986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effect of derivative instruments designated as cash flow hedges on our condensed consolidated statement of income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30, 2010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100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10060" w:type="dxa"/>
            <w:vAlign w:val="bottom"/>
            <w:vMerge w:val="restart"/>
          </w:tcPr>
          <w:p>
            <w:pPr>
              <w:spacing w:after="0"/>
              <w:rPr>
                <w:sz w:val="20"/>
                <w:szCs w:val="20"/>
                <w:color w:val="auto"/>
              </w:rPr>
            </w:pPr>
            <w:r>
              <w:rPr>
                <w:rFonts w:ascii="Arial" w:cs="Arial" w:eastAsia="Arial" w:hAnsi="Arial"/>
                <w:sz w:val="18"/>
                <w:szCs w:val="18"/>
                <w:color w:val="auto"/>
              </w:rPr>
              <w:t>Loss recognized in OCI on derivative, net of tax of $1,417</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January 30, 2010</w:t>
            </w:r>
          </w:p>
        </w:tc>
        <w:tc>
          <w:tcPr>
            <w:tcW w:w="0" w:type="dxa"/>
            <w:vAlign w:val="bottom"/>
          </w:tcPr>
          <w:p>
            <w:pPr>
              <w:spacing w:after="0"/>
              <w:rPr>
                <w:sz w:val="1"/>
                <w:szCs w:val="1"/>
                <w:color w:val="auto"/>
              </w:rPr>
            </w:pPr>
          </w:p>
        </w:tc>
      </w:tr>
      <w:tr>
        <w:trPr>
          <w:trHeight w:val="195"/>
        </w:trPr>
        <w:tc>
          <w:tcPr>
            <w:tcW w:w="10060" w:type="dxa"/>
            <w:vAlign w:val="bottom"/>
            <w:vMerge w:val="continue"/>
          </w:tcPr>
          <w:p>
            <w:pPr>
              <w:spacing w:after="0"/>
              <w:rPr>
                <w:sz w:val="16"/>
                <w:szCs w:val="16"/>
                <w:color w:val="auto"/>
              </w:rPr>
            </w:pPr>
          </w:p>
        </w:tc>
        <w:tc>
          <w:tcPr>
            <w:tcW w:w="1360" w:type="dxa"/>
            <w:vAlign w:val="bottom"/>
          </w:tcPr>
          <w:p>
            <w:pPr>
              <w:ind w:left="360"/>
              <w:spacing w:after="0" w:line="195" w:lineRule="exact"/>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Gain reclassified from OCI into income, net of tax of $361</w:t>
            </w:r>
          </w:p>
        </w:tc>
        <w:tc>
          <w:tcPr>
            <w:tcW w:w="1360" w:type="dxa"/>
            <w:vAlign w:val="bottom"/>
          </w:tcPr>
          <w:p>
            <w:pPr>
              <w:ind w:left="360"/>
              <w:spacing w:after="0"/>
              <w:rPr>
                <w:sz w:val="20"/>
                <w:szCs w:val="20"/>
                <w:color w:val="auto"/>
              </w:rPr>
            </w:pPr>
            <w:r>
              <w:rPr>
                <w:rFonts w:ascii="Arial" w:cs="Arial" w:eastAsia="Arial" w:hAnsi="Arial"/>
                <w:sz w:val="18"/>
                <w:szCs w:val="18"/>
                <w:color w:val="auto"/>
              </w:rPr>
              <w:t>$ 2,397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amounts reclassified into earnings before tax are recognized in cost of sales and operating expenses as follows: for the three-month period ended January 30, 2010, $1.4 million in cost of sales, and $1.4 million in selling, marketing, general and administrative. All derivative gains included in OCI will be reclassified into earnings within the next 12 months. There was no ineffectiveness recognized in the three months ended January 30,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in the fourth quarter or more frequently if indicators of impairment exist. The performance of the test involves a two-step process. The first step of the impairment test involves comparing the fair values of the applicable reporting units with their aggregate carrying values, including goodwill. The Company generally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from the Company’s most recent impairment evaluation of goodwill, which occurred in the fourth quarter of fiscal 2009. No impairment of goodwill resulted in any of the fiscal years presented. The Company’s next annual impairment assessment will be made in the fourth quarter of fiscal 2010 unless indicators arise that would require the Company to reevaluate at an earlier date. The following table presents the changes in goodwill during the first three months of fiscal 2010: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January 30,</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250,881</w:t>
            </w: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253,510</w:t>
            </w: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2"/>
              </w:rPr>
              <w:t>January 30, 2010</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31, 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36,692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39,924</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34,213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Tradename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6,603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6,582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48,958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46,310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740" w:type="dxa"/>
            <w:vAlign w:val="bottom"/>
            <w:vMerge w:val="restart"/>
          </w:tcPr>
          <w:p>
            <w:pPr>
              <w:jc w:val="right"/>
              <w:ind w:right="5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1.3 years.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$1.8 million and $2.0 million for the three-month periods ended January 30, 2010 and January 31, 2009,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20"/>
                <w:szCs w:val="20"/>
                <w:color w:val="auto"/>
              </w:rPr>
            </w:pPr>
            <w:r>
              <w:rPr>
                <w:rFonts w:ascii="Arial" w:cs="Arial" w:eastAsia="Arial" w:hAnsi="Arial"/>
                <w:sz w:val="14"/>
                <w:szCs w:val="14"/>
                <w:color w:val="auto"/>
              </w:rPr>
              <w:t>Fiscal</w:t>
            </w: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9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Expense</w:t>
            </w:r>
          </w:p>
        </w:tc>
      </w:tr>
      <w:tr>
        <w:trPr>
          <w:trHeight w:val="195"/>
        </w:trPr>
        <w:tc>
          <w:tcPr>
            <w:tcW w:w="9780" w:type="dxa"/>
            <w:vAlign w:val="bottom"/>
          </w:tcPr>
          <w:p>
            <w:pPr>
              <w:spacing w:after="0" w:line="195" w:lineRule="exact"/>
              <w:rPr>
                <w:sz w:val="20"/>
                <w:szCs w:val="20"/>
                <w:color w:val="auto"/>
              </w:rPr>
            </w:pPr>
            <w:r>
              <w:rPr>
                <w:rFonts w:ascii="Arial" w:cs="Arial" w:eastAsia="Arial" w:hAnsi="Arial"/>
                <w:sz w:val="18"/>
                <w:szCs w:val="18"/>
                <w:color w:val="auto"/>
              </w:rPr>
              <w:t>Remainder of 2010</w:t>
            </w:r>
          </w:p>
        </w:tc>
        <w:tc>
          <w:tcPr>
            <w:tcW w:w="560" w:type="dxa"/>
            <w:vAlign w:val="bottom"/>
          </w:tcPr>
          <w:p>
            <w:pPr>
              <w:spacing w:after="0"/>
              <w:rPr>
                <w:sz w:val="16"/>
                <w:szCs w:val="16"/>
                <w:color w:val="auto"/>
              </w:rPr>
            </w:pPr>
          </w:p>
        </w:tc>
        <w:tc>
          <w:tcPr>
            <w:tcW w:w="108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$3,116</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2011</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$1,349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9"/>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30, 2010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January 31, 2009</w:t>
            </w:r>
          </w:p>
        </w:tc>
        <w:tc>
          <w:tcPr>
            <w:tcW w:w="1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1,507</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2,464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Pension contributions of $23.2 million were made by the Company during the three months ended January 30, 2010. The Company presently anticipates contributing an additional $6.1 million to fund its defined benefit pension plans in fiscal year 2010 for a total of $29.3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As of January 30, 2010, the Company had $2,179.0 million of cash and cash equivalents and short term investments, of which $628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January 30, 2010, the Company is compliant with these covenants. The terms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facility also impose restrictions on the Company’s ability to undertake certain transactions, to create certain liens on assets and to incur certain subsidiary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59"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(2.30% as of January 30, 2010) interest payment, payable in four installments on the 1st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January 30, 2010, the Company had repurchased a total of approximately 114.7 million shares of its common stock for approximately $3,908.4 million under this program. An additional $91.6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or restricted stock units, or in certain limited circumstances to satisfy the exercise price of options granted to the Company’s employees under the Company’s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 associated with this manufacturing supply agreement in discontinued operations. In the first quarter of fiscal 2010, additional proceeds $1 million were released from escrow and $0.6 million net of tax, was recorded as additional gain from the sale of discontinued operations.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September 2007, the Company entered into a definitive agreement to sell its Baseband Chipset Business to MediaTek Inc. The decision to sell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made additional cash payments of $7.8 million during fiscal 2008, primarily related to transaction fees and retention payments to employees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transferred to MediaTek Inc. In connection with the purchase and sale agreement, $10 million was placed into escrow and was excluded from the gain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calculations. The Company recorded a pre-tax gain in fiscal 2008 of $278 million, or $202 million net of tax, which is recorded as a gain on sale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The Company made additional cash payments of $1.7 million during fiscal 2009 related to retention payments for employees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transferred to MediaTek Inc and for the reimbursement of intellectual property license fees incurred by MediaTek Inc. In the first quarter of fiscal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received cash proceeds of $62 million as a result of the refund of the withholding tax and also recorded an additional gain on sale of $0.3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$0.2 million net of tax, due to the settlement of certain items at less than the amounts accrued. The Company may receive additional proceeds of up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 million, currently held in escrow, upon the resolution of certain contingent items, which would be recorded as additional gain from the sale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10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received additional amounts under various transition service agreements entered into in connection with these dispositions. The transition service agreements included manufacturing, engineering support and certain human resource services and information technology systems support. At the time of the disposition, the Company evaluated the nature of the transition services and concluded the services would be primarily completed within the one-year assessment period, and the Company did not have the ability to exert significant influence over the disposed businesses’ operating and financial policies. Accordingly, the Company concluded that it did not have a significant continuing involvement with the disposed businesses and has presented the disposition of these businesses as discontinued operations.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continuing operations and reported as discontinued operations. These amounts also include the revenue and costs of sales provided under a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supply agreement between the Company and a subsidiary of ON Semiconductor Corporation, which terminated during the first quarter of fiscal year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Gain (loss) before income taxes</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Refundable foreign withholding tax</w:t>
            </w: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January 30, 2010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31, 2009</w:t>
            </w:r>
          </w:p>
        </w:tc>
        <w:tc>
          <w:tcPr>
            <w:tcW w:w="0" w:type="dxa"/>
            <w:vAlign w:val="bottom"/>
          </w:tcPr>
          <w:p>
            <w:pPr>
              <w:spacing w:after="0"/>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1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 proposed adjustment related to the deductibility of certain stock option expenses, the other three matters could impact taxes payable for fiscal 2006 and 2007 as well as for subsequent years.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2008 and 2009 IRS Examination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fiscal year 2008 or fiscal year 2009.</w:t>
      </w:r>
    </w:p>
    <w:p>
      <w:pPr>
        <w:spacing w:after="0" w:line="11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In January 2010, FASB issued ASU No. 2010-06, </w:t>
      </w:r>
      <w:r>
        <w:rPr>
          <w:rFonts w:ascii="Arial" w:cs="Arial" w:eastAsia="Arial" w:hAnsi="Arial"/>
          <w:sz w:val="17"/>
          <w:szCs w:val="17"/>
          <w:i w:val="1"/>
          <w:iCs w:val="1"/>
          <w:color w:val="auto"/>
        </w:rPr>
        <w:t>Fair Value Measurements and Disclosures (ASC Topic 820) — Improving Disclosures About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The ASU requires new disclosures about transfers into and out of Levels 1 and 2 and separate disclosures about purchases, sales, issuances,</w:t>
      </w:r>
      <w:r>
        <w:rPr>
          <w:rFonts w:ascii="Arial" w:cs="Arial" w:eastAsia="Arial" w:hAnsi="Arial"/>
          <w:sz w:val="17"/>
          <w:szCs w:val="17"/>
          <w:i w:val="1"/>
          <w:iCs w:val="1"/>
          <w:color w:val="auto"/>
        </w:rPr>
        <w:t xml:space="preserve"> </w:t>
      </w:r>
      <w:r>
        <w:rPr>
          <w:rFonts w:ascii="Arial" w:cs="Arial" w:eastAsia="Arial" w:hAnsi="Arial"/>
          <w:sz w:val="17"/>
          <w:szCs w:val="17"/>
          <w:color w:val="auto"/>
        </w:rPr>
        <w:t>and settlements relating to Level 3 measurements. It also clarifies existing fair value disclosures about the level of disaggregation and about inputs and valuation techniques used to measure fair value. The new disclosures and clarifications of existing disclosures are effective for the Company’s first quarter of fiscal year 2010, except for the disclosures about purchases, sales, issuances, and settlements relating to Level 3 measurements, which are effective for the Company’s first quarter of fiscal year 2012. Other than requiring additional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disclosures, the adoption of this new guidance does not have a material impact on the Company’s consolidated results of operations and financial position.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The Company is currently evaluating the impact, if any, that ASU No. 2009-14 may have on the Company financial condition and results of operations.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In October 2009, the FASB issued ASU No. 2009-13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the Company’s fiscal year 2011. The Company is currently evaluating the impact, if any, that ASU No. 2009-13 may have on the Company’s financial condition and results of operations.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December 2009, the FASB issued ASU No. 2009-17 — Consolidations (Topic 810): </w:t>
      </w:r>
      <w:r>
        <w:rPr>
          <w:rFonts w:ascii="Arial" w:cs="Arial" w:eastAsia="Arial" w:hAnsi="Arial"/>
          <w:sz w:val="17"/>
          <w:szCs w:val="17"/>
          <w:i w:val="1"/>
          <w:iCs w:val="1"/>
          <w:color w:val="auto"/>
        </w:rPr>
        <w:t>Improvements to Financial Reporting by Enterprises Involved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which amends ASC 810,</w:t>
      </w:r>
      <w:r>
        <w:rPr>
          <w:rFonts w:ascii="Arial" w:cs="Arial" w:eastAsia="Arial" w:hAnsi="Arial"/>
          <w:sz w:val="17"/>
          <w:szCs w:val="17"/>
          <w:i w:val="1"/>
          <w:iCs w:val="1"/>
          <w:color w:val="auto"/>
        </w:rPr>
        <w:t xml:space="preserve"> Consolidation. </w:t>
      </w:r>
      <w:r>
        <w:rPr>
          <w:rFonts w:ascii="Arial" w:cs="Arial" w:eastAsia="Arial" w:hAnsi="Arial"/>
          <w:sz w:val="17"/>
          <w:szCs w:val="17"/>
          <w:color w:val="auto"/>
        </w:rPr>
        <w:t>This standard requires an enterprise to perform an analysis to determine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our fiscal year 2011. The Company is currently evaluating the impact, if any, that ASU No. 2009-17 may have on the Company’s financial condition and results of operations.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 (Topic 820).</w:t>
      </w:r>
      <w:r>
        <w:rPr>
          <w:rFonts w:ascii="Arial" w:cs="Arial" w:eastAsia="Arial" w:hAnsi="Arial"/>
          <w:sz w:val="18"/>
          <w:szCs w:val="18"/>
          <w:color w:val="auto"/>
        </w:rPr>
        <w:t xml:space="preserve"> This standard changes the way entities account for securitizations and other transfers of financial instruments. ASU No. 2009-16 is effective for fiscal years that begin after November 15, 2009, which is our fiscal year 2011. The Company is currently evaluating the impact, if any, that ASU No. 2009-16 may have on the Company’s financial condition and results of operations.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December 2007, the FASB issued ASC 805-10 (formerly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ASC 805-10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In April 2009, the FASB updated ASC 805-10 to amend the provisions for the initial recognition and measurement, subsequent measurement and accounting, and disclosures for assets and liabilities arising from contingencies in business combinations. This update also eliminates the distinction between contractual and non-contractual contingencies. ASC 805-10 is effective for fiscal years beginning after December 15, 2008, which is the Company’s fiscal year 2010. On a prospective basis the adoption of ASC 805-10 changed the Company’s accounting treatment for business combinations beginning in the first quarter of fiscal year 2010.</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In December 2007, the FASB issued ASC810-10 (formerly SFAS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ASC 810-10 clarifies that a noncontrolling or minority interest in a subsidiary is considered an ownership interest and, accordingly, requires all entities to report such interests in subsidiaries as equity in the consolidated financial statements. The adoption of ASC 810-10 in the first quarter of fiscal year 2010 did not impact the Company’s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SFAS 165, the Company has evaluated subsequent events through the issuance of these financial statements. On February 16, 2010, the Company’s Board of Directors declared a cash dividend of $0.20 per outstanding share of common stock. The dividend will be paid on March 24, 2010 to all shareholders of record at the close of business on March 5,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31, 2009.</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recent global credit and financial market crisis; our anticipated growth and trends in our businesses, our capital needs and capital expenditures; our market position and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our third-party suppliers; intellectual property and litigation matters; potential acquisitions or divestitures;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 as of October 31, 2009. Unless otherwise noted, this Management’s Discussion and Analysis relates only to financial results from continuing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30, 2010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60" w:type="dxa"/>
            <w:vAlign w:val="bottom"/>
          </w:tcPr>
          <w:p>
            <w:pPr>
              <w:spacing w:after="0"/>
              <w:rPr>
                <w:sz w:val="12"/>
                <w:szCs w:val="12"/>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602,983</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476,569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119,600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Diluted EPS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0.40</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r>
    </w:tbl>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first quarter of fiscal 2010, our revenue increased 26.5% from the first quarter of fiscal 2009 and our diluted earnings per share from continuing operations increased 388%. Cash flow from operations in the first quarter of fiscal 2010 was $213.8 million, or 35.5% of revenue. In addition, we received $163.5 million net proceeds related to employee stock option exercises and distributed $58.9 million to our shareholders in dividend payments. These factors contributed to the net increase in cash, cash equivalents and short-term investments of $363 million in the first quarter of fiscal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January 30,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January 31, 2009</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tcBorders>
              <w:top w:val="single" w:sz="8" w:color="auto"/>
            </w:tcBorders>
            <w:gridSpan w:val="2"/>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$ 259,962</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$ 218,662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74,643</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41,246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117,703</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135,519</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125,708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14,251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27%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$ 602,983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$ 476,569</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the first quarter of fiscal 2010 in industrial end market revenue was primarily the result of a broad-based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demand in this end market, which was most significant for products sold into the instrumentation, automation, energy and healthcare sectors of this end market.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Automotive </w:t>
      </w:r>
      <w:r>
        <w:rPr>
          <w:rFonts w:ascii="Arial" w:cs="Arial" w:eastAsia="Arial" w:hAnsi="Arial"/>
          <w:sz w:val="18"/>
          <w:szCs w:val="18"/>
          <w:color w:val="auto"/>
        </w:rPr>
        <w:t>— The year-to-year increase in the first quarter of fiscal 2010 in automotive end market revenue was primarily the result of increased demand due</w:t>
      </w:r>
      <w:r>
        <w:rPr>
          <w:rFonts w:ascii="Arial" w:cs="Arial" w:eastAsia="Arial" w:hAnsi="Arial"/>
          <w:sz w:val="18"/>
          <w:szCs w:val="18"/>
          <w:i w:val="1"/>
          <w:iCs w:val="1"/>
          <w:color w:val="auto"/>
        </w:rPr>
        <w:t xml:space="preserve"> </w:t>
      </w:r>
      <w:r>
        <w:rPr>
          <w:rFonts w:ascii="Arial" w:cs="Arial" w:eastAsia="Arial" w:hAnsi="Arial"/>
          <w:sz w:val="18"/>
          <w:szCs w:val="18"/>
          <w:color w:val="auto"/>
        </w:rPr>
        <w:t>to various government-initiated incentive programs and inventory replenishment in this end market.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increase in the first quarter of fiscal 2010 in consumer end market revenue was primarily the result of a broad-based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products used in digital cameras, home entertainment and other consumer applications in this end market.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increase in the first quarter of fiscal 2010 in communications end market revenue was the result of an increase in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infrastructure and handset sectors, offset by a sales reduction in the base station end market sector.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January 30, 2010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January 31,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tcBorders>
              <w:top w:val="single" w:sz="8" w:color="auto"/>
            </w:tcBorders>
            <w:gridSpan w:val="2"/>
            <w:vMerge w:val="restart"/>
          </w:tcPr>
          <w:p>
            <w:pPr>
              <w:spacing w:after="0"/>
              <w:rPr>
                <w:sz w:val="10"/>
                <w:szCs w:val="10"/>
                <w:color w:val="auto"/>
              </w:rPr>
            </w:pPr>
          </w:p>
        </w:tc>
        <w:tc>
          <w:tcPr>
            <w:tcW w:w="1420" w:type="dxa"/>
            <w:vAlign w:val="bottom"/>
            <w:tcBorders>
              <w:top w:val="single" w:sz="8" w:color="auto"/>
            </w:tcBorders>
            <w:gridSpan w:val="2"/>
          </w:tcPr>
          <w:p>
            <w:pPr>
              <w:jc w:val="right"/>
              <w:ind w:right="94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317,403</w:t>
            </w: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252,925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148,066</w:t>
            </w: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130,716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6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23,754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511,748</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407,395</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6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25,738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550,456</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433,133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52,527</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602,983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476,569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year-to-year increase in revenue in the three-month period ended January 30, 2010 was the result of a broad-based increase in sales across all of our product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three-month periods ended January 30, 2010 and January 31, 2009 was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vMerge w:val="continue"/>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116,963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29,879</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142,066</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110,350</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106,522</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Asia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97,203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602,983</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476,569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In the three month period ended January 30, 2010 the predominant countries comprising “Rest of North and South America” are Canada and Mexico; the predominant countries comprising “Europe” are Germany and Sweden; and the predominant countries comprising “Rest of Asia” are Taiwan and Korea.</w:t>
      </w:r>
    </w:p>
    <w:p>
      <w:pPr>
        <w:spacing w:after="0" w:line="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three month period ended January 31, 2009 the predominant countries comprising “Rest of North and South America” are Canada and Mexico; the predominant countries comprising “Europe” are Germany, Sweden, France and Italy; and the predominant countries comprising “Rest of Asia” are Taiwan and Singapore.</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increased in all geographic regions in the first quarter of fiscal 2010, as compared to the first quarter of fiscal 2009, with sales in Japan and the Rest of Asia experiencing the largest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368,476</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269,002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margin percentage was higher by 470 basis points in the first quarter of fiscal 2010 as compared to the first quarter of fiscal 2009 primarily as a result of an increase in sales of $126.4 million and increased operating levels in our manufacturing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As of January 30, 2010, the total compensation cost related to unvested equity awards not yet recognized in our statement of income was approximately $136 million (before tax consideration), which we will recognize over a weighted average period of 1.7 years. See Note 3 in the Notes to our Condensed Consolidated Financial Statements contained in Item 1 of this Quarterly Report on Form 10-Q for further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114,398</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119,828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Research and development, or R&amp;D, expenses decreased $5.4 million, or 4.5%, in the first quarter of fiscal 2010 as compared to the first quarter of fiscal 2009. The decrease was primarily the result of the actions we took to constrain or permanently reduce operating expenses, offset by an increase in variable compensation expense, which is a variable expense linked to our overall profitability.</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88,481</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87,846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3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marketing, general and administrative, or SMG&amp;A, expenses increased $0.6 million, or 0.7%, in the first quarter of fiscal 2010 as compared to the first quarter of fiscal 2009. The increase was primarily the result of higher sales commission expenses which are variable expenses linked to our sales and an increase in variable compensation expense, which is a variable expense linked to our overall profitability. These increases were offset by the actions we took to control discretionary spending and permanently reduce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have been paying the related lease obligation costs on a monthly basis over the remaining lease term, which expires in March 2010. We recorded a one-time settlement charge of $0.4 million in the first quarter of fiscal 2010 related to the termination of the lease. We do not expect to incur any additional charges related to this action.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in accordance with our ongoing benefit plan for 150 manufacturing employees associated with this action. As of January 30, 2010, we still employed 1 of the 150 employees included in this action. This employee must continue to be employed until his employment is involuntarily terminated in order to receive the severance benefit. During fiscal 2008, we recorded an additional charge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$1.5 million related to this action, of which $1.2 million was an adjustment to the original estimate of the severance costs and $0.3 million was for clean-up and closure costs that we expensed as incurred. During fiscal 2009, we recorded additional charges of $1.2 million for clean-up and closure costs that we expensed as incurred. The production in the six-inch wafer fabrication facility ceased during the fourth quarter of fiscal 2009. We do not expect to incur any further charges related to this action. We estimate that the closure of this facility will result in annual cost savings of approximately $25 million per year, which we began realizing in the first quarter of fiscal 2010. We expect these annual savings will be in cost of sales, of which approximately $1 million relates to non-cash depreciation savings.</w:t>
      </w:r>
    </w:p>
    <w:p>
      <w:pPr>
        <w:spacing w:after="0" w:line="8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in accordance with our ongoing benefit plan or the statutory requirements at foreign locations for 19 engineering, selling, marketing, general and administrative employees. We terminated the employment of all employees associated with this charge and are paying amounts owed to employees for severance as income continuance.</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$0.9 million was for the write-off of property, plant and equipment; and approximately $0.8 million was for contract termination costs and for clean-up and closure costs that we expensed as incurred. The remaining $26.5 million related to the severance and fringe benefit costs recorded in accordance with our ongoing benefit plan or the statutory requirements at foreign locations, for 245 manufacturing employees and 302 engineering and SMG&amp;A employees. As of January 30, 2010, we still employed 3 of the 547 employees included in this cost reduction action. These employees must continue to be employed by us until their employment is involuntarily terminated in order to receive the severance benefit. This cost reduction action, which was substantially completed during the second quarter of fiscal 2009 results in annual savings of approximately $36.4 million. These annual savings are being realized as follows: approximately $31.6 million in SMG&amp;A expenses and approximately $4.8 million in cost of sales.</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the statutory requirements at foreign locations for 149 engineering and SMG&amp;A employees. As of January 30, 2010, we still employed 86 of the 149 employees included in this cost reduction action. These employees must continue to be employed by us until their employment is involuntarily terminated in order to receive the severance benefit. Approximately $0.5 million of the charge relates to our decision to abandon efforts to develop a particular expertise in power management, resulting in the impairment of related intellectual property. When fully implemented we estimate that these cost reduction actions will result in quarterly savings of approximately $4 million, beginning in the first quarter of fiscal 2011.</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the Company or found alternative employment within the Company. In addition, we recorded a special charge of approximately $1.7 million for the impairment of manufacturing assets that were originally going to be moved to our other wafer fabrication facilities but are no longer needed at those facilities and therefore have no future use. We also recorded a special charge of $0.1 million for clean-up costs as we began our clean-up of the Cambridge wafer fabrication facility at the end of the fourth quarter of fiscal 2009. As of January 30, 2010, we still employed 9 of the employees included in this action. These employees must continue to be employed by us until their employment is involuntarily terminated in order to receive the severance benefit. We estimate that this action will result in annual cost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savings of approximately $41 million per year, starting in the third quarter of fiscal 2010. We expect these annual savings to be realized as follows: approximately $40.2 million in cost of sales, of which approximately $4.0 million relates to non-cash depreciation savings, and approximately $0.8 million relates to SMG&amp;A expense.</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We estimate that these cost reductions will result in quarterly savings of $0.6 million beginning in the current fiscal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149,114</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19,591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$129.5 million increase in operating income from continuing operations in the first quarter of fiscal 2010 as compared to the first quarter of fiscal 2009 was primarily the result of an increase in revenue of $126.4 million, a 470 basis point increase in gross margin percentage and lower special charges taken in the first quarter of fiscal 2010 as compared to the first quarter of fiscal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(2,180)</w:t>
            </w:r>
          </w:p>
        </w:tc>
        <w:tc>
          <w:tcPr>
            <w:tcW w:w="4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(7,796)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nonoperating expenses/(income)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Nonoperating income was lower by $9.2 million in the first quarter of fiscal 2010 as compared to the first quarter of fiscal 2009 primarily due to lower interest income earned on investments as a result of lower interest rates in the first quarter of fiscal 2010 as compared to the first quarter of fiscal 2009. In addition, we incurred interest expense during the first quarter of fiscal 2010 as a result of the issuance of $375 million aggregate principal 5.0% senior unsecured notes on June 30,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28,667</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3,373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first quarter of fiscal 2010 was higher compared to our effective tax rate for the first quarter of fiscal 2009 as a result of a change in the mix of our income to jurisdictions where income is taxed at a higher rate and the impact of lower special charges in the first quarter of fiscal 2010 as compared to the first quarter of fiscal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30, 2010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60" w:type="dxa"/>
            <w:vAlign w:val="bottom"/>
          </w:tcPr>
          <w:p>
            <w:pPr>
              <w:spacing w:after="0"/>
              <w:rPr>
                <w:sz w:val="12"/>
                <w:szCs w:val="12"/>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119,600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0.39</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net of tax, in the first quarter of fiscal 2010 was higher than in the first quarter of fiscal 2009 by approximately</w:t>
      </w:r>
    </w:p>
    <w:p>
      <w:pPr>
        <w:spacing w:after="0" w:line="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$95.0 million primarily as a result of the $129.5 million increase in operating income that was partially offset by a higher provision for income taxes in the first quarter of fiscal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planning for revenue in the second quarter of fiscal 2010 to be approximately $635 to $650 million. Our plan is for gross margins for the second quarter to increase to approximately 62% to 63% and operating margins to increase to approximately 29% to 31%. This would result in diluted earnings per share from continuing operations to be in the range of $0.48 to $0.51 in the second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31, 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213,773</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59,910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January 30, 2010, cash, cash equivalents and short-term investments totaled $2,179 million. The primary sources of funds for the first three months of fiscal 2010 were net cash generated from operating activities of $213.8 million and $163.5 million net proceeds from employee stock option exercises. The principal uses of funds for the first three months of fiscal 2010 were dividend payments of $58.9 million and capital expenditures of $17.2 million. These factors contributed to the net increase in cash, cash equivalents and short-term investments of $363 million in the first quarter of fiscal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January 30, 2010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313,288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243,275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Accounts receivable at January 30, 2010 increased $12.3 million, or 4%, from the end of the fourth quarter of fiscal 2009. The increase in receivables was the result of higher revenue in the first quarter of fiscal 2010 as compared to the fourth quarter of fiscal 2009.</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Inventory at January 30, 2010 decreased by $9.9 million, or 4%, from the end of the fourth quarter of fiscal 2009. The decrease in inventory is primarily a result of higher sales during the first three months of fiscal 2010.</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additions to property, plant and equipment were $17.2 million in the first three months of fiscal 2010 and were funded with a combination of cash on hand and cash generated from operations. We expect capital expenditures to be approximately $75 to $85 million in fiscal 2010.</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16, 2010, our Board of Directors declared a cash dividend of $0.20 per outstanding share of our common stock. The dividend is payable on March 24, 2010 to shareholders of record on March 5, 2010 and is expected to be approximately $60 million in the aggregate. We expect quarterly dividends to continue at $0.20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repurchase program has been in place since August 2004. In the aggregate, the Board of Directors has authorized us to repurchase</w:t>
      </w:r>
    </w:p>
    <w:p>
      <w:pPr>
        <w:spacing w:after="0" w:line="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$4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January 30, 2010, we had repurchased a total of approximately 114.7 million shares of our common stock for approximately $3,908.4 million under this program and an additional $91.6 million remains under the current authorized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or in certain limited circumstances to satisfy the exercise price of options granted to the Company’s employees under the Company’s equity compensation plans. Any future common stock repurchases will be based on several factors including our financial performance, outlook, liquidity and the amount of cash we have available in the 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June 30, 2009, we issued $375 million aggregate principal amount of 5.0% senior unsecured notes due July 1, 2014 (the Notes) with annual interest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payments of 5.0% paid in two installments on January 1 and July 1 of each year, commencing January 1, 2010. The net proceeds of the offering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$370.4 million, after issuing at a discount and deducting expenses, underwriting discounts and commissions, which will be amortized over the term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 swapped the fixed interest portion of these Notes for a variable interest rate based on the three-month LIBOR plus 2.05% (2.3% as of January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variable interest payments based on the variable annual rate are payable quarterly. The LIBOR based rate is set quarterly three months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interest payment. The indenture governing the Notes contains covenants that may limit our ability to: incur, create, assume or guarantee any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borrowed money secured by a lien upon a principal property; enter into sale and lease-back transactions with respect to a principal property;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consolidate with or merge into, or transfer or lease all or substantially all of our assets to, any other party. In addition, we have a five-year $165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unsecured revolving credit facility that expires in May 2013. To date, we have not borrowed under this credit facility but we may borrow in the future and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for support of commercial paper issuance, stock repurchases, dividend payments, acquisitions, capital expenditures, working capital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lawful corporate purposes.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January 30, 2010, our principal source of liquidity was $2,179 million of cash and cash equivalents and short-term investments. As of January 30, 2010, approximately $627.7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cash held outside the United States is not available to meet certain of our cash requirements in the United States, including for cash dividends and common stock repurchases.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We are unable to predict the likely duration and severity of the current disruptions in the credit and financial markets and adverse global economic conditions.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There have not been any material changes during the three months of fiscal 2010 to the amounts presented in the table summarizing our contractual obligations included in our Annual Report on Form 10-K for the year ended October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January 2010, FASB issued ASU No. 2010-06, </w:t>
      </w:r>
      <w:r>
        <w:rPr>
          <w:rFonts w:ascii="Arial" w:cs="Arial" w:eastAsia="Arial" w:hAnsi="Arial"/>
          <w:sz w:val="18"/>
          <w:szCs w:val="18"/>
          <w:i w:val="1"/>
          <w:iCs w:val="1"/>
          <w:color w:val="auto"/>
        </w:rPr>
        <w:t>Fair Value Measurements and Disclosures (ASC Topic 820) — 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The ASU requires new disclosures about transfers into and out of Levels 1 and 2 and separate disclosures about purchases, sales, issuances,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settlements relating to Level 3 measurements. It also clarifies existing fair value disclosures about the level of disaggregation and about inputs and valuation techniques used to measure fair value. The new disclosures and clarifications of existing disclosures are effective for our first quarter of fiscal year 2010, except for the disclosures about purchases, sales, issuances, and settlements relating to Level 3 measurements, which are effective for our first quarter of fiscal year 2012. Other than requiring additional disclosures, the adoption of this new guidance does not have a material impact on our consolidated results of operations and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That Include Software Elements</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(formerly EITF Issue No. 09-3). This standard removes tangible products from the scope of software revenue recognition guidance and also provides guidance on determining whether software deliverables in an arrangement that includes a tangible product are within the scope of the software revenue guidance. More specifically, if the software sold with or embedded within the tangible product is essential to the functionality of the tangible product, then this software, as well as undelivered software elements that relate to this software, are excluded from the scope of existing software revenue guidance. ASU No. 2009-14 is effective for fiscal years that begin on or after June 15, 2010, which is our fiscal year 2011. We are currently evaluating the impact, if any, that ASU No. 2009-14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October 2009, the FASB issued ASU No. 2009-13 — </w:t>
      </w:r>
      <w:r>
        <w:rPr>
          <w:rFonts w:ascii="Arial" w:cs="Arial" w:eastAsia="Arial" w:hAnsi="Arial"/>
          <w:sz w:val="17"/>
          <w:szCs w:val="17"/>
          <w:i w:val="1"/>
          <w:iCs w:val="1"/>
          <w:color w:val="auto"/>
        </w:rPr>
        <w:t>Revenue Recognition (Topic 605): Multiple-Deliverable Revenue Arrangements</w:t>
      </w:r>
      <w:r>
        <w:rPr>
          <w:rFonts w:ascii="Arial" w:cs="Arial" w:eastAsia="Arial" w:hAnsi="Arial"/>
          <w:sz w:val="17"/>
          <w:szCs w:val="17"/>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We are currently evaluating the impact, if any, that ASU No. 2009-13 may have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2009, the FASB issued ASU No. 2009-17 — Consolidations (Topic 810): </w:t>
      </w:r>
      <w:r>
        <w:rPr>
          <w:rFonts w:ascii="Arial" w:cs="Arial" w:eastAsia="Arial" w:hAnsi="Arial"/>
          <w:sz w:val="18"/>
          <w:szCs w:val="18"/>
          <w:i w:val="1"/>
          <w:iCs w:val="1"/>
          <w:color w:val="auto"/>
        </w:rPr>
        <w:t>Improvements to Financial Reporting by Enterprises Involved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which amends ASC 810,</w:t>
      </w:r>
      <w:r>
        <w:rPr>
          <w:rFonts w:ascii="Arial" w:cs="Arial" w:eastAsia="Arial" w:hAnsi="Arial"/>
          <w:sz w:val="18"/>
          <w:szCs w:val="18"/>
          <w:i w:val="1"/>
          <w:iCs w:val="1"/>
          <w:color w:val="auto"/>
        </w:rPr>
        <w:t xml:space="preserve"> Consolidation. </w:t>
      </w:r>
      <w:r>
        <w:rPr>
          <w:rFonts w:ascii="Arial" w:cs="Arial" w:eastAsia="Arial" w:hAnsi="Arial"/>
          <w:sz w:val="18"/>
          <w:szCs w:val="18"/>
          <w:color w:val="auto"/>
        </w:rPr>
        <w:t>This standard requires an enterprise to perform an analysis to determine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that begin after November 15, 2009, which is our fiscal year 2011. We are currently evaluating the impact, if any, that ASU No. 2009-17 may have on our financial condition and results of operations.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In June 2009, the FASB issued ASU No. 2009-16, </w:t>
      </w:r>
      <w:r>
        <w:rPr>
          <w:rFonts w:ascii="Arial" w:cs="Arial" w:eastAsia="Arial" w:hAnsi="Arial"/>
          <w:sz w:val="18"/>
          <w:szCs w:val="18"/>
          <w:i w:val="1"/>
          <w:iCs w:val="1"/>
          <w:color w:val="auto"/>
        </w:rPr>
        <w:t>Accounting for Transfers of Financial Assets</w:t>
      </w:r>
      <w:r>
        <w:rPr>
          <w:rFonts w:ascii="Arial" w:cs="Arial" w:eastAsia="Arial" w:hAnsi="Arial"/>
          <w:sz w:val="18"/>
          <w:szCs w:val="18"/>
          <w:color w:val="auto"/>
        </w:rPr>
        <w:t>, (Topic 820). This standard changes the way entities account for securitizations and other transfers of financial instruments. ASU No. 2009-16 is effective for fiscal years that begin after November 15, 2009, which is our fiscal year 2011. We are currently evaluating the impact, if any, that ASU No. 2009-16 may have on our financial condition and results of operations.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December 2007, the FASB issued ASC 805-10 (formerly SFAS 141R, “Business Combinations”). ASC 805-10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In April 2009, the FASB updated ASC 805-10 to amend the provisions for the initial recognition and measurement, subsequent measurement and accounting, and disclosures for assets and liabilities arising from contingencies in business combinations. This update also eliminates the distinction between contractual and non-contractual contingencies. ASC 805-10 is effective for fiscal years beginning after December 15, 2008, which is our fiscal year 2010. On a prospective basis the adoption of ASC 805-10 changed our accounting treatment for business combinations beginning in the first quarter of fiscal year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In December 2007, the FASB issued ASC 810-10 (formerly SFAS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ASC 810-10 clarifies that a noncontrolling or minority interest in a subsidiary is considered an ownership interest and, accordingly, requires all entities to report such interests in subsidiaries as equity in the consolidated financial statements. The adoption of ASC 810-10 in the first quarter of fiscal year 2010 did not impact the Company’s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material changes in the first quarter of fiscal 2010 to the information provided under the heading “Critical Accounting Policies and Estimates” included in our Annual Report on Form 10-K for the fiscal year ended October 31, 2009.</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June 2009, we entered into an interest rate swap agreement to hedge the benchmark interest rate of our $375 million 5.0% Notes due July 1, 2014. The effect of the swap was to convert our 5.0% fixed interest rate to a variable interest rate based on the three-month LIBOR plus 2.05% (2.30% as of January 31, 2010). If LIBOR changes by 100 basis points, our annual interest expense would change by $3.8 million.</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other material changes in the first quarter of fiscal 2010 in the information provided under Item 7A. “Quantitative and Qualitative Disclosures about Market Risk” set forth in our Annual Report on Form 10-K for the year ended October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January 31, 2010.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31, 2010,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2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January 31, 2010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fragile global economic recovery may falter, thus materially and adversely affecting our business and results of operations.</w:t>
      </w:r>
    </w:p>
    <w:p>
      <w:pPr>
        <w:spacing w:after="0" w:line="117"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Global credit and financial markets appear to be recovering from extreme disruptions experienced over the past year; however widespread uncertainty about economic stability remains. Our business was significantly affected by the global economic crisis. While there are signs that conditions may be improving, there is no certainty that the current tentative recovery in credit and financial markets will continue. These economic uncertainties affect businesses such as ours in a number of ways, making it difficult to accurately forecast and plan our future business activities. Layoffs, continued weakness in commercial and residential real estate markets and the continued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The financial turmoil could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cause financial institutions to consolidate or go out of business, which increases the risk that the actual amounts realized in the future on our financial instruments could differ significantly from the fair value assigned to them. We are unable to predict the likely duration and severity of the current economic recession, and if current uncertain economic conditions deteriorate, we may record additional charges relating to restructuring costs or the impairment of assets and our business and results of operations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Many other companies offer products that compete with our products. Some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These suppliers manufacture components in accordance with our proprietary designs and specifications.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Approximately 52% of our first fiscal quarter 2010 revenue and approximately 49% of our fiscal 2009 revenue was from products fabricated at third-party wafer-fabrication facilities, primarily TSMC.</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5"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160" w:firstLine="215"/>
        <w:spacing w:after="0" w:line="257" w:lineRule="auto"/>
        <w:rPr>
          <w:sz w:val="20"/>
          <w:szCs w:val="20"/>
          <w:color w:val="auto"/>
        </w:rPr>
      </w:pPr>
      <w:r>
        <w:rPr>
          <w:rFonts w:ascii="Arial" w:cs="Arial" w:eastAsia="Arial" w:hAnsi="Arial"/>
          <w:sz w:val="18"/>
          <w:szCs w:val="18"/>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reasons, including the cost of potential transactions, competition among prospective buyers and licensees, the need for regulatory approvals, and difficulties related to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During the first three months of fiscal 2010, approximately 81%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89"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8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introduced in Massachusetts and the United States legislatures and we expect increased worldwide regulatory activity in the future. The cost of complying, or of failing to comply, with these and other climate change and emissions regulations could have an adverse effect on our business plans and operating results.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$375 million senior unsecured notes.</w:t>
      </w:r>
    </w:p>
    <w:p>
      <w:pPr>
        <w:spacing w:after="0" w:line="62"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the third quarter of fiscal 2009, we issued in a public offering $375 million aggregate principal amount of 5.0% senior unsecured notes due July 1, 2014.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46"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available on economically favorable terms.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 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crises in global credit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3"/>
              </w:rPr>
              <w:t>Total Number of</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400" w:type="dxa"/>
            <w:vAlign w:val="bottom"/>
          </w:tcPr>
          <w:p>
            <w:pPr>
              <w:spacing w:after="0"/>
              <w:rPr>
                <w:sz w:val="12"/>
                <w:szCs w:val="12"/>
                <w:color w:val="auto"/>
              </w:rPr>
            </w:pPr>
          </w:p>
        </w:tc>
        <w:tc>
          <w:tcPr>
            <w:tcW w:w="13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4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30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Period</w:t>
            </w:r>
          </w:p>
        </w:tc>
        <w:tc>
          <w:tcPr>
            <w:tcW w:w="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color w:val="auto"/>
                <w:w w:val="93"/>
              </w:rPr>
              <w:t>(a)</w:t>
            </w:r>
          </w:p>
        </w:tc>
        <w:tc>
          <w:tcPr>
            <w:tcW w:w="40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Paid Per Share (b)</w:t>
            </w:r>
          </w:p>
        </w:tc>
        <w:tc>
          <w:tcPr>
            <w:tcW w:w="400" w:type="dxa"/>
            <w:vAlign w:val="bottom"/>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or Programs (c)</w:t>
            </w:r>
          </w:p>
        </w:tc>
        <w:tc>
          <w:tcPr>
            <w:tcW w:w="4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 (d)</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November 1, 2009 through November 28, 2009</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$28.18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$91,614,067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November 29, 2009 through December 26, 2009</w:t>
            </w: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793,810</w:t>
            </w:r>
          </w:p>
        </w:tc>
        <w:tc>
          <w:tcPr>
            <w:tcW w:w="420" w:type="dxa"/>
            <w:vAlign w:val="bottom"/>
          </w:tcPr>
          <w:p>
            <w:pPr>
              <w:spacing w:after="0"/>
              <w:rPr>
                <w:sz w:val="18"/>
                <w:szCs w:val="18"/>
                <w:color w:val="auto"/>
              </w:rPr>
            </w:pP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$30.26</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348"/>
              <w:spacing w:after="0"/>
              <w:rPr>
                <w:sz w:val="20"/>
                <w:szCs w:val="20"/>
                <w:color w:val="auto"/>
              </w:rPr>
            </w:pPr>
            <w:r>
              <w:rPr>
                <w:rFonts w:ascii="Arial" w:cs="Arial" w:eastAsia="Arial" w:hAnsi="Arial"/>
                <w:sz w:val="18"/>
                <w:szCs w:val="18"/>
                <w:color w:val="auto"/>
              </w:rPr>
              <w:t>$91,614,067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December 27, 2009 through January 30, 2010</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$29.47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$91,614,067</w:t>
            </w:r>
          </w:p>
        </w:tc>
      </w:tr>
      <w:tr>
        <w:trPr>
          <w:trHeight w:val="223"/>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794,597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$30.26</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060" w:type="dxa"/>
            <w:vAlign w:val="bottom"/>
            <w:gridSpan w:val="2"/>
          </w:tcPr>
          <w:p>
            <w:pPr>
              <w:jc w:val="right"/>
              <w:ind w:right="348"/>
              <w:spacing w:after="0"/>
              <w:rPr>
                <w:sz w:val="20"/>
                <w:szCs w:val="20"/>
                <w:color w:val="auto"/>
              </w:rPr>
            </w:pPr>
            <w:r>
              <w:rPr>
                <w:rFonts w:ascii="Arial" w:cs="Arial" w:eastAsia="Arial" w:hAnsi="Arial"/>
                <w:sz w:val="18"/>
                <w:szCs w:val="18"/>
                <w:color w:val="auto"/>
              </w:rPr>
              <w:t>$91,614,067</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794,597 shares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stock price for each share surrendered to us to satisfy the exercise price of options, and to satisfy employee tax obligations upon vesting of restricted stock granted to them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no repurchases pursuant to our stock repurchase program.</w:t>
      </w:r>
    </w:p>
    <w:p>
      <w:pPr>
        <w:spacing w:after="0" w:line="76"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140" w:type="dxa"/>
            <w:vAlign w:val="bottom"/>
            <w:gridSpan w:val="2"/>
          </w:tcPr>
          <w:p>
            <w:pPr>
              <w:ind w:left="174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6140" w:type="dxa"/>
            <w:vAlign w:val="bottom"/>
            <w:gridSpan w:val="2"/>
          </w:tcPr>
          <w:p>
            <w:pPr>
              <w:ind w:left="174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6140" w:type="dxa"/>
            <w:vAlign w:val="bottom"/>
            <w:gridSpan w:val="2"/>
          </w:tcPr>
          <w:p>
            <w:pPr>
              <w:ind w:left="174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Finance</w:t>
            </w:r>
          </w:p>
        </w:tc>
        <w:tc>
          <w:tcPr>
            <w:tcW w:w="16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405"/>
        </w:trPr>
        <w:tc>
          <w:tcPr>
            <w:tcW w:w="3600" w:type="dxa"/>
            <w:vAlign w:val="bottom"/>
          </w:tcPr>
          <w:p>
            <w:pPr>
              <w:spacing w:after="0"/>
              <w:rPr>
                <w:sz w:val="24"/>
                <w:szCs w:val="24"/>
                <w:color w:val="auto"/>
              </w:rPr>
            </w:pPr>
          </w:p>
        </w:tc>
        <w:tc>
          <w:tcPr>
            <w:tcW w:w="6140" w:type="dxa"/>
            <w:vAlign w:val="bottom"/>
            <w:gridSpan w:val="2"/>
          </w:tcPr>
          <w:p>
            <w:pPr>
              <w:jc w:val="right"/>
              <w:ind w:right="3850"/>
              <w:spacing w:after="0"/>
              <w:rPr>
                <w:sz w:val="20"/>
                <w:szCs w:val="20"/>
                <w:color w:val="auto"/>
              </w:rPr>
            </w:pPr>
            <w:r>
              <w:rPr>
                <w:rFonts w:ascii="Arial" w:cs="Arial" w:eastAsia="Arial" w:hAnsi="Arial"/>
                <w:sz w:val="18"/>
                <w:szCs w:val="18"/>
                <w:color w:val="auto"/>
              </w:rPr>
              <w:t>43</w:t>
            </w:r>
          </w:p>
        </w:tc>
        <w:tc>
          <w:tcPr>
            <w:tcW w:w="1680" w:type="dxa"/>
            <w:vAlign w:val="bottom"/>
          </w:tcPr>
          <w:p>
            <w:pPr>
              <w:spacing w:after="0"/>
              <w:rPr>
                <w:sz w:val="24"/>
                <w:szCs w:val="24"/>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11"/>
        </w:trPr>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4"/>
              </w:rPr>
              <w:t>Amended and Restated By-Laws of Analog Devices, Inc., filed as exhibit 3.1 to the Company’s Current Report on Form 8-K filed with the</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Commission on January 28, 2010 (File No. 1-7819) and incorporated herein by reference.</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Fourth Amendment to 2006 Stock Incentive Plan of Analog Devices, Inc.</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Fifth Amendment to 2006 Stock Incentive Plan of Analog Devices, Inc.</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Form of Restricted Stock Unit Confirming Memorandum for US Employees for usage under the Company’s 2006 Stock Incentive Plan, filed</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as exhibit 10.1 to the Company’s Current Report on Form 8-K (File No. 1-7819) on December 23, 2009 and incorporated herein by reference.</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Form of Restricted Stock Unit Confirming Memorandum for Non-US Employees for usage under the Company’s 2006 Stock Incentive Plan,</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5"/>
              </w:rPr>
              <w:t>filed as exhibit 10.2 to the Company’s Current Report on Form 8-K (File No. 1-7819) on December 23, 2009 and incorporated herein by</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reference.</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Amendment to Long-Term Retention Agreement between Analog Devices, Inc. and Jerald G. Fishman, filed as exhibit 10.1 to the Company’s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Current Report on Form 8-K (File No. 1-7819) on January 19, 2010 and incorporated herein by reference.</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4"/>
              </w:rPr>
              <w:t>Amended and Restated Employment Agreement between Analog Devices, Inc. and Jerald G. Fishman, dated January 14, 2010, filed as</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9"/>
              </w:rPr>
              <w:t>Exhibit 10.2 to the Company’s Current Report on Form 8-K (File No. 1-7819), filed with the Commission on January 19, 2010 and</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†31.1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88"/>
              </w:rPr>
              <w:t>†31.2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†32.2</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months ended January 30, 2010 and January 31, 2009, (ii) Condensed Consolidated Balance Sheets at January 30, 2010 and October 31, 2009, (iii) Condensed Consolidated Statements of Cash Flows for the nine months ended January 30, 2010 and January 31, 2009 and (iv) Notes to Condensed Consolidated Financial Statements.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19"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 the 2006 Stock Incentive Plan, as amended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2006 Stock Incentive Plan, as amended by Amendment No. 1, Amendment No. 2 and Amendment No. 3 thereto (the “Plan”) of Analog Devices, Inc. (the “Corporation”), is hereby amended as set forth below:</w:t>
      </w:r>
    </w:p>
    <w:p>
      <w:pPr>
        <w:spacing w:after="0" w:line="62"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color w:val="auto"/>
        </w:rPr>
        <w:t>That Section 8(c) of the Plan is amended by adding the phrase “or, in the discretion of the Board, when the granting of such Restricted Stock Units in any foreign jurisdiction is delayed in connection with registration or approval to be obtained in connection with such Restricted Stock Units” after the phrase “or retirement of the Participant”.</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Except to the extent amended hereby, all of the terms, provisions and conditions set forth in the Plan are hereby ratified and confirmed and shall remain in full force and effect. The Plan and this amendment shall be read and construed together as a single instrument.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Approved by the Board of Directors on December 1, 2009</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u w:val="single" w:color="auto"/>
          <w:color w:val="auto"/>
        </w:rPr>
        <w:t>Exhibit 10.2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 the 2006 Stock Incentive Plan, as amended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2006 Stock Incentive Plan, as amended by Amendments 1 through 4 thereto (the “Plan”) of Analog Devices, Inc. (the “Corporation”), is hereby amended as set forth below:</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11(b)(4) shall be renumbered to be Section 11(b)(5) and remain otherwise unchanged.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11(b)(3) shall be deleted and replaced in its entirety with the following:</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Effect on Restricted Stock Awards</w:t>
      </w:r>
    </w:p>
    <w:p>
      <w:pPr>
        <w:spacing w:after="0" w:line="117" w:lineRule="exact"/>
        <w:rPr>
          <w:rFonts w:ascii="Arial" w:cs="Arial" w:eastAsia="Arial" w:hAnsi="Arial"/>
          <w:sz w:val="18"/>
          <w:szCs w:val="18"/>
          <w:color w:val="auto"/>
        </w:rPr>
      </w:pPr>
    </w:p>
    <w:p>
      <w:pPr>
        <w:ind w:left="700" w:right="80" w:firstLine="218"/>
        <w:spacing w:after="0" w:line="279" w:lineRule="auto"/>
        <w:tabs>
          <w:tab w:leader="none" w:pos="1170" w:val="left"/>
        </w:tabs>
        <w:numPr>
          <w:ilvl w:val="2"/>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Reorganization Event. </w:t>
      </w:r>
      <w:r>
        <w:rPr>
          <w:rFonts w:ascii="Arial" w:cs="Arial" w:eastAsia="Arial" w:hAnsi="Arial"/>
          <w:sz w:val="17"/>
          <w:szCs w:val="17"/>
          <w:color w:val="auto"/>
        </w:rPr>
        <w:t>Upon the occurrence of a Reorganization Event (regardless of whether such event also constitutes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w:t>
      </w:r>
    </w:p>
    <w:p>
      <w:pPr>
        <w:spacing w:after="0" w:line="63" w:lineRule="exact"/>
        <w:rPr>
          <w:rFonts w:ascii="Arial" w:cs="Arial" w:eastAsia="Arial" w:hAnsi="Arial"/>
          <w:sz w:val="17"/>
          <w:szCs w:val="17"/>
          <w:color w:val="auto"/>
        </w:rPr>
      </w:pPr>
    </w:p>
    <w:p>
      <w:pPr>
        <w:ind w:left="700" w:right="100" w:firstLine="218"/>
        <w:spacing w:after="0" w:line="269" w:lineRule="auto"/>
        <w:tabs>
          <w:tab w:leader="none" w:pos="1180" w:val="left"/>
        </w:tabs>
        <w:numPr>
          <w:ilvl w:val="2"/>
          <w:numId w:val="16"/>
        </w:numPr>
        <w:rPr>
          <w:rFonts w:ascii="Arial" w:cs="Arial" w:eastAsia="Arial" w:hAnsi="Arial"/>
          <w:sz w:val="17"/>
          <w:szCs w:val="17"/>
          <w:color w:val="auto"/>
        </w:rPr>
      </w:pPr>
      <w:r>
        <w:rPr>
          <w:rFonts w:ascii="Arial" w:cs="Arial" w:eastAsia="Arial" w:hAnsi="Arial"/>
          <w:sz w:val="17"/>
          <w:szCs w:val="17"/>
          <w:i w:val="1"/>
          <w:iCs w:val="1"/>
          <w:color w:val="auto"/>
        </w:rPr>
        <w:t>Change in Control Event</w:t>
      </w:r>
      <w:r>
        <w:rPr>
          <w:rFonts w:ascii="Arial" w:cs="Arial" w:eastAsia="Arial" w:hAnsi="Arial"/>
          <w:sz w:val="17"/>
          <w:szCs w:val="17"/>
          <w:color w:val="auto"/>
        </w:rPr>
        <w:t>. Upon the occurrence of a Change in Control Event (regardless of whether such event also constitutes a</w:t>
      </w:r>
      <w:r>
        <w:rPr>
          <w:rFonts w:ascii="Arial" w:cs="Arial" w:eastAsia="Arial" w:hAnsi="Arial"/>
          <w:sz w:val="17"/>
          <w:szCs w:val="17"/>
          <w:i w:val="1"/>
          <w:iCs w:val="1"/>
          <w:color w:val="auto"/>
        </w:rPr>
        <w:t xml:space="preserve"> </w:t>
      </w:r>
      <w:r>
        <w:rPr>
          <w:rFonts w:ascii="Arial" w:cs="Arial" w:eastAsia="Arial" w:hAnsi="Arial"/>
          <w:sz w:val="17"/>
          <w:szCs w:val="17"/>
          <w:color w:val="auto"/>
        </w:rPr>
        <w:t>Reorganization Event), except to the extent specifically provided to the contrary in the instrument evidencing any Restricted Stock Award or any other agreement between a Participant and the Company, and notwithstanding anything to the contrary in the Plan, the vesting schedule of all Restricted Stock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left="7"/>
        <w:spacing w:after="0"/>
        <w:rPr>
          <w:sz w:val="20"/>
          <w:szCs w:val="20"/>
          <w:color w:val="auto"/>
        </w:rPr>
      </w:pPr>
      <w:r>
        <w:rPr>
          <w:rFonts w:ascii="Arial" w:cs="Arial" w:eastAsia="Arial" w:hAnsi="Arial"/>
          <w:sz w:val="18"/>
          <w:szCs w:val="18"/>
          <w:color w:val="auto"/>
        </w:rPr>
        <w:t>Good Reason by the Participant or is terminated without Cause by the Company or the acquiring or succeeding corporation.</w:t>
      </w:r>
    </w:p>
    <w:p>
      <w:pPr>
        <w:spacing w:after="0" w:line="117" w:lineRule="exact"/>
        <w:rPr>
          <w:sz w:val="20"/>
          <w:szCs w:val="20"/>
          <w:color w:val="auto"/>
        </w:rPr>
      </w:pPr>
    </w:p>
    <w:p>
      <w:pPr>
        <w:ind w:left="247" w:hanging="247"/>
        <w:spacing w:after="0"/>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 on Restricted Stock Unit Awards</w:t>
      </w:r>
    </w:p>
    <w:p>
      <w:pPr>
        <w:spacing w:after="0" w:line="117" w:lineRule="exact"/>
        <w:rPr>
          <w:rFonts w:ascii="Arial" w:cs="Arial" w:eastAsia="Arial" w:hAnsi="Arial"/>
          <w:sz w:val="18"/>
          <w:szCs w:val="18"/>
          <w:color w:val="auto"/>
        </w:rPr>
      </w:pPr>
    </w:p>
    <w:p>
      <w:pPr>
        <w:ind w:left="7" w:firstLine="218"/>
        <w:spacing w:after="0" w:line="286" w:lineRule="auto"/>
        <w:tabs>
          <w:tab w:leader="none" w:pos="477"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Reorganization Event. </w:t>
      </w:r>
      <w:r>
        <w:rPr>
          <w:rFonts w:ascii="Arial" w:cs="Arial" w:eastAsia="Arial" w:hAnsi="Arial"/>
          <w:sz w:val="16"/>
          <w:szCs w:val="16"/>
          <w:color w:val="auto"/>
        </w:rPr>
        <w:t>Upon the occurrence of a Reorganization Event (regardless of whether such event constitutes a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 the Board shall provide that all outstanding Restricted Stock Unit Awards shall be assumed, or an equivalent award providing for Restricted Stock Units shall be substituted, by the acquiring or succeeding corporation (or an affiliate thereof); </w:t>
      </w:r>
      <w:r>
        <w:rPr>
          <w:rFonts w:ascii="Arial" w:cs="Arial" w:eastAsia="Arial" w:hAnsi="Arial"/>
          <w:sz w:val="16"/>
          <w:szCs w:val="16"/>
          <w:i w:val="1"/>
          <w:iCs w:val="1"/>
          <w:color w:val="auto"/>
        </w:rPr>
        <w:t>provided that</w:t>
      </w:r>
      <w:r>
        <w:rPr>
          <w:rFonts w:ascii="Arial" w:cs="Arial" w:eastAsia="Arial" w:hAnsi="Arial"/>
          <w:sz w:val="16"/>
          <w:szCs w:val="16"/>
          <w:color w:val="auto"/>
        </w:rPr>
        <w:t>, notwithstanding anything to the contrary in the Plan, if such Reorganization Event also constitutes both a Change in Control Event and a “change in control event” within the meaning of Treasury Regulation Section 1.409A-3(i)(5)(i), except to the extent specifically provided to the contrary in the instrument evidencing any Award or any other agreement between the Participant and the Company, (A) one-half of the number of Restricted Stock Units that vest after the Reorganization Event shall immediately vest in full as of the consummation of the Reorganization Event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assumed or substituted Restricted Stock Unit award shall immediately become vested in full if, on or prior to the first anniversary of the date of the consummation of the Reorganization Event, the Participant’s employment with the Company or the acquiring or succeeding corporation is terminated for Good Reason (as defined in Section 11(b)(4)(c) below) by the Participant or is terminated without Cause by the Company or the acquiring or succeeding corporation.</w:t>
      </w:r>
    </w:p>
    <w:p>
      <w:pPr>
        <w:spacing w:after="0" w:line="67"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 xml:space="preserve">For purposes hereof, a Restricted Stock Unit Award shall be considered to be assumed if, following consummation of the Reorganization Event, the Restricted Stock Unit Award confers the right to receive upon vesting and conversion for each Restricted Stock Unit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(or if holders of Common Stock were offered a choice of consideration and the type of consideration chosen by the holders of a majority of the outstanding shares of Common Stock was not common stock of the acquiring or succeeding corporation), the Company may, with the consent of the acquiring or succeeding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379730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7"/>
          </w:cols>
          <w:pgMar w:left="933" w:top="935" w:right="259" w:bottom="1440" w:gutter="0" w:footer="0" w:header="0"/>
        </w:sectPr>
      </w:pPr>
    </w:p>
    <w:bookmarkStart w:id="50" w:name="page51"/>
    <w:bookmarkEnd w:id="50"/>
    <w:p>
      <w:pPr>
        <w:jc w:val="both"/>
        <w:ind w:right="340"/>
        <w:spacing w:after="0" w:line="312" w:lineRule="auto"/>
        <w:rPr>
          <w:sz w:val="20"/>
          <w:szCs w:val="20"/>
          <w:color w:val="auto"/>
        </w:rPr>
      </w:pPr>
      <w:r>
        <w:rPr>
          <w:rFonts w:ascii="Arial" w:cs="Arial" w:eastAsia="Arial" w:hAnsi="Arial"/>
          <w:sz w:val="16"/>
          <w:szCs w:val="16"/>
          <w:color w:val="auto"/>
        </w:rPr>
        <w:t>corporation, provide for the consideration to be received upon the vesting and conversion of Restricted Stock Units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Notwithstanding the foregoing and anything to the contrary in the Plan, if the acquiring or succeeding corporation (or an affiliate thereof) does not agree to assume, or substitute for, a Restricted Stock Unit Award, or in the event of a liquidation or dissolution of the Company, the Board of Directors shall, upon written notice to the Participant, (A) provide that all then unvested Restricted Stock Units that are exempt from Section 409A will vest in full as of immediately prior to the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of Directors may instead provide that all such unvested Restricted Stock Units shall terminate upon consummation of such Reorganization Event and that the Participant shall receive, in exchange therefor, a cash payment equal to the amount equal to the Acquisition Price multiplied by the number of shares of Common Stock issuable under such unvested Restricted Stock Units; and (B) provide that all then unvested Restricted Stock Units that are not exempt from Section 409A shall be treated in the same manner Restricted Stock Units subject to clause (A) if such Reorganization Event also is a “change in control event” as described in Treasury Regulation Section 1.409A-3(i)(5(i) and if not, shall be terminated as of the Reorganization Event without any payment for the unvested Restricted Stock Units.</w:t>
      </w:r>
    </w:p>
    <w:p>
      <w:pPr>
        <w:spacing w:after="0" w:line="72" w:lineRule="exact"/>
        <w:rPr>
          <w:sz w:val="20"/>
          <w:szCs w:val="20"/>
          <w:color w:val="auto"/>
        </w:rPr>
      </w:pPr>
    </w:p>
    <w:p>
      <w:pPr>
        <w:ind w:firstLine="218"/>
        <w:spacing w:after="0" w:line="253"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Event that is not a Reorganization Event. </w:t>
      </w:r>
      <w:r>
        <w:rPr>
          <w:rFonts w:ascii="Arial" w:cs="Arial" w:eastAsia="Arial" w:hAnsi="Arial"/>
          <w:sz w:val="18"/>
          <w:szCs w:val="18"/>
          <w:color w:val="auto"/>
        </w:rPr>
        <w:t>Upon the occurrence of a Change in Control Event that also is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event” within the meaning of Treasury Regulation Section 1.409A-3(i)(5)(i) that does not constitute a Reorganization Event, except to the extent specifically provided to the contrary in the instrument evidencing any award or any other agreement between the Participant and the Company, (A) one-half of the number of Restricted Stock Units that vest after the Change in Control Event shall immediately vest in full as of the consummation of the Change in Control Event and be converted and delivered to the Participant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Restricted Stock Unit Award shall immediately become vested in full if, on or prior to the first anniversary of the date of the consummation of the Change in Control Event, the Participant’s employment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387985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940" w:top="936" w:right="259" w:bottom="1440" w:gutter="0" w:footer="0" w:header="0"/>
        </w:sectPr>
      </w:pPr>
    </w:p>
    <w:bookmarkStart w:id="51" w:name="page52"/>
    <w:bookmarkEnd w:id="51"/>
    <w:p>
      <w:pPr>
        <w:ind w:left="692" w:right="440"/>
        <w:spacing w:after="0" w:line="277" w:lineRule="auto"/>
        <w:rPr>
          <w:sz w:val="20"/>
          <w:szCs w:val="20"/>
          <w:color w:val="auto"/>
        </w:rPr>
      </w:pPr>
      <w:r>
        <w:rPr>
          <w:rFonts w:ascii="Arial" w:cs="Arial" w:eastAsia="Arial" w:hAnsi="Arial"/>
          <w:sz w:val="18"/>
          <w:szCs w:val="18"/>
          <w:color w:val="auto"/>
        </w:rPr>
        <w:t>the Company is terminated for Good Reason (as defined in Section 11(b)(4)(c) below) by the Participant or is terminated without Cause by the Company.</w:t>
      </w:r>
    </w:p>
    <w:p>
      <w:pPr>
        <w:spacing w:after="0" w:line="62" w:lineRule="exact"/>
        <w:rPr>
          <w:sz w:val="20"/>
          <w:szCs w:val="20"/>
          <w:color w:val="auto"/>
        </w:rPr>
      </w:pPr>
    </w:p>
    <w:p>
      <w:pPr>
        <w:ind w:left="1152" w:hanging="242"/>
        <w:spacing w:after="0"/>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Definition of Good Reason for the purposes this Section 11(b)(4) of the Plan.</w:t>
      </w:r>
    </w:p>
    <w:p>
      <w:pPr>
        <w:spacing w:after="0" w:line="117" w:lineRule="exact"/>
        <w:rPr>
          <w:sz w:val="20"/>
          <w:szCs w:val="20"/>
          <w:color w:val="auto"/>
        </w:rPr>
      </w:pPr>
    </w:p>
    <w:p>
      <w:pPr>
        <w:ind w:left="692" w:right="640" w:firstLine="218"/>
        <w:spacing w:after="0" w:line="277" w:lineRule="auto"/>
        <w:tabs>
          <w:tab w:leader="none" w:pos="1132" w:val="left"/>
        </w:tabs>
        <w:numPr>
          <w:ilvl w:val="2"/>
          <w:numId w:val="20"/>
        </w:numPr>
        <w:rPr>
          <w:rFonts w:ascii="Arial" w:cs="Arial" w:eastAsia="Arial" w:hAnsi="Arial"/>
          <w:sz w:val="18"/>
          <w:szCs w:val="18"/>
          <w:color w:val="auto"/>
        </w:rPr>
      </w:pPr>
      <w:r>
        <w:rPr>
          <w:rFonts w:ascii="Arial" w:cs="Arial" w:eastAsia="Arial" w:hAnsi="Arial"/>
          <w:sz w:val="18"/>
          <w:szCs w:val="18"/>
          <w:color w:val="auto"/>
        </w:rPr>
        <w:t>For any Restricted Stock Unit Awards granted on or before December 10, 2009, “Good Reason” shall mean good reason as defined in Section 11(b)(1)(c) of the Plan.</w:t>
      </w:r>
    </w:p>
    <w:p>
      <w:pPr>
        <w:spacing w:after="0" w:line="62" w:lineRule="exact"/>
        <w:rPr>
          <w:rFonts w:ascii="Arial" w:cs="Arial" w:eastAsia="Arial" w:hAnsi="Arial"/>
          <w:sz w:val="18"/>
          <w:szCs w:val="18"/>
          <w:color w:val="auto"/>
        </w:rPr>
      </w:pPr>
    </w:p>
    <w:p>
      <w:pPr>
        <w:ind w:left="692" w:firstLine="218"/>
        <w:spacing w:after="0" w:line="270" w:lineRule="auto"/>
        <w:tabs>
          <w:tab w:leader="none" w:pos="1182" w:val="left"/>
        </w:tabs>
        <w:numPr>
          <w:ilvl w:val="2"/>
          <w:numId w:val="20"/>
        </w:numPr>
        <w:rPr>
          <w:rFonts w:ascii="Arial" w:cs="Arial" w:eastAsia="Arial" w:hAnsi="Arial"/>
          <w:sz w:val="17"/>
          <w:szCs w:val="17"/>
          <w:color w:val="auto"/>
        </w:rPr>
      </w:pPr>
      <w:r>
        <w:rPr>
          <w:rFonts w:ascii="Arial" w:cs="Arial" w:eastAsia="Arial" w:hAnsi="Arial"/>
          <w:sz w:val="17"/>
          <w:szCs w:val="17"/>
          <w:color w:val="auto"/>
        </w:rPr>
        <w:t>For any Restricted Stock Unit Awards granted after December 10, 2009, “Good Reason”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73" w:lineRule="exact"/>
        <w:rPr>
          <w:rFonts w:ascii="Arial" w:cs="Arial" w:eastAsia="Arial" w:hAnsi="Arial"/>
          <w:sz w:val="17"/>
          <w:szCs w:val="17"/>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13(f) shall be deleted in its entirety and replaced with the following</w:t>
      </w:r>
    </w:p>
    <w:p>
      <w:pPr>
        <w:spacing w:after="0" w:line="117" w:lineRule="exact"/>
        <w:rPr>
          <w:rFonts w:ascii="Arial" w:cs="Arial" w:eastAsia="Arial" w:hAnsi="Arial"/>
          <w:sz w:val="18"/>
          <w:szCs w:val="18"/>
          <w:color w:val="auto"/>
        </w:rPr>
      </w:pPr>
    </w:p>
    <w:p>
      <w:pPr>
        <w:ind w:left="912" w:hanging="227"/>
        <w:spacing w:after="0"/>
        <w:tabs>
          <w:tab w:leader="none" w:pos="912"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ind w:left="692" w:right="120" w:firstLine="218"/>
        <w:spacing w:after="0" w:line="286" w:lineRule="auto"/>
        <w:tabs>
          <w:tab w:leader="none" w:pos="1172" w:val="left"/>
        </w:tabs>
        <w:numPr>
          <w:ilvl w:val="1"/>
          <w:numId w:val="22"/>
        </w:numPr>
        <w:rPr>
          <w:rFonts w:ascii="Arial" w:cs="Arial" w:eastAsia="Arial" w:hAnsi="Arial"/>
          <w:sz w:val="17"/>
          <w:szCs w:val="17"/>
          <w:color w:val="auto"/>
        </w:rPr>
      </w:pPr>
      <w:r>
        <w:rPr>
          <w:rFonts w:ascii="Arial" w:cs="Arial" w:eastAsia="Arial" w:hAnsi="Arial"/>
          <w:sz w:val="17"/>
          <w:szCs w:val="17"/>
          <w:color w:val="auto"/>
        </w:rPr>
        <w:t>It is the intent of the Company that any deferral of the receipt of the payment of cash or the delivery of shares of Common Stock that the Board may permit or require and Award that is granted that is subject to Section 409A of the Code (“Section 409A”) comply with the requirements of Section 409A; provided that no guaranty is made by the Company to Participants that Awards will so comply.</w:t>
      </w:r>
    </w:p>
    <w:p>
      <w:pPr>
        <w:spacing w:after="0" w:line="57" w:lineRule="exact"/>
        <w:rPr>
          <w:rFonts w:ascii="Arial" w:cs="Arial" w:eastAsia="Arial" w:hAnsi="Arial"/>
          <w:sz w:val="17"/>
          <w:szCs w:val="17"/>
          <w:color w:val="auto"/>
        </w:rPr>
      </w:pPr>
    </w:p>
    <w:p>
      <w:pPr>
        <w:ind w:left="692" w:right="60" w:firstLine="218"/>
        <w:spacing w:after="0" w:line="291" w:lineRule="auto"/>
        <w:tabs>
          <w:tab w:leader="none" w:pos="1172"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following provisions apply to each Award granted or outstanding under this Plan that are intended to comply with (and not be exempt from) Section 409A: (i) each delivery of shares or cash under each such Award shall be treated as a separate payment for purposes of Section 409A;</w:t>
      </w:r>
    </w:p>
    <w:p>
      <w:pPr>
        <w:ind w:left="692" w:right="120" w:hanging="7"/>
        <w:spacing w:after="0" w:line="254" w:lineRule="auto"/>
        <w:tabs>
          <w:tab w:leader="none" w:pos="9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anything in the Award or in the Plan to the contrary, neither the Participant nor the Company may accelerate or defer the delivery of the cash or shares under the Award to a date other than those specified in the Award unless specifically permitted or required by Section 409A; (iii) if a Participant becomes a “specified employee” of the Company (within the meaning of Section 409A) and any of the shares or cash to be delivered under each such Award that may be delivered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384810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52" w:name="page53"/>
    <w:bookmarkEnd w:id="52"/>
    <w:p>
      <w:pPr>
        <w:ind w:left="692"/>
        <w:spacing w:after="0" w:line="286" w:lineRule="auto"/>
        <w:rPr>
          <w:sz w:val="20"/>
          <w:szCs w:val="20"/>
          <w:color w:val="auto"/>
        </w:rPr>
      </w:pPr>
      <w:r>
        <w:rPr>
          <w:rFonts w:ascii="Arial" w:cs="Arial" w:eastAsia="Arial" w:hAnsi="Arial"/>
          <w:sz w:val="17"/>
          <w:szCs w:val="17"/>
          <w:color w:val="auto"/>
        </w:rPr>
        <w:t>account of the Participant’s “separation from service” (within the meaning of Section 409A), then any shares or cash that otherwise would have been delivered within the six month period following the separation from service shall be delivered on the date that is six months and one day following the separation from service, with any remaining delivery of shares or cash to be made in accordance with the terms of the Award.</w:t>
      </w:r>
    </w:p>
    <w:p>
      <w:pPr>
        <w:spacing w:after="0" w:line="57" w:lineRule="exact"/>
        <w:rPr>
          <w:sz w:val="20"/>
          <w:szCs w:val="20"/>
          <w:color w:val="auto"/>
        </w:rPr>
      </w:pPr>
    </w:p>
    <w:p>
      <w:pPr>
        <w:ind w:left="452" w:right="60" w:hanging="452"/>
        <w:spacing w:after="0" w:line="277"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to the extent amended hereby, all of the terms, provisions and conditions set forth in the Plan are hereby ratified and confirmed and shall remain in full force and effect. The Plan and this amendment shall be read and construed together as a single instrument.</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Approved by the Board of Directors on December 17, 2009</w:t>
      </w:r>
    </w:p>
    <w:p>
      <w:pPr>
        <w:sectPr>
          <w:pgSz w:w="11900" w:h="16838" w:orient="portrait"/>
          <w:cols w:equalWidth="0" w:num="1">
            <w:col w:w="11412"/>
          </w:cols>
          <w:pgMar w:left="248"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30, 2010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30, 2010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17,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6">
    <w:nsid w:val="2443A858"/>
    <w:multiLevelType w:val="hybridMultilevel"/>
    <w:lvl w:ilvl="0">
      <w:lvlJc w:val="left"/>
      <w:lvlText w:val="(%1)"/>
      <w:numFmt w:val="decimal"/>
      <w:start w:val="4"/>
    </w:lvl>
    <w:lvl w:ilvl="1">
      <w:lvlJc w:val="left"/>
      <w:lvlText w:val="(%2)"/>
      <w:numFmt w:val="lowerLetter"/>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8EDBDAB"/>
    <w:multiLevelType w:val="hybridMultilevel"/>
    <w:lvl w:ilvl="0">
      <w:lvlJc w:val="left"/>
      <w:lvlText w:val="%1."/>
      <w:numFmt w:val="decimal"/>
      <w:start w:val="3"/>
    </w:lvl>
    <w:lvl w:ilvl="1">
      <w:lvlJc w:val="left"/>
      <w:lvlText w:val="(%2)"/>
      <w:numFmt w:val="lowerLetter"/>
      <w:start w:val="6"/>
    </w:lvl>
    <w:lvl w:ilvl="2">
      <w:lvlJc w:val="left"/>
      <w:lvlText w:val="%3"/>
      <w:numFmt w:val="lowerRoman"/>
      <w:start w:val="1"/>
    </w:lvl>
  </w:abstractNum>
  <w:abstractNum w:abstractNumId="21">
    <w:nsid w:val="79838CB2"/>
    <w:multiLevelType w:val="hybridMultilevel"/>
    <w:lvl w:ilvl="0">
      <w:lvlJc w:val="left"/>
      <w:lvlText w:val="%1"/>
      <w:numFmt w:val="lowerRoman"/>
      <w:start w:val="1"/>
    </w:lvl>
    <w:lvl w:ilvl="1">
      <w:lvlJc w:val="left"/>
      <w:lvlText w:val="(%2)"/>
      <w:numFmt w:val="decimal"/>
      <w:start w:val="1"/>
    </w:lvl>
  </w:abstractNum>
  <w:abstractNum w:abstractNumId="22">
    <w:nsid w:val="4353D0CD"/>
    <w:multiLevelType w:val="hybridMultilevel"/>
    <w:lvl w:ilvl="0">
      <w:lvlJc w:val="left"/>
      <w:lvlText w:val="(%1)"/>
      <w:numFmt w:val="lowerRoman"/>
      <w:start w:val="2"/>
    </w:lvl>
    <w:lvl w:ilvl="1">
      <w:lvlJc w:val="left"/>
      <w:lvlText w:val="%2"/>
      <w:numFmt w:val="decimal"/>
      <w:start w:val="1"/>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2019-12-09T20:23:12Z</dcterms:created>
  <dcterms:modified xsi:type="dcterms:W3CDTF">2019-12-09T20:23:12Z</dcterms:modified>
</cp:coreProperties>
</file>