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 2024</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August 3, 2024 there were 496,493,455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3,076,495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9,589,055</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1,000,970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3,018,737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3,358,553</w:t>
            </w:r>
          </w:p>
        </w:tc>
      </w:tr>
      <w:tr>
        <w:trPr>
          <w:trHeight w:val="22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6,230,502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1,253,600</w:t>
            </w: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984,648</w:t>
            </w:r>
          </w:p>
        </w:tc>
      </w:tr>
      <w:tr>
        <w:trPr>
          <w:trHeight w:val="229"/>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756,882</w:t>
            </w:r>
          </w:p>
        </w:tc>
      </w:tr>
      <w:tr>
        <w:trPr>
          <w:trHeight w:val="229"/>
        </w:trPr>
        <w:tc>
          <w:tcPr>
            <w:tcW w:w="4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46,675</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819,920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2,501,809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3,041,805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3,188,697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193,051</w:t>
            </w:r>
          </w:p>
        </w:tc>
      </w:tr>
      <w:tr>
        <w:trPr>
          <w:trHeight w:val="230"/>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w:t>
            </w:r>
          </w:p>
        </w:tc>
      </w:tr>
      <w:tr>
        <w:trPr>
          <w:trHeight w:val="230"/>
        </w:trPr>
        <w:tc>
          <w:tcPr>
            <w:tcW w:w="4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3,036,217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220,068</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2,816,149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507,804</w:t>
            </w:r>
          </w:p>
        </w:tc>
      </w:tr>
      <w:tr>
        <w:trPr>
          <w:trHeight w:val="270"/>
        </w:trPr>
        <w:tc>
          <w:tcPr>
            <w:tcW w:w="4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320"/>
          </w:cols>
          <w:pgMar w:left="340" w:top="1008" w:right="1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40" w:top="1008" w:right="123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2,816,149</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 as cash</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 net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27,298</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878,528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2,843,447</w:t>
            </w:r>
          </w:p>
        </w:tc>
      </w:tr>
      <w:tr>
        <w:trPr>
          <w:trHeight w:val="21"/>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2,106,032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1,469,734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1,427,936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1,642,214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314,013</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5,442,936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4,384,022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3,219,157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11,311,957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2,105,430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2,223,272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766,778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742,936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43,175,438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44,410,456</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48,618,374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493,041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499,052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1,352,608</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3,226,629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3,200,971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6,655,723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5,902,457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3,127,852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417,076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581,000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10,201,636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10,028,385</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496,493,455 shares outstanding</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(496,261,678 on October 28, 2023)</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25,101,781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25,313,914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10,356,798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(188,302)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35,190,109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35,565,122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48,618,374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August 3,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(117,888)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3,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25,101,781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August 3, 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$2.70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(520,252)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3,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25,101,781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29,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29,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501,418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83,571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26,262,226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9,839,790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(172,363)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$0.86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45,893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82,970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1,509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(3,687)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(685,896)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29,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498,314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83,054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25,705,193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10,286,353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(170,854)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29,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29,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509,296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84,880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27,857,270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8,721,325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(198,152)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2,816,149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$2.48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(1,251,121)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2,963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112,508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227,113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27,298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(13,945)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(2,491,698)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29,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498,314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83,054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25,705,193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10,286,353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(170,854)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80" w:type="dxa"/>
            <w:vAlign w:val="bottom"/>
          </w:tcPr>
          <w:p>
            <w:pPr>
              <w:spacing w:after="0"/>
              <w:rPr>
                <w:sz w:val="16"/>
                <w:szCs w:val="16"/>
                <w:color w:val="auto"/>
              </w:rPr>
            </w:pPr>
          </w:p>
        </w:tc>
        <w:tc>
          <w:tcPr>
            <w:tcW w:w="14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1,157,201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2,816,149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251,785</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1,505,201</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227,113</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(431,393)</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(757,645)</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1,644,511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814,191</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2,801,712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3,630,340</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(785,070)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(993,244)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(787,324)</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debt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(65,688)</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7,709,492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2,646,509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(2,101,799)</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(2,494,018)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(1,251,121)</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(11,227)</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(660,497)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(3,164,342)</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(321,326)</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1,470,572</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2,106,032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1,149,246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AUGUST 3, 2024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thousands except per share amounts and percentages)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28, 2023 (fiscal 2023) and related notes. The results of operations for the interim periods shown in this report are not necessarily indicative of the results that may be expected for the fiscal year ending November 2, 2024 (fiscal 2024) or any future period.</w:t>
      </w:r>
    </w:p>
    <w:p>
      <w:pPr>
        <w:spacing w:after="0" w:line="129"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2024 is a 53-week fiscal year and fiscal 2023 was a 52-week fiscal year. The additional week in fiscal 2024 was included in the first quarter ended February 3, 2024. Therefore, the first nine months of fiscal 2024 included an additional week of operations as compared to the first nine months of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80" w:firstLine="445"/>
        <w:spacing w:after="0" w:line="277" w:lineRule="auto"/>
        <w:rPr>
          <w:sz w:val="20"/>
          <w:szCs w:val="20"/>
          <w:color w:val="auto"/>
        </w:rPr>
      </w:pPr>
      <w:r>
        <w:rPr>
          <w:rFonts w:ascii="Times New Roman" w:cs="Times New Roman" w:eastAsia="Times New Roman" w:hAnsi="Times New Roman"/>
          <w:sz w:val="17"/>
          <w:szCs w:val="17"/>
          <w:color w:val="auto"/>
        </w:rPr>
        <w:t>As of August 3, 2024, the Company had repurchased a total of approximately 207.4 million shares of its common stock for approximately $14.9 billion under the Company's share repurchase program. As of August 3, 2024, an additional $1.7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nine months of fiscal 2024.</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2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16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6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Pr>
          <w:p>
            <w:pPr>
              <w:spacing w:after="0"/>
              <w:rPr>
                <w:sz w:val="21"/>
                <w:szCs w:val="21"/>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80" w:type="dxa"/>
            <w:vAlign w:val="bottom"/>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8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 net of tax</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2,816,149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7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Borders>
              <w:top w:val="single" w:sz="8" w:color="CCEEFF"/>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851"/>
        </w:trPr>
        <w:tc>
          <w:tcPr>
            <w:tcW w:w="5080" w:type="dxa"/>
            <w:vAlign w:val="bottom"/>
          </w:tcPr>
          <w:p>
            <w:pPr>
              <w:spacing w:after="0"/>
              <w:rPr>
                <w:sz w:val="24"/>
                <w:szCs w:val="24"/>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1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and Other non-current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2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340" w:type="dxa"/>
            <w:vAlign w:val="bottom"/>
          </w:tcPr>
          <w:p>
            <w:pPr>
              <w:spacing w:after="0"/>
              <w:rPr>
                <w:sz w:val="17"/>
                <w:szCs w:val="17"/>
                <w:color w:val="auto"/>
              </w:rPr>
            </w:pPr>
          </w:p>
        </w:tc>
        <w:tc>
          <w:tcPr>
            <w:tcW w:w="16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Q4 2023 Plan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 net</w:t>
            </w:r>
          </w:p>
        </w:tc>
        <w:tc>
          <w:tcPr>
            <w:tcW w:w="7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and benefit costs, net</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7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7200" w:type="dxa"/>
            <w:vAlign w:val="bottom"/>
            <w:tcBorders>
              <w:top w:val="single" w:sz="8" w:color="CCEEFF"/>
            </w:tcBorders>
            <w:gridSpan w:val="2"/>
            <w:vMerge w:val="continue"/>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2024</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gridSpan w:val="2"/>
            <w:vMerge w:val="continue"/>
          </w:tcPr>
          <w:p>
            <w:pPr>
              <w:spacing w:after="0"/>
              <w:rPr>
                <w:sz w:val="17"/>
                <w:szCs w:val="17"/>
                <w:color w:val="auto"/>
              </w:rPr>
            </w:pPr>
          </w:p>
        </w:tc>
        <w:tc>
          <w:tcPr>
            <w:tcW w:w="740" w:type="dxa"/>
            <w:vAlign w:val="bottom"/>
            <w:tcBorders>
              <w:bottom w:val="single" w:sz="8" w:color="auto"/>
            </w:tcBorders>
          </w:tcPr>
          <w:p>
            <w:pPr>
              <w:jc w:val="right"/>
              <w:ind w:right="553"/>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4,389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alleged breaches of fiduciary duties by the individual defendants in connection with Maxim’s agreement, as part of the merger negotiations with the Company, to suspend Maxim dividends for up to four quarters prior to the closing of the Company's acquisition of Maxim. The complaint further alleged that the Company aided and abetted those alleged breaches of fiduciary duties. The plaintiffs sought damages in an amount to be determined at trial, plaintiffs’ costs and disbursements, including reasonable attorneys’ and experts’ fees, costs and other expenses. On May 2, 2023, the Court of Chancery entered an order dismissing the action in its entirety and with prejudice. On May 9, 2023, the plaintiffs filed a Motion for Reargument, which the Court of Chancery denied on May 30, 2023. On June 21, 2023, the plaintiffs filed a Notice of Appeal to the Delaware Supreme Court. On February 26, 2024, the Delaware Supreme Court issued an order affirming the dismissal of the action.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1,683,843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670,304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727,315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266,599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3,076,495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3,252,757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5,252,078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2,082,869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2,146,320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837,176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917,392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6,983,952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9,589,055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1,332,244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1,904,496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940,317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1,126,796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2,312,209</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3,076,495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5,912,229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2,753,885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3,547,116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6,983,952</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9,589,055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August 3, 2024 and October 28, 2023. The tables exclude cash on hand and assets and liabilities that are measured at historical cost or any basis other than fair value. As of August 3, 2024 and October 28, 2023, the Company held $1,018.8 million and $642.1 million, respectively, of cash that 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excluded 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620,853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168,422</w:t>
            </w: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97,586</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1,632,042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(4)</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August 3, 2024 was $914.6 million.</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adjusted to fair value based on quoted market prices or are determined using a yield curve model based on current market rates.</w:t>
      </w:r>
    </w:p>
    <w:p>
      <w:pPr>
        <w:ind w:left="660" w:right="34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60" w:right="360" w:hanging="328"/>
        <w:spacing w:after="0" w:line="262"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60" w:hanging="328"/>
        <w:spacing w:after="0" w:line="255"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5"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($547.4 million and $547.2 million as of August 3, 2024 and October 28, 2023, respectively). The fair 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4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7,617,077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6,908,328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6,517,077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right="100" w:firstLine="44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Foreign Exchange Exposure Management </w:t>
      </w:r>
      <w:r>
        <w:rPr>
          <w:rFonts w:ascii="Times New Roman" w:cs="Times New Roman" w:eastAsia="Times New Roman" w:hAnsi="Times New Roman"/>
          <w:sz w:val="17"/>
          <w:szCs w:val="17"/>
          <w:color w:val="auto"/>
        </w:rPr>
        <w:t>— The total notional amounts of forward foreign currency derivative instruments designated as hedging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of cash flow hedges denominated in Euros, British Pounds, Philippine Pesos, Thai Baht, South Korean Won and Japanese Yen as of August 3, 2024 and October 28, 2023 were $262.6 million and $322.6 million, respectively. The fair values of forward foreign currency derivative instruments designated as hedging instruments in the Company’s Condensed Consolidated Balance Sheets as of August 3, 2024 and October 28,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445"/>
        <w:spacing w:after="0" w:line="263" w:lineRule="auto"/>
        <w:rPr>
          <w:sz w:val="20"/>
          <w:szCs w:val="20"/>
          <w:color w:val="auto"/>
        </w:rPr>
      </w:pPr>
      <w:r>
        <w:rPr>
          <w:rFonts w:ascii="Times New Roman" w:cs="Times New Roman" w:eastAsia="Times New Roman" w:hAnsi="Times New Roman"/>
          <w:sz w:val="18"/>
          <w:szCs w:val="18"/>
          <w:color w:val="auto"/>
        </w:rPr>
        <w:t>As of August 3, 2024 and October 28, 2023, the total notional amounts of undesignated hedges related to forward foreign currency exchange contracts were $167.1 million and $334.7 million, respectively. The fair values of undesignated hedges in the Company’s Condensed Consolidated Balance Sheets as of August 3, 2024 and October 28, 2023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300" w:val="left"/>
          <w:tab w:leader="none" w:pos="992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August 3, 2024</w:t>
      </w:r>
      <w:r>
        <w:rPr>
          <w:sz w:val="20"/>
          <w:szCs w:val="20"/>
          <w:color w:val="auto"/>
        </w:rPr>
        <w:tab/>
      </w:r>
      <w:r>
        <w:rPr>
          <w:rFonts w:ascii="Times New Roman" w:cs="Times New Roman" w:eastAsia="Times New Roman" w:hAnsi="Times New Roman"/>
          <w:sz w:val="14"/>
          <w:szCs w:val="14"/>
          <w:b w:val="1"/>
          <w:bCs w:val="1"/>
          <w:color w:val="auto"/>
        </w:rPr>
        <w:t>October 28, 2023</w:t>
      </w:r>
    </w:p>
    <w:p>
      <w:pPr>
        <w:sectPr>
          <w:pgSz w:w="11900" w:h="16838" w:orient="portrait"/>
          <w:cols w:equalWidth="0" w:num="1">
            <w:col w:w="11240"/>
          </w:cols>
          <w:pgMar w:left="320" w:top="1184"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5,026</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4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84" w:right="339" w:bottom="1440" w:gutter="0" w:footer="0" w:header="0"/>
          <w:type w:val="continuous"/>
        </w:sectPr>
      </w:pPr>
    </w:p>
    <w:p>
      <w:pPr>
        <w:ind w:right="20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4"/>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August 3, 2024 and October 28,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1,125,819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388,253</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1,642,214</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Notes Offering. </w:t>
      </w:r>
      <w:r>
        <w:rPr>
          <w:rFonts w:ascii="Times New Roman" w:cs="Times New Roman" w:eastAsia="Times New Roman" w:hAnsi="Times New Roman"/>
          <w:sz w:val="18"/>
          <w:szCs w:val="18"/>
          <w:color w:val="auto"/>
        </w:rPr>
        <w:t>On April 3, 2024, in an underwritten public offering, the Company issued $550.0 million aggregate principal amount of</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5.050% senior notes due April 1, 2034 (the 2034 Notes) with semi-annual fixed interest payments due on April 1 and October 1 of each year, commencing October 1, 2024. The net proceeds of the offering were $545.5 million, after discounts and issuance costs. Prior to January 1, 2034 (three months prior to the maturity date of the 2034 Notes), the Company may, at its option, redeem the 2034 Notes, in whole or in part, at any time and from time to time, at a redemption price equal to the greater of: (1) (a) the sum of the present values of the remaining scheduled payments of principal and interest thereon discounted to the redemption date (assuming the 2034 Notes matured on January 1, 2034) on a semi-annual basis at the applicable treasury rate plus 15 basis points less (b) interest accrued to the date of redemption, and (2) 100% of the principal amount of the 2034 Notes to be redeemed, plus, in either case, accrued and unpaid interest thereon to the redemption date. On or after January 1, 2034, the Company may, at its option, redeem the 2034 Notes, in whole or in part, at any time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at a redemption price equal to 100% of the principal amount of the 2034 Notes being redeemed plus accrued and unpaid interest thereon to the redemption date. The 2034 Notes are unsecured and rank equally in right of payment with all of the Company’s other existing and future unsecured senior indebtedness.</w:t>
      </w:r>
    </w:p>
    <w:p>
      <w:pPr>
        <w:spacing w:after="0" w:line="12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On April 3, 2024, in an underwritten public offering, the Company issued $550.0 million aggregate principal amount of 5.300% senior notes due April 1, 2054 (the 2054 Notes) with semi-annual fixed interest payments due on April 1 and October 1 of each year, commencing October 1, 2024. The net proceeds of the offering were $542.3 million, after discounts and issuance costs. Prior to October 1, 2053 (six months prior to the maturity date of the 2054 Notes), the Company may, at its option, redeem the 2054 Notes, in whole or in part, at any time and from time to time, at a redemption price equal to the greater of: (1) (a) the sum of the present values of the remaining scheduled payments of principal and interest thereon discounted to the redemption date (assuming the 2054 Notes matured on October 1, 2053) on a semi-annual basis at the applicable treasury rate plus 15 basis points less (b) interest accrued to the date of redemption, and (2) 100% of the principal amount of the 2054 Notes to be redeemed, plus, in either case, accrued and unpaid interest thereon to the redemption date. On or after October 1, 2053, the Company may, at its option, redeem the 2054 Notes, in whole or in part, at any time and from time to time, at a redemption price equal to 100% of the principal amount of the 2054 Notes being redeemed plus accrued and unpaid interest thereon to the redemption date. The 2054 Notes are unsecured and rank equally in right of payment with all of the Company’s other existing and future unsecured senior indebtedness.</w:t>
      </w:r>
    </w:p>
    <w:p>
      <w:pPr>
        <w:spacing w:after="0" w:line="138"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The 2034 Notes and the 2054 Notes were issued pursuant to a base indenture between the Company and The Bank of New York Mellon Trust Company, N.A., as trustee, as supplemented by a supplemental indenture, which contains certain covenants, events of default and other customary provisions. The covenants applicable to the 2034 Notes and the 2054 Notes limit the Company’s ability to incur, create, assume or guarantee any debt secured by a lien upon a principal property; enter into sale and lease-back transactions with respect to a principal property; and consolidate with or merge into, or transfer or lease all or substantially all of its assets to, any other party. As of August 3, 2024, the Company was in compliance with these covenants.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for the three- and nine-month periods ended August 3, 2024 and July 29, 2023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The mandatory capitalization requirement decreases the Company's effective tax rate primarily by increasing the foreign-derived intangible income deduction.</w:t>
      </w:r>
    </w:p>
    <w:p>
      <w:pPr>
        <w:spacing w:after="0" w:line="62"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balance of gross unrealized tax benefits, including accrued interest and penalties, could decrease by as much as approximately $142.0 million within the next twelve months due to the completion of tax audits, including any administrative appeals.</w:t>
      </w:r>
    </w:p>
    <w:p>
      <w:pPr>
        <w:spacing w:after="0" w:line="2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November 2, 2019 and November 3, 2018; a pre-acquisition IRS income tax audit for Maxim's fiscal years ended June 27, 2015 through August 26, 2021; and various U.S. state and local audits and international audits, including an Irish corporate tax audit for the fiscal year ended November 2, 2019. The Company's U.S. federal income tax returns prior to the fiscal year ended November 3, 2018 are no longer subject to examination, except for the applicable Maxim pre-acquisition fiscal years noted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10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 Accounting for Acquired Contract Assets and Contract Liabilities</w:t>
      </w:r>
      <w:r>
        <w:rPr>
          <w:rFonts w:ascii="Times New Roman" w:cs="Times New Roman" w:eastAsia="Times New Roman" w:hAnsi="Times New Roman"/>
          <w:sz w:val="18"/>
          <w:szCs w:val="18"/>
          <w:color w:val="auto"/>
        </w:rPr>
        <w:t>. Under this guidance (ASC 805-20-30-28), the acquirer should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The Company adopted ASU 2021-08 in the first quarter of fiscal 2024. Upon adoption, ASU 2021-08 did not have a material impact on the Company's financial position and results of operations.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position and results of operations.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position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August 20, 2024, the Board of Directors of the Company declared a cash dividend of $0.92 per outstanding share of common stock. The dividend will be paid on September 17, 2024 to all shareholders of record at the close of business on September 3, 2024 and is expected to total approximately $456.8 million.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5" w:right="399" w:bottom="1440" w:gutter="0" w:footer="0" w:header="0"/>
        </w:sectPr>
      </w:pPr>
    </w:p>
    <w:bookmarkStart w:id="16" w:name="page17"/>
    <w:bookmarkEnd w:id="16"/>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28, 2023 (fiscal 2023).</w:t>
      </w:r>
    </w:p>
    <w:p>
      <w:pPr>
        <w:spacing w:after="0" w:line="12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and other characterizations of future events or circumstances are forward-looking statements. Our actual results could differ materially from those anticipated in these forward-looking statements as a result of various factors.</w:t>
      </w:r>
    </w:p>
    <w:p>
      <w:pPr>
        <w:spacing w:after="0" w:line="139" w:lineRule="exact"/>
        <w:rPr>
          <w:sz w:val="20"/>
          <w:szCs w:val="20"/>
          <w:color w:val="auto"/>
        </w:rPr>
      </w:pPr>
    </w:p>
    <w:p>
      <w:pPr>
        <w:ind w:right="80" w:firstLine="445"/>
        <w:spacing w:after="0" w:line="269" w:lineRule="auto"/>
        <w:rPr>
          <w:sz w:val="20"/>
          <w:szCs w:val="20"/>
          <w:color w:val="auto"/>
        </w:rPr>
      </w:pPr>
      <w:r>
        <w:rPr>
          <w:rFonts w:ascii="Times New Roman" w:cs="Times New Roman" w:eastAsia="Times New Roman" w:hAnsi="Times New Roman"/>
          <w:sz w:val="17"/>
          <w:szCs w:val="17"/>
          <w:color w:val="auto"/>
        </w:rPr>
        <w:t>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relating to integrating Maxim;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2023.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2,312,209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3,076,495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(764,286)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392,232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877,019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(484,787)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49"/>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tcPr>
          <w:p>
            <w:pPr>
              <w:spacing w:after="0"/>
              <w:rPr>
                <w:sz w:val="24"/>
                <w:szCs w:val="24"/>
                <w:color w:val="auto"/>
              </w:rPr>
            </w:pPr>
          </w:p>
        </w:tc>
      </w:tr>
      <w:tr>
        <w:trPr>
          <w:trHeight w:val="2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6,983,952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9,589,055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(2,605,103)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1,157,201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2,816,149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25"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We have a 52-53 week fiscal year that ends on the Saturday closest to the last day in October. The fiscal year ending November 2, 2024 (fiscal 2024) is a 53-week fiscal year and fiscal 2023 was a 52-week fiscal year. The additional week in fiscal 2024 was included in the first quarter ended February 3, 2024. Therefore, the first nine months of fiscal 2024 included an additional week of operations as compared to the first nine months of fiscal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can vary over time. When this occurs, we reclassify revenue by end market for prior periods. Such reclassifications typically do not materially change the sizing of, or the underlying trends of results within, each end market.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9"/>
              </w:rPr>
              <w:t>July 29, 2023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9"/>
              </w:rPr>
              <w:t>July 29, 2023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3,252,757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5,252,078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2,082,869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837,176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12"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Revenue decreased 25% and 27% in the three- and nine-month periods ended August 3, 2024, respectively, as compared to the same periods of the prior fiscal year, primarily as a result of broad-based decline in demand for our products. The decrease in the nine-month period was partially offset by an additional week of operations in the first quarter of fiscal 2024 as compared to the first quarter of fiscal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1,332,244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1,904,496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940,317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3,076,495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4,115,836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5,912,229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2,753,885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3,547,116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9,589,055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market revenue trends.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3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2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1,311,239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1,961,615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3,965,215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6,230,502</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(2,265,287)</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decreased by 710 and 820 basis points in the three- and nine-month periods ended August 3, 2024, respectively, as compared to the same periods of the prior fiscal year, primarily due to lower utilization of our factories due to decreased customer demand and unfavorable product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362,671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423,751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1,108,960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1,253,600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(144,640)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1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R&amp;D expenses decreased in the three- and nine-month periods ended August 3, 2024, as compared to the same periods of the prior fiscal year. The decrease in the three-month period was primarily as a result of lower R&amp;D employee-related variable compensation expenses and lower salary and benefit expenses. The decrease in the nine-month period was primarily as a result of lower R&amp;D employee-related variable compensation expenses, partially offset by higher salary and benefit expenses and the impact of an additional week of operations in the first quarter of fiscal 2024 as compared to the first quarter of fiscal 2023.</w:t>
      </w:r>
    </w:p>
    <w:p>
      <w:pPr>
        <w:spacing w:after="0" w:line="12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SMG&amp;A</w:t>
            </w: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257,213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334,113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791,420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984,648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SMG&amp;A expenses decreased in the three- and nine-month periods ended August 3, 2024, as compared to the same periods of the prior fiscal year, primarily as a result of lower SMG&amp;A employee-related variable compensation expenses, salary and benefit expenses and discretionary spending. The decrease in the nine-month period was partially offset by an additional week of operations in the first quarter of fiscal 2024 as compared to the first quarter of fiscal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187,754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250,719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567,030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756,882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76"/>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as a % of</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 and nine-month periods ended August 3, 2024, as compared to the same periods of the prior fiscal year, primarily as a result of a portion of our acquired intangible assets becoming fully amortized during fiscal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1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14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Special charges,</w:t>
            </w: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46,675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3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Special charges, net decreased in the three- and nine-month periods ended August 3, 2024, as compared to the same periods of the prior fiscal year, primarily due to the timing of charges recorded in each period. Fiscal 2023 charges were primarily related to Global Repositioning Actions, while fiscal 2024 charges were primarily related to the Q4 2023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2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2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Operating</w:t>
            </w: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491,319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929,493</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(438,174)</w:t>
            </w: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1,463,406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3,188,697</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(1,725,291)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75"/>
        </w:trPr>
        <w:tc>
          <w:tcPr>
            <w:tcW w:w="1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as a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year-over-year decrease in operating income in the three-month period ended August 3, 2024 was primarily the result of a decrease in revenue, which contributed to a decrease in gross margin of $650.4 million, partially offset by a decrease of $212.2 million in net operating expenses.</w:t>
      </w:r>
    </w:p>
    <w:p>
      <w:pPr>
        <w:spacing w:after="0" w:line="10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year-over-year decrease in operating income in the nine-month period ended August 3, 2024 was primarily the result of a decrease in revenue, which contributed to a decrease in gross margin of $2,265.3 million, partially offset by a decrease of $540.0 million in net operating expenses.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w:t>
            </w:r>
          </w:p>
        </w:tc>
      </w:tr>
    </w:tbl>
    <w:p>
      <w:pPr>
        <w:spacing w:after="0" w:line="23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year-over-year increases in nonoperating expense (income) in the three- and nine-month periods ended August 3, 2024, as compared to the same periods of the prior fiscal year, were primarily the result of higher foreign currency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30,759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103,811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220,068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(116,257)</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2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nine-month periods ended August 3, 2024 and July 29, 2023 were below the U.S. statutory tax rate of 21% due to lower statutory tax rates applicable to our operations in the foreign jurisdictions in which we earn income. Our pretax income for the three- and nine-month periods ended August 3, 2024 and July 29, 2023 was primarily generated in Ireland at a tax rate of 12.5%.</w:t>
      </w:r>
    </w:p>
    <w:p>
      <w:pPr>
        <w:spacing w:after="0" w:line="120"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12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877,019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(484,787)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1,157,201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2,816,149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(1,658,948)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84"/>
        </w:trPr>
        <w:tc>
          <w:tcPr>
            <w:tcW w:w="1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as a</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420" w:firstLine="445"/>
        <w:spacing w:after="0" w:line="266" w:lineRule="auto"/>
        <w:rPr>
          <w:sz w:val="20"/>
          <w:szCs w:val="20"/>
          <w:color w:val="auto"/>
        </w:rPr>
      </w:pPr>
      <w:r>
        <w:rPr>
          <w:rFonts w:ascii="Times New Roman" w:cs="Times New Roman" w:eastAsia="Times New Roman" w:hAnsi="Times New Roman"/>
          <w:sz w:val="18"/>
          <w:szCs w:val="18"/>
          <w:color w:val="auto"/>
        </w:rPr>
        <w:t>Net income decreased in the three-month period ended August 3, 2024, as compared to the same period of the prior fiscal year, as the result of a $438.2 million decrease in operating income, a $33.0 million increase in provision for (benefit from) income taxes and a $13.7 million increase in nonoperating expense (income).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decreased in the nine-month period ended August 3, 2024, as compared to the same period of the prior fiscal year, as the result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$1,725.3 million decrease in operating income and a $49.9 million increase in nonoperating expense (income), partially offset by a $116.3 million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provision for (benefit from)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At August 3, 2024, our principal source of liquidity was $2.5 billion of cash, cash equivalents and short-term investments, of which approximately $1.4 billion was held in the United States, and the balance of our cash, cash equivalents and short-term investments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2" w:name="page23"/>
    <w:bookmarkEnd w:id="22"/>
    <w:p>
      <w:pPr>
        <w:ind w:right="36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2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2,801,712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3,630,340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(993,244)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(787,324)</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(660,497)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(3,164,342)</w:t>
            </w:r>
          </w:p>
        </w:tc>
      </w:tr>
    </w:tbl>
    <w:p>
      <w:pPr>
        <w:spacing w:after="0" w:line="179" w:lineRule="exact"/>
        <w:rPr>
          <w:sz w:val="20"/>
          <w:szCs w:val="20"/>
          <w:color w:val="auto"/>
        </w:rPr>
      </w:pPr>
    </w:p>
    <w:p>
      <w:pPr>
        <w:jc w:val="both"/>
        <w:ind w:right="4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nine-month period ended August 3, 2024 as compared to the same period in fiscal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decrease in cash provided by operating activities during the nine-month period ended August 3, 2024, as compared to the same period of the prior fiscal year, was mainly the result of lower net income adjusted for noncash items offset by changes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nine-month period ended August 3, 2024, as compared to the same period of the prior fiscal year, was primarily the result of the purchase of short-term investments, partially offset by a decrease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Financing cash flows generally consist of payments of dividends to stockholders, repurchases of common stock, issuance and repayment of debt and proceeds from the sale of shares of common stock pursuant to employee equity incentive plans. The change in cash used for financing activities during the nine-month period ended August 3, 2024, as compared to the same period of the prior fiscal year, was primarily the result of lower common stock repurchases and net proceeds from the issuance of debt during fiscal 2024.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20" w:hanging="332"/>
        <w:spacing w:after="0" w:line="293"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4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 and decreased revenue levels in the third quarter of fiscal 2024 as compared to the fourth quarter of fiscal 2023.</w:t>
      </w:r>
    </w:p>
    <w:p>
      <w:pPr>
        <w:spacing w:after="0" w:line="5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Inventory decreased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$3,226.6 million at August 3, 2024 as compared to $3,201.0 million at the end of fiscal 2023 due to higher current debt and income taxes payable, partially offset by lower accrued liabilities and accounts payable.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August 3, 2024,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547,443</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8,164,520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3, 2024,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August 3, 2024, we had $547.4 million of outstanding borrowings under the commercial paper program recorded in the Condensed Consolidated Balance Sheet. We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August 3, 2024, we were in compliance with these covenants.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August 3, 2024, an additional $1.7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$565.1 million in the first nine months of fiscal 2024. We expect capital expenditures for fiscal 2024 to be between approximately $650 million and $750 million. These capital expenditures will be funded with a combination of cash on hand and cash expected to be generated from future operations, together with existing and anticipated available short- and long-term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August 20, 2024, our Board of Directors declared a cash dividend of $0.92 per outstanding share of common stock. The dividend will be paid on September 17, 2024 to all shareholders of record at the close of business on September 3, 2024 and is expected to total approximately $456.8 million. We currently expect quarterly dividends to continue in future periods. The payment of any future quarterly dividends, or a future increase in the quarterly dividend amount, will be at the discretion of the Board of Directors and will be dependent upon our financial position, results of operations, outlook, liquidity and other factors deemed relevant by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fiscal 2024, we issued $550.0 million aggregate principal amount of 5.050% senior unsecured notes due April 1, 2034 (2034 Notes) and $550.0 million aggregate principal amount of 5.300% senior unsecured notes due April 1, 2054 (2054 Notes). The 2034 Notes and the 2054 Notes have semi-annual fixed interest payments due on April 1 and October 1 of each year, commencing October 1, 2024.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8" w:right="419" w:bottom="1440" w:gutter="0" w:footer="0" w:header="0"/>
        </w:sectPr>
      </w:pPr>
    </w:p>
    <w:bookmarkStart w:id="25" w:name="page26"/>
    <w:bookmarkEnd w:id="2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October 28, 2023, which was filed with the Securities and Exchange Commission on November 21, 2023.</w:t>
      </w:r>
    </w:p>
    <w:p>
      <w:pPr>
        <w:spacing w:after="0" w:line="11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August 3,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3, 2024,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August 3,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right="2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Condensed Consolidated Financial Statements in Part I, Item 1 of this Quarterly Report on Form 10-Q.</w:t>
      </w:r>
    </w:p>
    <w:p>
      <w:pPr>
        <w:spacing w:after="0" w:line="1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28, 2023, which was filed with the Securities and Exchange Commission on November 21, 2023.</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5, 2024 through June 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1,761,966,880</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 2024 through June 29,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1,751,134,187</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 through August 3,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1,733,383,875</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1,733,383,875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40" w:hanging="328"/>
        <w:spacing w:after="0" w:line="261"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145,015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3"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37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or officers during the third quarter of fiscal 2024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27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w:t>
            </w: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Purchased or Sold</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jc w:val="center"/>
              <w:ind w:right="75"/>
              <w:spacing w:after="0" w:line="174" w:lineRule="exact"/>
              <w:rPr>
                <w:sz w:val="20"/>
                <w:szCs w:val="20"/>
                <w:color w:val="auto"/>
              </w:rPr>
            </w:pPr>
            <w:r>
              <w:rPr>
                <w:rFonts w:ascii="Times New Roman" w:cs="Times New Roman" w:eastAsia="Times New Roman" w:hAnsi="Times New Roman"/>
                <w:sz w:val="18"/>
                <w:szCs w:val="18"/>
                <w:color w:val="auto"/>
              </w:rPr>
              <w:t>Gregory Bryant</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25, 2024</w:t>
            </w:r>
          </w:p>
        </w:tc>
        <w:tc>
          <w:tcPr>
            <w:tcW w:w="378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Until June 30, 2025, or such earlier date upon</w:t>
            </w: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Sale of up to 203,944 shares</w:t>
            </w:r>
            <w:r>
              <w:rPr>
                <w:rFonts w:ascii="Times New Roman" w:cs="Times New Roman" w:eastAsia="Times New Roman" w:hAnsi="Times New Roman"/>
                <w:sz w:val="23"/>
                <w:szCs w:val="23"/>
                <w:color w:val="auto"/>
                <w:w w:val="98"/>
                <w:vertAlign w:val="superscript"/>
              </w:rPr>
              <w:t>(1)</w:t>
            </w: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jc w:val="center"/>
              <w:ind w:right="75"/>
              <w:spacing w:after="0" w:line="184" w:lineRule="exact"/>
              <w:rPr>
                <w:sz w:val="20"/>
                <w:szCs w:val="20"/>
                <w:color w:val="auto"/>
              </w:rPr>
            </w:pPr>
            <w:r>
              <w:rPr>
                <w:rFonts w:ascii="Times New Roman" w:cs="Times New Roman" w:eastAsia="Times New Roman" w:hAnsi="Times New Roman"/>
                <w:sz w:val="18"/>
                <w:szCs w:val="18"/>
                <w:color w:val="auto"/>
                <w:w w:val="99"/>
              </w:rPr>
              <w:t>Executive Vice President and President</w:t>
            </w:r>
          </w:p>
        </w:tc>
        <w:tc>
          <w:tcPr>
            <w:tcW w:w="1560" w:type="dxa"/>
            <w:vAlign w:val="bottom"/>
            <w:vMerge w:val="continue"/>
            <w:shd w:val="clear" w:color="auto" w:fill="CCEEFF"/>
          </w:tcPr>
          <w:p>
            <w:pPr>
              <w:spacing w:after="0"/>
              <w:rPr>
                <w:sz w:val="16"/>
                <w:szCs w:val="16"/>
                <w:color w:val="auto"/>
              </w:rPr>
            </w:pPr>
          </w:p>
        </w:tc>
        <w:tc>
          <w:tcPr>
            <w:tcW w:w="37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which all transactions are completed or expire</w:t>
            </w:r>
          </w:p>
        </w:tc>
        <w:tc>
          <w:tcPr>
            <w:tcW w:w="2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of Business Units</w:t>
            </w:r>
          </w:p>
        </w:tc>
        <w:tc>
          <w:tcPr>
            <w:tcW w:w="1560" w:type="dxa"/>
            <w:vAlign w:val="bottom"/>
            <w:shd w:val="clear" w:color="auto" w:fill="CCEEFF"/>
          </w:tcPr>
          <w:p>
            <w:pPr>
              <w:spacing w:after="0"/>
              <w:rPr>
                <w:sz w:val="20"/>
                <w:szCs w:val="20"/>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2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2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shares owned outright and 35,187 shares underlying restricted stock units (RSUs). Also includes 118,757 shares underlying performance-based RSUs (PRSUs) as described in the table below. PRSUs may be earned based on the achievement of Company performance targets anywhere from zero to 200% of the target award.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Shares Underlying PRSUs</w:t>
            </w:r>
          </w:p>
        </w:tc>
        <w:tc>
          <w:tcPr>
            <w:tcW w:w="2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Shares Earned to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that</w:t>
            </w:r>
          </w:p>
        </w:tc>
        <w:tc>
          <w:tcPr>
            <w:tcW w:w="24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Total Shares Issued</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vMerge w:val="continue"/>
          </w:tcPr>
          <w:p>
            <w:pPr>
              <w:spacing w:after="0"/>
              <w:rPr>
                <w:sz w:val="17"/>
                <w:szCs w:val="17"/>
                <w:color w:val="auto"/>
              </w:rPr>
            </w:pPr>
          </w:p>
        </w:tc>
        <w:tc>
          <w:tcPr>
            <w:tcW w:w="282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May be Earned</w:t>
            </w:r>
          </w:p>
        </w:tc>
        <w:tc>
          <w:tcPr>
            <w:tcW w:w="2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6"/>
              </w:rPr>
              <w:t>10,615</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21,230</w:t>
            </w:r>
          </w:p>
        </w:tc>
        <w:tc>
          <w:tcPr>
            <w:tcW w:w="24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3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6"/>
              </w:rPr>
              <w:t>80,046</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120,069</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9"/>
              </w:rPr>
              <w:t>69,820*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6"/>
              </w:rPr>
              <w:t>28,096</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22,472</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33,708</w:t>
            </w:r>
          </w:p>
        </w:tc>
        <w:tc>
          <w:tcPr>
            <w:tcW w:w="24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*Represents the total number of shares actually earned and vested, less shares withheld by the Company in satisfaction of withholding taxes, that may be sold. For both RSUs and PRSUs, the Company withholds shares in payment of withholding taxes in connection with the vesting of such awards.</w:t>
      </w:r>
    </w:p>
    <w:p>
      <w:pPr>
        <w:spacing w:after="0" w:line="10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terminated a Rule 10b5-1 trading arrangement or adopted or terminated a non-Rule 10b5-1 trading arrangement (as defined in Item 408(c) of Regulation S-K) during the third quarter of fiscal 2024.</w:t>
      </w:r>
    </w:p>
    <w:p>
      <w:pPr>
        <w:spacing w:after="0" w:line="108"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our Quarterly Report on Form 10-Q for the period ended May 4, 2024, which was filed with the Securities and Exchange Commission on May 22, 2024, we reported the adoption of a Rule 10b5-1 trading arrangement by Vincent Roche, our Chief Executive Officer and Chair of the Board of Directors. The disclosure inadvertently omitted 29,983 shares that may be sold under such Rule 10b5-1 trading arrangement. The correct amount of the total number of shares that may be sold under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 is 120,000. As contemplated by the Rule 10b5-1 trading arrangement, the schedule for sales of the 29,983 shares begins in March 2025, and as of the date of this report, none of those shares have been sold.</w:t>
      </w:r>
    </w:p>
    <w:p>
      <w:pPr>
        <w:spacing w:after="0" w:line="200" w:lineRule="exact"/>
        <w:rPr>
          <w:sz w:val="20"/>
          <w:szCs w:val="20"/>
          <w:color w:val="auto"/>
        </w:rPr>
      </w:pPr>
    </w:p>
    <w:p>
      <w:pPr>
        <w:spacing w:after="0" w:line="2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4" w:right="75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8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3920" w:type="dxa"/>
            <w:vAlign w:val="bottom"/>
            <w:gridSpan w:val="2"/>
          </w:tcPr>
          <w:p>
            <w:pPr>
              <w:spacing w:after="0"/>
              <w:rPr>
                <w:sz w:val="18"/>
                <w:szCs w:val="18"/>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3"/>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r>
      <w:tr>
        <w:trPr>
          <w:trHeight w:val="205"/>
        </w:trPr>
        <w:tc>
          <w:tcPr>
            <w:tcW w:w="10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80" w:type="dxa"/>
            <w:vAlign w:val="bottom"/>
          </w:tcPr>
          <w:p>
            <w:pPr>
              <w:spacing w:after="0"/>
              <w:rPr>
                <w:sz w:val="17"/>
                <w:szCs w:val="17"/>
                <w:color w:val="auto"/>
              </w:rPr>
            </w:pPr>
          </w:p>
        </w:tc>
        <w:tc>
          <w:tcPr>
            <w:tcW w:w="938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19"/>
                <w:szCs w:val="19"/>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spacing w:after="0"/>
              <w:rPr>
                <w:sz w:val="20"/>
                <w:szCs w:val="20"/>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560" w:right="180" w:hanging="1140"/>
        <w:spacing w:after="0" w:line="24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560" w:right="100" w:hanging="1050"/>
        <w:spacing w:after="0" w:line="222" w:lineRule="auto"/>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560" w:hanging="1095"/>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 Statements of Income for the three- and nine-months ended August 3, 2024 and July 29, 2023, (ii) Condensed Consolidated Statements of Comprehensive Income for the three- and nine-months ended August 3, 2024 and July 29, 2023, (iii) Condensed Consolidated Balance Sheets at August 3, 2024 and October 28, 2023, (iv) Condensed Consolidated Statements of Shareholders' Equity for the three- and nine-months ended August 3, 2024 and July 29, 2023, (v) Condensed Consolidated Statements of Cash Flows for the nine months ended August 3, 2024 and July 29, 2023 and (vi) Notes to Condensed Consolidated Financial Statements for the three- and nine-months ended August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2024</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2024</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29"/>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320" w:top="1008" w:right="6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21, 2024</w:t>
      </w:r>
    </w:p>
    <w:p>
      <w:pPr>
        <w:sectPr>
          <w:pgSz w:w="11900" w:h="16838" w:orient="portrait"/>
          <w:cols w:equalWidth="0" w:num="1">
            <w:col w:w="11240"/>
          </w:cols>
          <w:pgMar w:left="320" w:top="91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21, 2024</w:t>
      </w:r>
    </w:p>
    <w:p>
      <w:pPr>
        <w:sectPr>
          <w:pgSz w:w="11900" w:h="16838" w:orient="portrait"/>
          <w:cols w:equalWidth="0" w:num="1">
            <w:col w:w="11240"/>
          </w:cols>
          <w:pgMar w:left="320" w:top="91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August 3, 2024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August 21, 2024</w:t>
      </w:r>
    </w:p>
    <w:p>
      <w:pPr>
        <w:sectPr>
          <w:pgSz w:w="11900" w:h="16838" w:orient="portrait"/>
          <w:cols w:equalWidth="0" w:num="1">
            <w:col w:w="11240"/>
          </w:cols>
          <w:pgMar w:left="320" w:top="91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August 3, 2024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August 21, 2024</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0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2024-08-21T06:24:15Z</dcterms:created>
  <dcterms:modified xsi:type="dcterms:W3CDTF">2024-08-21T06:24:15Z</dcterms:modified>
</cp:coreProperties>
</file>