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00943ds3asr.htm"/>
        <w:bookmarkStart w:id="1" w:name="ksd200943ds3asr"/>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September 24, 2021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ANALOG DEVICES,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jc w:val="center"/>
              <w:rPr>
                <w:b/>
              </w:rPr>
            </w:pPr>
            <w:r>
              <w:rPr>
                <w:b/>
              </w:rPr>
              <w:t>Massachusetts</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04-2348234</w:t>
            </w:r>
          </w:p>
        </w:tc>
      </w:tr>
      <w:tr>
        <w:trPr/>
        <w:tc>
          <w:tcPr>
            <w:tcW w:w="515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240" w:after="0"/>
        <w:jc w:val="center"/>
        <w:rPr>
          <w:rFonts w:ascii="Times New Roman" w:hAnsi="Times New Roman"/>
          <w:b/>
          <w:sz w:val="20"/>
        </w:rPr>
      </w:pPr>
      <w:r>
        <w:rPr>
          <w:rFonts w:ascii="Times New Roman" w:hAnsi="Times New Roman"/>
          <w:b/>
          <w:sz w:val="20"/>
        </w:rPr>
        <w:t xml:space="preserve">One Analog Way </w:t>
      </w:r>
    </w:p>
    <w:p>
      <w:pPr>
        <w:pStyle w:val="TextBody"/>
        <w:spacing w:before="0" w:after="0"/>
        <w:jc w:val="center"/>
        <w:rPr>
          <w:rFonts w:ascii="Times New Roman" w:hAnsi="Times New Roman"/>
          <w:b/>
          <w:sz w:val="20"/>
        </w:rPr>
      </w:pPr>
      <w:r>
        <w:rPr>
          <w:rFonts w:ascii="Times New Roman" w:hAnsi="Times New Roman"/>
          <w:b/>
          <w:sz w:val="20"/>
        </w:rPr>
        <w:t xml:space="preserve">Wilmington, MA 01887 </w:t>
      </w:r>
    </w:p>
    <w:p>
      <w:pPr>
        <w:pStyle w:val="TextBody"/>
        <w:spacing w:before="0" w:after="0"/>
        <w:jc w:val="center"/>
        <w:rPr>
          <w:rFonts w:ascii="Times New Roman" w:hAnsi="Times New Roman"/>
          <w:b/>
          <w:sz w:val="20"/>
        </w:rPr>
      </w:pPr>
      <w:r>
        <w:rPr>
          <w:rFonts w:ascii="Times New Roman" w:hAnsi="Times New Roman"/>
          <w:b/>
          <w:sz w:val="20"/>
        </w:rPr>
        <w:t xml:space="preserve">Telephone: 781-329-4700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Janene I. Asgeirsson, Esq. </w:t>
      </w:r>
    </w:p>
    <w:p>
      <w:pPr>
        <w:pStyle w:val="TextBody"/>
        <w:spacing w:before="0" w:after="0"/>
        <w:jc w:val="center"/>
        <w:rPr>
          <w:rFonts w:ascii="Times New Roman" w:hAnsi="Times New Roman"/>
          <w:b/>
          <w:sz w:val="20"/>
        </w:rPr>
      </w:pPr>
      <w:r>
        <w:rPr>
          <w:rFonts w:ascii="Times New Roman" w:hAnsi="Times New Roman"/>
          <w:b/>
          <w:sz w:val="20"/>
        </w:rPr>
        <w:t xml:space="preserve">Chief Legal Officer </w:t>
      </w:r>
    </w:p>
    <w:p>
      <w:pPr>
        <w:pStyle w:val="TextBody"/>
        <w:spacing w:before="0" w:after="0"/>
        <w:jc w:val="center"/>
        <w:rPr>
          <w:rFonts w:ascii="Times New Roman" w:hAnsi="Times New Roman"/>
          <w:b/>
          <w:sz w:val="20"/>
        </w:rPr>
      </w:pPr>
      <w:r>
        <w:rPr>
          <w:rFonts w:ascii="Times New Roman" w:hAnsi="Times New Roman"/>
          <w:b/>
          <w:sz w:val="20"/>
        </w:rPr>
        <w:t xml:space="preserve">One Analog Way </w:t>
      </w:r>
    </w:p>
    <w:p>
      <w:pPr>
        <w:pStyle w:val="TextBody"/>
        <w:spacing w:before="0" w:after="0"/>
        <w:jc w:val="center"/>
        <w:rPr>
          <w:rFonts w:ascii="Times New Roman" w:hAnsi="Times New Roman"/>
          <w:b/>
          <w:sz w:val="20"/>
        </w:rPr>
      </w:pPr>
      <w:r>
        <w:rPr>
          <w:rFonts w:ascii="Times New Roman" w:hAnsi="Times New Roman"/>
          <w:b/>
          <w:sz w:val="20"/>
        </w:rPr>
        <w:t xml:space="preserve">Wilmington, MA 01887 </w:t>
      </w:r>
    </w:p>
    <w:p>
      <w:pPr>
        <w:pStyle w:val="TextBody"/>
        <w:spacing w:before="0" w:after="0"/>
        <w:jc w:val="center"/>
        <w:rPr>
          <w:rFonts w:ascii="Times New Roman" w:hAnsi="Times New Roman"/>
          <w:b/>
          <w:sz w:val="20"/>
        </w:rPr>
      </w:pPr>
      <w:r>
        <w:rPr>
          <w:rFonts w:ascii="Times New Roman" w:hAnsi="Times New Roman"/>
          <w:b/>
          <w:sz w:val="20"/>
        </w:rPr>
        <w:t xml:space="preserve">Telephone: 781-329-4700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i/>
          <w:sz w:val="20"/>
        </w:rPr>
      </w:pPr>
      <w:r>
        <w:rPr>
          <w:rFonts w:ascii="Times New Roman" w:hAnsi="Times New Roman"/>
          <w:b/>
          <w:i/>
          <w:sz w:val="20"/>
        </w:rPr>
        <w:t xml:space="preserve">Copy to: </w:t>
      </w:r>
    </w:p>
    <w:p>
      <w:pPr>
        <w:pStyle w:val="TextBody"/>
        <w:spacing w:before="120" w:after="0"/>
        <w:jc w:val="center"/>
        <w:rPr>
          <w:rFonts w:ascii="Times New Roman" w:hAnsi="Times New Roman"/>
          <w:b/>
          <w:sz w:val="20"/>
        </w:rPr>
      </w:pPr>
      <w:r>
        <w:rPr>
          <w:rFonts w:ascii="Times New Roman" w:hAnsi="Times New Roman"/>
          <w:b/>
          <w:sz w:val="20"/>
        </w:rPr>
        <w:t xml:space="preserve">Jason L. Kropp, Esq. </w:t>
      </w:r>
    </w:p>
    <w:p>
      <w:pPr>
        <w:pStyle w:val="TextBody"/>
        <w:spacing w:before="0" w:after="0"/>
        <w:jc w:val="center"/>
        <w:rPr>
          <w:rFonts w:ascii="Times New Roman" w:hAnsi="Times New Roman"/>
          <w:b/>
          <w:sz w:val="20"/>
        </w:rPr>
      </w:pPr>
      <w:r>
        <w:rPr>
          <w:rFonts w:ascii="Times New Roman" w:hAnsi="Times New Roman"/>
          <w:b/>
          <w:sz w:val="20"/>
        </w:rPr>
        <w:t xml:space="preserve">Erika L. Robinson, Esq. </w:t>
      </w:r>
    </w:p>
    <w:p>
      <w:pPr>
        <w:pStyle w:val="TextBody"/>
        <w:spacing w:before="0" w:after="0"/>
        <w:jc w:val="center"/>
        <w:rPr>
          <w:rFonts w:ascii="Times New Roman" w:hAnsi="Times New Roman"/>
          <w:b/>
          <w:sz w:val="20"/>
        </w:rPr>
      </w:pPr>
      <w:r>
        <w:rPr>
          <w:rFonts w:ascii="Times New Roman" w:hAnsi="Times New Roman"/>
          <w:b/>
          <w:sz w:val="20"/>
        </w:rPr>
        <w:t xml:space="preserve">Wilmer Cutler Pickering Hale and Dorr LLP </w:t>
      </w:r>
    </w:p>
    <w:p>
      <w:pPr>
        <w:pStyle w:val="TextBody"/>
        <w:spacing w:before="0" w:after="0"/>
        <w:jc w:val="center"/>
        <w:rPr>
          <w:rFonts w:ascii="Times New Roman" w:hAnsi="Times New Roman"/>
          <w:b/>
          <w:sz w:val="20"/>
        </w:rPr>
      </w:pPr>
      <w:r>
        <w:rPr>
          <w:rFonts w:ascii="Times New Roman" w:hAnsi="Times New Roman"/>
          <w:b/>
          <w:sz w:val="20"/>
        </w:rPr>
        <w:t xml:space="preserve">7 World Trade Center </w:t>
      </w:r>
    </w:p>
    <w:p>
      <w:pPr>
        <w:pStyle w:val="TextBody"/>
        <w:spacing w:before="0" w:after="0"/>
        <w:jc w:val="center"/>
        <w:rPr>
          <w:rFonts w:ascii="Times New Roman" w:hAnsi="Times New Roman"/>
          <w:b/>
          <w:sz w:val="20"/>
        </w:rPr>
      </w:pPr>
      <w:r>
        <w:rPr>
          <w:rFonts w:ascii="Times New Roman" w:hAnsi="Times New Roman"/>
          <w:b/>
          <w:sz w:val="20"/>
        </w:rPr>
        <w:t xml:space="preserve">250 Greenwich Street </w:t>
      </w:r>
    </w:p>
    <w:p>
      <w:pPr>
        <w:pStyle w:val="TextBody"/>
        <w:spacing w:before="0" w:after="0"/>
        <w:jc w:val="center"/>
        <w:rPr>
          <w:rFonts w:ascii="Times New Roman" w:hAnsi="Times New Roman"/>
          <w:b/>
          <w:sz w:val="20"/>
        </w:rPr>
      </w:pPr>
      <w:r>
        <w:rPr>
          <w:rFonts w:ascii="Times New Roman" w:hAnsi="Times New Roman"/>
          <w:b/>
          <w:sz w:val="20"/>
        </w:rPr>
        <w:t xml:space="preserve">New York, New York 10007 </w:t>
      </w:r>
    </w:p>
    <w:p>
      <w:pPr>
        <w:pStyle w:val="TextBody"/>
        <w:spacing w:before="0" w:after="0"/>
        <w:jc w:val="center"/>
        <w:rPr>
          <w:rFonts w:ascii="Times New Roman" w:hAnsi="Times New Roman"/>
          <w:b/>
          <w:sz w:val="20"/>
        </w:rPr>
      </w:pPr>
      <w:r>
        <w:rPr>
          <w:rFonts w:ascii="Times New Roman" w:hAnsi="Times New Roman"/>
          <w:b/>
          <w:sz w:val="20"/>
        </w:rPr>
        <w:t xml:space="preserve">212-230-8800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23"/>
        <w:gridCol w:w="103"/>
        <w:gridCol w:w="4514"/>
        <w:gridCol w:w="120"/>
        <w:gridCol w:w="2800"/>
        <w:gridCol w:w="103"/>
        <w:gridCol w:w="242"/>
      </w:tblGrid>
      <w:tr>
        <w:trPr/>
        <w:tc>
          <w:tcPr>
            <w:tcW w:w="232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5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323"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514"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rHeight w:val="120" w:hRule="atLeast"/>
        </w:trPr>
        <w:tc>
          <w:tcPr>
            <w:tcW w:w="2323" w:type="dxa"/>
            <w:tcBorders/>
            <w:shd w:fill="auto" w:val="clear"/>
            <w:vAlign w:val="center"/>
          </w:tcPr>
          <w:p>
            <w:pPr>
              <w:pStyle w:val="TableContents"/>
              <w:spacing w:before="0" w:after="283"/>
              <w:rPr>
                <w:sz w:val="4"/>
                <w:szCs w:val="4"/>
              </w:rPr>
            </w:pPr>
            <w:r>
              <w:rPr>
                <w:sz w:val="4"/>
                <w:szCs w:val="4"/>
              </w:rPr>
            </w:r>
          </w:p>
        </w:tc>
        <w:tc>
          <w:tcPr>
            <w:tcW w:w="4617" w:type="dxa"/>
            <w:gridSpan w:val="2"/>
            <w:tcBorders/>
            <w:shd w:fill="auto" w:val="clear"/>
            <w:vAlign w:val="center"/>
          </w:tcPr>
          <w:p>
            <w:pPr>
              <w:pStyle w:val="TableContents"/>
              <w:spacing w:before="0" w:after="283"/>
              <w:rPr>
                <w:sz w:val="4"/>
                <w:szCs w:val="4"/>
              </w:rPr>
            </w:pPr>
            <w:r>
              <w:rPr>
                <w:sz w:val="4"/>
                <w:szCs w:val="4"/>
              </w:rPr>
            </w:r>
          </w:p>
        </w:tc>
        <w:tc>
          <w:tcPr>
            <w:tcW w:w="2920" w:type="dxa"/>
            <w:gridSpan w:val="2"/>
            <w:tcBorders/>
            <w:shd w:fill="auto" w:val="clear"/>
            <w:vAlign w:val="center"/>
          </w:tcPr>
          <w:p>
            <w:pPr>
              <w:pStyle w:val="TableContents"/>
              <w:spacing w:before="0" w:after="283"/>
              <w:rPr>
                <w:sz w:val="4"/>
                <w:szCs w:val="4"/>
              </w:rPr>
            </w:pPr>
            <w:r>
              <w:rPr>
                <w:sz w:val="4"/>
                <w:szCs w:val="4"/>
              </w:rPr>
            </w:r>
          </w:p>
        </w:tc>
        <w:tc>
          <w:tcPr>
            <w:tcW w:w="345" w:type="dxa"/>
            <w:gridSpan w:val="2"/>
            <w:tcBorders/>
            <w:shd w:fill="auto" w:val="clear"/>
            <w:vAlign w:val="center"/>
          </w:tcPr>
          <w:p>
            <w:pPr>
              <w:pStyle w:val="TableContents"/>
              <w:spacing w:before="0" w:after="283"/>
              <w:rPr>
                <w:sz w:val="4"/>
                <w:szCs w:val="4"/>
              </w:rPr>
            </w:pPr>
            <w:r>
              <w:rPr>
                <w:sz w:val="4"/>
                <w:szCs w:val="4"/>
              </w:rPr>
            </w:r>
          </w:p>
        </w:tc>
      </w:tr>
      <w:tr>
        <w:trPr/>
        <w:tc>
          <w:tcPr>
            <w:tcW w:w="2323"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514"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rHeight w:val="120" w:hRule="atLeast"/>
        </w:trPr>
        <w:tc>
          <w:tcPr>
            <w:tcW w:w="2323" w:type="dxa"/>
            <w:tcBorders/>
            <w:shd w:fill="auto" w:val="clear"/>
            <w:vAlign w:val="center"/>
          </w:tcPr>
          <w:p>
            <w:pPr>
              <w:pStyle w:val="TableContents"/>
              <w:spacing w:before="0" w:after="283"/>
              <w:rPr>
                <w:sz w:val="4"/>
                <w:szCs w:val="4"/>
              </w:rPr>
            </w:pPr>
            <w:r>
              <w:rPr>
                <w:sz w:val="4"/>
                <w:szCs w:val="4"/>
              </w:rPr>
            </w:r>
          </w:p>
        </w:tc>
        <w:tc>
          <w:tcPr>
            <w:tcW w:w="4617" w:type="dxa"/>
            <w:gridSpan w:val="2"/>
            <w:tcBorders/>
            <w:shd w:fill="auto" w:val="clear"/>
            <w:vAlign w:val="center"/>
          </w:tcPr>
          <w:p>
            <w:pPr>
              <w:pStyle w:val="TableContents"/>
              <w:spacing w:before="0" w:after="283"/>
              <w:rPr>
                <w:sz w:val="4"/>
                <w:szCs w:val="4"/>
              </w:rPr>
            </w:pPr>
            <w:r>
              <w:rPr>
                <w:sz w:val="4"/>
                <w:szCs w:val="4"/>
              </w:rPr>
            </w:r>
          </w:p>
        </w:tc>
        <w:tc>
          <w:tcPr>
            <w:tcW w:w="2920" w:type="dxa"/>
            <w:gridSpan w:val="2"/>
            <w:tcBorders/>
            <w:shd w:fill="auto" w:val="clear"/>
            <w:vAlign w:val="center"/>
          </w:tcPr>
          <w:p>
            <w:pPr>
              <w:pStyle w:val="TableContents"/>
              <w:spacing w:before="0" w:after="283"/>
              <w:rPr>
                <w:sz w:val="4"/>
                <w:szCs w:val="4"/>
              </w:rPr>
            </w:pPr>
            <w:r>
              <w:rPr>
                <w:sz w:val="4"/>
                <w:szCs w:val="4"/>
              </w:rPr>
            </w:r>
          </w:p>
        </w:tc>
        <w:tc>
          <w:tcPr>
            <w:tcW w:w="345" w:type="dxa"/>
            <w:gridSpan w:val="2"/>
            <w:tcBorders/>
            <w:shd w:fill="auto" w:val="clear"/>
            <w:vAlign w:val="center"/>
          </w:tcPr>
          <w:p>
            <w:pPr>
              <w:pStyle w:val="TableContents"/>
              <w:spacing w:before="0" w:after="283"/>
              <w:rPr>
                <w:sz w:val="4"/>
                <w:szCs w:val="4"/>
              </w:rPr>
            </w:pPr>
            <w:r>
              <w:rPr>
                <w:sz w:val="4"/>
                <w:szCs w:val="4"/>
              </w:rPr>
            </w:r>
          </w:p>
        </w:tc>
      </w:tr>
      <w:tr>
        <w:trPr/>
        <w:tc>
          <w:tcPr>
            <w:tcW w:w="2323"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51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18"/>
        <w:gridCol w:w="100"/>
        <w:gridCol w:w="1629"/>
        <w:gridCol w:w="100"/>
        <w:gridCol w:w="1675"/>
        <w:gridCol w:w="100"/>
        <w:gridCol w:w="1675"/>
        <w:gridCol w:w="100"/>
        <w:gridCol w:w="1708"/>
      </w:tblGrid>
      <w:tr>
        <w:trPr/>
        <w:tc>
          <w:tcPr>
            <w:tcW w:w="311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r>
        <w:trPr/>
        <w:tc>
          <w:tcPr>
            <w:tcW w:w="3118" w:type="dxa"/>
            <w:tcBorders>
              <w:top w:val="single" w:sz="2" w:space="0" w:color="000000"/>
            </w:tcBorders>
            <w:shd w:fill="auto" w:val="clear"/>
            <w:tcMar>
              <w:top w:w="28" w:type="dxa"/>
            </w:tcMar>
            <w:vAlign w:val="bottom"/>
          </w:tcPr>
          <w:p>
            <w:pPr>
              <w:pStyle w:val="TableContents"/>
              <w:spacing w:before="0" w:after="283"/>
              <w:jc w:val="center"/>
              <w:rPr>
                <w:b/>
              </w:rPr>
            </w:pPr>
            <w:r>
              <w:rPr>
                <w:b/>
              </w:rPr>
              <w:t>Title of Each Class of</w:t>
              <w:br/>
              <w:t>Securities to be Registered</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9" w:type="dxa"/>
            <w:tcBorders>
              <w:top w:val="single" w:sz="2" w:space="0" w:color="000000"/>
            </w:tcBorders>
            <w:shd w:fill="auto" w:val="clear"/>
            <w:tcMar>
              <w:top w:w="28" w:type="dxa"/>
            </w:tcMar>
            <w:vAlign w:val="bottom"/>
          </w:tcPr>
          <w:p>
            <w:pPr>
              <w:pStyle w:val="TableContents"/>
              <w:spacing w:before="0" w:after="283"/>
              <w:jc w:val="center"/>
              <w:rPr>
                <w:b/>
              </w:rPr>
            </w:pPr>
            <w:r>
              <w:rPr>
                <w:b/>
              </w:rPr>
              <w:t>Amount</w:t>
              <w:br/>
              <w:t>to be</w:t>
              <w:br/>
              <w:t>Registered</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5" w:type="dxa"/>
            <w:tcBorders>
              <w:top w:val="single" w:sz="2" w:space="0" w:color="000000"/>
            </w:tcBorders>
            <w:shd w:fill="auto" w:val="clear"/>
            <w:tcMar>
              <w:top w:w="28" w:type="dxa"/>
            </w:tcMar>
            <w:vAlign w:val="bottom"/>
          </w:tcPr>
          <w:p>
            <w:pPr>
              <w:pStyle w:val="TableContents"/>
              <w:spacing w:before="0" w:after="283"/>
              <w:jc w:val="center"/>
              <w:rPr>
                <w:b/>
              </w:rPr>
            </w:pPr>
            <w:r>
              <w:rPr>
                <w:b/>
              </w:rPr>
              <w:t>Proposed</w:t>
              <w:br/>
              <w:t>Maximum</w:t>
              <w:br/>
              <w:t>Offering Price</w:t>
              <w:br/>
              <w:t>per Unit</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5" w:type="dxa"/>
            <w:tcBorders>
              <w:top w:val="single" w:sz="2" w:space="0" w:color="000000"/>
            </w:tcBorders>
            <w:shd w:fill="auto" w:val="clear"/>
            <w:tcMar>
              <w:top w:w="28" w:type="dxa"/>
            </w:tcMar>
            <w:vAlign w:val="bottom"/>
          </w:tcPr>
          <w:p>
            <w:pPr>
              <w:pStyle w:val="TableContents"/>
              <w:spacing w:before="0" w:after="283"/>
              <w:jc w:val="center"/>
              <w:rPr>
                <w:b/>
              </w:rPr>
            </w:pPr>
            <w:r>
              <w:rPr>
                <w:b/>
              </w:rPr>
              <w:t>Proposed</w:t>
              <w:br/>
              <w:t>Maximum</w:t>
              <w:br/>
              <w:t>Aggregate</w:t>
              <w:br/>
              <w:t>Offering Price</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tcBorders>
            <w:shd w:fill="auto" w:val="clear"/>
            <w:tcMar>
              <w:top w:w="28" w:type="dxa"/>
            </w:tcMar>
            <w:vAlign w:val="bottom"/>
          </w:tcPr>
          <w:p>
            <w:pPr>
              <w:pStyle w:val="TableContents"/>
              <w:spacing w:before="0" w:after="283"/>
              <w:jc w:val="center"/>
              <w:rPr>
                <w:b/>
              </w:rPr>
            </w:pPr>
            <w:r>
              <w:rPr>
                <w:b/>
              </w:rPr>
              <w:t>Amount of</w:t>
              <w:br/>
              <w:t>Registration Fee</w:t>
            </w:r>
          </w:p>
        </w:tc>
      </w:tr>
      <w:tr>
        <w:trPr/>
        <w:tc>
          <w:tcPr>
            <w:tcW w:w="3118"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Debt Securities(1)</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9" w:type="dxa"/>
            <w:tcBorders>
              <w:top w:val="single" w:sz="2" w:space="0" w:color="000000"/>
            </w:tcBorders>
            <w:shd w:fill="auto" w:val="clear"/>
            <w:tcMar>
              <w:top w:w="28" w:type="dxa"/>
            </w:tcMar>
            <w:vAlign w:val="bottom"/>
          </w:tcPr>
          <w:p>
            <w:pPr>
              <w:pStyle w:val="TableContents"/>
              <w:spacing w:before="0" w:after="283"/>
              <w:rPr/>
            </w:pPr>
            <w:r>
              <w:rPr/>
              <w:t> </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5" w:type="dxa"/>
            <w:tcBorders>
              <w:top w:val="single" w:sz="2" w:space="0" w:color="000000"/>
            </w:tcBorders>
            <w:shd w:fill="auto" w:val="clear"/>
            <w:tcMar>
              <w:top w:w="28" w:type="dxa"/>
            </w:tcMar>
            <w:vAlign w:val="bottom"/>
          </w:tcPr>
          <w:p>
            <w:pPr>
              <w:pStyle w:val="TableContents"/>
              <w:spacing w:before="0" w:after="283"/>
              <w:rPr/>
            </w:pPr>
            <w:r>
              <w:rPr/>
              <w:t> </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5" w:type="dxa"/>
            <w:tcBorders>
              <w:top w:val="single" w:sz="2" w:space="0" w:color="000000"/>
            </w:tcBorders>
            <w:shd w:fill="auto" w:val="clear"/>
            <w:tcMar>
              <w:top w:w="28" w:type="dxa"/>
            </w:tcMar>
            <w:vAlign w:val="bottom"/>
          </w:tcPr>
          <w:p>
            <w:pPr>
              <w:pStyle w:val="TableContents"/>
              <w:spacing w:before="0" w:after="283"/>
              <w:rPr/>
            </w:pPr>
            <w:r>
              <w:rPr/>
              <w:t> </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indeterminate amount of debt securities of Analog Devices, Inc. to be offered from time to time at indeterminate prices is being registered pursuant to this registration statement. In accordance with Rules 456(b) and 457(r) under the Securities Act of 1933, as amended, the registrant is deferring payment of all registration fees and will pay the registration fees subsequently in advance or on a pay as you go basis.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p>
      <w:pPr>
        <w:pStyle w:val="TextBody"/>
        <w:spacing w:before="0" w:after="0"/>
        <w:jc w:val="center"/>
        <w:rPr/>
      </w:pPr>
      <w:r>
        <w:rPr/>
        <w:drawing>
          <wp:inline distT="0" distB="0" distL="0" distR="0">
            <wp:extent cx="274955" cy="7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955" cy="793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48"/>
        </w:rPr>
      </w:pPr>
      <w:r>
        <w:rPr>
          <w:rFonts w:ascii="Times New Roman" w:hAnsi="Times New Roman"/>
          <w:b/>
          <w:sz w:val="48"/>
        </w:rPr>
        <w:t xml:space="preserve">Analog Devices, Inc. </w:t>
      </w:r>
    </w:p>
    <w:p>
      <w:pPr>
        <w:pStyle w:val="TextBody"/>
        <w:spacing w:before="240" w:after="0"/>
        <w:jc w:val="center"/>
        <w:rPr>
          <w:rFonts w:ascii="Times New Roman" w:hAnsi="Times New Roman"/>
          <w:b/>
          <w:sz w:val="28"/>
        </w:rPr>
      </w:pPr>
      <w:r>
        <w:rPr>
          <w:rFonts w:ascii="Times New Roman" w:hAnsi="Times New Roman"/>
          <w:b/>
          <w:sz w:val="28"/>
        </w:rPr>
        <w:t xml:space="preserve">DEBT SECURITIES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may from time to time offer to sell the debt securities described in this prospectus. The debt securities will be senior unsecured obligations and will rank equally with all of our other senior unsecured indebtedness. </w:t>
      </w:r>
    </w:p>
    <w:p>
      <w:pPr>
        <w:pStyle w:val="TextBody"/>
        <w:spacing w:before="240" w:after="0"/>
        <w:jc w:val="left"/>
        <w:rPr>
          <w:rFonts w:ascii="Times New Roman" w:hAnsi="Times New Roman"/>
          <w:sz w:val="20"/>
        </w:rPr>
      </w:pPr>
      <w:r>
        <w:rPr>
          <w:rFonts w:ascii="Times New Roman" w:hAnsi="Times New Roman"/>
          <w:sz w:val="20"/>
        </w:rPr>
        <w:t xml:space="preserve">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 </w:t>
      </w:r>
    </w:p>
    <w:p>
      <w:pPr>
        <w:pStyle w:val="TextBody"/>
        <w:spacing w:before="240" w:after="0"/>
        <w:jc w:val="left"/>
        <w:rPr>
          <w:rFonts w:ascii="Times New Roman" w:hAnsi="Times New Roman"/>
          <w:sz w:val="20"/>
        </w:rPr>
      </w:pPr>
      <w:r>
        <w:rPr>
          <w:rFonts w:ascii="Times New Roman" w:hAnsi="Times New Roman"/>
          <w:sz w:val="20"/>
        </w:rPr>
        <w:t xml:space="preserve">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 </w:t>
      </w:r>
    </w:p>
    <w:p>
      <w:pPr>
        <w:pStyle w:val="TextBody"/>
        <w:spacing w:before="240" w:after="0"/>
        <w:jc w:val="left"/>
        <w:rPr>
          <w:rFonts w:ascii="Times New Roman" w:hAnsi="Times New Roman"/>
          <w:sz w:val="20"/>
        </w:rPr>
      </w:pPr>
      <w:r>
        <w:rPr>
          <w:rFonts w:ascii="Times New Roman" w:hAnsi="Times New Roman"/>
          <w:sz w:val="20"/>
        </w:rPr>
        <w:t xml:space="preserve">Our principal executive offices are located at One Analog Way, Wilmington, Massachusetts 01887, and our telephone number is (781) 329-4700.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these debt securities involves certain risks. See </w:t>
      </w:r>
      <w:hyperlink w:anchor="toc200943_2">
        <w:r>
          <w:rPr>
            <w:rStyle w:val="InternetLink"/>
            <w:rFonts w:ascii="Times New Roman" w:hAnsi="Times New Roman"/>
            <w:b/>
            <w:sz w:val="24"/>
          </w:rPr>
          <w:t>Risk Factors</w:t>
        </w:r>
      </w:hyperlink>
      <w:r>
        <w:rPr>
          <w:rFonts w:ascii="Times New Roman" w:hAnsi="Times New Roman"/>
          <w:b/>
          <w:sz w:val="24"/>
        </w:rPr>
        <w:t xml:space="preserve"> included in any accompanying prospectus supplement and in the documents incorporated by reference in this prospectus for a discussion of the factors you should carefully consider before deciding to purchase these debt securities.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September 24, 2021.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6"/>
        <w:gridCol w:w="167"/>
        <w:gridCol w:w="60"/>
        <w:gridCol w:w="260"/>
        <w:gridCol w:w="62"/>
      </w:tblGrid>
      <w:tr>
        <w:trPr/>
        <w:tc>
          <w:tcPr>
            <w:tcW w:w="965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656" w:type="dxa"/>
            <w:tcBorders/>
            <w:shd w:fill="auto" w:val="clear"/>
          </w:tcPr>
          <w:p>
            <w:pPr>
              <w:pStyle w:val="TableContents"/>
              <w:spacing w:before="0" w:after="0"/>
              <w:rPr/>
            </w:pPr>
            <w:hyperlink w:anchor="toc200943_1">
              <w:r>
                <w:rPr>
                  <w:rStyle w:val="InternetLink"/>
                  <w:rFonts w:ascii="Times New Roman" w:hAnsi="Times New Roman"/>
                  <w:sz w:val="20"/>
                </w:rPr>
                <w:t>ABOUT THIS PROSPECTUS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2">
              <w:r>
                <w:rPr>
                  <w:rStyle w:val="InternetLink"/>
                  <w:rFonts w:ascii="Times New Roman" w:hAnsi="Times New Roman"/>
                  <w:sz w:val="20"/>
                </w:rPr>
                <w:t>RISK FACTORS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3">
              <w:r>
                <w:rPr>
                  <w:rStyle w:val="InternetLink"/>
                  <w:rFonts w:ascii="Times New Roman" w:hAnsi="Times New Roman"/>
                  <w:sz w:val="20"/>
                </w:rPr>
                <w:t>WHERE YOU CAN FIND MORE INFORMATION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4">
              <w:r>
                <w:rPr>
                  <w:rStyle w:val="InternetLink"/>
                  <w:rFonts w:ascii="Times New Roman" w:hAnsi="Times New Roman"/>
                  <w:sz w:val="20"/>
                </w:rPr>
                <w:t>INCORPORATION BY REFERENCE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5">
              <w:r>
                <w:rPr>
                  <w:rStyle w:val="InternetLink"/>
                  <w:rFonts w:ascii="Times New Roman" w:hAnsi="Times New Roman"/>
                  <w:sz w:val="20"/>
                </w:rPr>
                <w:t>FORWARD LOOKING STATEMENTS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6">
              <w:r>
                <w:rPr>
                  <w:rStyle w:val="InternetLink"/>
                  <w:rFonts w:ascii="Times New Roman" w:hAnsi="Times New Roman"/>
                  <w:sz w:val="20"/>
                </w:rPr>
                <w:t>THE COMPANY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7">
              <w:r>
                <w:rPr>
                  <w:rStyle w:val="InternetLink"/>
                  <w:rFonts w:ascii="Times New Roman" w:hAnsi="Times New Roman"/>
                  <w:sz w:val="20"/>
                </w:rPr>
                <w:t>USE OF PROCEEDS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8">
              <w:r>
                <w:rPr>
                  <w:rStyle w:val="InternetLink"/>
                  <w:rFonts w:ascii="Times New Roman" w:hAnsi="Times New Roman"/>
                  <w:sz w:val="20"/>
                </w:rPr>
                <w:t>DESCRIPTION OF DEBT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9">
              <w:r>
                <w:rPr>
                  <w:rStyle w:val="InternetLink"/>
                  <w:rFonts w:ascii="Times New Roman" w:hAnsi="Times New Roman"/>
                  <w:sz w:val="20"/>
                </w:rPr>
                <w:t>FORMS OF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10">
              <w:r>
                <w:rPr>
                  <w:rStyle w:val="InternetLink"/>
                  <w:rFonts w:ascii="Times New Roman" w:hAnsi="Times New Roman"/>
                  <w:sz w:val="20"/>
                </w:rPr>
                <w:t>PLAN OF DISTRIBUTION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11">
              <w:r>
                <w:rPr>
                  <w:rStyle w:val="InternetLink"/>
                  <w:rFonts w:ascii="Times New Roman" w:hAnsi="Times New Roman"/>
                  <w:sz w:val="20"/>
                </w:rPr>
                <w:t>LEGAL MATTERS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oc200943_12">
              <w:r>
                <w:rPr>
                  <w:rStyle w:val="InternetLink"/>
                  <w:rFonts w:ascii="Times New Roman" w:hAnsi="Times New Roman"/>
                  <w:sz w:val="20"/>
                </w:rPr>
                <w:t>EXPERTS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200943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 </w:t>
      </w:r>
    </w:p>
    <w:p>
      <w:pPr>
        <w:pStyle w:val="TextBody"/>
        <w:spacing w:before="240" w:after="0"/>
        <w:jc w:val="left"/>
        <w:rPr>
          <w:rFonts w:ascii="Times New Roman" w:hAnsi="Times New Roman"/>
          <w:sz w:val="20"/>
        </w:rPr>
      </w:pPr>
      <w:r>
        <w:rPr>
          <w:rFonts w:ascii="Times New Roman" w:hAnsi="Times New Roman"/>
          <w:sz w:val="20"/>
        </w:rPr>
        <w:t xml:space="preserve">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 </w:t>
      </w:r>
    </w:p>
    <w:p>
      <w:pPr>
        <w:pStyle w:val="TextBody"/>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this prospectus or such accompanying prospectus supplement or an offer to sell or the solicitation of an offer to buy such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 xml:space="preserve">The terms the Company, Analog Devices, we, our, ours and us refer to Analog Devices, Inc. and its subsidiaries on a consolidated basis, unless the context otherwise requires.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200943_2"/>
      <w:bookmarkEnd w:id="4"/>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31, 2020 and our Quarterly Reports on Form 10-Q for the fiscal quarters ended January 30, 2021, May 1, 2021 and July 31, 2021, before making an investment decision pursuant to this prospectus and any accompanying prospectus supplement relating to a specific offering. </w:t>
      </w:r>
    </w:p>
    <w:p>
      <w:pPr>
        <w:pStyle w:val="TextBody"/>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200943_3"/>
      <w:bookmarkEnd w:id="5"/>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http://www.sec.gov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http://www.analog.com</w:t>
      </w:r>
      <w:r>
        <w:rPr>
          <w:rFonts w:ascii="Times New Roman" w:hAnsi="Times New Roman"/>
          <w:sz w:val="20"/>
        </w:rPr>
        <w:t xml:space="preserve">. The information contained on, or that can be accessed through, our website is not a part of this prospectus and is not incorporated by reference. We have included our website address in this prospectus solely as an inactive textual reference.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200943_4"/>
      <w:bookmarkEnd w:id="6"/>
      <w:r>
        <w:rPr>
          <w:rFonts w:ascii="Times New Roman" w:hAnsi="Times New Roman"/>
          <w:b/>
          <w:sz w:val="20"/>
        </w:rPr>
        <w:t xml:space="preserve">INCORPORATION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October 31, 2020, as filed with the SEC on November 24, 2020,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our 2021 Annual Meeting of Stockholders, as filed with the SEC on January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fiscal quarter ended January 30, 2021, as filed with the SEC on February 17,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Quarterly Report on </w:t>
            </w:r>
            <w:hyperlink r:id="rId6">
              <w:r>
                <w:rPr>
                  <w:rStyle w:val="InternetLink"/>
                  <w:rFonts w:ascii="Times New Roman" w:hAnsi="Times New Roman"/>
                  <w:sz w:val="20"/>
                </w:rPr>
                <w:t>Form 10-Q</w:t>
              </w:r>
            </w:hyperlink>
            <w:r>
              <w:rPr>
                <w:rFonts w:ascii="Times New Roman" w:hAnsi="Times New Roman"/>
                <w:sz w:val="20"/>
              </w:rPr>
              <w:t xml:space="preserve"> for the fiscal quarter ended May 1, 2021, as filed with the SEC on May 19,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Quarterly Report on </w:t>
            </w:r>
            <w:hyperlink r:id="rId7">
              <w:r>
                <w:rPr>
                  <w:rStyle w:val="InternetLink"/>
                  <w:rFonts w:ascii="Times New Roman" w:hAnsi="Times New Roman"/>
                  <w:sz w:val="20"/>
                </w:rPr>
                <w:t>Form 10-Q</w:t>
              </w:r>
            </w:hyperlink>
            <w:r>
              <w:rPr>
                <w:rFonts w:ascii="Times New Roman" w:hAnsi="Times New Roman"/>
                <w:sz w:val="20"/>
              </w:rPr>
              <w:t xml:space="preserve"> for the fiscal quarter ended July 31, 2021, as filed with the SEC on August 18, 2021;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our Current Reports on Form 8-K, as filed with the SEC on </w:t>
            </w:r>
            <w:hyperlink r:id="rId8">
              <w:r>
                <w:rPr>
                  <w:rStyle w:val="InternetLink"/>
                  <w:rFonts w:ascii="Times New Roman" w:hAnsi="Times New Roman"/>
                  <w:sz w:val="20"/>
                </w:rPr>
                <w:t>November  6, 2020</w:t>
              </w:r>
            </w:hyperlink>
            <w:r>
              <w:rPr>
                <w:rFonts w:ascii="Times New Roman" w:hAnsi="Times New Roman"/>
                <w:sz w:val="20"/>
              </w:rPr>
              <w:t xml:space="preserve">, </w:t>
            </w:r>
            <w:hyperlink r:id="rId9">
              <w:r>
                <w:rPr>
                  <w:rStyle w:val="InternetLink"/>
                  <w:rFonts w:ascii="Times New Roman" w:hAnsi="Times New Roman"/>
                  <w:sz w:val="20"/>
                </w:rPr>
                <w:t>December  17, 2020</w:t>
              </w:r>
            </w:hyperlink>
            <w:r>
              <w:rPr>
                <w:rFonts w:ascii="Times New Roman" w:hAnsi="Times New Roman"/>
                <w:sz w:val="20"/>
              </w:rPr>
              <w:t xml:space="preserve">, </w:t>
            </w:r>
            <w:hyperlink r:id="rId10">
              <w:r>
                <w:rPr>
                  <w:rStyle w:val="InternetLink"/>
                  <w:rFonts w:ascii="Times New Roman" w:hAnsi="Times New Roman"/>
                  <w:sz w:val="20"/>
                </w:rPr>
                <w:t>January  27, 2021</w:t>
              </w:r>
            </w:hyperlink>
            <w:r>
              <w:rPr>
                <w:rFonts w:ascii="Times New Roman" w:hAnsi="Times New Roman"/>
                <w:sz w:val="20"/>
              </w:rPr>
              <w:t xml:space="preserve">, </w:t>
            </w:r>
            <w:hyperlink r:id="rId11">
              <w:r>
                <w:rPr>
                  <w:rStyle w:val="InternetLink"/>
                  <w:rFonts w:ascii="Times New Roman" w:hAnsi="Times New Roman"/>
                  <w:sz w:val="20"/>
                </w:rPr>
                <w:t>February  17, 2021</w:t>
              </w:r>
            </w:hyperlink>
            <w:r>
              <w:rPr>
                <w:rFonts w:ascii="Times New Roman" w:hAnsi="Times New Roman"/>
                <w:sz w:val="20"/>
              </w:rPr>
              <w:t xml:space="preserve"> (Item 8.01 only), </w:t>
            </w:r>
            <w:hyperlink r:id="rId12">
              <w:r>
                <w:rPr>
                  <w:rStyle w:val="InternetLink"/>
                  <w:rFonts w:ascii="Times New Roman" w:hAnsi="Times New Roman"/>
                  <w:sz w:val="20"/>
                </w:rPr>
                <w:t>March  11, 2021</w:t>
              </w:r>
            </w:hyperlink>
            <w:r>
              <w:rPr>
                <w:rFonts w:ascii="Times New Roman" w:hAnsi="Times New Roman"/>
                <w:sz w:val="20"/>
              </w:rPr>
              <w:t xml:space="preserve">, </w:t>
            </w:r>
            <w:hyperlink r:id="rId13">
              <w:r>
                <w:rPr>
                  <w:rStyle w:val="InternetLink"/>
                  <w:rFonts w:ascii="Times New Roman" w:hAnsi="Times New Roman"/>
                  <w:sz w:val="20"/>
                </w:rPr>
                <w:t>June 23, 2021</w:t>
              </w:r>
            </w:hyperlink>
            <w:r>
              <w:rPr>
                <w:rFonts w:ascii="Times New Roman" w:hAnsi="Times New Roman"/>
                <w:sz w:val="20"/>
              </w:rPr>
              <w:t xml:space="preserve">, </w:t>
            </w:r>
            <w:hyperlink r:id="rId14">
              <w:r>
                <w:rPr>
                  <w:rStyle w:val="InternetLink"/>
                  <w:rFonts w:ascii="Times New Roman" w:hAnsi="Times New Roman"/>
                  <w:sz w:val="20"/>
                </w:rPr>
                <w:t>August  23, 2021</w:t>
              </w:r>
            </w:hyperlink>
            <w:r>
              <w:rPr>
                <w:rFonts w:ascii="Times New Roman" w:hAnsi="Times New Roman"/>
                <w:sz w:val="20"/>
              </w:rPr>
              <w:t xml:space="preserve">, </w:t>
            </w:r>
            <w:hyperlink r:id="rId15">
              <w:r>
                <w:rPr>
                  <w:rStyle w:val="InternetLink"/>
                  <w:rFonts w:ascii="Times New Roman" w:hAnsi="Times New Roman"/>
                  <w:sz w:val="20"/>
                </w:rPr>
                <w:t>August 26, 2021</w:t>
              </w:r>
            </w:hyperlink>
            <w:r>
              <w:rPr>
                <w:rFonts w:ascii="Times New Roman" w:hAnsi="Times New Roman"/>
                <w:sz w:val="20"/>
              </w:rPr>
              <w:t xml:space="preserve"> (as amended by Amendment No.  1 on </w:t>
            </w:r>
            <w:hyperlink r:id="rId16">
              <w:r>
                <w:rPr>
                  <w:rStyle w:val="InternetLink"/>
                  <w:rFonts w:ascii="Times New Roman" w:hAnsi="Times New Roman"/>
                  <w:sz w:val="20"/>
                </w:rPr>
                <w:t>September  24, 2021</w:t>
              </w:r>
            </w:hyperlink>
            <w:r>
              <w:rPr>
                <w:rFonts w:ascii="Times New Roman" w:hAnsi="Times New Roman"/>
                <w:sz w:val="20"/>
              </w:rPr>
              <w:t xml:space="preserve">) and </w:t>
            </w:r>
            <w:hyperlink r:id="rId17">
              <w:r>
                <w:rPr>
                  <w:rStyle w:val="InternetLink"/>
                  <w:rFonts w:ascii="Times New Roman" w:hAnsi="Times New Roman"/>
                  <w:sz w:val="20"/>
                </w:rPr>
                <w:t>September 8, 2021</w:t>
              </w:r>
            </w:hyperlink>
            <w:r>
              <w:rPr>
                <w:rFonts w:ascii="Times New Roman" w:hAnsi="Times New Roman"/>
                <w:sz w:val="20"/>
              </w:rPr>
              <w:t xml:space="preserve"> (Item 8.01 only). </w:t>
            </w:r>
          </w:p>
        </w:tc>
      </w:tr>
    </w:tbl>
    <w:p>
      <w:pPr>
        <w:pStyle w:val="TextBody"/>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spacing w:before="240" w:after="0"/>
        <w:jc w:val="center"/>
        <w:rPr>
          <w:rFonts w:ascii="Times New Roman" w:hAnsi="Times New Roman"/>
          <w:sz w:val="20"/>
        </w:rPr>
      </w:pPr>
      <w:r>
        <w:rPr>
          <w:rFonts w:ascii="Times New Roman" w:hAnsi="Times New Roman"/>
          <w:sz w:val="20"/>
        </w:rPr>
        <w:t xml:space="preserve">Analog Devices, Inc. </w:t>
      </w:r>
    </w:p>
    <w:p>
      <w:pPr>
        <w:pStyle w:val="TextBody"/>
        <w:spacing w:before="0" w:after="0"/>
        <w:jc w:val="center"/>
        <w:rPr>
          <w:rFonts w:ascii="Times New Roman" w:hAnsi="Times New Roman"/>
          <w:sz w:val="20"/>
        </w:rPr>
      </w:pPr>
      <w:r>
        <w:rPr>
          <w:rFonts w:ascii="Times New Roman" w:hAnsi="Times New Roman"/>
          <w:sz w:val="20"/>
        </w:rPr>
        <w:t xml:space="preserve">One Analog Way </w:t>
      </w:r>
    </w:p>
    <w:p>
      <w:pPr>
        <w:pStyle w:val="TextBody"/>
        <w:spacing w:before="0" w:after="0"/>
        <w:jc w:val="center"/>
        <w:rPr>
          <w:rFonts w:ascii="Times New Roman" w:hAnsi="Times New Roman"/>
          <w:sz w:val="20"/>
        </w:rPr>
      </w:pPr>
      <w:r>
        <w:rPr>
          <w:rFonts w:ascii="Times New Roman" w:hAnsi="Times New Roman"/>
          <w:sz w:val="20"/>
        </w:rPr>
        <w:t xml:space="preserve">Wilmington, MA 01887 </w:t>
      </w:r>
    </w:p>
    <w:p>
      <w:pPr>
        <w:pStyle w:val="TextBody"/>
        <w:spacing w:before="0" w:after="0"/>
        <w:jc w:val="center"/>
        <w:rPr>
          <w:rFonts w:ascii="Times New Roman" w:hAnsi="Times New Roman"/>
          <w:sz w:val="20"/>
        </w:rPr>
      </w:pPr>
      <w:r>
        <w:rPr>
          <w:rFonts w:ascii="Times New Roman" w:hAnsi="Times New Roman"/>
          <w:sz w:val="20"/>
        </w:rPr>
        <w:t xml:space="preserve">Telephone: (781) 461-3282 </w:t>
      </w:r>
    </w:p>
    <w:p>
      <w:pPr>
        <w:pStyle w:val="TextBody"/>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200943_5"/>
      <w:bookmarkEnd w:id="7"/>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the impact of the COVID-19 pandemic on our business, financial condition and results of operations;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including the integration of the acquired business, operations and employees of Maxim Integrated Products, Inc.;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July 31, 2021 and our Current Reports on Form 8-K.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200943_6"/>
      <w:bookmarkEnd w:id="8"/>
      <w:r>
        <w:rPr>
          <w:rFonts w:ascii="Times New Roman" w:hAnsi="Times New Roman"/>
          <w:b/>
          <w:sz w:val="20"/>
        </w:rPr>
        <w:t xml:space="preserve">THE COMPANY </w:t>
      </w:r>
    </w:p>
    <w:p>
      <w:pPr>
        <w:pStyle w:val="TextBody"/>
        <w:spacing w:before="240" w:after="0"/>
        <w:jc w:val="left"/>
        <w:rPr>
          <w:rFonts w:ascii="Times New Roman" w:hAnsi="Times New Roman"/>
          <w:sz w:val="20"/>
        </w:rPr>
      </w:pPr>
      <w:r>
        <w:rPr>
          <w:rFonts w:ascii="Times New Roman" w:hAnsi="Times New Roman"/>
          <w:sz w:val="20"/>
        </w:rPr>
        <w:t xml:space="preserve">We are a leading global high-performance analog technology company dedicated to solving our customers most complex engineering challenges. We play a critical role at the intersection of the physical and digital world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digital signal processors (DSP) and other sensors. </w:t>
      </w:r>
    </w:p>
    <w:p>
      <w:pPr>
        <w:pStyle w:val="TextBody"/>
        <w:spacing w:before="240" w:after="0"/>
        <w:jc w:val="left"/>
        <w:rPr>
          <w:rFonts w:ascii="Times New Roman" w:hAnsi="Times New Roman"/>
          <w:sz w:val="20"/>
        </w:rPr>
      </w:pPr>
      <w:r>
        <w:rPr>
          <w:rFonts w:ascii="Times New Roman" w:hAnsi="Times New Roman"/>
          <w:sz w:val="20"/>
        </w:rPr>
        <w:t xml:space="preserve">On August 26, 2021, we completed the acquisition of Maxim Integrated Products, Inc. The acquisition will strengthen Analog Devices as an analog semiconductor leader by increasing our global scale and enhancing our depth of domain expertise and engineering capabilities, enabling us to offer more complete solutions and serve more customers. </w:t>
      </w:r>
    </w:p>
    <w:p>
      <w:pPr>
        <w:pStyle w:val="TextBody"/>
        <w:spacing w:before="240" w:after="0"/>
        <w:jc w:val="left"/>
        <w:rPr>
          <w:rFonts w:ascii="Times New Roman" w:hAnsi="Times New Roman"/>
          <w:sz w:val="20"/>
        </w:rPr>
      </w:pPr>
      <w:r>
        <w:rPr>
          <w:rFonts w:ascii="Times New Roman" w:hAnsi="Times New Roman"/>
          <w:sz w:val="20"/>
        </w:rPr>
        <w:t xml:space="preserve">We were incorporated in Massachusetts in 1965 with corporate headquarters in the Boston, Massachusetts area. In 2020, we moved our corporate headquarters from our facility in Norwood, Massachusetts to Wilmington, Massachusetts. The expanded facility in Wilmington features state of the art laboratories, design and manufacturing and cross-functional group collaboration space, while maintaining our commitment to environmental sustainability through the use of green building materials and solar panels, among other things. In addition, we have manufacturing facilities primarily in the United States, Ireland and Southeast Asia. Our common stock is listed on the Nasdaq Global Select Market under the symbol ADI and is included in the Standard &amp; Poors 500 Index.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200943_7"/>
      <w:bookmarkEnd w:id="9"/>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the net proceeds of any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200943_8"/>
      <w:bookmarkEnd w:id="10"/>
      <w:r>
        <w:rPr>
          <w:rFonts w:ascii="Times New Roman" w:hAnsi="Times New Roman"/>
          <w:b/>
          <w:sz w:val="20"/>
        </w:rPr>
        <w:t xml:space="preserve">DESCRIPTION OF DEBT SECURITIES </w:t>
      </w:r>
    </w:p>
    <w:p>
      <w:pPr>
        <w:pStyle w:val="TextBody"/>
        <w:spacing w:before="240" w:after="0"/>
        <w:jc w:val="left"/>
        <w:rPr>
          <w:rFonts w:ascii="Times New Roman" w:hAnsi="Times New Roman"/>
          <w:sz w:val="20"/>
        </w:rPr>
      </w:pPr>
      <w:r>
        <w:rPr>
          <w:rFonts w:ascii="Times New Roman" w:hAnsi="Times New Roman"/>
          <w:sz w:val="20"/>
        </w:rPr>
        <w:t xml:space="preserve">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 </w:t>
      </w:r>
    </w:p>
    <w:p>
      <w:pPr>
        <w:pStyle w:val="TextBody"/>
        <w:spacing w:before="240" w:after="0"/>
        <w:jc w:val="left"/>
        <w:rPr>
          <w:rFonts w:ascii="Times New Roman" w:hAnsi="Times New Roman"/>
          <w:sz w:val="20"/>
        </w:rPr>
      </w:pPr>
      <w:r>
        <w:rPr>
          <w:rFonts w:ascii="Times New Roman" w:hAnsi="Times New Roman"/>
          <w:sz w:val="20"/>
        </w:rPr>
        <w:t xml:space="preserve">Unless otherwise specified in a supplement to this prospectus, the debt securities will be our direct, unsecured obligations and will rank equally with all of our other unsecured and unsubordinated indebtedness. </w:t>
      </w:r>
    </w:p>
    <w:p>
      <w:pPr>
        <w:pStyle w:val="TextBody"/>
        <w:spacing w:before="240" w:after="0"/>
        <w:jc w:val="left"/>
        <w:rPr>
          <w:rFonts w:ascii="Times New Roman" w:hAnsi="Times New Roman"/>
          <w:sz w:val="20"/>
        </w:rPr>
      </w:pPr>
      <w:r>
        <w:rPr>
          <w:rFonts w:ascii="Times New Roman" w:hAnsi="Times New Roman"/>
          <w:sz w:val="20"/>
        </w:rPr>
        <w:t xml:space="preserve">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 </w:t>
      </w:r>
    </w:p>
    <w:p>
      <w:pPr>
        <w:pStyle w:val="TextBody"/>
        <w:spacing w:before="240" w:after="0"/>
        <w:jc w:val="left"/>
        <w:rPr>
          <w:rFonts w:ascii="Times New Roman" w:hAnsi="Times New Roman"/>
          <w:sz w:val="20"/>
        </w:rPr>
      </w:pPr>
      <w:r>
        <w:rPr>
          <w:rFonts w:ascii="Times New Roman" w:hAnsi="Times New Roman"/>
          <w:sz w:val="20"/>
        </w:rPr>
        <w:t xml:space="preserve">When we refer to the Company, we, our and us in this section, we mean Analog Devices, Inc. excluding, unless the context otherwise requires or as otherwise expressly stated, its subsidiaries.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spacing w:before="240" w:after="0"/>
        <w:jc w:val="left"/>
        <w:rPr>
          <w:rFonts w:ascii="Times New Roman" w:hAnsi="Times New Roman"/>
          <w:sz w:val="20"/>
        </w:rPr>
      </w:pPr>
      <w:r>
        <w:rPr>
          <w:rFonts w:ascii="Times New Roman" w:hAnsi="Times New Roman"/>
          <w:sz w:val="20"/>
        </w:rPr>
        <w:t xml:space="preserve">(1) the title of the debt securities; </w:t>
      </w:r>
    </w:p>
    <w:p>
      <w:pPr>
        <w:pStyle w:val="TextBody"/>
        <w:spacing w:before="240" w:after="0"/>
        <w:jc w:val="left"/>
        <w:rPr>
          <w:rFonts w:ascii="Times New Roman" w:hAnsi="Times New Roman"/>
          <w:sz w:val="20"/>
        </w:rPr>
      </w:pPr>
      <w:r>
        <w:rPr>
          <w:rFonts w:ascii="Times New Roman" w:hAnsi="Times New Roman"/>
          <w:sz w:val="20"/>
        </w:rPr>
        <w:t xml:space="preserve">(2) the price or prices (expressed as a percentage of the principal amount) at which we will sell the debt securities; </w:t>
      </w:r>
    </w:p>
    <w:p>
      <w:pPr>
        <w:pStyle w:val="TextBody"/>
        <w:spacing w:before="240" w:after="0"/>
        <w:jc w:val="left"/>
        <w:rPr>
          <w:rFonts w:ascii="Times New Roman" w:hAnsi="Times New Roman"/>
          <w:sz w:val="20"/>
        </w:rPr>
      </w:pPr>
      <w:r>
        <w:rPr>
          <w:rFonts w:ascii="Times New Roman" w:hAnsi="Times New Roman"/>
          <w:sz w:val="20"/>
        </w:rPr>
        <w:t xml:space="preserve">(3) any limit on the aggregate principal amount of the debt securities; </w:t>
      </w:r>
    </w:p>
    <w:p>
      <w:pPr>
        <w:pStyle w:val="TextBody"/>
        <w:spacing w:before="240" w:after="0"/>
        <w:jc w:val="left"/>
        <w:rPr>
          <w:rFonts w:ascii="Times New Roman" w:hAnsi="Times New Roman"/>
          <w:sz w:val="20"/>
        </w:rPr>
      </w:pPr>
      <w:r>
        <w:rPr>
          <w:rFonts w:ascii="Times New Roman" w:hAnsi="Times New Roman"/>
          <w:sz w:val="20"/>
        </w:rPr>
        <w:t xml:space="preserve">(4) the date or dates on which we will pay the principal on the debt securities; </w:t>
      </w:r>
    </w:p>
    <w:p>
      <w:pPr>
        <w:pStyle w:val="TextBody"/>
        <w:spacing w:before="240" w:after="0"/>
        <w:jc w:val="left"/>
        <w:rPr>
          <w:rFonts w:ascii="Times New Roman" w:hAnsi="Times New Roman"/>
          <w:sz w:val="20"/>
        </w:rPr>
      </w:pPr>
      <w:r>
        <w:rPr>
          <w:rFonts w:ascii="Times New Roman" w:hAnsi="Times New Roman"/>
          <w:sz w:val="20"/>
        </w:rPr>
        <w:t xml:space="preserve">(5) 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spacing w:before="240" w:after="0"/>
        <w:jc w:val="left"/>
        <w:rPr>
          <w:rFonts w:ascii="Times New Roman" w:hAnsi="Times New Roman"/>
          <w:sz w:val="20"/>
        </w:rPr>
      </w:pPr>
      <w:r>
        <w:rPr>
          <w:rFonts w:ascii="Times New Roman" w:hAnsi="Times New Roman"/>
          <w:sz w:val="20"/>
        </w:rPr>
        <w:t xml:space="preserve">(6) the place or places where principal of, premium and any interest on the debt securities will be payable; </w:t>
      </w:r>
    </w:p>
    <w:p>
      <w:pPr>
        <w:pStyle w:val="TextBody"/>
        <w:spacing w:before="240" w:after="0"/>
        <w:jc w:val="left"/>
        <w:rPr>
          <w:rFonts w:ascii="Times New Roman" w:hAnsi="Times New Roman"/>
          <w:sz w:val="20"/>
        </w:rPr>
      </w:pPr>
      <w:r>
        <w:rPr>
          <w:rFonts w:ascii="Times New Roman" w:hAnsi="Times New Roman"/>
          <w:sz w:val="20"/>
        </w:rPr>
        <w:t xml:space="preserve">(7) the terms and conditions upon which we may redeem the debt securities; </w:t>
      </w:r>
    </w:p>
    <w:p>
      <w:pPr>
        <w:pStyle w:val="TextBody"/>
        <w:spacing w:before="240" w:after="0"/>
        <w:jc w:val="left"/>
        <w:rPr>
          <w:rFonts w:ascii="Times New Roman" w:hAnsi="Times New Roman"/>
          <w:sz w:val="20"/>
        </w:rPr>
      </w:pPr>
      <w:r>
        <w:rPr>
          <w:rFonts w:ascii="Times New Roman" w:hAnsi="Times New Roman"/>
          <w:sz w:val="20"/>
        </w:rPr>
        <w:t xml:space="preserve">(8) any obligation we have to redeem or purchase the debt securities pursuant to any sinking fund or analogous provisions or at the option of a holder of debt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(9) the dates on which and the price or prices at which we will repurchase debt securities at the option of the holders of debt securities and other detailed terms and provisions of these repurchase obligations; </w:t>
      </w:r>
    </w:p>
    <w:p>
      <w:pPr>
        <w:pStyle w:val="TextBody"/>
        <w:spacing w:before="240" w:after="0"/>
        <w:jc w:val="left"/>
        <w:rPr>
          <w:rFonts w:ascii="Times New Roman" w:hAnsi="Times New Roman"/>
          <w:sz w:val="20"/>
        </w:rPr>
      </w:pPr>
      <w:r>
        <w:rPr>
          <w:rFonts w:ascii="Times New Roman" w:hAnsi="Times New Roman"/>
          <w:sz w:val="20"/>
        </w:rPr>
        <w:t xml:space="preserve">(10) the denominations in which the debt securities will be issued, if other than denominations of $1,000 and any integral multiple thereof; </w:t>
      </w:r>
    </w:p>
    <w:p>
      <w:pPr>
        <w:pStyle w:val="TextBody"/>
        <w:spacing w:before="240" w:after="0"/>
        <w:jc w:val="left"/>
        <w:rPr>
          <w:rFonts w:ascii="Times New Roman" w:hAnsi="Times New Roman"/>
          <w:sz w:val="20"/>
        </w:rPr>
      </w:pPr>
      <w:r>
        <w:rPr>
          <w:rFonts w:ascii="Times New Roman" w:hAnsi="Times New Roman"/>
          <w:sz w:val="20"/>
        </w:rPr>
        <w:t xml:space="preserve">(11) whether the debt securities will be issued in the form of certificated debt securities or global debt securities; </w:t>
      </w:r>
    </w:p>
    <w:p>
      <w:pPr>
        <w:pStyle w:val="TextBody"/>
        <w:spacing w:before="240" w:after="0"/>
        <w:jc w:val="left"/>
        <w:rPr>
          <w:rFonts w:ascii="Times New Roman" w:hAnsi="Times New Roman"/>
          <w:sz w:val="20"/>
        </w:rPr>
      </w:pPr>
      <w:r>
        <w:rPr>
          <w:rFonts w:ascii="Times New Roman" w:hAnsi="Times New Roman"/>
          <w:sz w:val="20"/>
        </w:rPr>
        <w:t xml:space="preserve">(12) the portion of the principal amount of the debt securities payable upon declaration of acceleration of the maturity date, if other than the principal amount; </w:t>
      </w:r>
    </w:p>
    <w:p>
      <w:pPr>
        <w:pStyle w:val="TextBody"/>
        <w:spacing w:before="240" w:after="0"/>
        <w:jc w:val="left"/>
        <w:rPr>
          <w:rFonts w:ascii="Times New Roman" w:hAnsi="Times New Roman"/>
          <w:sz w:val="20"/>
        </w:rPr>
      </w:pPr>
      <w:r>
        <w:rPr>
          <w:rFonts w:ascii="Times New Roman" w:hAnsi="Times New Roman"/>
          <w:sz w:val="20"/>
        </w:rPr>
        <w:t xml:space="preserve">(13) the currency of denomination of the debt securities; </w:t>
      </w:r>
    </w:p>
    <w:p>
      <w:pPr>
        <w:pStyle w:val="TextBody"/>
        <w:spacing w:before="240" w:after="0"/>
        <w:jc w:val="left"/>
        <w:rPr>
          <w:rFonts w:ascii="Times New Roman" w:hAnsi="Times New Roman"/>
          <w:sz w:val="20"/>
        </w:rPr>
      </w:pPr>
      <w:r>
        <w:rPr>
          <w:rFonts w:ascii="Times New Roman" w:hAnsi="Times New Roman"/>
          <w:sz w:val="20"/>
        </w:rPr>
        <w:t xml:space="preserve">(14) the designation of the currency, currencies or currency units in which payment of principal of, premium and any interest on the debt securities will be made; </w:t>
      </w:r>
    </w:p>
    <w:p>
      <w:pPr>
        <w:pStyle w:val="TextBody"/>
        <w:spacing w:before="240" w:after="0"/>
        <w:jc w:val="left"/>
        <w:rPr>
          <w:rFonts w:ascii="Times New Roman" w:hAnsi="Times New Roman"/>
          <w:sz w:val="20"/>
        </w:rPr>
      </w:pPr>
      <w:r>
        <w:rPr>
          <w:rFonts w:ascii="Times New Roman" w:hAnsi="Times New Roman"/>
          <w:sz w:val="20"/>
        </w:rPr>
        <w:t xml:space="preserve">(15) 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spacing w:before="240" w:after="0"/>
        <w:jc w:val="left"/>
        <w:rPr>
          <w:rFonts w:ascii="Times New Roman" w:hAnsi="Times New Roman"/>
          <w:sz w:val="20"/>
        </w:rPr>
      </w:pPr>
      <w:r>
        <w:rPr>
          <w:rFonts w:ascii="Times New Roman" w:hAnsi="Times New Roman"/>
          <w:sz w:val="20"/>
        </w:rPr>
        <w:t xml:space="preserve">(16) 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p>
      <w:pPr>
        <w:pStyle w:val="TextBody"/>
        <w:spacing w:before="240" w:after="0"/>
        <w:jc w:val="left"/>
        <w:rPr>
          <w:rFonts w:ascii="Times New Roman" w:hAnsi="Times New Roman"/>
          <w:sz w:val="20"/>
        </w:rPr>
      </w:pPr>
      <w:r>
        <w:rPr>
          <w:rFonts w:ascii="Times New Roman" w:hAnsi="Times New Roman"/>
          <w:sz w:val="20"/>
        </w:rPr>
        <w:t xml:space="preserve">(17) any provisions relating to any security provided for the debt securities; </w:t>
      </w:r>
    </w:p>
    <w:p>
      <w:pPr>
        <w:pStyle w:val="TextBody"/>
        <w:spacing w:before="240" w:after="0"/>
        <w:jc w:val="left"/>
        <w:rPr>
          <w:rFonts w:ascii="Times New Roman" w:hAnsi="Times New Roman"/>
          <w:sz w:val="20"/>
        </w:rPr>
      </w:pPr>
      <w:r>
        <w:rPr>
          <w:rFonts w:ascii="Times New Roman" w:hAnsi="Times New Roman"/>
          <w:sz w:val="20"/>
        </w:rPr>
        <w:t xml:space="preserve">(18) any addition to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spacing w:before="240" w:after="0"/>
        <w:jc w:val="left"/>
        <w:rPr>
          <w:rFonts w:ascii="Times New Roman" w:hAnsi="Times New Roman"/>
          <w:sz w:val="20"/>
        </w:rPr>
      </w:pPr>
      <w:r>
        <w:rPr>
          <w:rFonts w:ascii="Times New Roman" w:hAnsi="Times New Roman"/>
          <w:sz w:val="20"/>
        </w:rPr>
        <w:t xml:space="preserve">(19) any addition to or change in the covenants described in this prospectus or in the indenture with respect to the debt securities; </w:t>
      </w:r>
    </w:p>
    <w:p>
      <w:pPr>
        <w:pStyle w:val="TextBody"/>
        <w:spacing w:before="240" w:after="0"/>
        <w:jc w:val="left"/>
        <w:rPr>
          <w:rFonts w:ascii="Times New Roman" w:hAnsi="Times New Roman"/>
          <w:sz w:val="20"/>
        </w:rPr>
      </w:pPr>
      <w:r>
        <w:rPr>
          <w:rFonts w:ascii="Times New Roman" w:hAnsi="Times New Roman"/>
          <w:sz w:val="20"/>
        </w:rPr>
        <w:t xml:space="preserve">(20) any listing on a securities exchange; </w:t>
      </w:r>
    </w:p>
    <w:p>
      <w:pPr>
        <w:pStyle w:val="TextBody"/>
        <w:spacing w:before="240" w:after="0"/>
        <w:jc w:val="left"/>
        <w:rPr>
          <w:rFonts w:ascii="Times New Roman" w:hAnsi="Times New Roman"/>
          <w:sz w:val="20"/>
        </w:rPr>
      </w:pPr>
      <w:r>
        <w:rPr>
          <w:rFonts w:ascii="Times New Roman" w:hAnsi="Times New Roman"/>
          <w:sz w:val="20"/>
        </w:rPr>
        <w:t xml:space="preserve">(21) the initial public offering price, if any is established for such debt securities; </w:t>
      </w:r>
    </w:p>
    <w:p>
      <w:pPr>
        <w:pStyle w:val="TextBody"/>
        <w:spacing w:before="240" w:after="0"/>
        <w:jc w:val="left"/>
        <w:rPr>
          <w:rFonts w:ascii="Times New Roman" w:hAnsi="Times New Roman"/>
          <w:sz w:val="20"/>
        </w:rPr>
      </w:pPr>
      <w:r>
        <w:rPr>
          <w:rFonts w:ascii="Times New Roman" w:hAnsi="Times New Roman"/>
          <w:sz w:val="20"/>
        </w:rPr>
        <w:t xml:space="preserve">(22) any other terms of the debt securities, which may supplement, modify or delete any provision of the indenture as it applies to that series; and </w:t>
      </w:r>
    </w:p>
    <w:p>
      <w:pPr>
        <w:pStyle w:val="TextBody"/>
        <w:spacing w:before="240" w:after="0"/>
        <w:jc w:val="left"/>
        <w:rPr>
          <w:rFonts w:ascii="Times New Roman" w:hAnsi="Times New Roman"/>
          <w:sz w:val="20"/>
        </w:rPr>
      </w:pPr>
      <w:r>
        <w:rPr>
          <w:rFonts w:ascii="Times New Roman" w:hAnsi="Times New Roman"/>
          <w:sz w:val="20"/>
        </w:rPr>
        <w:t xml:space="preserve">(23) any depositaries, interest rate calculation agents, exchange rate calculation agents or other agents with respect to the debt securities if other than those appointed in the indenture. </w:t>
      </w:r>
    </w:p>
    <w:p>
      <w:pPr>
        <w:pStyle w:val="TextBody"/>
        <w:spacing w:before="240" w:after="0"/>
        <w:jc w:val="left"/>
        <w:rPr>
          <w:rFonts w:ascii="Times New Roman" w:hAnsi="Times New Roman"/>
          <w:sz w:val="20"/>
        </w:rPr>
      </w:pPr>
      <w:r>
        <w:rPr>
          <w:rFonts w:ascii="Times New Roman" w:hAnsi="Times New Roman"/>
          <w:sz w:val="20"/>
        </w:rPr>
        <w:t xml:space="preserve">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spacing w:before="120" w:after="0"/>
        <w:jc w:val="left"/>
        <w:rPr>
          <w:rFonts w:ascii="Times New Roman" w:hAnsi="Times New Roman"/>
          <w:sz w:val="20"/>
        </w:rPr>
      </w:pPr>
      <w:r>
        <w:rPr>
          <w:rFonts w:ascii="Times New Roman" w:hAnsi="Times New Roman"/>
          <w:sz w:val="20"/>
        </w:rPr>
        <w:t xml:space="preserve">See Forms of Securities in this prospectus for a description of transfer and exchange.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spacing w:before="360" w:after="0"/>
        <w:jc w:val="left"/>
        <w:rPr>
          <w:rFonts w:ascii="Times New Roman" w:hAnsi="Times New Roman"/>
          <w:b/>
          <w:sz w:val="20"/>
        </w:rPr>
      </w:pPr>
      <w:r>
        <w:rPr>
          <w:rFonts w:ascii="Times New Roman" w:hAnsi="Times New Roman"/>
          <w:b/>
          <w:sz w:val="20"/>
        </w:rPr>
        <w:t xml:space="preserve">Covenants </w:t>
      </w:r>
    </w:p>
    <w:p>
      <w:pPr>
        <w:pStyle w:val="TextBody"/>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spacing w:before="240" w:after="0"/>
        <w:jc w:val="left"/>
        <w:rPr>
          <w:rFonts w:ascii="Times New Roman" w:hAnsi="Times New Roman"/>
          <w:sz w:val="20"/>
        </w:rPr>
      </w:pPr>
      <w:r>
        <w:rPr>
          <w:rFonts w:ascii="Times New Roman" w:hAnsi="Times New Roman"/>
          <w:sz w:val="20"/>
        </w:rPr>
        <w:t xml:space="preserve">(1) 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 </w:t>
      </w:r>
    </w:p>
    <w:p>
      <w:pPr>
        <w:pStyle w:val="TextBody"/>
        <w:spacing w:before="240" w:after="0"/>
        <w:jc w:val="left"/>
        <w:rPr>
          <w:rFonts w:ascii="Times New Roman" w:hAnsi="Times New Roman"/>
          <w:sz w:val="20"/>
        </w:rPr>
      </w:pPr>
      <w:r>
        <w:rPr>
          <w:rFonts w:ascii="Times New Roman" w:hAnsi="Times New Roman"/>
          <w:sz w:val="20"/>
        </w:rPr>
        <w:t xml:space="preserve">(2) immediately after giving effect to the transaction, no Event of Default, and no event which, after notice or lapse of time, or both, would become an Event of Default, shall have occurred and be continuing under the indenture; and </w:t>
      </w:r>
    </w:p>
    <w:p>
      <w:pPr>
        <w:pStyle w:val="TextBody"/>
        <w:spacing w:before="240" w:after="0"/>
        <w:jc w:val="left"/>
        <w:rPr>
          <w:rFonts w:ascii="Times New Roman" w:hAnsi="Times New Roman"/>
          <w:sz w:val="20"/>
        </w:rPr>
      </w:pPr>
      <w:r>
        <w:rPr>
          <w:rFonts w:ascii="Times New Roman" w:hAnsi="Times New Roman"/>
          <w:sz w:val="20"/>
        </w:rPr>
        <w:t xml:space="preserve">(3) certain other conditions are met. </w:t>
      </w:r>
    </w:p>
    <w:p>
      <w:pPr>
        <w:pStyle w:val="TextBody"/>
        <w:spacing w:before="240" w:after="0"/>
        <w:jc w:val="left"/>
        <w:rPr>
          <w:rFonts w:ascii="Times New Roman" w:hAnsi="Times New Roman"/>
          <w:sz w:val="20"/>
        </w:rPr>
      </w:pPr>
      <w:r>
        <w:rPr>
          <w:rFonts w:ascii="Times New Roman" w:hAnsi="Times New Roman"/>
          <w:sz w:val="20"/>
        </w:rPr>
        <w:t xml:space="preserve">Notwithstanding the above, any subsidiary of ours may consolidate with, merge into or transfer all or part of its properties to us. </w:t>
      </w:r>
    </w:p>
    <w:p>
      <w:pPr>
        <w:pStyle w:val="TextBody"/>
        <w:spacing w:before="360" w:after="0"/>
        <w:jc w:val="left"/>
        <w:rPr>
          <w:rFonts w:ascii="Times New Roman" w:hAnsi="Times New Roman"/>
          <w:b/>
          <w:sz w:val="20"/>
        </w:rPr>
      </w:pPr>
      <w:r>
        <w:rPr>
          <w:rFonts w:ascii="Times New Roman" w:hAnsi="Times New Roman"/>
          <w:b/>
          <w:sz w:val="20"/>
        </w:rPr>
        <w:t xml:space="preserve">Events of Default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Event of Default</w:t>
      </w:r>
      <w:r>
        <w:rPr>
          <w:rFonts w:ascii="Times New Roman" w:hAnsi="Times New Roman"/>
          <w:sz w:val="20"/>
        </w:rPr>
        <w:t xml:space="preserve"> means with respect to any series of debt securities, any of the following unless otherwise provided in the resolutions, officers certificate or supplemental indenture establishing such series: </w:t>
      </w:r>
    </w:p>
    <w:p>
      <w:pPr>
        <w:pStyle w:val="TextBody"/>
        <w:spacing w:before="240" w:after="0"/>
        <w:jc w:val="left"/>
        <w:rPr>
          <w:rFonts w:ascii="Times New Roman" w:hAnsi="Times New Roman"/>
          <w:sz w:val="20"/>
        </w:rPr>
      </w:pPr>
      <w:r>
        <w:rPr>
          <w:rFonts w:ascii="Times New Roman" w:hAnsi="Times New Roman"/>
          <w:sz w:val="20"/>
        </w:rPr>
        <w:t xml:space="preserve">(1) default in the payment of any interest upon any debt security of that series when it becomes due and payable, and continuance of that default for a period of 30 days; </w:t>
      </w:r>
    </w:p>
    <w:p>
      <w:pPr>
        <w:pStyle w:val="TextBody"/>
        <w:spacing w:before="240" w:after="0"/>
        <w:jc w:val="left"/>
        <w:rPr>
          <w:rFonts w:ascii="Times New Roman" w:hAnsi="Times New Roman"/>
          <w:sz w:val="20"/>
        </w:rPr>
      </w:pPr>
      <w:r>
        <w:rPr>
          <w:rFonts w:ascii="Times New Roman" w:hAnsi="Times New Roman"/>
          <w:sz w:val="20"/>
        </w:rPr>
        <w:t xml:space="preserve">(2) default in the payment of principal of or any premium on any debt security of that series when due and payable; </w:t>
      </w:r>
    </w:p>
    <w:p>
      <w:pPr>
        <w:pStyle w:val="TextBody"/>
        <w:spacing w:before="240" w:after="0"/>
        <w:jc w:val="left"/>
        <w:rPr>
          <w:rFonts w:ascii="Times New Roman" w:hAnsi="Times New Roman"/>
          <w:sz w:val="20"/>
        </w:rPr>
      </w:pPr>
      <w:r>
        <w:rPr>
          <w:rFonts w:ascii="Times New Roman" w:hAnsi="Times New Roman"/>
          <w:sz w:val="20"/>
        </w:rPr>
        <w:t xml:space="preserve">(3) 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 </w:t>
      </w:r>
    </w:p>
    <w:p>
      <w:pPr>
        <w:pStyle w:val="TextBody"/>
        <w:spacing w:before="240" w:after="0"/>
        <w:jc w:val="left"/>
        <w:rPr>
          <w:rFonts w:ascii="Times New Roman" w:hAnsi="Times New Roman"/>
          <w:sz w:val="20"/>
        </w:rPr>
      </w:pPr>
      <w:r>
        <w:rPr>
          <w:rFonts w:ascii="Times New Roman" w:hAnsi="Times New Roman"/>
          <w:sz w:val="20"/>
        </w:rPr>
        <w:t xml:space="preserve">(4) certain events of bankruptcy, insolvency or reorganization involving us; and </w:t>
      </w:r>
    </w:p>
    <w:p>
      <w:pPr>
        <w:pStyle w:val="TextBody"/>
        <w:spacing w:before="240" w:after="0"/>
        <w:jc w:val="left"/>
        <w:rPr>
          <w:rFonts w:ascii="Times New Roman" w:hAnsi="Times New Roman"/>
          <w:sz w:val="20"/>
        </w:rPr>
      </w:pPr>
      <w:r>
        <w:rPr>
          <w:rFonts w:ascii="Times New Roman" w:hAnsi="Times New Roman"/>
          <w:sz w:val="20"/>
        </w:rPr>
        <w:t xml:space="preserve">(5) any other Event of Default provided with respect to debt securities of that series that is described in the applicable prospectus supplement accompanying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 </w:t>
      </w:r>
    </w:p>
    <w:p>
      <w:pPr>
        <w:pStyle w:val="TextBody"/>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w:t>
      </w:r>
    </w:p>
    <w:p>
      <w:pPr>
        <w:pStyle w:val="TextBody"/>
        <w:spacing w:before="240" w:after="0"/>
        <w:jc w:val="left"/>
        <w:rPr>
          <w:rFonts w:ascii="Times New Roman" w:hAnsi="Times New Roman"/>
          <w:sz w:val="20"/>
        </w:rPr>
      </w:pPr>
      <w:r>
        <w:rPr>
          <w:rFonts w:ascii="Times New Roman" w:hAnsi="Times New Roman"/>
          <w:sz w:val="20"/>
        </w:rPr>
        <w:t xml:space="preserve">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spacing w:before="240" w:after="0"/>
        <w:jc w:val="left"/>
        <w:rPr>
          <w:rFonts w:ascii="Times New Roman" w:hAnsi="Times New Roman"/>
          <w:sz w:val="20"/>
        </w:rPr>
      </w:pPr>
      <w:r>
        <w:rPr>
          <w:rFonts w:ascii="Times New Roman" w:hAnsi="Times New Roman"/>
          <w:sz w:val="20"/>
        </w:rPr>
        <w:t xml:space="preserve">(1) that holder has previously given to the trustee written notice of a continuing Event of Default with respect to debt securities of that series; and </w:t>
      </w:r>
    </w:p>
    <w:p>
      <w:pPr>
        <w:pStyle w:val="TextBody"/>
        <w:spacing w:before="240" w:after="0"/>
        <w:jc w:val="left"/>
        <w:rPr>
          <w:rFonts w:ascii="Times New Roman" w:hAnsi="Times New Roman"/>
          <w:sz w:val="20"/>
        </w:rPr>
      </w:pPr>
      <w:r>
        <w:rPr>
          <w:rFonts w:ascii="Times New Roman" w:hAnsi="Times New Roman"/>
          <w:sz w:val="20"/>
        </w:rPr>
        <w:t xml:space="preserve">(2) 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 </w:t>
      </w:r>
    </w:p>
    <w:p>
      <w:pPr>
        <w:pStyle w:val="TextBody"/>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securities of that series) with respect to debt securities of that series if it in good faith determines that withholding notice is in the interest of the holders of those debt securities. </w:t>
      </w:r>
    </w:p>
    <w:p>
      <w:pPr>
        <w:pStyle w:val="TextBody"/>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spacing w:before="120" w:after="0"/>
        <w:jc w:val="left"/>
        <w:rPr>
          <w:rFonts w:ascii="Times New Roman" w:hAnsi="Times New Roman"/>
          <w:sz w:val="20"/>
        </w:rPr>
      </w:pPr>
      <w:r>
        <w:rPr>
          <w:rFonts w:ascii="Times New Roman" w:hAnsi="Times New Roman"/>
          <w:sz w:val="20"/>
        </w:rPr>
        <w:t xml:space="preserve">We and the trustee may amend or supplement the indenture or the debt securities of one or more series without the consent of the holders of the outstanding debt securities under the indenture: </w:t>
      </w:r>
    </w:p>
    <w:p>
      <w:pPr>
        <w:pStyle w:val="TextBody"/>
        <w:spacing w:before="240" w:after="0"/>
        <w:jc w:val="left"/>
        <w:rPr>
          <w:rFonts w:ascii="Times New Roman" w:hAnsi="Times New Roman"/>
          <w:sz w:val="20"/>
        </w:rPr>
      </w:pPr>
      <w:r>
        <w:rPr>
          <w:rFonts w:ascii="Times New Roman" w:hAnsi="Times New Roman"/>
          <w:sz w:val="20"/>
        </w:rPr>
        <w:t xml:space="preserve">(1) to cure any ambiguity, defect or inconsistency; </w:t>
      </w:r>
    </w:p>
    <w:p>
      <w:pPr>
        <w:pStyle w:val="TextBody"/>
        <w:spacing w:before="240" w:after="0"/>
        <w:jc w:val="left"/>
        <w:rPr>
          <w:rFonts w:ascii="Times New Roman" w:hAnsi="Times New Roman"/>
          <w:sz w:val="20"/>
        </w:rPr>
      </w:pPr>
      <w:r>
        <w:rPr>
          <w:rFonts w:ascii="Times New Roman" w:hAnsi="Times New Roman"/>
          <w:sz w:val="20"/>
        </w:rPr>
        <w:t xml:space="preserve">(2) to provide for a supplemental indenture as contemplated by Article V of the indenture; </w:t>
      </w:r>
    </w:p>
    <w:p>
      <w:pPr>
        <w:pStyle w:val="TextBody"/>
        <w:spacing w:before="240" w:after="0"/>
        <w:jc w:val="left"/>
        <w:rPr>
          <w:rFonts w:ascii="Times New Roman" w:hAnsi="Times New Roman"/>
          <w:sz w:val="20"/>
        </w:rPr>
      </w:pPr>
      <w:r>
        <w:rPr>
          <w:rFonts w:ascii="Times New Roman" w:hAnsi="Times New Roman"/>
          <w:sz w:val="20"/>
        </w:rPr>
        <w:t xml:space="preserve">(3) to provide for uncertificated debt securities in addition to or in place of certificated debt securities; </w:t>
      </w:r>
    </w:p>
    <w:p>
      <w:pPr>
        <w:pStyle w:val="TextBody"/>
        <w:spacing w:before="240" w:after="0"/>
        <w:jc w:val="left"/>
        <w:rPr>
          <w:rFonts w:ascii="Times New Roman" w:hAnsi="Times New Roman"/>
          <w:sz w:val="20"/>
        </w:rPr>
      </w:pPr>
      <w:r>
        <w:rPr>
          <w:rFonts w:ascii="Times New Roman" w:hAnsi="Times New Roman"/>
          <w:sz w:val="20"/>
        </w:rPr>
        <w:t xml:space="preserve">(4) to make any change that does not adversely affect the rights of any holder of debt securities under the indenture; </w:t>
      </w:r>
    </w:p>
    <w:p>
      <w:pPr>
        <w:pStyle w:val="TextBody"/>
        <w:spacing w:before="240" w:after="0"/>
        <w:jc w:val="left"/>
        <w:rPr>
          <w:rFonts w:ascii="Times New Roman" w:hAnsi="Times New Roman"/>
          <w:sz w:val="20"/>
        </w:rPr>
      </w:pPr>
      <w:r>
        <w:rPr>
          <w:rFonts w:ascii="Times New Roman" w:hAnsi="Times New Roman"/>
          <w:sz w:val="20"/>
        </w:rPr>
        <w:t xml:space="preserve">(5) to provide for the issuance of and establish the form and terms and conditions of debt securities under the indenture as permitted thereunder; </w:t>
      </w:r>
    </w:p>
    <w:p>
      <w:pPr>
        <w:pStyle w:val="TextBody"/>
        <w:spacing w:before="240" w:after="0"/>
        <w:jc w:val="left"/>
        <w:rPr>
          <w:rFonts w:ascii="Times New Roman" w:hAnsi="Times New Roman"/>
          <w:sz w:val="20"/>
        </w:rPr>
      </w:pPr>
      <w:r>
        <w:rPr>
          <w:rFonts w:ascii="Times New Roman" w:hAnsi="Times New Roman"/>
          <w:sz w:val="20"/>
        </w:rPr>
        <w:t xml:space="preserve">(6) 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 </w:t>
      </w:r>
    </w:p>
    <w:p>
      <w:pPr>
        <w:pStyle w:val="TextBody"/>
        <w:spacing w:before="240" w:after="0"/>
        <w:jc w:val="left"/>
        <w:rPr>
          <w:rFonts w:ascii="Times New Roman" w:hAnsi="Times New Roman"/>
          <w:sz w:val="20"/>
        </w:rPr>
      </w:pPr>
      <w:r>
        <w:rPr>
          <w:rFonts w:ascii="Times New Roman" w:hAnsi="Times New Roman"/>
          <w:sz w:val="20"/>
        </w:rPr>
        <w:t xml:space="preserve">(7) to comply with requirements of the SEC in order to effect or maintain the qualification of the indenture under the Trust Indenture Act. </w:t>
      </w:r>
    </w:p>
    <w:p>
      <w:pPr>
        <w:pStyle w:val="TextBody"/>
        <w:spacing w:before="240" w:after="0"/>
        <w:jc w:val="left"/>
        <w:rPr>
          <w:rFonts w:ascii="Times New Roman" w:hAnsi="Times New Roman"/>
          <w:sz w:val="20"/>
        </w:rPr>
      </w:pPr>
      <w:r>
        <w:rPr>
          <w:rFonts w:ascii="Times New Roman" w:hAnsi="Times New Roman"/>
          <w:sz w:val="20"/>
        </w:rPr>
        <w:t xml:space="preserve">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 </w:t>
      </w:r>
    </w:p>
    <w:p>
      <w:pPr>
        <w:pStyle w:val="TextBody"/>
        <w:spacing w:before="240" w:after="0"/>
        <w:jc w:val="left"/>
        <w:rPr>
          <w:rFonts w:ascii="Times New Roman" w:hAnsi="Times New Roman"/>
          <w:sz w:val="20"/>
        </w:rPr>
      </w:pPr>
      <w:r>
        <w:rPr>
          <w:rFonts w:ascii="Times New Roman" w:hAnsi="Times New Roman"/>
          <w:sz w:val="20"/>
        </w:rPr>
        <w:t xml:space="preserve">(1) reduce the principal amount of debt securities whose holders must consent to an amendment, supplement or waiver; </w:t>
      </w:r>
    </w:p>
    <w:p>
      <w:pPr>
        <w:pStyle w:val="TextBody"/>
        <w:spacing w:before="240" w:after="0"/>
        <w:jc w:val="left"/>
        <w:rPr>
          <w:rFonts w:ascii="Times New Roman" w:hAnsi="Times New Roman"/>
          <w:sz w:val="20"/>
        </w:rPr>
      </w:pPr>
      <w:r>
        <w:rPr>
          <w:rFonts w:ascii="Times New Roman" w:hAnsi="Times New Roman"/>
          <w:sz w:val="20"/>
        </w:rPr>
        <w:t xml:space="preserve">(2) reduce the rate of or extend the time for payment of interest (including default interest) on any debt security; </w:t>
      </w:r>
    </w:p>
    <w:p>
      <w:pPr>
        <w:pStyle w:val="TextBody"/>
        <w:spacing w:before="240" w:after="0"/>
        <w:jc w:val="left"/>
        <w:rPr>
          <w:rFonts w:ascii="Times New Roman" w:hAnsi="Times New Roman"/>
          <w:sz w:val="20"/>
        </w:rPr>
      </w:pPr>
      <w:r>
        <w:rPr>
          <w:rFonts w:ascii="Times New Roman" w:hAnsi="Times New Roman"/>
          <w:sz w:val="20"/>
        </w:rPr>
        <w:t xml:space="preserve">(3) 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spacing w:before="240" w:after="0"/>
        <w:jc w:val="left"/>
        <w:rPr>
          <w:rFonts w:ascii="Times New Roman" w:hAnsi="Times New Roman"/>
          <w:sz w:val="20"/>
        </w:rPr>
      </w:pPr>
      <w:r>
        <w:rPr>
          <w:rFonts w:ascii="Times New Roman" w:hAnsi="Times New Roman"/>
          <w:sz w:val="20"/>
        </w:rPr>
        <w:t xml:space="preserve">(4) reduce the principal amount of discount securities payable upon acceleration of maturity; </w:t>
      </w:r>
    </w:p>
    <w:p>
      <w:pPr>
        <w:pStyle w:val="TextBody"/>
        <w:spacing w:before="240" w:after="0"/>
        <w:jc w:val="left"/>
        <w:rPr>
          <w:rFonts w:ascii="Times New Roman" w:hAnsi="Times New Roman"/>
          <w:sz w:val="20"/>
        </w:rPr>
      </w:pPr>
      <w:r>
        <w:rPr>
          <w:rFonts w:ascii="Times New Roman" w:hAnsi="Times New Roman"/>
          <w:sz w:val="20"/>
        </w:rPr>
        <w:t xml:space="preserve">(5) 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(6) make the principal of or premium or interest on any debt security payable in currency other than that stated in the debt security; or </w:t>
      </w:r>
    </w:p>
    <w:p>
      <w:pPr>
        <w:pStyle w:val="TextBody"/>
        <w:spacing w:before="240" w:after="0"/>
        <w:jc w:val="left"/>
        <w:rPr>
          <w:rFonts w:ascii="Times New Roman" w:hAnsi="Times New Roman"/>
          <w:sz w:val="20"/>
        </w:rPr>
      </w:pPr>
      <w:r>
        <w:rPr>
          <w:rFonts w:ascii="Times New Roman" w:hAnsi="Times New Roman"/>
          <w:sz w:val="20"/>
        </w:rPr>
        <w:t xml:space="preserve">(7) 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w:t>
      </w:r>
    </w:p>
    <w:p>
      <w:pPr>
        <w:pStyle w:val="TextBody"/>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 </w:t>
      </w:r>
    </w:p>
    <w:p>
      <w:pPr>
        <w:pStyle w:val="TextBody"/>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spacing w:before="240" w:after="0"/>
        <w:jc w:val="left"/>
        <w:rPr>
          <w:rFonts w:ascii="Times New Roman" w:hAnsi="Times New Roman"/>
          <w:sz w:val="20"/>
        </w:rPr>
      </w:pPr>
      <w:r>
        <w:rPr>
          <w:rFonts w:ascii="Times New Roman" w:hAnsi="Times New Roman"/>
          <w:sz w:val="20"/>
        </w:rPr>
        <w:t xml:space="preserve">(1) we may omit to comply with the covenant described under the heading Consolidation, Merger and Sale of Assets and certain other covenants set forth in the indenture, as well as any additional covenants which may be set forth in the applicable prospectus supplement; and </w:t>
      </w:r>
    </w:p>
    <w:p>
      <w:pPr>
        <w:pStyle w:val="TextBody"/>
        <w:spacing w:before="240" w:after="0"/>
        <w:jc w:val="left"/>
        <w:rPr>
          <w:rFonts w:ascii="Times New Roman" w:hAnsi="Times New Roman"/>
          <w:sz w:val="20"/>
        </w:rPr>
      </w:pPr>
      <w:r>
        <w:rPr>
          <w:rFonts w:ascii="Times New Roman" w:hAnsi="Times New Roman"/>
          <w:sz w:val="20"/>
        </w:rPr>
        <w:t xml:space="preserve">(2) any omission to comply with those covenants will not constitute a default or an event of default with respect to the debt securities of that series (covenant defeasance). </w:t>
      </w:r>
    </w:p>
    <w:p>
      <w:pPr>
        <w:pStyle w:val="TextBody"/>
        <w:spacing w:before="240" w:after="0"/>
        <w:jc w:val="left"/>
        <w:rPr>
          <w:rFonts w:ascii="Times New Roman" w:hAnsi="Times New Roman"/>
          <w:sz w:val="20"/>
        </w:rPr>
      </w:pPr>
      <w:r>
        <w:rPr>
          <w:rFonts w:ascii="Times New Roman" w:hAnsi="Times New Roman"/>
          <w:sz w:val="20"/>
        </w:rPr>
        <w:t xml:space="preserve">The conditions include: </w:t>
      </w:r>
    </w:p>
    <w:p>
      <w:pPr>
        <w:pStyle w:val="TextBody"/>
        <w:spacing w:before="120" w:after="0"/>
        <w:jc w:val="left"/>
        <w:rPr>
          <w:rFonts w:ascii="Times New Roman" w:hAnsi="Times New Roman"/>
          <w:sz w:val="20"/>
        </w:rPr>
      </w:pPr>
      <w:r>
        <w:rPr>
          <w:rFonts w:ascii="Times New Roman" w:hAnsi="Times New Roman"/>
          <w:sz w:val="20"/>
        </w:rPr>
        <w:t xml:space="preserve">(1) depositing with the trustee money and/or U.S. Government Obligations or, in the case of debt securities denominated in a single currency other than U.S. Dollars, money and/or Foreign Government Obligations,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spacing w:before="240" w:after="0"/>
        <w:jc w:val="left"/>
        <w:rPr>
          <w:rFonts w:ascii="Times New Roman" w:hAnsi="Times New Roman"/>
          <w:sz w:val="20"/>
        </w:rPr>
      </w:pPr>
      <w:r>
        <w:rPr>
          <w:rFonts w:ascii="Times New Roman" w:hAnsi="Times New Roman"/>
          <w:sz w:val="20"/>
        </w:rPr>
        <w:t xml:space="preserve">(2) 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p>
      <w:pPr>
        <w:pStyle w:val="TextBody"/>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spacing w:before="240" w:after="0"/>
        <w:jc w:val="left"/>
        <w:rPr>
          <w:rFonts w:ascii="Times New Roman" w:hAnsi="Times New Roman"/>
          <w:sz w:val="20"/>
        </w:rPr>
      </w:pPr>
      <w:r>
        <w:rPr>
          <w:rFonts w:ascii="Times New Roman" w:hAnsi="Times New Roman"/>
          <w:sz w:val="20"/>
        </w:rPr>
        <w:t xml:space="preserve">(1) direct obligations of the government that issued or caused to be issued such currency for the payment of which obligations its full faith and credit is pledged which are not callable or redeemable at the option of the issuer thereof; or </w:t>
      </w:r>
    </w:p>
    <w:p>
      <w:pPr>
        <w:pStyle w:val="TextBody"/>
        <w:spacing w:before="240" w:after="0"/>
        <w:jc w:val="left"/>
        <w:rPr>
          <w:rFonts w:ascii="Times New Roman" w:hAnsi="Times New Roman"/>
          <w:sz w:val="20"/>
        </w:rPr>
      </w:pPr>
      <w:r>
        <w:rPr>
          <w:rFonts w:ascii="Times New Roman" w:hAnsi="Times New Roman"/>
          <w:sz w:val="20"/>
        </w:rPr>
        <w:t xml:space="preserve">(2) 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U.S. Government Obligations</w:t>
      </w:r>
      <w:r>
        <w:rPr>
          <w:rFonts w:ascii="Times New Roman" w:hAnsi="Times New Roman"/>
          <w:sz w:val="20"/>
        </w:rPr>
        <w:t xml:space="preserve">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w:t>
      </w:r>
    </w:p>
    <w:p>
      <w:pPr>
        <w:pStyle w:val="TextBody"/>
        <w:spacing w:before="360" w:after="0"/>
        <w:jc w:val="left"/>
        <w:rPr>
          <w:rFonts w:ascii="Times New Roman" w:hAnsi="Times New Roman"/>
          <w:b/>
          <w:sz w:val="20"/>
        </w:rPr>
      </w:pPr>
      <w:r>
        <w:rPr>
          <w:rFonts w:ascii="Times New Roman" w:hAnsi="Times New Roman"/>
          <w:b/>
          <w:sz w:val="20"/>
        </w:rPr>
        <w:t xml:space="preserve">Satisfaction and Discharge Prior to Maturity </w:t>
      </w:r>
    </w:p>
    <w:p>
      <w:pPr>
        <w:pStyle w:val="TextBody"/>
        <w:spacing w:before="120" w:after="0"/>
        <w:jc w:val="left"/>
        <w:rPr>
          <w:rFonts w:ascii="Times New Roman" w:hAnsi="Times New Roman"/>
          <w:sz w:val="20"/>
        </w:rPr>
      </w:pPr>
      <w:r>
        <w:rPr>
          <w:rFonts w:ascii="Times New Roman" w:hAnsi="Times New Roman"/>
          <w:sz w:val="20"/>
        </w:rPr>
        <w:t xml:space="preserve">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 </w:t>
      </w:r>
    </w:p>
    <w:p>
      <w:pPr>
        <w:pStyle w:val="TextBody"/>
        <w:spacing w:before="360" w:after="0"/>
        <w:jc w:val="left"/>
        <w:rPr>
          <w:rFonts w:ascii="Times New Roman" w:hAnsi="Times New Roman"/>
          <w:b/>
          <w:sz w:val="20"/>
        </w:rPr>
      </w:pPr>
      <w:r>
        <w:rPr>
          <w:rFonts w:ascii="Times New Roman" w:hAnsi="Times New Roman"/>
          <w:b/>
          <w:sz w:val="20"/>
        </w:rPr>
        <w:t xml:space="preserve">Governing Law </w:t>
      </w:r>
    </w:p>
    <w:p>
      <w:pPr>
        <w:pStyle w:val="TextBody"/>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200943_9"/>
      <w:bookmarkEnd w:id="11"/>
      <w:r>
        <w:rPr>
          <w:rFonts w:ascii="Times New Roman" w:hAnsi="Times New Roman"/>
          <w:b/>
          <w:sz w:val="20"/>
        </w:rPr>
        <w:t xml:space="preserve">FORMS OF SECURITIES </w:t>
      </w:r>
    </w:p>
    <w:p>
      <w:pPr>
        <w:pStyle w:val="TextBody"/>
        <w:spacing w:before="240" w:after="0"/>
        <w:jc w:val="left"/>
        <w:rPr>
          <w:rFonts w:ascii="Times New Roman" w:hAnsi="Times New Roman"/>
          <w:sz w:val="20"/>
        </w:rPr>
      </w:pPr>
      <w:r>
        <w:rPr>
          <w:rFonts w:ascii="Times New Roman" w:hAnsi="Times New Roman"/>
          <w:sz w:val="20"/>
        </w:rPr>
        <w:t xml:space="preserve">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spacing w:before="360" w:after="0"/>
        <w:jc w:val="left"/>
        <w:rPr>
          <w:rFonts w:ascii="Times New Roman" w:hAnsi="Times New Roman"/>
          <w:b/>
          <w:sz w:val="20"/>
        </w:rPr>
      </w:pPr>
      <w:r>
        <w:rPr>
          <w:rFonts w:ascii="Times New Roman" w:hAnsi="Times New Roman"/>
          <w:b/>
          <w:sz w:val="20"/>
        </w:rPr>
        <w:t xml:space="preserve">Global Securities </w:t>
      </w:r>
    </w:p>
    <w:p>
      <w:pPr>
        <w:pStyle w:val="TextBody"/>
        <w:spacing w:before="120" w:after="0"/>
        <w:jc w:val="left"/>
        <w:rPr>
          <w:rFonts w:ascii="Times New Roman" w:hAnsi="Times New Roman"/>
          <w:sz w:val="20"/>
        </w:rPr>
      </w:pPr>
      <w:r>
        <w:rPr>
          <w:rFonts w:ascii="Times New Roman" w:hAnsi="Times New Roman"/>
          <w:sz w:val="20"/>
        </w:rPr>
        <w:t xml:space="preserve">We may issue the debt securities of a particular series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would authorize beneficial owners owning through them to give or take that action or would otherwise act upon the instructions of beneficial owners holding through them. </w:t>
      </w:r>
    </w:p>
    <w:p>
      <w:pPr>
        <w:pStyle w:val="TextBody"/>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200943_10"/>
      <w:bookmarkEnd w:id="12"/>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may sell debt securities: </w:t>
      </w:r>
    </w:p>
    <w:p>
      <w:pPr>
        <w:pStyle w:val="TextBody"/>
        <w:spacing w:before="120" w:after="0"/>
        <w:jc w:val="left"/>
        <w:rPr>
          <w:rFonts w:ascii="Times New Roman" w:hAnsi="Times New Roman"/>
          <w:sz w:val="20"/>
        </w:rPr>
      </w:pPr>
      <w:r>
        <w:rPr>
          <w:rFonts w:ascii="Times New Roman" w:hAnsi="Times New Roman"/>
          <w:sz w:val="20"/>
        </w:rPr>
        <w:t xml:space="preserve">(1) through underwriters; </w:t>
      </w:r>
    </w:p>
    <w:p>
      <w:pPr>
        <w:pStyle w:val="TextBody"/>
        <w:spacing w:before="240" w:after="0"/>
        <w:jc w:val="left"/>
        <w:rPr>
          <w:rFonts w:ascii="Times New Roman" w:hAnsi="Times New Roman"/>
          <w:sz w:val="20"/>
        </w:rPr>
      </w:pPr>
      <w:r>
        <w:rPr>
          <w:rFonts w:ascii="Times New Roman" w:hAnsi="Times New Roman"/>
          <w:sz w:val="20"/>
        </w:rPr>
        <w:t xml:space="preserve">(2) through dealers; </w:t>
      </w:r>
    </w:p>
    <w:p>
      <w:pPr>
        <w:pStyle w:val="TextBody"/>
        <w:spacing w:before="240" w:after="0"/>
        <w:jc w:val="left"/>
        <w:rPr>
          <w:rFonts w:ascii="Times New Roman" w:hAnsi="Times New Roman"/>
          <w:sz w:val="20"/>
        </w:rPr>
      </w:pPr>
      <w:r>
        <w:rPr>
          <w:rFonts w:ascii="Times New Roman" w:hAnsi="Times New Roman"/>
          <w:sz w:val="20"/>
        </w:rPr>
        <w:t xml:space="preserve">(3) through agents; </w:t>
      </w:r>
    </w:p>
    <w:p>
      <w:pPr>
        <w:pStyle w:val="TextBody"/>
        <w:spacing w:before="240" w:after="0"/>
        <w:jc w:val="left"/>
        <w:rPr>
          <w:rFonts w:ascii="Times New Roman" w:hAnsi="Times New Roman"/>
          <w:sz w:val="20"/>
        </w:rPr>
      </w:pPr>
      <w:r>
        <w:rPr>
          <w:rFonts w:ascii="Times New Roman" w:hAnsi="Times New Roman"/>
          <w:sz w:val="20"/>
        </w:rPr>
        <w:t xml:space="preserve">(4) directly to purchasers; or </w:t>
      </w:r>
    </w:p>
    <w:p>
      <w:pPr>
        <w:pStyle w:val="TextBody"/>
        <w:spacing w:before="240" w:after="0"/>
        <w:jc w:val="left"/>
        <w:rPr>
          <w:rFonts w:ascii="Times New Roman" w:hAnsi="Times New Roman"/>
          <w:sz w:val="20"/>
        </w:rPr>
      </w:pPr>
      <w:r>
        <w:rPr>
          <w:rFonts w:ascii="Times New Roman" w:hAnsi="Times New Roman"/>
          <w:sz w:val="20"/>
        </w:rPr>
        <w:t xml:space="preserve">(5) through a combination of any of these methods of sale. </w:t>
      </w:r>
    </w:p>
    <w:p>
      <w:pPr>
        <w:pStyle w:val="TextBody"/>
        <w:spacing w:before="240" w:after="0"/>
        <w:jc w:val="left"/>
        <w:rPr>
          <w:rFonts w:ascii="Times New Roman" w:hAnsi="Times New Roman"/>
          <w:sz w:val="20"/>
        </w:rPr>
      </w:pPr>
      <w:r>
        <w:rPr>
          <w:rFonts w:ascii="Times New Roman" w:hAnsi="Times New Roman"/>
          <w:sz w:val="20"/>
        </w:rPr>
        <w:t xml:space="preserve">This prospectus may be used in connection with any offering of our debt securities through any of these methods or other methods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spacing w:before="240" w:after="0"/>
        <w:jc w:val="left"/>
        <w:rPr>
          <w:rFonts w:ascii="Times New Roman" w:hAnsi="Times New Roman"/>
          <w:sz w:val="20"/>
        </w:rPr>
      </w:pPr>
      <w:r>
        <w:rPr>
          <w:rFonts w:ascii="Times New Roman" w:hAnsi="Times New Roman"/>
          <w:sz w:val="20"/>
        </w:rPr>
        <w:t xml:space="preserve">The distribution of the debt securities may be effected from time to time in one or more transactions: </w:t>
      </w:r>
    </w:p>
    <w:p>
      <w:pPr>
        <w:pStyle w:val="TextBody"/>
        <w:spacing w:before="120" w:after="0"/>
        <w:jc w:val="left"/>
        <w:rPr>
          <w:rFonts w:ascii="Times New Roman" w:hAnsi="Times New Roman"/>
          <w:sz w:val="20"/>
        </w:rPr>
      </w:pPr>
      <w:r>
        <w:rPr>
          <w:rFonts w:ascii="Times New Roman" w:hAnsi="Times New Roman"/>
          <w:sz w:val="20"/>
        </w:rPr>
        <w:t xml:space="preserve">(1) at a fixed price, or prices, which may be changed from time to time; </w:t>
      </w:r>
    </w:p>
    <w:p>
      <w:pPr>
        <w:pStyle w:val="TextBody"/>
        <w:spacing w:before="240" w:after="0"/>
        <w:jc w:val="left"/>
        <w:rPr>
          <w:rFonts w:ascii="Times New Roman" w:hAnsi="Times New Roman"/>
          <w:sz w:val="20"/>
        </w:rPr>
      </w:pPr>
      <w:r>
        <w:rPr>
          <w:rFonts w:ascii="Times New Roman" w:hAnsi="Times New Roman"/>
          <w:sz w:val="20"/>
        </w:rPr>
        <w:t xml:space="preserve">(2) at market prices prevailing at the time of sale; </w:t>
      </w:r>
    </w:p>
    <w:p>
      <w:pPr>
        <w:pStyle w:val="TextBody"/>
        <w:spacing w:before="240" w:after="0"/>
        <w:jc w:val="left"/>
        <w:rPr>
          <w:rFonts w:ascii="Times New Roman" w:hAnsi="Times New Roman"/>
          <w:sz w:val="20"/>
        </w:rPr>
      </w:pPr>
      <w:r>
        <w:rPr>
          <w:rFonts w:ascii="Times New Roman" w:hAnsi="Times New Roman"/>
          <w:sz w:val="20"/>
        </w:rPr>
        <w:t xml:space="preserve">(3) at prices related to such prevailing market prices; or </w:t>
      </w:r>
    </w:p>
    <w:p>
      <w:pPr>
        <w:pStyle w:val="TextBody"/>
        <w:spacing w:before="240" w:after="0"/>
        <w:jc w:val="left"/>
        <w:rPr>
          <w:rFonts w:ascii="Times New Roman" w:hAnsi="Times New Roman"/>
          <w:sz w:val="20"/>
        </w:rPr>
      </w:pPr>
      <w:r>
        <w:rPr>
          <w:rFonts w:ascii="Times New Roman" w:hAnsi="Times New Roman"/>
          <w:sz w:val="20"/>
        </w:rPr>
        <w:t xml:space="preserve">(4) at negotiated prices. </w:t>
      </w:r>
    </w:p>
    <w:p>
      <w:pPr>
        <w:pStyle w:val="TextBody"/>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debt securities and any applicable restrictions. </w:t>
      </w:r>
    </w:p>
    <w:p>
      <w:pPr>
        <w:pStyle w:val="TextBody"/>
        <w:spacing w:before="240" w:after="0"/>
        <w:jc w:val="left"/>
        <w:rPr>
          <w:rFonts w:ascii="Times New Roman" w:hAnsi="Times New Roman"/>
          <w:sz w:val="20"/>
        </w:rPr>
      </w:pPr>
      <w:r>
        <w:rPr>
          <w:rFonts w:ascii="Times New Roman" w:hAnsi="Times New Roman"/>
          <w:sz w:val="20"/>
        </w:rPr>
        <w:t xml:space="preserve">The prospectus supplement with respect to the debt securities of a particular series will describe the terms of the offering of the debt securities, including the following: </w:t>
      </w:r>
    </w:p>
    <w:p>
      <w:pPr>
        <w:pStyle w:val="TextBody"/>
        <w:spacing w:before="240" w:after="0"/>
        <w:jc w:val="left"/>
        <w:rPr>
          <w:rFonts w:ascii="Times New Roman" w:hAnsi="Times New Roman"/>
          <w:sz w:val="20"/>
        </w:rPr>
      </w:pPr>
      <w:r>
        <w:rPr>
          <w:rFonts w:ascii="Times New Roman" w:hAnsi="Times New Roman"/>
          <w:sz w:val="20"/>
        </w:rPr>
        <w:t xml:space="preserve">(1) the name of the agent or any underwriters; </w:t>
      </w:r>
    </w:p>
    <w:p>
      <w:pPr>
        <w:pStyle w:val="TextBody"/>
        <w:spacing w:before="240" w:after="0"/>
        <w:jc w:val="left"/>
        <w:rPr>
          <w:rFonts w:ascii="Times New Roman" w:hAnsi="Times New Roman"/>
          <w:sz w:val="20"/>
        </w:rPr>
      </w:pPr>
      <w:r>
        <w:rPr>
          <w:rFonts w:ascii="Times New Roman" w:hAnsi="Times New Roman"/>
          <w:sz w:val="20"/>
        </w:rPr>
        <w:t xml:space="preserve">(2) the public offering or purchase price and the proceeds we will receive from the sale of the debt securities; </w:t>
      </w:r>
    </w:p>
    <w:p>
      <w:pPr>
        <w:pStyle w:val="TextBody"/>
        <w:spacing w:before="240" w:after="0"/>
        <w:jc w:val="left"/>
        <w:rPr>
          <w:rFonts w:ascii="Times New Roman" w:hAnsi="Times New Roman"/>
          <w:sz w:val="20"/>
        </w:rPr>
      </w:pPr>
      <w:r>
        <w:rPr>
          <w:rFonts w:ascii="Times New Roman" w:hAnsi="Times New Roman"/>
          <w:sz w:val="20"/>
        </w:rPr>
        <w:t xml:space="preserve">(3) any discounts and commissions to be allowed or re-allowed or paid to the agent or underwriters; </w:t>
      </w:r>
    </w:p>
    <w:p>
      <w:pPr>
        <w:pStyle w:val="TextBody"/>
        <w:spacing w:before="240" w:after="0"/>
        <w:jc w:val="left"/>
        <w:rPr>
          <w:rFonts w:ascii="Times New Roman" w:hAnsi="Times New Roman"/>
          <w:sz w:val="20"/>
        </w:rPr>
      </w:pPr>
      <w:r>
        <w:rPr>
          <w:rFonts w:ascii="Times New Roman" w:hAnsi="Times New Roman"/>
          <w:sz w:val="20"/>
        </w:rPr>
        <w:t xml:space="preserve">(4) all other items constituting underwriting compensation; </w:t>
      </w:r>
    </w:p>
    <w:p>
      <w:pPr>
        <w:pStyle w:val="TextBody"/>
        <w:spacing w:before="240" w:after="0"/>
        <w:jc w:val="left"/>
        <w:rPr>
          <w:rFonts w:ascii="Times New Roman" w:hAnsi="Times New Roman"/>
          <w:sz w:val="20"/>
        </w:rPr>
      </w:pPr>
      <w:r>
        <w:rPr>
          <w:rFonts w:ascii="Times New Roman" w:hAnsi="Times New Roman"/>
          <w:sz w:val="20"/>
        </w:rPr>
        <w:t xml:space="preserve">(5) any discounts and commissions to be allowed or re-allowed or paid to dealers; and </w:t>
      </w:r>
    </w:p>
    <w:p>
      <w:pPr>
        <w:pStyle w:val="TextBody"/>
        <w:spacing w:before="240" w:after="0"/>
        <w:jc w:val="left"/>
        <w:rPr>
          <w:rFonts w:ascii="Times New Roman" w:hAnsi="Times New Roman"/>
          <w:sz w:val="20"/>
        </w:rPr>
      </w:pPr>
      <w:r>
        <w:rPr>
          <w:rFonts w:ascii="Times New Roman" w:hAnsi="Times New Roman"/>
          <w:sz w:val="20"/>
        </w:rPr>
        <w:t xml:space="preserve">(6) any exchanges on which the debt securities will be listed.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 </w:t>
      </w:r>
    </w:p>
    <w:p>
      <w:pPr>
        <w:pStyle w:val="TextBody"/>
        <w:spacing w:before="240" w:after="0"/>
        <w:jc w:val="left"/>
        <w:rPr>
          <w:rFonts w:ascii="Times New Roman" w:hAnsi="Times New Roman"/>
          <w:sz w:val="20"/>
        </w:rPr>
      </w:pPr>
      <w:r>
        <w:rPr>
          <w:rFonts w:ascii="Times New Roman" w:hAnsi="Times New Roman"/>
          <w:sz w:val="20"/>
        </w:rPr>
        <w:t xml:space="preserve">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 </w:t>
      </w:r>
    </w:p>
    <w:p>
      <w:pPr>
        <w:pStyle w:val="TextBody"/>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spacing w:before="240" w:after="0"/>
        <w:jc w:val="left"/>
        <w:rPr>
          <w:rFonts w:ascii="Times New Roman" w:hAnsi="Times New Roman"/>
          <w:sz w:val="20"/>
        </w:rPr>
      </w:pPr>
      <w:r>
        <w:rPr>
          <w:rFonts w:ascii="Times New Roman" w:hAnsi="Times New Roman"/>
          <w:sz w:val="20"/>
        </w:rPr>
        <w:t xml:space="preserve">(1) the purchase by an institution of the debt securities covered under that contract shall not at the time of delivery be prohibited under the laws of the jurisdiction to which that institution is subject; and </w:t>
      </w:r>
    </w:p>
    <w:p>
      <w:pPr>
        <w:pStyle w:val="TextBody"/>
        <w:spacing w:before="240" w:after="0"/>
        <w:jc w:val="left"/>
        <w:rPr>
          <w:rFonts w:ascii="Times New Roman" w:hAnsi="Times New Roman"/>
          <w:sz w:val="20"/>
        </w:rPr>
      </w:pPr>
      <w:r>
        <w:rPr>
          <w:rFonts w:ascii="Times New Roman" w:hAnsi="Times New Roman"/>
          <w:sz w:val="20"/>
        </w:rPr>
        <w:t xml:space="preserve">(2) 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 </w:t>
      </w:r>
    </w:p>
    <w:p>
      <w:pPr>
        <w:pStyle w:val="TextBody"/>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 </w:t>
      </w:r>
    </w:p>
    <w:p>
      <w:pPr>
        <w:pStyle w:val="TextBody"/>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spacing w:before="240" w:after="0"/>
        <w:jc w:val="left"/>
        <w:rPr>
          <w:rFonts w:ascii="Times New Roman" w:hAnsi="Times New Roman"/>
          <w:sz w:val="20"/>
        </w:rPr>
      </w:pPr>
      <w:r>
        <w:rPr>
          <w:rFonts w:ascii="Times New Roman" w:hAnsi="Times New Roman"/>
          <w:sz w:val="20"/>
        </w:rPr>
        <w:t xml:space="preserve">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200943_11"/>
      <w:bookmarkEnd w:id="13"/>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debt securities in respect of which this prospectus is being delivered will be passed upon by Wilmer Cutler Pickering Hale and Dorr LLP. </w:t>
      </w:r>
    </w:p>
    <w:p>
      <w:pPr>
        <w:pStyle w:val="TextBody"/>
        <w:spacing w:before="480" w:after="0"/>
        <w:jc w:val="center"/>
        <w:rPr>
          <w:rFonts w:ascii="Times New Roman" w:hAnsi="Times New Roman"/>
          <w:b/>
          <w:sz w:val="20"/>
        </w:rPr>
      </w:pPr>
      <w:bookmarkStart w:id="14" w:name="toc200943_12"/>
      <w:bookmarkEnd w:id="14"/>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Analog Devices, Inc. appearing in Analog Devices, Inc.s Annual Report (Form 10-K) for the year ended October 31, 2020 (including the schedule appearing therein), and the effectiveness of Analog Devices, Inc.s internal control over financial reporting as of October 31, 2020,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Maxim Integrated Products, Inc and managements assessment of the effectiveness of internal control over financial reporting (which is included in Managements Report on Internal Control over Financial Reporting) incorporated in this Prospectus by reference to the Annual Report on Form 10-K of Maxim Integrated Products, Inc. for the year ended June 26, 2021 have been so incorporated in reliance on the report of PricewaterhouseCoopers LLP, an independent registered public accounting firm, given on the authority of said firm as experts in auditing and accounting.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9083"/>
      </w:tblGrid>
      <w:tr>
        <w:trPr/>
        <w:tc>
          <w:tcPr>
            <w:tcW w:w="1122" w:type="dxa"/>
            <w:tcBorders/>
            <w:shd w:fill="auto" w:val="clear"/>
          </w:tcPr>
          <w:p>
            <w:pPr>
              <w:pStyle w:val="TableContents"/>
              <w:spacing w:before="0" w:after="283"/>
              <w:jc w:val="left"/>
              <w:rPr>
                <w:b/>
              </w:rPr>
            </w:pPr>
            <w:r>
              <w:rPr>
                <w:b/>
              </w:rPr>
              <w:t>Item 14.</w:t>
            </w:r>
          </w:p>
        </w:tc>
        <w:tc>
          <w:tcPr>
            <w:tcW w:w="908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the registrants best estimate as to anticipated expenses and costs (other than underwriting discounts and commissions) expected to be incurred in connection with a distribution of debt securities registered hereby: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042"/>
        <w:gridCol w:w="532"/>
        <w:gridCol w:w="140"/>
        <w:gridCol w:w="870"/>
        <w:gridCol w:w="355"/>
      </w:tblGrid>
      <w:tr>
        <w:trPr/>
        <w:tc>
          <w:tcPr>
            <w:tcW w:w="504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5042"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(1) </w:t>
            </w:r>
          </w:p>
        </w:tc>
      </w:tr>
      <w:tr>
        <w:trPr/>
        <w:tc>
          <w:tcPr>
            <w:tcW w:w="5042" w:type="dxa"/>
            <w:tcBorders/>
            <w:shd w:fill="auto" w:val="clear"/>
          </w:tcPr>
          <w:p>
            <w:pPr>
              <w:pStyle w:val="TableContents"/>
              <w:spacing w:before="0" w:after="0"/>
              <w:rPr>
                <w:rFonts w:ascii="Times New Roman" w:hAnsi="Times New Roman"/>
                <w:sz w:val="20"/>
              </w:rPr>
            </w:pPr>
            <w:r>
              <w:rPr>
                <w:rFonts w:ascii="Times New Roman" w:hAnsi="Times New Roman"/>
                <w:sz w:val="20"/>
              </w:rPr>
              <w:t>Printing and engraving expenses</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(2) </w:t>
            </w:r>
          </w:p>
        </w:tc>
      </w:tr>
      <w:tr>
        <w:trPr/>
        <w:tc>
          <w:tcPr>
            <w:tcW w:w="5042"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services</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(2) </w:t>
            </w:r>
          </w:p>
        </w:tc>
      </w:tr>
      <w:tr>
        <w:trPr/>
        <w:tc>
          <w:tcPr>
            <w:tcW w:w="5042" w:type="dxa"/>
            <w:tcBorders/>
            <w:shd w:fill="auto" w:val="clear"/>
          </w:tcPr>
          <w:p>
            <w:pPr>
              <w:pStyle w:val="TableContents"/>
              <w:spacing w:before="0" w:after="0"/>
              <w:rPr>
                <w:rFonts w:ascii="Times New Roman" w:hAnsi="Times New Roman"/>
                <w:sz w:val="20"/>
              </w:rPr>
            </w:pPr>
            <w:r>
              <w:rPr>
                <w:rFonts w:ascii="Times New Roman" w:hAnsi="Times New Roman"/>
                <w:sz w:val="20"/>
              </w:rPr>
              <w:t>Trustee fees and expenses</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(2) </w:t>
            </w:r>
          </w:p>
        </w:tc>
      </w:tr>
      <w:tr>
        <w:trPr/>
        <w:tc>
          <w:tcPr>
            <w:tcW w:w="5042" w:type="dxa"/>
            <w:tcBorders/>
            <w:shd w:fill="CCEEFF" w:val="clear"/>
          </w:tcPr>
          <w:p>
            <w:pPr>
              <w:pStyle w:val="TableContents"/>
              <w:spacing w:before="0" w:after="0"/>
              <w:rPr>
                <w:rFonts w:ascii="Times New Roman" w:hAnsi="Times New Roman"/>
                <w:sz w:val="20"/>
              </w:rPr>
            </w:pPr>
            <w:r>
              <w:rPr>
                <w:rFonts w:ascii="Times New Roman" w:hAnsi="Times New Roman"/>
                <w:sz w:val="20"/>
              </w:rPr>
              <w:t>Legal fees of registrants counsel</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(2) </w:t>
            </w:r>
          </w:p>
        </w:tc>
      </w:tr>
      <w:tr>
        <w:trPr/>
        <w:tc>
          <w:tcPr>
            <w:tcW w:w="5042" w:type="dxa"/>
            <w:tcBorders/>
            <w:shd w:fill="auto" w:val="clear"/>
          </w:tcPr>
          <w:p>
            <w:pPr>
              <w:pStyle w:val="TableContents"/>
              <w:spacing w:before="0" w:after="0"/>
              <w:rPr>
                <w:rFonts w:ascii="Times New Roman" w:hAnsi="Times New Roman"/>
                <w:sz w:val="20"/>
              </w:rPr>
            </w:pPr>
            <w:r>
              <w:rPr>
                <w:rFonts w:ascii="Times New Roman" w:hAnsi="Times New Roman"/>
                <w:sz w:val="20"/>
              </w:rPr>
              <w:t>Rating agency fees</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(2) </w:t>
            </w:r>
          </w:p>
        </w:tc>
      </w:tr>
      <w:tr>
        <w:trPr/>
        <w:tc>
          <w:tcPr>
            <w:tcW w:w="5042"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expenses</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(2) </w:t>
            </w:r>
          </w:p>
        </w:tc>
      </w:tr>
      <w:tr>
        <w:trPr/>
        <w:tc>
          <w:tcPr>
            <w:tcW w:w="5042"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0" w:type="dxa"/>
            <w:tcBorders/>
            <w:shd w:fill="auto" w:val="clear"/>
            <w:vAlign w:val="bottom"/>
          </w:tcPr>
          <w:p>
            <w:pPr>
              <w:pStyle w:val="TableContents"/>
              <w:pBdr>
                <w:top w:val="single" w:sz="2" w:space="1" w:color="000000"/>
              </w:pBdr>
              <w:spacing w:before="0" w:after="0"/>
              <w:rPr/>
            </w:pPr>
            <w:r>
              <w:rPr/>
              <w:t> </w:t>
            </w:r>
          </w:p>
        </w:tc>
        <w:tc>
          <w:tcPr>
            <w:tcW w:w="355" w:type="dxa"/>
            <w:tcBorders/>
            <w:shd w:fill="auto" w:val="clear"/>
            <w:vAlign w:val="center"/>
          </w:tcPr>
          <w:p>
            <w:pPr>
              <w:pStyle w:val="TableContents"/>
              <w:spacing w:before="0" w:after="283"/>
              <w:rPr/>
            </w:pPr>
            <w:r>
              <w:rPr/>
              <w:t> </w:t>
            </w:r>
          </w:p>
        </w:tc>
      </w:tr>
      <w:tr>
        <w:trPr/>
        <w:tc>
          <w:tcPr>
            <w:tcW w:w="5042"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(2)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Deferred in reliance upon Rules 456(b) and 457(r) under the Securities Act.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fees and expenses are calculated based on the amount of securities offered and the number of issuances and, accordingly, are not estimated at this time and will be reflected in the applicable prospectus supplement.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9084"/>
      </w:tblGrid>
      <w:tr>
        <w:trPr/>
        <w:tc>
          <w:tcPr>
            <w:tcW w:w="1121" w:type="dxa"/>
            <w:tcBorders/>
            <w:shd w:fill="auto" w:val="clear"/>
          </w:tcPr>
          <w:p>
            <w:pPr>
              <w:pStyle w:val="TableContents"/>
              <w:spacing w:before="0" w:after="283"/>
              <w:jc w:val="left"/>
              <w:rPr>
                <w:b/>
              </w:rPr>
            </w:pPr>
            <w:r>
              <w:rPr>
                <w:b/>
              </w:rPr>
              <w:t>Item 15.</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 </w:t>
      </w:r>
    </w:p>
    <w:p>
      <w:pPr>
        <w:pStyle w:val="TextBody"/>
        <w:spacing w:before="240" w:after="0"/>
        <w:jc w:val="left"/>
        <w:rPr>
          <w:rFonts w:ascii="Times New Roman" w:hAnsi="Times New Roman"/>
          <w:sz w:val="20"/>
        </w:rPr>
      </w:pPr>
      <w:r>
        <w:rPr>
          <w:rFonts w:ascii="Times New Roman" w:hAnsi="Times New Roman"/>
          <w:sz w:val="20"/>
        </w:rPr>
        <w:t xml:space="preserve">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legal counsel in a written opinion), based on facts known to the board of directors or such independent legal counsel at such time, that such person did not act in good faith in the reasonable belief that his action was in the best interest of the Company or the participants or beneficiaries of such employee benefit plan, as the case may be. </w:t>
      </w:r>
    </w:p>
    <w:p>
      <w:pPr>
        <w:pStyle w:val="TextBody"/>
        <w:spacing w:before="240" w:after="0"/>
        <w:jc w:val="left"/>
        <w:rPr>
          <w:rFonts w:ascii="Times New Roman" w:hAnsi="Times New Roman"/>
          <w:sz w:val="20"/>
        </w:rPr>
      </w:pPr>
      <w:r>
        <w:rPr>
          <w:rFonts w:ascii="Times New Roman" w:hAnsi="Times New Roman"/>
          <w:sz w:val="20"/>
        </w:rPr>
        <w:t xml:space="preserve">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 </w:t>
      </w:r>
    </w:p>
    <w:p>
      <w:pPr>
        <w:pStyle w:val="TextBody"/>
        <w:spacing w:before="240" w:after="0"/>
        <w:jc w:val="left"/>
        <w:rPr>
          <w:rFonts w:ascii="Times New Roman" w:hAnsi="Times New Roman"/>
          <w:sz w:val="20"/>
        </w:rPr>
      </w:pPr>
      <w:r>
        <w:rPr>
          <w:rFonts w:ascii="Times New Roman" w:hAnsi="Times New Roman"/>
          <w:sz w:val="20"/>
        </w:rPr>
        <w:t xml:space="preserve">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 </w:t>
      </w:r>
    </w:p>
    <w:p>
      <w:pPr>
        <w:pStyle w:val="TextBody"/>
        <w:spacing w:before="240" w:after="0"/>
        <w:jc w:val="left"/>
        <w:rPr>
          <w:rFonts w:ascii="Times New Roman" w:hAnsi="Times New Roman"/>
          <w:sz w:val="20"/>
        </w:rPr>
      </w:pPr>
      <w:r>
        <w:rPr>
          <w:rFonts w:ascii="Times New Roman" w:hAnsi="Times New Roman"/>
          <w:sz w:val="20"/>
        </w:rPr>
        <w:t xml:space="preserve">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 </w:t>
      </w:r>
    </w:p>
    <w:p>
      <w:pPr>
        <w:pStyle w:val="TextBody"/>
        <w:spacing w:before="240" w:after="0"/>
        <w:jc w:val="left"/>
        <w:rPr>
          <w:rFonts w:ascii="Times New Roman" w:hAnsi="Times New Roman"/>
          <w:sz w:val="20"/>
        </w:rPr>
      </w:pPr>
      <w:r>
        <w:rPr>
          <w:rFonts w:ascii="Times New Roman" w:hAnsi="Times New Roman"/>
          <w:sz w:val="20"/>
        </w:rPr>
        <w:t xml:space="preserve">In addition, the Company has directors and officers liability insurance for the benefit of its directors and 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9084"/>
      </w:tblGrid>
      <w:tr>
        <w:trPr/>
        <w:tc>
          <w:tcPr>
            <w:tcW w:w="1121" w:type="dxa"/>
            <w:tcBorders/>
            <w:shd w:fill="auto" w:val="clear"/>
          </w:tcPr>
          <w:p>
            <w:pPr>
              <w:pStyle w:val="TableContents"/>
              <w:spacing w:before="0" w:after="283"/>
              <w:jc w:val="left"/>
              <w:rPr>
                <w:b/>
              </w:rPr>
            </w:pPr>
            <w:r>
              <w:rPr>
                <w:b/>
              </w:rPr>
              <w:t>Item 16.</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Exhibits</w:t>
            </w:r>
            <w:r>
              <w:rPr>
                <w:rFonts w:ascii="Times New Roman" w:hAnsi="Times New Roman"/>
                <w:b/>
                <w:sz w:val="20"/>
              </w:rPr>
              <w:t xml:space="preserv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1"/>
        <w:gridCol w:w="510"/>
        <w:gridCol w:w="9084"/>
      </w:tblGrid>
      <w:tr>
        <w:trPr/>
        <w:tc>
          <w:tcPr>
            <w:tcW w:w="61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9084"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Number</w:t>
            </w:r>
          </w:p>
        </w:tc>
        <w:tc>
          <w:tcPr>
            <w:tcW w:w="510"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r>
              <w:rPr/>
              <w:t>1.1*</w:t>
            </w:r>
          </w:p>
        </w:tc>
        <w:tc>
          <w:tcPr>
            <w:tcW w:w="510"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r>
              <w:rPr/>
              <w:t>Form of Underwriting Agreement.</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r>
              <w:rPr/>
              <w:t>2.1+</w:t>
            </w:r>
          </w:p>
        </w:tc>
        <w:tc>
          <w:tcPr>
            <w:tcW w:w="510"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hyperlink r:id="rId18">
              <w:r>
                <w:rPr>
                  <w:rStyle w:val="InternetLink"/>
                </w:rPr>
                <w:t>Agreement and Plan of Merger, dated as of July  12, 2020, by and among Analog Devices, Inc., Maxim Integrated Products, Inc. and Magneto Corp., filed as Exhibit 2.1 to the Companys Current Report on Form 8-K (File No. 001-07819), as filed with the SEC on July 15, 2020.</w:t>
              </w:r>
            </w:hyperlink>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r>
              <w:rPr/>
              <w:t>3.1+</w:t>
            </w:r>
          </w:p>
        </w:tc>
        <w:tc>
          <w:tcPr>
            <w:tcW w:w="510"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hyperlink r:id="rId19">
              <w:r>
                <w:rPr>
                  <w:rStyle w:val="InternetLink"/>
                </w:rPr>
                <w:t>Restated Articles of Organization of the Company, as amended, filed as Exhibit 3.1 to the Companys Quarterly Report on Form 10-Q for the fiscal quarter ended May 3, 2008 (File No. 001-07819), as filed with the SEC on May 20, 2008.</w:t>
              </w:r>
            </w:hyperlink>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r>
              <w:rPr/>
              <w:t>3.2+</w:t>
            </w:r>
          </w:p>
        </w:tc>
        <w:tc>
          <w:tcPr>
            <w:tcW w:w="510"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hyperlink r:id="rId20">
              <w:r>
                <w:rPr>
                  <w:rStyle w:val="InternetLink"/>
                </w:rPr>
                <w:t>Amendment to Restated Articles of Organization of the Company, filed as Exhibit 3.1 to the Companys Current Report on Form 8-K (File No. 001-07819), as filed with the SEC on December 8, 2008</w:t>
              </w:r>
            </w:hyperlink>
            <w:r>
              <w:rPr/>
              <w:t>.</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r>
              <w:rPr/>
              <w:t>3.3+</w:t>
            </w:r>
          </w:p>
        </w:tc>
        <w:tc>
          <w:tcPr>
            <w:tcW w:w="510"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hyperlink r:id="rId21">
              <w:r>
                <w:rPr>
                  <w:rStyle w:val="InternetLink"/>
                </w:rPr>
                <w:t>Amended and Restated By-laws of the Company, filed as Exhibit 3.1 to the Companys Current Report on Form 8-K (File No. 001-07819), as filed with the SEC on December 17, 2018</w:t>
              </w:r>
            </w:hyperlink>
            <w:r>
              <w:rPr/>
              <w:t>.</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r>
              <w:rPr/>
              <w:t>4.1+</w:t>
            </w:r>
          </w:p>
        </w:tc>
        <w:tc>
          <w:tcPr>
            <w:tcW w:w="510"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hyperlink r:id="rId22">
              <w:r>
                <w:rPr>
                  <w:rStyle w:val="InternetLink"/>
                </w:rPr>
                <w:t>Indenture dated June  3, 2013, by and between the Company and The Bank of New York Mellon Trust Company, N.A. (as Trustee), filed as Exhibit 4.1 to the Companys Current Report on Form 8-K (File No. 001-07819), as filed with the SEC on June 3, 2013</w:t>
              </w:r>
            </w:hyperlink>
            <w:r>
              <w:rPr/>
              <w: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612"/>
        <w:gridCol w:w="584"/>
        <w:gridCol w:w="9009"/>
      </w:tblGrid>
      <w:tr>
        <w:trPr/>
        <w:tc>
          <w:tcPr>
            <w:tcW w:w="612"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bottom"/>
          </w:tcPr>
          <w:p>
            <w:pPr>
              <w:pStyle w:val="TableContents"/>
              <w:spacing w:before="0" w:after="283"/>
              <w:rPr>
                <w:sz w:val="4"/>
                <w:szCs w:val="4"/>
              </w:rPr>
            </w:pPr>
            <w:r>
              <w:rPr>
                <w:sz w:val="4"/>
                <w:szCs w:val="4"/>
              </w:rPr>
            </w:r>
          </w:p>
        </w:tc>
        <w:tc>
          <w:tcPr>
            <w:tcW w:w="9009" w:type="dxa"/>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Number</w:t>
            </w:r>
          </w:p>
        </w:tc>
        <w:tc>
          <w:tcPr>
            <w:tcW w:w="584" w:type="dxa"/>
            <w:tcBorders/>
            <w:shd w:fill="auto" w:val="clear"/>
            <w:vAlign w:val="bottom"/>
          </w:tcPr>
          <w:p>
            <w:pPr>
              <w:pStyle w:val="TableContents"/>
              <w:spacing w:before="0" w:after="283"/>
              <w:rPr/>
            </w:pPr>
            <w:r>
              <w:rPr/>
              <w:t>  </w:t>
            </w:r>
          </w:p>
        </w:tc>
        <w:tc>
          <w:tcPr>
            <w:tcW w:w="9009"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r>
              <w:rPr/>
              <w:t>5.1</w:t>
            </w:r>
          </w:p>
        </w:tc>
        <w:tc>
          <w:tcPr>
            <w:tcW w:w="584" w:type="dxa"/>
            <w:tcBorders/>
            <w:shd w:fill="auto" w:val="clear"/>
            <w:vAlign w:val="bottom"/>
          </w:tcPr>
          <w:p>
            <w:pPr>
              <w:pStyle w:val="TableContents"/>
              <w:spacing w:before="0" w:after="283"/>
              <w:rPr/>
            </w:pPr>
            <w:r>
              <w:rPr/>
              <w:t>  </w:t>
            </w:r>
          </w:p>
        </w:tc>
        <w:tc>
          <w:tcPr>
            <w:tcW w:w="9009" w:type="dxa"/>
            <w:tcBorders/>
            <w:shd w:fill="auto" w:val="clear"/>
          </w:tcPr>
          <w:p>
            <w:pPr>
              <w:pStyle w:val="TableContents"/>
              <w:spacing w:before="0" w:after="283"/>
              <w:rPr/>
            </w:pPr>
            <w:hyperlink w:anchor="d200943dex51.htm">
              <w:r>
                <w:rPr>
                  <w:rStyle w:val="InternetLink"/>
                </w:rPr>
                <w:t xml:space="preserve">Opinion of Wilmer Cutler Pickering Hale and Dorr LLP. </w:t>
              </w:r>
            </w:hyperlink>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23.1</w:t>
            </w:r>
          </w:p>
        </w:tc>
        <w:tc>
          <w:tcPr>
            <w:tcW w:w="584" w:type="dxa"/>
            <w:tcBorders/>
            <w:shd w:fill="auto" w:val="clear"/>
            <w:vAlign w:val="bottom"/>
          </w:tcPr>
          <w:p>
            <w:pPr>
              <w:pStyle w:val="TableContents"/>
              <w:spacing w:before="0" w:after="283"/>
              <w:rPr/>
            </w:pPr>
            <w:r>
              <w:rPr/>
              <w:t>  </w:t>
            </w:r>
          </w:p>
        </w:tc>
        <w:tc>
          <w:tcPr>
            <w:tcW w:w="9009" w:type="dxa"/>
            <w:tcBorders/>
            <w:shd w:fill="auto" w:val="clear"/>
          </w:tcPr>
          <w:p>
            <w:pPr>
              <w:pStyle w:val="TableContents"/>
              <w:spacing w:before="0" w:after="283"/>
              <w:rPr/>
            </w:pPr>
            <w:hyperlink w:anchor="d200943dex231.htm">
              <w:r>
                <w:rPr>
                  <w:rStyle w:val="InternetLink"/>
                </w:rPr>
                <w:t xml:space="preserve">Consent of Ernst &amp; Young LLP, Independent Registered Public Accounting Firm. </w:t>
              </w:r>
            </w:hyperlink>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23.2</w:t>
            </w:r>
          </w:p>
        </w:tc>
        <w:tc>
          <w:tcPr>
            <w:tcW w:w="584" w:type="dxa"/>
            <w:tcBorders/>
            <w:shd w:fill="auto" w:val="clear"/>
            <w:vAlign w:val="bottom"/>
          </w:tcPr>
          <w:p>
            <w:pPr>
              <w:pStyle w:val="TableContents"/>
              <w:spacing w:before="0" w:after="283"/>
              <w:rPr/>
            </w:pPr>
            <w:r>
              <w:rPr/>
              <w:t>  </w:t>
            </w:r>
          </w:p>
        </w:tc>
        <w:tc>
          <w:tcPr>
            <w:tcW w:w="9009" w:type="dxa"/>
            <w:tcBorders/>
            <w:shd w:fill="auto" w:val="clear"/>
          </w:tcPr>
          <w:p>
            <w:pPr>
              <w:pStyle w:val="TableContents"/>
              <w:spacing w:before="0" w:after="283"/>
              <w:rPr/>
            </w:pPr>
            <w:hyperlink w:anchor="d200943dex232.htm">
              <w:r>
                <w:rPr>
                  <w:rStyle w:val="InternetLink"/>
                </w:rPr>
                <w:t xml:space="preserve">Consent of PricewaterhouseCoopers LLP, Independent Registered Public Accounting Firm. </w:t>
              </w:r>
            </w:hyperlink>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23.3</w:t>
            </w:r>
          </w:p>
        </w:tc>
        <w:tc>
          <w:tcPr>
            <w:tcW w:w="584" w:type="dxa"/>
            <w:tcBorders/>
            <w:shd w:fill="auto" w:val="clear"/>
            <w:vAlign w:val="bottom"/>
          </w:tcPr>
          <w:p>
            <w:pPr>
              <w:pStyle w:val="TableContents"/>
              <w:spacing w:before="0" w:after="283"/>
              <w:rPr/>
            </w:pPr>
            <w:r>
              <w:rPr/>
              <w:t>  </w:t>
            </w:r>
          </w:p>
        </w:tc>
        <w:tc>
          <w:tcPr>
            <w:tcW w:w="9009" w:type="dxa"/>
            <w:tcBorders/>
            <w:shd w:fill="auto" w:val="clear"/>
          </w:tcPr>
          <w:p>
            <w:pPr>
              <w:pStyle w:val="TableContents"/>
              <w:spacing w:before="0" w:after="283"/>
              <w:rPr/>
            </w:pPr>
            <w:hyperlink w:anchor="d200943dex51.htm">
              <w:r>
                <w:rPr>
                  <w:rStyle w:val="InternetLink"/>
                </w:rPr>
                <w:t xml:space="preserve">Consent of Wilmer Cutler Pickering Hale and Dorr LLP (included in Exhibit 5.1). </w:t>
              </w:r>
            </w:hyperlink>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24.1</w:t>
            </w:r>
          </w:p>
        </w:tc>
        <w:tc>
          <w:tcPr>
            <w:tcW w:w="584" w:type="dxa"/>
            <w:tcBorders/>
            <w:shd w:fill="auto" w:val="clear"/>
            <w:vAlign w:val="bottom"/>
          </w:tcPr>
          <w:p>
            <w:pPr>
              <w:pStyle w:val="TableContents"/>
              <w:spacing w:before="0" w:after="283"/>
              <w:rPr/>
            </w:pPr>
            <w:r>
              <w:rPr/>
              <w:t>  </w:t>
            </w:r>
          </w:p>
        </w:tc>
        <w:tc>
          <w:tcPr>
            <w:tcW w:w="9009" w:type="dxa"/>
            <w:tcBorders/>
            <w:shd w:fill="auto" w:val="clear"/>
          </w:tcPr>
          <w:p>
            <w:pPr>
              <w:pStyle w:val="TableContents"/>
              <w:spacing w:before="0" w:after="283"/>
              <w:rPr/>
            </w:pPr>
            <w:hyperlink w:anchor="sig">
              <w:r>
                <w:rPr>
                  <w:rStyle w:val="InternetLink"/>
                </w:rPr>
                <w:t xml:space="preserve">Powers of Attorney (included on signature pages). </w:t>
              </w:r>
            </w:hyperlink>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25.1</w:t>
            </w:r>
          </w:p>
        </w:tc>
        <w:tc>
          <w:tcPr>
            <w:tcW w:w="584" w:type="dxa"/>
            <w:tcBorders/>
            <w:shd w:fill="auto" w:val="clear"/>
            <w:vAlign w:val="bottom"/>
          </w:tcPr>
          <w:p>
            <w:pPr>
              <w:pStyle w:val="TableContents"/>
              <w:spacing w:before="0" w:after="283"/>
              <w:rPr/>
            </w:pPr>
            <w:r>
              <w:rPr/>
              <w:t>  </w:t>
            </w:r>
          </w:p>
        </w:tc>
        <w:tc>
          <w:tcPr>
            <w:tcW w:w="9009" w:type="dxa"/>
            <w:tcBorders/>
            <w:shd w:fill="auto" w:val="clear"/>
          </w:tcPr>
          <w:p>
            <w:pPr>
              <w:pStyle w:val="TableContents"/>
              <w:spacing w:before="0" w:after="283"/>
              <w:rPr/>
            </w:pPr>
            <w:hyperlink w:anchor="d200943dex251.htm">
              <w:r>
                <w:rPr>
                  <w:rStyle w:val="InternetLink"/>
                </w:rPr>
                <w:t xml:space="preserve">Statement of Eligibility on Form T-1 of The Bank of New York Mellon Trust Company, N.A., Trustee. </w:t>
              </w:r>
            </w:hyperlink>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Previously filed with the SEC and incorporated herein by reference.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be filed by an amendment or as an exhibit to a report filed under the Exchange Act and incorporated herein by reference.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9084"/>
      </w:tblGrid>
      <w:tr>
        <w:trPr/>
        <w:tc>
          <w:tcPr>
            <w:tcW w:w="1121" w:type="dxa"/>
            <w:tcBorders/>
            <w:shd w:fill="auto" w:val="clear"/>
          </w:tcPr>
          <w:p>
            <w:pPr>
              <w:pStyle w:val="TableContents"/>
              <w:spacing w:before="0" w:after="283"/>
              <w:jc w:val="left"/>
              <w:rPr>
                <w:b/>
              </w:rPr>
            </w:pPr>
            <w:r>
              <w:rPr>
                <w:b/>
              </w:rPr>
              <w:t>Item 17.</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(a)(1)</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407"/>
        <w:gridCol w:w="8677"/>
      </w:tblGrid>
      <w:tr>
        <w:trPr/>
        <w:tc>
          <w:tcPr>
            <w:tcW w:w="1121"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6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408"/>
        <w:gridCol w:w="8676"/>
      </w:tblGrid>
      <w:tr>
        <w:trPr/>
        <w:tc>
          <w:tcPr>
            <w:tcW w:w="1121"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407"/>
        <w:gridCol w:w="8676"/>
      </w:tblGrid>
      <w:tr>
        <w:trPr/>
        <w:tc>
          <w:tcPr>
            <w:tcW w:w="112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(3)</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(4)</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407"/>
        <w:gridCol w:w="8676"/>
      </w:tblGrid>
      <w:tr>
        <w:trPr/>
        <w:tc>
          <w:tcPr>
            <w:tcW w:w="112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prospectus filed by a Registrant pursuant to Rule 424(b)(3) shall be deemed to be part of the registration statement as of the date the filed prospectus was deemed part of and included in the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408"/>
        <w:gridCol w:w="8676"/>
      </w:tblGrid>
      <w:tr>
        <w:trPr/>
        <w:tc>
          <w:tcPr>
            <w:tcW w:w="1121"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(5)</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408"/>
        <w:gridCol w:w="8675"/>
      </w:tblGrid>
      <w:tr>
        <w:trPr/>
        <w:tc>
          <w:tcPr>
            <w:tcW w:w="1122"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w:t>
            </w:r>
          </w:p>
        </w:tc>
        <w:tc>
          <w:tcPr>
            <w:tcW w:w="86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preliminary prospectus or prospectus of such undersigned Registrant relating to the offering required to be filed pursuant to Rule 424;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407"/>
        <w:gridCol w:w="8677"/>
      </w:tblGrid>
      <w:tr>
        <w:trPr/>
        <w:tc>
          <w:tcPr>
            <w:tcW w:w="1121"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6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such undersigned Registrant or used or referred to by such undersigned Registrant;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407"/>
        <w:gridCol w:w="8676"/>
      </w:tblGrid>
      <w:tr>
        <w:trPr/>
        <w:tc>
          <w:tcPr>
            <w:tcW w:w="112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such undersigned Registrant or its securities provided by or on behalf of such undersigned Registrant;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408"/>
        <w:gridCol w:w="8676"/>
      </w:tblGrid>
      <w:tr>
        <w:trPr/>
        <w:tc>
          <w:tcPr>
            <w:tcW w:w="1121"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(iv)</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communication that is an offer in the offering made by such undersigned Registrant to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(6)</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407"/>
        <w:gridCol w:w="8676"/>
      </w:tblGrid>
      <w:tr>
        <w:trPr/>
        <w:tc>
          <w:tcPr>
            <w:tcW w:w="112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1"/>
        <w:gridCol w:w="408"/>
        <w:gridCol w:w="8676"/>
      </w:tblGrid>
      <w:tr>
        <w:trPr/>
        <w:tc>
          <w:tcPr>
            <w:tcW w:w="1121"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w:t>
            </w:r>
          </w:p>
        </w:tc>
        <w:tc>
          <w:tcPr>
            <w:tcW w:w="8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(b)</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15(d) 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118"/>
        <w:gridCol w:w="9087"/>
      </w:tblGrid>
      <w:tr>
        <w:trPr/>
        <w:tc>
          <w:tcPr>
            <w:tcW w:w="1118" w:type="dxa"/>
            <w:tcBorders/>
            <w:shd w:fill="auto" w:val="clear"/>
            <w:vAlign w:val="center"/>
          </w:tcPr>
          <w:p>
            <w:pPr>
              <w:pStyle w:val="TableContents"/>
              <w:spacing w:before="0" w:after="283"/>
              <w:rPr/>
            </w:pPr>
            <w:r>
              <w:rPr/>
              <w:t> </w:t>
            </w:r>
          </w:p>
        </w:tc>
        <w:tc>
          <w:tcPr>
            <w:tcW w:w="9087" w:type="dxa"/>
            <w:tcBorders/>
            <w:shd w:fill="auto" w:val="clear"/>
          </w:tcPr>
          <w:p>
            <w:pPr>
              <w:pStyle w:val="TableContents"/>
              <w:spacing w:before="0" w:after="283"/>
              <w:jc w:val="left"/>
              <w:rPr/>
            </w:pPr>
            <w:r>
              <w:rPr/>
              <w:t xml:space="preserve">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(c)</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(d)</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Wilmington, Commonwealth of Massachusetts, on September 24,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ANALOG DEVICES, INC.</w:t>
            </w:r>
          </w:p>
        </w:tc>
      </w:tr>
      <w:tr>
        <w:trPr>
          <w:trHeight w:val="240" w:hRule="atLeast"/>
        </w:trPr>
        <w:tc>
          <w:tcPr>
            <w:tcW w:w="372" w:type="dxa"/>
            <w:tcBorders/>
            <w:shd w:fill="auto" w:val="clear"/>
            <w:vAlign w:val="center"/>
          </w:tcPr>
          <w:p>
            <w:pPr>
              <w:pStyle w:val="TableContents"/>
              <w:spacing w:before="0" w:after="283"/>
              <w:rPr>
                <w:sz w:val="4"/>
                <w:szCs w:val="4"/>
              </w:rPr>
            </w:pPr>
            <w:r>
              <w:rPr>
                <w:sz w:val="4"/>
                <w:szCs w:val="4"/>
              </w:rPr>
            </w:r>
          </w:p>
        </w:tc>
        <w:tc>
          <w:tcPr>
            <w:tcW w:w="3710" w:type="dxa"/>
            <w:gridSpan w:val="2"/>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Vincent Roche</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Vincent Roche</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President and Chief Executive Officer</w:t>
            </w:r>
          </w:p>
        </w:tc>
      </w:tr>
    </w:tbl>
    <w:p>
      <w:pPr>
        <w:pStyle w:val="TextBody"/>
        <w:spacing w:before="480" w:after="0"/>
        <w:jc w:val="center"/>
        <w:rPr>
          <w:rFonts w:ascii="Times New Roman" w:hAnsi="Times New Roman"/>
          <w:b/>
          <w:sz w:val="20"/>
        </w:rPr>
      </w:pPr>
      <w:bookmarkStart w:id="15" w:name="sig"/>
      <w:bookmarkEnd w:id="15"/>
      <w:r>
        <w:rPr>
          <w:rFonts w:ascii="Times New Roman" w:hAnsi="Times New Roman"/>
          <w:b/>
          <w:sz w:val="20"/>
        </w:rPr>
        <w:t xml:space="preserve">SIGNATURES AND POWER OF ATTORNEY </w:t>
      </w:r>
    </w:p>
    <w:p>
      <w:pPr>
        <w:pStyle w:val="TextBody"/>
        <w:spacing w:before="240" w:after="0"/>
        <w:jc w:val="left"/>
        <w:rPr>
          <w:rFonts w:ascii="Times New Roman" w:hAnsi="Times New Roman"/>
          <w:sz w:val="20"/>
        </w:rPr>
      </w:pPr>
      <w:r>
        <w:rPr>
          <w:rFonts w:ascii="Times New Roman" w:hAnsi="Times New Roman"/>
          <w:sz w:val="20"/>
        </w:rPr>
        <w:t xml:space="preserve">We, the undersigned officers and directors of Analog Devices, Inc., hereby severally constitute and appoint Vincent Roche, Prashanth Mahendra-Rajah and Janene I. Asgeirsson,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82"/>
        <w:gridCol w:w="120"/>
        <w:gridCol w:w="4139"/>
        <w:gridCol w:w="192"/>
        <w:gridCol w:w="1872"/>
      </w:tblGrid>
      <w:tr>
        <w:trPr/>
        <w:tc>
          <w:tcPr>
            <w:tcW w:w="38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3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r>
      <w:tr>
        <w:trPr/>
        <w:tc>
          <w:tcPr>
            <w:tcW w:w="38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0" w:type="dxa"/>
            <w:tcBorders/>
            <w:shd w:fill="auto" w:val="clear"/>
            <w:vAlign w:val="bottom"/>
          </w:tcPr>
          <w:p>
            <w:pPr>
              <w:pStyle w:val="TableContents"/>
              <w:spacing w:before="0" w:after="283"/>
              <w:rPr/>
            </w:pPr>
            <w:r>
              <w:rPr/>
              <w:t>  </w:t>
            </w:r>
          </w:p>
        </w:tc>
        <w:tc>
          <w:tcPr>
            <w:tcW w:w="413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192" w:type="dxa"/>
            <w:tcBorders/>
            <w:shd w:fill="auto" w:val="clear"/>
            <w:vAlign w:val="bottom"/>
          </w:tcPr>
          <w:p>
            <w:pPr>
              <w:pStyle w:val="TableContents"/>
              <w:spacing w:before="0" w:after="283"/>
              <w:rPr/>
            </w:pPr>
            <w:r>
              <w:rPr/>
              <w:t> </w:t>
            </w:r>
          </w:p>
        </w:tc>
        <w:tc>
          <w:tcPr>
            <w:tcW w:w="187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82" w:type="dxa"/>
            <w:tcBorders/>
            <w:shd w:fill="auto" w:val="clear"/>
            <w:vAlign w:val="center"/>
          </w:tcPr>
          <w:p>
            <w:pPr>
              <w:pStyle w:val="TableContents"/>
              <w:spacing w:before="0" w:after="283"/>
              <w:rPr>
                <w:sz w:val="4"/>
                <w:szCs w:val="4"/>
              </w:rPr>
            </w:pPr>
            <w:r>
              <w:rPr>
                <w:sz w:val="4"/>
                <w:szCs w:val="4"/>
              </w:rPr>
            </w:r>
          </w:p>
        </w:tc>
        <w:tc>
          <w:tcPr>
            <w:tcW w:w="4259" w:type="dxa"/>
            <w:gridSpan w:val="2"/>
            <w:tcBorders/>
            <w:shd w:fill="auto" w:val="clear"/>
            <w:vAlign w:val="center"/>
          </w:tcPr>
          <w:p>
            <w:pPr>
              <w:pStyle w:val="TableContents"/>
              <w:spacing w:before="0" w:after="283"/>
              <w:rPr>
                <w:sz w:val="4"/>
                <w:szCs w:val="4"/>
              </w:rPr>
            </w:pPr>
            <w:r>
              <w:rPr>
                <w:sz w:val="4"/>
                <w:szCs w:val="4"/>
              </w:rPr>
            </w:r>
          </w:p>
        </w:tc>
        <w:tc>
          <w:tcPr>
            <w:tcW w:w="2064" w:type="dxa"/>
            <w:gridSpan w:val="2"/>
            <w:tcBorders/>
            <w:shd w:fill="auto" w:val="clear"/>
            <w:vAlign w:val="center"/>
          </w:tcPr>
          <w:p>
            <w:pPr>
              <w:pStyle w:val="TableContents"/>
              <w:spacing w:before="0" w:after="283"/>
              <w:rPr>
                <w:sz w:val="4"/>
                <w:szCs w:val="4"/>
              </w:rPr>
            </w:pPr>
            <w:r>
              <w:rPr>
                <w:sz w:val="4"/>
                <w:szCs w:val="4"/>
              </w:rPr>
            </w:r>
          </w:p>
        </w:tc>
      </w:tr>
      <w:tr>
        <w:trPr/>
        <w:tc>
          <w:tcPr>
            <w:tcW w:w="3882"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Ray Stata</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Chairman of the Board</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pPr>
            <w:r>
              <w:rPr/>
              <w:t>September 24, 2021</w:t>
            </w:r>
          </w:p>
        </w:tc>
      </w:tr>
      <w:tr>
        <w:trPr/>
        <w:tc>
          <w:tcPr>
            <w:tcW w:w="3882" w:type="dxa"/>
            <w:tcBorders/>
            <w:shd w:fill="auto" w:val="clear"/>
          </w:tcPr>
          <w:p>
            <w:pPr>
              <w:pStyle w:val="TableContents"/>
              <w:spacing w:before="0" w:after="283"/>
              <w:rPr/>
            </w:pPr>
            <w:r>
              <w:rPr/>
              <w:t>Ray Stata</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sz w:val="4"/>
                <w:szCs w:val="4"/>
              </w:rPr>
            </w:pPr>
            <w:r>
              <w:rPr>
                <w:sz w:val="4"/>
                <w:szCs w:val="4"/>
              </w:rPr>
            </w:r>
          </w:p>
        </w:tc>
      </w:tr>
      <w:tr>
        <w:trPr>
          <w:trHeight w:val="240" w:hRule="atLeast"/>
        </w:trPr>
        <w:tc>
          <w:tcPr>
            <w:tcW w:w="3882" w:type="dxa"/>
            <w:tcBorders/>
            <w:shd w:fill="auto" w:val="clear"/>
            <w:vAlign w:val="center"/>
          </w:tcPr>
          <w:p>
            <w:pPr>
              <w:pStyle w:val="TableContents"/>
              <w:spacing w:before="0" w:after="283"/>
              <w:rPr>
                <w:sz w:val="4"/>
                <w:szCs w:val="4"/>
              </w:rPr>
            </w:pPr>
            <w:r>
              <w:rPr>
                <w:sz w:val="4"/>
                <w:szCs w:val="4"/>
              </w:rPr>
            </w:r>
          </w:p>
        </w:tc>
        <w:tc>
          <w:tcPr>
            <w:tcW w:w="4259" w:type="dxa"/>
            <w:gridSpan w:val="2"/>
            <w:tcBorders/>
            <w:shd w:fill="auto" w:val="clear"/>
            <w:vAlign w:val="center"/>
          </w:tcPr>
          <w:p>
            <w:pPr>
              <w:pStyle w:val="TableContents"/>
              <w:spacing w:before="0" w:after="283"/>
              <w:rPr>
                <w:sz w:val="4"/>
                <w:szCs w:val="4"/>
              </w:rPr>
            </w:pPr>
            <w:r>
              <w:rPr>
                <w:sz w:val="4"/>
                <w:szCs w:val="4"/>
              </w:rPr>
            </w:r>
          </w:p>
        </w:tc>
        <w:tc>
          <w:tcPr>
            <w:tcW w:w="2064" w:type="dxa"/>
            <w:gridSpan w:val="2"/>
            <w:tcBorders/>
            <w:shd w:fill="auto" w:val="clear"/>
            <w:vAlign w:val="center"/>
          </w:tcPr>
          <w:p>
            <w:pPr>
              <w:pStyle w:val="TableContents"/>
              <w:spacing w:before="0" w:after="283"/>
              <w:rPr>
                <w:sz w:val="4"/>
                <w:szCs w:val="4"/>
              </w:rPr>
            </w:pPr>
            <w:r>
              <w:rPr>
                <w:sz w:val="4"/>
                <w:szCs w:val="4"/>
              </w:rPr>
            </w:r>
          </w:p>
        </w:tc>
      </w:tr>
      <w:tr>
        <w:trPr/>
        <w:tc>
          <w:tcPr>
            <w:tcW w:w="3882"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Vincent Roche</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President, Chief Executive Officer and Director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pPr>
            <w:r>
              <w:rPr/>
              <w:t>September 24, 2021</w:t>
            </w:r>
          </w:p>
        </w:tc>
      </w:tr>
      <w:tr>
        <w:trPr/>
        <w:tc>
          <w:tcPr>
            <w:tcW w:w="3882" w:type="dxa"/>
            <w:tcBorders/>
            <w:shd w:fill="auto" w:val="clear"/>
          </w:tcPr>
          <w:p>
            <w:pPr>
              <w:pStyle w:val="TableContents"/>
              <w:spacing w:before="0" w:after="283"/>
              <w:rPr/>
            </w:pPr>
            <w:r>
              <w:rPr/>
              <w:t>Vincent Roche</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(Principal Executive Officer)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sz w:val="4"/>
                <w:szCs w:val="4"/>
              </w:rPr>
            </w:pPr>
            <w:r>
              <w:rPr>
                <w:sz w:val="4"/>
                <w:szCs w:val="4"/>
              </w:rPr>
            </w:r>
          </w:p>
        </w:tc>
      </w:tr>
      <w:tr>
        <w:trPr>
          <w:trHeight w:val="240" w:hRule="atLeast"/>
        </w:trPr>
        <w:tc>
          <w:tcPr>
            <w:tcW w:w="3882" w:type="dxa"/>
            <w:tcBorders/>
            <w:shd w:fill="auto" w:val="clear"/>
            <w:vAlign w:val="center"/>
          </w:tcPr>
          <w:p>
            <w:pPr>
              <w:pStyle w:val="TableContents"/>
              <w:spacing w:before="0" w:after="283"/>
              <w:rPr>
                <w:sz w:val="4"/>
                <w:szCs w:val="4"/>
              </w:rPr>
            </w:pPr>
            <w:r>
              <w:rPr>
                <w:sz w:val="4"/>
                <w:szCs w:val="4"/>
              </w:rPr>
            </w:r>
          </w:p>
        </w:tc>
        <w:tc>
          <w:tcPr>
            <w:tcW w:w="4259" w:type="dxa"/>
            <w:gridSpan w:val="2"/>
            <w:tcBorders/>
            <w:shd w:fill="auto" w:val="clear"/>
            <w:vAlign w:val="center"/>
          </w:tcPr>
          <w:p>
            <w:pPr>
              <w:pStyle w:val="TableContents"/>
              <w:spacing w:before="0" w:after="283"/>
              <w:rPr>
                <w:sz w:val="4"/>
                <w:szCs w:val="4"/>
              </w:rPr>
            </w:pPr>
            <w:r>
              <w:rPr>
                <w:sz w:val="4"/>
                <w:szCs w:val="4"/>
              </w:rPr>
            </w:r>
          </w:p>
        </w:tc>
        <w:tc>
          <w:tcPr>
            <w:tcW w:w="2064" w:type="dxa"/>
            <w:gridSpan w:val="2"/>
            <w:tcBorders/>
            <w:shd w:fill="auto" w:val="clear"/>
            <w:vAlign w:val="center"/>
          </w:tcPr>
          <w:p>
            <w:pPr>
              <w:pStyle w:val="TableContents"/>
              <w:spacing w:before="0" w:after="283"/>
              <w:rPr>
                <w:sz w:val="4"/>
                <w:szCs w:val="4"/>
              </w:rPr>
            </w:pPr>
            <w:r>
              <w:rPr>
                <w:sz w:val="4"/>
                <w:szCs w:val="4"/>
              </w:rPr>
            </w:r>
          </w:p>
        </w:tc>
      </w:tr>
      <w:tr>
        <w:trPr/>
        <w:tc>
          <w:tcPr>
            <w:tcW w:w="3882"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Prashanth Mahendra-Rajah</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Senior Vice President, Finance and Chief Financial Officer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pPr>
            <w:r>
              <w:rPr/>
              <w:t>September 24, 2021</w:t>
            </w:r>
          </w:p>
        </w:tc>
      </w:tr>
      <w:tr>
        <w:trPr/>
        <w:tc>
          <w:tcPr>
            <w:tcW w:w="3882" w:type="dxa"/>
            <w:tcBorders/>
            <w:shd w:fill="auto" w:val="clear"/>
          </w:tcPr>
          <w:p>
            <w:pPr>
              <w:pStyle w:val="TableContents"/>
              <w:spacing w:before="0" w:after="283"/>
              <w:rPr/>
            </w:pPr>
            <w:r>
              <w:rPr/>
              <w:t>Prashanth Mahendra-Rajah</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(Principal Financial Officer)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sz w:val="4"/>
                <w:szCs w:val="4"/>
              </w:rPr>
            </w:pPr>
            <w:r>
              <w:rPr>
                <w:sz w:val="4"/>
                <w:szCs w:val="4"/>
              </w:rPr>
            </w:r>
          </w:p>
        </w:tc>
      </w:tr>
      <w:tr>
        <w:trPr>
          <w:trHeight w:val="240" w:hRule="atLeast"/>
        </w:trPr>
        <w:tc>
          <w:tcPr>
            <w:tcW w:w="3882" w:type="dxa"/>
            <w:tcBorders/>
            <w:shd w:fill="auto" w:val="clear"/>
            <w:vAlign w:val="center"/>
          </w:tcPr>
          <w:p>
            <w:pPr>
              <w:pStyle w:val="TableContents"/>
              <w:spacing w:before="0" w:after="283"/>
              <w:rPr>
                <w:sz w:val="4"/>
                <w:szCs w:val="4"/>
              </w:rPr>
            </w:pPr>
            <w:r>
              <w:rPr>
                <w:sz w:val="4"/>
                <w:szCs w:val="4"/>
              </w:rPr>
            </w:r>
          </w:p>
        </w:tc>
        <w:tc>
          <w:tcPr>
            <w:tcW w:w="4259" w:type="dxa"/>
            <w:gridSpan w:val="2"/>
            <w:tcBorders/>
            <w:shd w:fill="auto" w:val="clear"/>
            <w:vAlign w:val="center"/>
          </w:tcPr>
          <w:p>
            <w:pPr>
              <w:pStyle w:val="TableContents"/>
              <w:spacing w:before="0" w:after="283"/>
              <w:rPr>
                <w:sz w:val="4"/>
                <w:szCs w:val="4"/>
              </w:rPr>
            </w:pPr>
            <w:r>
              <w:rPr>
                <w:sz w:val="4"/>
                <w:szCs w:val="4"/>
              </w:rPr>
            </w:r>
          </w:p>
        </w:tc>
        <w:tc>
          <w:tcPr>
            <w:tcW w:w="2064" w:type="dxa"/>
            <w:gridSpan w:val="2"/>
            <w:tcBorders/>
            <w:shd w:fill="auto" w:val="clear"/>
            <w:vAlign w:val="center"/>
          </w:tcPr>
          <w:p>
            <w:pPr>
              <w:pStyle w:val="TableContents"/>
              <w:spacing w:before="0" w:after="283"/>
              <w:rPr>
                <w:sz w:val="4"/>
                <w:szCs w:val="4"/>
              </w:rPr>
            </w:pPr>
            <w:r>
              <w:rPr>
                <w:sz w:val="4"/>
                <w:szCs w:val="4"/>
              </w:rPr>
            </w:r>
          </w:p>
        </w:tc>
      </w:tr>
      <w:tr>
        <w:trPr/>
        <w:tc>
          <w:tcPr>
            <w:tcW w:w="38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Michael Sondel</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Chief Accounting Officer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pPr>
            <w:r>
              <w:rPr/>
              <w:t>September 24, 2021</w:t>
            </w:r>
          </w:p>
        </w:tc>
      </w:tr>
      <w:tr>
        <w:trPr/>
        <w:tc>
          <w:tcPr>
            <w:tcW w:w="3882" w:type="dxa"/>
            <w:tcBorders/>
            <w:shd w:fill="auto" w:val="clear"/>
          </w:tcPr>
          <w:p>
            <w:pPr>
              <w:pStyle w:val="TableContents"/>
              <w:spacing w:before="0" w:after="283"/>
              <w:rPr/>
            </w:pPr>
            <w:r>
              <w:rPr/>
              <w:t>Michael Sondel</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(Principal Accounting Officer)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sz w:val="4"/>
                <w:szCs w:val="4"/>
              </w:rPr>
            </w:pPr>
            <w:r>
              <w:rPr>
                <w:sz w:val="4"/>
                <w:szCs w:val="4"/>
              </w:rPr>
            </w:r>
          </w:p>
        </w:tc>
      </w:tr>
      <w:tr>
        <w:trPr>
          <w:trHeight w:val="240" w:hRule="atLeast"/>
        </w:trPr>
        <w:tc>
          <w:tcPr>
            <w:tcW w:w="3882" w:type="dxa"/>
            <w:tcBorders/>
            <w:shd w:fill="auto" w:val="clear"/>
            <w:vAlign w:val="center"/>
          </w:tcPr>
          <w:p>
            <w:pPr>
              <w:pStyle w:val="TableContents"/>
              <w:spacing w:before="0" w:after="283"/>
              <w:rPr>
                <w:sz w:val="4"/>
                <w:szCs w:val="4"/>
              </w:rPr>
            </w:pPr>
            <w:r>
              <w:rPr>
                <w:sz w:val="4"/>
                <w:szCs w:val="4"/>
              </w:rPr>
            </w:r>
          </w:p>
        </w:tc>
        <w:tc>
          <w:tcPr>
            <w:tcW w:w="4259" w:type="dxa"/>
            <w:gridSpan w:val="2"/>
            <w:tcBorders/>
            <w:shd w:fill="auto" w:val="clear"/>
            <w:vAlign w:val="center"/>
          </w:tcPr>
          <w:p>
            <w:pPr>
              <w:pStyle w:val="TableContents"/>
              <w:spacing w:before="0" w:after="283"/>
              <w:rPr>
                <w:sz w:val="4"/>
                <w:szCs w:val="4"/>
              </w:rPr>
            </w:pPr>
            <w:r>
              <w:rPr>
                <w:sz w:val="4"/>
                <w:szCs w:val="4"/>
              </w:rPr>
            </w:r>
          </w:p>
        </w:tc>
        <w:tc>
          <w:tcPr>
            <w:tcW w:w="2064" w:type="dxa"/>
            <w:gridSpan w:val="2"/>
            <w:tcBorders/>
            <w:shd w:fill="auto" w:val="clear"/>
            <w:vAlign w:val="center"/>
          </w:tcPr>
          <w:p>
            <w:pPr>
              <w:pStyle w:val="TableContents"/>
              <w:spacing w:before="0" w:after="283"/>
              <w:rPr>
                <w:sz w:val="4"/>
                <w:szCs w:val="4"/>
              </w:rPr>
            </w:pPr>
            <w:r>
              <w:rPr>
                <w:sz w:val="4"/>
                <w:szCs w:val="4"/>
              </w:rPr>
            </w:r>
          </w:p>
        </w:tc>
      </w:tr>
      <w:tr>
        <w:trPr/>
        <w:tc>
          <w:tcPr>
            <w:tcW w:w="38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James A. Champy</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Director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pPr>
            <w:r>
              <w:rPr/>
              <w:t>September 24, 2021</w:t>
            </w:r>
          </w:p>
        </w:tc>
      </w:tr>
      <w:tr>
        <w:trPr/>
        <w:tc>
          <w:tcPr>
            <w:tcW w:w="3882" w:type="dxa"/>
            <w:tcBorders/>
            <w:shd w:fill="auto" w:val="clear"/>
          </w:tcPr>
          <w:p>
            <w:pPr>
              <w:pStyle w:val="TableContents"/>
              <w:spacing w:before="0" w:after="283"/>
              <w:rPr/>
            </w:pPr>
            <w:r>
              <w:rPr/>
              <w:t>James A. Champy</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sz w:val="4"/>
                <w:szCs w:val="4"/>
              </w:rPr>
            </w:pPr>
            <w:r>
              <w:rPr>
                <w:sz w:val="4"/>
                <w:szCs w:val="4"/>
              </w:rPr>
            </w:r>
          </w:p>
        </w:tc>
      </w:tr>
      <w:tr>
        <w:trPr>
          <w:trHeight w:val="240" w:hRule="atLeast"/>
        </w:trPr>
        <w:tc>
          <w:tcPr>
            <w:tcW w:w="3882" w:type="dxa"/>
            <w:tcBorders/>
            <w:shd w:fill="auto" w:val="clear"/>
            <w:vAlign w:val="center"/>
          </w:tcPr>
          <w:p>
            <w:pPr>
              <w:pStyle w:val="TableContents"/>
              <w:spacing w:before="0" w:after="283"/>
              <w:rPr>
                <w:sz w:val="4"/>
                <w:szCs w:val="4"/>
              </w:rPr>
            </w:pPr>
            <w:r>
              <w:rPr>
                <w:sz w:val="4"/>
                <w:szCs w:val="4"/>
              </w:rPr>
            </w:r>
          </w:p>
        </w:tc>
        <w:tc>
          <w:tcPr>
            <w:tcW w:w="4259" w:type="dxa"/>
            <w:gridSpan w:val="2"/>
            <w:tcBorders/>
            <w:shd w:fill="auto" w:val="clear"/>
            <w:vAlign w:val="center"/>
          </w:tcPr>
          <w:p>
            <w:pPr>
              <w:pStyle w:val="TableContents"/>
              <w:spacing w:before="0" w:after="283"/>
              <w:rPr>
                <w:sz w:val="4"/>
                <w:szCs w:val="4"/>
              </w:rPr>
            </w:pPr>
            <w:r>
              <w:rPr>
                <w:sz w:val="4"/>
                <w:szCs w:val="4"/>
              </w:rPr>
            </w:r>
          </w:p>
        </w:tc>
        <w:tc>
          <w:tcPr>
            <w:tcW w:w="2064" w:type="dxa"/>
            <w:gridSpan w:val="2"/>
            <w:tcBorders/>
            <w:shd w:fill="auto" w:val="clear"/>
            <w:vAlign w:val="center"/>
          </w:tcPr>
          <w:p>
            <w:pPr>
              <w:pStyle w:val="TableContents"/>
              <w:spacing w:before="0" w:after="283"/>
              <w:rPr>
                <w:sz w:val="4"/>
                <w:szCs w:val="4"/>
              </w:rPr>
            </w:pPr>
            <w:r>
              <w:rPr>
                <w:sz w:val="4"/>
                <w:szCs w:val="4"/>
              </w:rPr>
            </w:r>
          </w:p>
        </w:tc>
      </w:tr>
      <w:tr>
        <w:trPr/>
        <w:tc>
          <w:tcPr>
            <w:tcW w:w="38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Anantha P. Chandrakasan</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center"/>
              <w:rPr/>
            </w:pPr>
            <w:r>
              <w:rPr/>
              <w:t>Director</w:t>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pPr>
            <w:r>
              <w:rPr/>
              <w:t>September 24, 2021</w:t>
            </w:r>
          </w:p>
        </w:tc>
      </w:tr>
      <w:tr>
        <w:trPr/>
        <w:tc>
          <w:tcPr>
            <w:tcW w:w="3882" w:type="dxa"/>
            <w:tcBorders/>
            <w:shd w:fill="auto" w:val="clear"/>
          </w:tcPr>
          <w:p>
            <w:pPr>
              <w:pStyle w:val="TableContents"/>
              <w:spacing w:before="0" w:after="283"/>
              <w:rPr/>
            </w:pPr>
            <w:r>
              <w:rPr/>
              <w:t>Anantha P. Chandrakasan</w:t>
            </w:r>
          </w:p>
        </w:tc>
        <w:tc>
          <w:tcPr>
            <w:tcW w:w="120"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872"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985"/>
        <w:gridCol w:w="120"/>
        <w:gridCol w:w="3945"/>
        <w:gridCol w:w="205"/>
        <w:gridCol w:w="1950"/>
      </w:tblGrid>
      <w:tr>
        <w:trPr/>
        <w:tc>
          <w:tcPr>
            <w:tcW w:w="3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398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0" w:type="dxa"/>
            <w:tcBorders/>
            <w:shd w:fill="auto" w:val="clear"/>
            <w:vAlign w:val="bottom"/>
          </w:tcPr>
          <w:p>
            <w:pPr>
              <w:pStyle w:val="TableContents"/>
              <w:spacing w:before="0" w:after="283"/>
              <w:rPr/>
            </w:pPr>
            <w:r>
              <w:rPr/>
              <w:t>  </w:t>
            </w:r>
          </w:p>
        </w:tc>
        <w:tc>
          <w:tcPr>
            <w:tcW w:w="394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205" w:type="dxa"/>
            <w:tcBorders/>
            <w:shd w:fill="auto" w:val="clear"/>
            <w:vAlign w:val="bottom"/>
          </w:tcPr>
          <w:p>
            <w:pPr>
              <w:pStyle w:val="TableContents"/>
              <w:spacing w:before="0" w:after="283"/>
              <w:rPr/>
            </w:pPr>
            <w:r>
              <w:rPr/>
              <w:t> </w:t>
            </w:r>
          </w:p>
        </w:tc>
        <w:tc>
          <w:tcPr>
            <w:tcW w:w="195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Tunç Doluca</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Tunç Doluca</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Bruce R. Evans</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Bruce R. Evans</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Edward H. Frank</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Edward H. Frank</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Laurie H. Glimcher</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Laurie H. Glimcher</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Karen M. Golz</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Karen M. Golz</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Mercedes Johnson</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Mercedes Johnson</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Mark M. Little</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Mark M. Little</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Kenton J. Sicchitano</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Kenton J. Sicchitano</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r>
        <w:trPr>
          <w:trHeight w:val="240" w:hRule="atLeast"/>
        </w:trPr>
        <w:tc>
          <w:tcPr>
            <w:tcW w:w="3985" w:type="dxa"/>
            <w:tcBorders/>
            <w:shd w:fill="auto" w:val="clear"/>
            <w:vAlign w:val="center"/>
          </w:tcPr>
          <w:p>
            <w:pPr>
              <w:pStyle w:val="TableContents"/>
              <w:spacing w:before="0" w:after="283"/>
              <w:rPr>
                <w:sz w:val="4"/>
                <w:szCs w:val="4"/>
              </w:rPr>
            </w:pPr>
            <w:r>
              <w:rPr>
                <w:sz w:val="4"/>
                <w:szCs w:val="4"/>
              </w:rPr>
            </w:r>
          </w:p>
        </w:tc>
        <w:tc>
          <w:tcPr>
            <w:tcW w:w="4065" w:type="dxa"/>
            <w:gridSpan w:val="2"/>
            <w:tcBorders/>
            <w:shd w:fill="auto" w:val="clear"/>
            <w:vAlign w:val="center"/>
          </w:tcPr>
          <w:p>
            <w:pPr>
              <w:pStyle w:val="TableContents"/>
              <w:spacing w:before="0" w:after="283"/>
              <w:rPr>
                <w:sz w:val="4"/>
                <w:szCs w:val="4"/>
              </w:rPr>
            </w:pPr>
            <w:r>
              <w:rPr>
                <w:sz w:val="4"/>
                <w:szCs w:val="4"/>
              </w:rPr>
            </w:r>
          </w:p>
        </w:tc>
        <w:tc>
          <w:tcPr>
            <w:tcW w:w="2155" w:type="dxa"/>
            <w:gridSpan w:val="2"/>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Susie Wee</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jc w:val="center"/>
              <w:rPr/>
            </w:pPr>
            <w:r>
              <w:rPr/>
              <w:t>Director</w:t>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pPr>
            <w:r>
              <w:rPr/>
              <w:t>September 24, 2021</w:t>
            </w:r>
          </w:p>
        </w:tc>
      </w:tr>
      <w:tr>
        <w:trPr/>
        <w:tc>
          <w:tcPr>
            <w:tcW w:w="3985" w:type="dxa"/>
            <w:tcBorders/>
            <w:shd w:fill="auto" w:val="clear"/>
          </w:tcPr>
          <w:p>
            <w:pPr>
              <w:pStyle w:val="TableContents"/>
              <w:spacing w:before="0" w:after="283"/>
              <w:rPr/>
            </w:pPr>
            <w:r>
              <w:rPr/>
              <w:t>Susie Wee</w:t>
            </w:r>
          </w:p>
        </w:tc>
        <w:tc>
          <w:tcPr>
            <w:tcW w:w="120" w:type="dxa"/>
            <w:tcBorders/>
            <w:shd w:fill="auto" w:val="clear"/>
            <w:vAlign w:val="bottom"/>
          </w:tcPr>
          <w:p>
            <w:pPr>
              <w:pStyle w:val="TableContents"/>
              <w:spacing w:before="0" w:after="283"/>
              <w:rPr/>
            </w:pPr>
            <w:r>
              <w:rPr/>
              <w:t>  </w:t>
            </w:r>
          </w:p>
        </w:tc>
        <w:tc>
          <w:tcPr>
            <w:tcW w:w="3945" w:type="dxa"/>
            <w:tcBorders/>
            <w:shd w:fill="auto" w:val="clea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950"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TextBody"/>
        <w:spacing w:before="0" w:after="0"/>
        <w:jc w:val="right"/>
        <w:rPr>
          <w:rFonts w:ascii="Times New Roman" w:hAnsi="Times New Roman"/>
          <w:b/>
          <w:sz w:val="20"/>
        </w:rPr>
      </w:pPr>
      <w:bookmarkStart w:id="16" w:name="d200943dex51.htm"/>
      <w:bookmarkStart w:id="17" w:name="ksd200943dex51"/>
      <w:bookmarkEnd w:id="16"/>
      <w:bookmarkEnd w:id="17"/>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right"/>
        <w:rPr/>
      </w:pPr>
      <w:r>
        <w:rPr/>
        <w:drawing>
          <wp:inline distT="0" distB="0" distL="0" distR="0">
            <wp:extent cx="1209675"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1209675" cy="171450"/>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101"/>
        <w:gridCol w:w="5001"/>
      </w:tblGrid>
      <w:tr>
        <w:trPr/>
        <w:tc>
          <w:tcPr>
            <w:tcW w:w="510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283"/>
              <w:rPr/>
            </w:pPr>
            <w:r>
              <w:rPr/>
              <w:t>September 24, 2021</w:t>
            </w:r>
          </w:p>
        </w:tc>
        <w:tc>
          <w:tcPr>
            <w:tcW w:w="101"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+1 212 230 8800 (t)</w:t>
            </w:r>
          </w:p>
          <w:p>
            <w:pPr>
              <w:pStyle w:val="TableContents"/>
              <w:spacing w:before="0" w:after="0"/>
              <w:jc w:val="right"/>
              <w:rPr>
                <w:rFonts w:ascii="Times New Roman" w:hAnsi="Times New Roman"/>
                <w:sz w:val="20"/>
              </w:rPr>
            </w:pPr>
            <w:r>
              <w:rPr>
                <w:rFonts w:ascii="Times New Roman" w:hAnsi="Times New Roman"/>
                <w:sz w:val="20"/>
              </w:rPr>
              <w:t>+1 212 230 8888 (f)</w:t>
            </w:r>
          </w:p>
          <w:p>
            <w:pPr>
              <w:pStyle w:val="TableContents"/>
              <w:spacing w:before="0" w:after="20"/>
              <w:jc w:val="right"/>
              <w:rPr>
                <w:rFonts w:ascii="Times New Roman" w:hAnsi="Times New Roman"/>
                <w:sz w:val="20"/>
              </w:rPr>
            </w:pPr>
            <w:r>
              <w:rPr>
                <w:rFonts w:ascii="Times New Roman" w:hAnsi="Times New Roman"/>
                <w:sz w:val="20"/>
              </w:rPr>
              <w:t>wilmerhale.com</w:t>
            </w:r>
          </w:p>
        </w:tc>
      </w:tr>
    </w:tbl>
    <w:p>
      <w:pPr>
        <w:pStyle w:val="TextBody"/>
        <w:spacing w:before="240" w:after="0"/>
        <w:jc w:val="left"/>
        <w:rPr>
          <w:rFonts w:ascii="Times New Roman" w:hAnsi="Times New Roman"/>
          <w:sz w:val="20"/>
        </w:rPr>
      </w:pPr>
      <w:r>
        <w:rPr>
          <w:rFonts w:ascii="Times New Roman" w:hAnsi="Times New Roman"/>
          <w:sz w:val="20"/>
        </w:rPr>
        <w:t xml:space="preserve">Analog Devices, Inc. </w:t>
      </w:r>
    </w:p>
    <w:p>
      <w:pPr>
        <w:pStyle w:val="TextBody"/>
        <w:spacing w:before="0" w:after="0"/>
        <w:jc w:val="left"/>
        <w:rPr>
          <w:rFonts w:ascii="Times New Roman" w:hAnsi="Times New Roman"/>
          <w:sz w:val="20"/>
        </w:rPr>
      </w:pPr>
      <w:r>
        <w:rPr>
          <w:rFonts w:ascii="Times New Roman" w:hAnsi="Times New Roman"/>
          <w:sz w:val="20"/>
        </w:rPr>
        <w:t xml:space="preserve">One Analog Way </w:t>
      </w:r>
    </w:p>
    <w:p>
      <w:pPr>
        <w:pStyle w:val="TextBody"/>
        <w:spacing w:before="0" w:after="0"/>
        <w:jc w:val="left"/>
        <w:rPr>
          <w:rFonts w:ascii="Times New Roman" w:hAnsi="Times New Roman"/>
          <w:sz w:val="20"/>
        </w:rPr>
      </w:pPr>
      <w:r>
        <w:rPr>
          <w:rFonts w:ascii="Times New Roman" w:hAnsi="Times New Roman"/>
          <w:sz w:val="20"/>
        </w:rPr>
        <w:t xml:space="preserve">Wilmington, Massachusetts 01887 </w:t>
      </w:r>
    </w:p>
    <w:p>
      <w:pPr>
        <w:pStyle w:val="TextBody"/>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Registration Statement on Form S-3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This opinion is furnished to you in connection with a Registration Statement on Form S-3 (the Registration Statement) to be filed by Analog Devices, Inc., a Massachusetts corporation (the Company) with the Securities and Exchange Commission (the Commission) under the Securities Act of 1933, as amended (the Securities Act), for the registration of an unlimited amount of debt securities (Debt Securities),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 </w:t>
      </w:r>
    </w:p>
    <w:p>
      <w:pPr>
        <w:pStyle w:val="TextBody"/>
        <w:spacing w:before="240" w:after="0"/>
        <w:jc w:val="left"/>
        <w:rPr>
          <w:rFonts w:ascii="Times New Roman" w:hAnsi="Times New Roman"/>
          <w:sz w:val="20"/>
        </w:rPr>
      </w:pPr>
      <w:r>
        <w:rPr>
          <w:rFonts w:ascii="Times New Roman" w:hAnsi="Times New Roman"/>
          <w:sz w:val="20"/>
        </w:rPr>
        <w:t xml:space="preserve">We are acting as counsel for the Company in connection with the filing of the Registration Statement. The Debt Securities may be issued pursuant to the Indenture dated as of June 3, 2013 (the Indenture) between the Company and The Bank of New York Mellon Trust Company, N.A., as trustee (the Trustee), which is filed as an exhibit to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We have examined and relied upon signed copies of the Registration Statement to be filed with the Commission, including the exhibits thereto. We have also examined and relied upon the Restated Articles of Organization of the Company (as amended or restated from time to time), the Amended and Restated By-Laws of the Company (as amended or restated from time to time) and minutes of meetings of the Board of Directors of the Company as provided to us by the Company. </w:t>
      </w:r>
    </w:p>
    <w:p>
      <w:pPr>
        <w:pStyle w:val="TextBody"/>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provided to us by the Company. </w:t>
      </w:r>
    </w:p>
    <w:p>
      <w:pPr>
        <w:pStyle w:val="TextBody"/>
        <w:spacing w:before="240" w:after="0"/>
        <w:jc w:val="left"/>
        <w:rPr>
          <w:rFonts w:ascii="Times New Roman" w:hAnsi="Times New Roman"/>
          <w:sz w:val="20"/>
        </w:rPr>
      </w:pPr>
      <w:r>
        <w:rPr>
          <w:rFonts w:ascii="Times New Roman" w:hAnsi="Times New Roman"/>
          <w:sz w:val="20"/>
        </w:rPr>
        <w:t xml:space="preserve">We have relied as to certain matters on information obtained from public officials and officers of the Company, and we have assumed (i) the Registration Statement will be effective and will comply with all applicable laws at the time any Debt Securities are offered or issued as contemplated by the Registration Statement; (ii) one or more prospectus supplements and term sheets, as applicable, will have been prepared and filed with the Commission describing the Debt Securities offered thereby; (iii) all Debt Securities will be issued and sold in compliance with </w:t>
      </w:r>
    </w:p>
    <w:p>
      <w:pPr>
        <w:pStyle w:val="TextBody"/>
        <w:spacing w:before="0" w:after="0"/>
        <w:jc w:val="left"/>
        <w:rPr/>
      </w:pPr>
      <w:r>
        <w:rPr/>
        <w:t> </w:t>
      </w:r>
    </w:p>
    <w:p>
      <w:pPr>
        <w:pStyle w:val="TextBody"/>
        <w:spacing w:before="0" w:after="0"/>
        <w:jc w:val="center"/>
        <w:rPr/>
      </w:pPr>
      <w:r>
        <w:rPr/>
        <w:drawing>
          <wp:inline distT="0" distB="0" distL="0" distR="0">
            <wp:extent cx="612457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6124575" cy="276225"/>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209675"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5"/>
                    <a:stretch>
                      <a:fillRect/>
                    </a:stretch>
                  </pic:blipFill>
                  <pic:spPr bwMode="auto">
                    <a:xfrm>
                      <a:off x="0" y="0"/>
                      <a:ext cx="1209675" cy="17145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September 24, 2021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applicable federal and state securities laws and in the manner stated in the Registration Statement, the Prospectus and any applicable prospectus supplement; (iv) the Trustee has the power, corporate or other, to enter into and perform its obligations under the Indenture; (v) the Indenture has been duly authorized, executed and delivered by the Trustee; (vi) the Trustee will be duly eligible to serve as trustee; (vii) the Indenture is a valid and binding obligation of the Trustee; (viii) the Debt Securities will be duly authenticated by the Trustee named in the Indenture; (ix) the Trustee shall have been qualified under the Trust Indenture Act of 1939, as amended; (x) a definitive purchase, underwriting or similar agreement with respect to any Debt Securities offered will be duly authorized, executed and delivered by all parties thereto other than the Company; (xi) the issuance, sale, amount and terms of the Debt Securities, to be offered from time to time, will be duly authorized and established by all requisite action, corporate or other, by the Company; and (xii) at the time of the issuance and sale of the Debt Securities, the Company will be validly existing as a corporation and in good standing under the laws of the Commonwealth of Massachusetts. </w:t>
      </w:r>
    </w:p>
    <w:p>
      <w:pPr>
        <w:pStyle w:val="TextBody"/>
        <w:spacing w:before="240" w:after="0"/>
        <w:jc w:val="left"/>
        <w:rPr>
          <w:rFonts w:ascii="Times New Roman" w:hAnsi="Times New Roman"/>
          <w:sz w:val="20"/>
        </w:rPr>
      </w:pPr>
      <w:r>
        <w:rPr>
          <w:rFonts w:ascii="Times New Roman" w:hAnsi="Times New Roman"/>
          <w:sz w:val="20"/>
        </w:rPr>
        <w:t xml:space="preserve">We are expressing no opinion herein as to the application of any federal or state law or regulation to the power, authority or competence of any party to any agreement with respect to any Debt Securities other than the Company. We have assumed that such agreements are, or will be, the valid and binding obligations of each party thereto other than the Company, and enforceable against each such other party in accordance with their respective terms. </w:t>
      </w:r>
    </w:p>
    <w:p>
      <w:pPr>
        <w:pStyle w:val="TextBody"/>
        <w:spacing w:before="240" w:after="0"/>
        <w:jc w:val="left"/>
        <w:rPr>
          <w:rFonts w:ascii="Times New Roman" w:hAnsi="Times New Roman"/>
          <w:sz w:val="20"/>
        </w:rPr>
      </w:pPr>
      <w:r>
        <w:rPr>
          <w:rFonts w:ascii="Times New Roman" w:hAnsi="Times New Roman"/>
          <w:sz w:val="20"/>
        </w:rPr>
        <w:t xml:space="preserve">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any Debt Securities, any change in law affecting the validity or enforceability of such Debt Securities and that at the time of the issuance and sale of any Debt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the Debt Securities. </w:t>
      </w:r>
    </w:p>
    <w:p>
      <w:pPr>
        <w:pStyle w:val="TextBody"/>
        <w:spacing w:before="240" w:after="0"/>
        <w:jc w:val="left"/>
        <w:rPr>
          <w:rFonts w:ascii="Times New Roman" w:hAnsi="Times New Roman"/>
          <w:sz w:val="20"/>
        </w:rPr>
      </w:pPr>
      <w:r>
        <w:rPr>
          <w:rFonts w:ascii="Times New Roman" w:hAnsi="Times New Roman"/>
          <w:sz w:val="20"/>
        </w:rPr>
        <w:t xml:space="preserve">Our opinion below is qualified to the extent that it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209675"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6"/>
                    <a:stretch>
                      <a:fillRect/>
                    </a:stretch>
                  </pic:blipFill>
                  <pic:spPr bwMode="auto">
                    <a:xfrm>
                      <a:off x="0" y="0"/>
                      <a:ext cx="1209675" cy="17145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September 24, 2021 </w:t>
      </w:r>
    </w:p>
    <w:p>
      <w:pPr>
        <w:pStyle w:val="TextBody"/>
        <w:spacing w:before="0" w:after="0"/>
        <w:jc w:val="left"/>
        <w:rPr>
          <w:rFonts w:ascii="Times New Roman" w:hAnsi="Times New Roman"/>
          <w:sz w:val="20"/>
        </w:rPr>
      </w:pPr>
      <w:r>
        <w:rPr>
          <w:rFonts w:ascii="Times New Roman" w:hAnsi="Times New Roman"/>
          <w:sz w:val="20"/>
        </w:rPr>
        <w:t xml:space="preserve">Page 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state laws of the Commonwealth of Massachusetts.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 </w:t>
      </w:r>
    </w:p>
    <w:p>
      <w:pPr>
        <w:pStyle w:val="TextBody"/>
        <w:spacing w:before="240" w:after="0"/>
        <w:jc w:val="left"/>
        <w:rPr>
          <w:rFonts w:ascii="Times New Roman" w:hAnsi="Times New Roman"/>
          <w:sz w:val="20"/>
        </w:rPr>
      </w:pPr>
      <w:r>
        <w:rPr>
          <w:rFonts w:ascii="Times New Roman" w:hAnsi="Times New Roman"/>
          <w:sz w:val="20"/>
        </w:rPr>
        <w:t xml:space="preserve">We also express no opinion herein as to any provision of any agreement (i) that may be deemed to or construed to waive any right, defense or counterclaim of the Company; (ii) to the effect that rights and remedies are not exclusive, or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instrument or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 </w:t>
      </w:r>
    </w:p>
    <w:p>
      <w:pPr>
        <w:pStyle w:val="TextBody"/>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when (i) specifically authorized for issuance by proper action of the Board of Directors of the Company or an authorized committee thereof (the Authorizing Resolutions); (ii) the terms of the Debt Securities and of their issuance and sale have been duly established in conformity with the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(iii) such Debt Securities have been duly executed by the Company and duly authenticated by the Trustee in accordance with the terms of the Indenture, and delivered and sold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or other purchase agreement, such Debt Securities will constitute valid and binding obligations of the Company, enforceable against the Company in accordance with their terms.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209675"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7"/>
                    <a:stretch>
                      <a:fillRect/>
                    </a:stretch>
                  </pic:blipFill>
                  <pic:spPr bwMode="auto">
                    <a:xfrm>
                      <a:off x="0" y="0"/>
                      <a:ext cx="1209675" cy="17145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September 24, 2021 </w:t>
      </w:r>
    </w:p>
    <w:p>
      <w:pPr>
        <w:pStyle w:val="TextBody"/>
        <w:spacing w:before="0" w:after="0"/>
        <w:jc w:val="left"/>
        <w:rPr>
          <w:rFonts w:ascii="Times New Roman" w:hAnsi="Times New Roman"/>
          <w:sz w:val="20"/>
        </w:rPr>
      </w:pPr>
      <w:r>
        <w:rPr>
          <w:rFonts w:ascii="Times New Roman" w:hAnsi="Times New Roman"/>
          <w:sz w:val="20"/>
        </w:rPr>
        <w:t xml:space="preserve">Page 4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that might affect any matters or opinions set forth herein.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an exhibit to the Registration Statement in accordance with the requirements of Item 601(b)(5) of Regulation S-K under the Securities Act and to the use of our name therein and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240" w:after="0"/>
        <w:jc w:val="left"/>
        <w:rPr>
          <w:rFonts w:ascii="Times New Roman" w:hAnsi="Times New Roman"/>
          <w:sz w:val="20"/>
        </w:rPr>
      </w:pPr>
      <w:r>
        <w:rPr>
          <w:rFonts w:ascii="Times New Roman" w:hAnsi="Times New Roman"/>
          <w:sz w:val="20"/>
        </w:rPr>
        <w:t xml:space="preserve">WILMER CUTLER PICKERING </w:t>
      </w:r>
    </w:p>
    <w:p>
      <w:pPr>
        <w:pStyle w:val="TextBody"/>
        <w:spacing w:before="0" w:after="0"/>
        <w:jc w:val="left"/>
        <w:rPr>
          <w:rFonts w:ascii="Times New Roman" w:hAnsi="Times New Roman"/>
          <w:sz w:val="20"/>
        </w:rPr>
      </w:pPr>
      <w:r>
        <w:rPr>
          <w:rFonts w:ascii="Times New Roman" w:hAnsi="Times New Roman"/>
          <w:sz w:val="20"/>
        </w:rPr>
        <w:t xml:space="preserve">HALE AND DORR LLP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2"/>
        <w:gridCol w:w="60"/>
        <w:gridCol w:w="3620"/>
      </w:tblGrid>
      <w:tr>
        <w:trPr/>
        <w:tc>
          <w:tcPr>
            <w:tcW w:w="4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vAlign w:val="bottom"/>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Erika L. Robinson</w:t>
            </w:r>
          </w:p>
        </w:tc>
      </w:tr>
      <w:tr>
        <w:trPr/>
        <w:tc>
          <w:tcPr>
            <w:tcW w:w="40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Erika L. Robinson, a Partner</w:t>
            </w:r>
          </w:p>
        </w:tc>
      </w:tr>
    </w:tbl>
    <w:p>
      <w:pPr>
        <w:pStyle w:val="TextBody"/>
        <w:spacing w:before="0" w:after="0"/>
        <w:jc w:val="right"/>
        <w:rPr>
          <w:rFonts w:ascii="Times New Roman" w:hAnsi="Times New Roman"/>
          <w:sz w:val="20"/>
        </w:rPr>
      </w:pPr>
      <w:r>
        <w:br w:type="page"/>
      </w:r>
      <w:bookmarkStart w:id="18" w:name="d200943dex231.htm"/>
      <w:bookmarkStart w:id="19" w:name="ksd200943dex231"/>
      <w:bookmarkEnd w:id="18"/>
      <w:bookmarkEnd w:id="19"/>
      <w:r>
        <w:rPr>
          <w:rFonts w:ascii="Times New Roman" w:hAnsi="Times New Roman"/>
          <w:sz w:val="20"/>
        </w:rPr>
        <w:t xml:space="preserve">Exhibit 23.1 </w:t>
      </w:r>
    </w:p>
    <w:p>
      <w:pPr>
        <w:pStyle w:val="TextBody"/>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Analog Devices, Inc. for the registration of its debt securities and to the incorporation by reference therein of our reports dated November 24, 2020, with respect to the consolidated financial statements and schedule of Analog Devices, Inc., and the effectiveness of internal control over financial reporting of Analog Devices, Inc., included in its Annual Report (Form 10-K) for the year ended October 31, 2020,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Boston, Massachusetts </w:t>
      </w:r>
    </w:p>
    <w:p>
      <w:pPr>
        <w:pStyle w:val="TextBody"/>
        <w:spacing w:before="0" w:after="0"/>
        <w:jc w:val="left"/>
        <w:rPr>
          <w:rFonts w:ascii="Times New Roman" w:hAnsi="Times New Roman"/>
          <w:sz w:val="20"/>
        </w:rPr>
      </w:pPr>
      <w:r>
        <w:rPr>
          <w:rFonts w:ascii="Times New Roman" w:hAnsi="Times New Roman"/>
          <w:sz w:val="20"/>
        </w:rPr>
        <w:t xml:space="preserve">September 24, 2021 </w:t>
      </w:r>
      <w:r>
        <w:br w:type="page"/>
      </w:r>
    </w:p>
    <w:p>
      <w:pPr>
        <w:pStyle w:val="TextBody"/>
        <w:spacing w:before="0" w:after="0"/>
        <w:jc w:val="right"/>
        <w:rPr>
          <w:rFonts w:ascii="Times New Roman" w:hAnsi="Times New Roman"/>
          <w:b/>
          <w:sz w:val="20"/>
        </w:rPr>
      </w:pPr>
      <w:bookmarkStart w:id="20" w:name="d200943dex232.htm"/>
      <w:bookmarkStart w:id="21" w:name="ksd200943dex232"/>
      <w:bookmarkEnd w:id="20"/>
      <w:bookmarkEnd w:id="21"/>
      <w:r>
        <w:rPr>
          <w:rFonts w:ascii="Times New Roman" w:hAnsi="Times New Roman"/>
          <w:b/>
          <w:sz w:val="20"/>
        </w:rPr>
        <w:t xml:space="preserve">Exhibit 23.2 </w:t>
      </w:r>
    </w:p>
    <w:p>
      <w:pPr>
        <w:pStyle w:val="TextBody"/>
        <w:spacing w:before="36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Analog Devices, Inc. of our report dated August 20, 2021 relating to the financial statements, financial statement schedule and the effectiveness of internal control over financial reporting of Maxim Integrated Products, Inc., which appears in Maxim Integrated Products, Inc.s Annual Report on Form 10-K for the year ended June 26, 2021. We also consent to the reference to us under the heading Experts in such Registration Statement. </w:t>
      </w:r>
    </w:p>
    <w:p>
      <w:pPr>
        <w:pStyle w:val="TextBody"/>
        <w:spacing w:before="480" w:after="0"/>
        <w:jc w:val="left"/>
        <w:rPr>
          <w:rFonts w:ascii="Times New Roman" w:hAnsi="Times New Roman"/>
          <w:sz w:val="20"/>
        </w:rPr>
      </w:pPr>
      <w:r>
        <w:rPr>
          <w:rFonts w:ascii="Times New Roman" w:hAnsi="Times New Roman"/>
          <w:sz w:val="20"/>
        </w:rPr>
        <w:t xml:space="preserve">/s/ PricewaterhouseCoopers LLP </w:t>
      </w:r>
    </w:p>
    <w:p>
      <w:pPr>
        <w:pStyle w:val="TextBody"/>
        <w:spacing w:before="360" w:after="0"/>
        <w:jc w:val="left"/>
        <w:rPr>
          <w:rFonts w:ascii="Times New Roman" w:hAnsi="Times New Roman"/>
          <w:sz w:val="20"/>
        </w:rPr>
      </w:pPr>
      <w:r>
        <w:rPr>
          <w:rFonts w:ascii="Times New Roman" w:hAnsi="Times New Roman"/>
          <w:sz w:val="20"/>
        </w:rPr>
        <w:t xml:space="preserve">San Jose, California </w:t>
      </w:r>
    </w:p>
    <w:p>
      <w:pPr>
        <w:pStyle w:val="TextBody"/>
        <w:spacing w:before="0" w:after="0"/>
        <w:jc w:val="left"/>
        <w:rPr>
          <w:rFonts w:ascii="Times New Roman" w:hAnsi="Times New Roman"/>
          <w:sz w:val="20"/>
        </w:rPr>
      </w:pPr>
      <w:r>
        <w:rPr>
          <w:rFonts w:ascii="Times New Roman" w:hAnsi="Times New Roman"/>
          <w:sz w:val="20"/>
        </w:rPr>
        <w:t xml:space="preserve">September 24, 2021 </w:t>
      </w:r>
      <w:r>
        <w:br w:type="page"/>
      </w:r>
    </w:p>
    <w:p>
      <w:pPr>
        <w:pStyle w:val="TextBody"/>
        <w:spacing w:before="0" w:after="0"/>
        <w:jc w:val="right"/>
        <w:rPr>
          <w:rFonts w:ascii="Times New Roman" w:hAnsi="Times New Roman"/>
          <w:b/>
          <w:sz w:val="20"/>
        </w:rPr>
      </w:pPr>
      <w:bookmarkStart w:id="22" w:name="d200943dex251.htm"/>
      <w:bookmarkStart w:id="23" w:name="ksd200943dex251"/>
      <w:bookmarkEnd w:id="22"/>
      <w:bookmarkEnd w:id="23"/>
      <w:r>
        <w:rPr>
          <w:rFonts w:ascii="Times New Roman" w:hAnsi="Times New Roman"/>
          <w:b/>
          <w:sz w:val="20"/>
        </w:rPr>
        <w:t xml:space="preserve">Exhibit 25.1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T-1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spacing w:before="0" w:after="0"/>
        <w:jc w:val="center"/>
        <w:rPr>
          <w:rFonts w:ascii="Times New Roman" w:hAnsi="Times New Roman"/>
          <w:b/>
          <w:sz w:val="24"/>
        </w:rPr>
      </w:pPr>
      <w:r>
        <w:rPr>
          <w:rFonts w:ascii="Times New Roman" w:hAnsi="Times New Roman"/>
          <w:b/>
          <w:sz w:val="24"/>
        </w:rPr>
        <w:t xml:space="preserve">UNDER THE TRUST INDENTURE ACT OF 1939 OF A </w:t>
      </w:r>
    </w:p>
    <w:p>
      <w:pPr>
        <w:pStyle w:val="TextBody"/>
        <w:spacing w:before="0" w:after="0"/>
        <w:jc w:val="center"/>
        <w:rPr>
          <w:rFonts w:ascii="Times New Roman" w:hAnsi="Times New Roman"/>
          <w:b/>
          <w:sz w:val="24"/>
        </w:rPr>
      </w:pPr>
      <w:r>
        <w:rPr>
          <w:rFonts w:ascii="Times New Roman" w:hAnsi="Times New Roman"/>
          <w:b/>
          <w:sz w:val="24"/>
        </w:rPr>
        <w:t xml:space="preserve">CORPORATION DESIGNATED TO ACT AS TRUSTEE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spacing w:before="0" w:after="0"/>
        <w:jc w:val="center"/>
        <w:rPr>
          <w:rFonts w:ascii="Times New Roman" w:hAnsi="Times New Roman"/>
          <w:b/>
          <w:sz w:val="48"/>
        </w:rPr>
      </w:pPr>
      <w:r>
        <w:rPr>
          <w:rFonts w:ascii="Times New Roman" w:hAnsi="Times New Roman"/>
          <w:b/>
          <w:sz w:val="48"/>
        </w:rPr>
        <w:t xml:space="preserve">TRUST COMPANY, N.A. </w:t>
      </w:r>
    </w:p>
    <w:p>
      <w:pPr>
        <w:pStyle w:val="TextBody"/>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pPr>
            <w:r>
              <w:rPr/>
              <w:t>    </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95-3571558</w:t>
            </w:r>
          </w:p>
        </w:tc>
      </w:tr>
      <w:tr>
        <w:trPr/>
        <w:tc>
          <w:tcPr>
            <w:tcW w:w="515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(Jurisdiction of incorporation</w:t>
            </w:r>
          </w:p>
          <w:p>
            <w:pPr>
              <w:pStyle w:val="TableContents"/>
              <w:spacing w:before="0" w:after="20"/>
              <w:jc w:val="center"/>
              <w:rPr>
                <w:rFonts w:ascii="Times New Roman" w:hAnsi="Times New Roman"/>
                <w:b/>
                <w:sz w:val="16"/>
              </w:rPr>
            </w:pPr>
            <w:r>
              <w:rPr>
                <w:rFonts w:ascii="Times New Roman" w:hAnsi="Times New Roman"/>
                <w:b/>
                <w:sz w:val="16"/>
              </w:rPr>
              <w:t>if not a U.S. national bank)</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 xml:space="preserve">400 South Hope Street </w:t>
      </w:r>
    </w:p>
    <w:p>
      <w:pPr>
        <w:pStyle w:val="TextBody"/>
        <w:spacing w:before="0" w:after="0"/>
        <w:jc w:val="center"/>
        <w:rPr>
          <w:rFonts w:ascii="Times New Roman" w:hAnsi="Times New Roman"/>
          <w:b/>
          <w:sz w:val="20"/>
        </w:rPr>
      </w:pPr>
      <w:r>
        <w:rPr>
          <w:rFonts w:ascii="Times New Roman" w:hAnsi="Times New Roman"/>
          <w:b/>
          <w:sz w:val="20"/>
        </w:rPr>
        <w:t xml:space="preserve">Suite 500 </w:t>
      </w:r>
    </w:p>
    <w:p>
      <w:pPr>
        <w:pStyle w:val="TextBody"/>
        <w:spacing w:before="0" w:after="0"/>
        <w:jc w:val="center"/>
        <w:rPr>
          <w:rFonts w:ascii="Times New Roman" w:hAnsi="Times New Roman"/>
          <w:b/>
          <w:sz w:val="20"/>
        </w:rPr>
      </w:pPr>
      <w:r>
        <w:rPr>
          <w:rFonts w:ascii="Times New Roman" w:hAnsi="Times New Roman"/>
          <w:b/>
          <w:sz w:val="20"/>
        </w:rPr>
        <w:t xml:space="preserve">Los Angeles, California 90071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ANALOG DEVICES, INC. </w:t>
      </w:r>
    </w:p>
    <w:p>
      <w:pPr>
        <w:pStyle w:val="TextBody"/>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3"/>
        <w:gridCol w:w="4948"/>
      </w:tblGrid>
      <w:tr>
        <w:trPr/>
        <w:tc>
          <w:tcPr>
            <w:tcW w:w="5154"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Massachusetts</w:t>
            </w:r>
          </w:p>
        </w:tc>
        <w:tc>
          <w:tcPr>
            <w:tcW w:w="103"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283"/>
              <w:jc w:val="center"/>
              <w:rPr>
                <w:b/>
              </w:rPr>
            </w:pPr>
            <w:r>
              <w:rPr>
                <w:b/>
              </w:rPr>
              <w:t>04-2348234</w:t>
            </w:r>
          </w:p>
        </w:tc>
      </w:tr>
      <w:tr>
        <w:trPr/>
        <w:tc>
          <w:tcPr>
            <w:tcW w:w="515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5"/>
        <w:gridCol w:w="101"/>
        <w:gridCol w:w="4949"/>
      </w:tblGrid>
      <w:tr>
        <w:trPr/>
        <w:tc>
          <w:tcPr>
            <w:tcW w:w="51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One Analog Way</w:t>
            </w:r>
          </w:p>
          <w:p>
            <w:pPr>
              <w:pStyle w:val="TableContents"/>
              <w:spacing w:before="0" w:after="20"/>
              <w:jc w:val="center"/>
              <w:rPr>
                <w:rFonts w:ascii="Times New Roman" w:hAnsi="Times New Roman"/>
                <w:b/>
                <w:sz w:val="20"/>
              </w:rPr>
            </w:pPr>
            <w:r>
              <w:rPr>
                <w:rFonts w:ascii="Times New Roman" w:hAnsi="Times New Roman"/>
                <w:b/>
                <w:sz w:val="20"/>
              </w:rPr>
              <w:t>Wilmington, MA</w:t>
            </w:r>
          </w:p>
        </w:tc>
        <w:tc>
          <w:tcPr>
            <w:tcW w:w="101"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b/>
              </w:rPr>
            </w:pPr>
            <w:r>
              <w:rPr>
                <w:b/>
              </w:rPr>
              <w:t>01887</w:t>
            </w:r>
          </w:p>
        </w:tc>
      </w:tr>
      <w:tr>
        <w:trPr/>
        <w:tc>
          <w:tcPr>
            <w:tcW w:w="5155" w:type="dxa"/>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(Zip code)</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Debt Securities </w:t>
      </w:r>
    </w:p>
    <w:p>
      <w:pPr>
        <w:pStyle w:val="TextBody"/>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b/>
              </w:rPr>
            </w:pPr>
            <w:r>
              <w:rPr>
                <w:b/>
              </w:rPr>
              <w:t>(a)</w:t>
            </w:r>
          </w:p>
        </w:tc>
        <w:tc>
          <w:tcPr>
            <w:tcW w:w="929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spacing w:before="0" w:after="0"/>
        <w:jc w:val="left"/>
        <w:rPr/>
      </w:pPr>
      <w:r>
        <w:rPr/>
        <w:t> </w:t>
      </w:r>
    </w:p>
    <w:tbl>
      <w:tblPr>
        <w:tblW w:w="3750" w:type="pct"/>
        <w:jc w:val="center"/>
        <w:tblInd w:w="0" w:type="dxa"/>
        <w:tblCellMar>
          <w:top w:w="0" w:type="dxa"/>
          <w:left w:w="0" w:type="dxa"/>
          <w:bottom w:w="0" w:type="dxa"/>
          <w:right w:w="0" w:type="dxa"/>
        </w:tblCellMar>
      </w:tblPr>
      <w:tblGrid>
        <w:gridCol w:w="3328"/>
        <w:gridCol w:w="120"/>
        <w:gridCol w:w="4205"/>
      </w:tblGrid>
      <w:tr>
        <w:trPr/>
        <w:tc>
          <w:tcPr>
            <w:tcW w:w="33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5" w:type="dxa"/>
            <w:tcBorders/>
            <w:shd w:fill="auto" w:val="clear"/>
            <w:vAlign w:val="center"/>
          </w:tcPr>
          <w:p>
            <w:pPr>
              <w:pStyle w:val="TableContents"/>
              <w:spacing w:before="0" w:after="283"/>
              <w:rPr>
                <w:sz w:val="4"/>
                <w:szCs w:val="4"/>
              </w:rPr>
            </w:pPr>
            <w:r>
              <w:rPr>
                <w:sz w:val="4"/>
                <w:szCs w:val="4"/>
              </w:rPr>
            </w:r>
          </w:p>
        </w:tc>
      </w:tr>
      <w:tr>
        <w:trPr/>
        <w:tc>
          <w:tcPr>
            <w:tcW w:w="332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Name</w:t>
            </w:r>
          </w:p>
        </w:tc>
        <w:tc>
          <w:tcPr>
            <w:tcW w:w="120" w:type="dxa"/>
            <w:tcBorders/>
            <w:shd w:fill="auto" w:val="clear"/>
            <w:vAlign w:val="bottom"/>
          </w:tcPr>
          <w:p>
            <w:pPr>
              <w:pStyle w:val="TableContents"/>
              <w:spacing w:before="0" w:after="283"/>
              <w:rPr/>
            </w:pPr>
            <w:r>
              <w:rPr/>
              <w:t>  </w:t>
            </w:r>
          </w:p>
        </w:tc>
        <w:tc>
          <w:tcPr>
            <w:tcW w:w="4205" w:type="dxa"/>
            <w:tcBorders>
              <w:bottom w:val="single" w:sz="8" w:space="0" w:color="000000"/>
            </w:tcBorders>
            <w:shd w:fill="auto" w:val="clear"/>
            <w:tcMar>
              <w:bottom w:w="28" w:type="dxa"/>
            </w:tcMar>
            <w:vAlign w:val="bottom"/>
          </w:tcPr>
          <w:p>
            <w:pPr>
              <w:pStyle w:val="TableContents"/>
              <w:spacing w:before="0" w:after="283"/>
              <w:jc w:val="center"/>
              <w:rPr/>
            </w:pPr>
            <w:r>
              <w:rPr/>
              <w:t>Address</w:t>
            </w:r>
          </w:p>
        </w:tc>
      </w:tr>
      <w:tr>
        <w:trPr/>
        <w:tc>
          <w:tcPr>
            <w:tcW w:w="3328" w:type="dxa"/>
            <w:tcBorders/>
            <w:shd w:fill="auto" w:val="clear"/>
            <w:vAlign w:val="bottom"/>
          </w:tcPr>
          <w:p>
            <w:pPr>
              <w:pStyle w:val="TableContents"/>
              <w:spacing w:before="0" w:after="283"/>
              <w:rPr/>
            </w:pPr>
            <w:r>
              <w:rPr/>
              <w:t>Comptroller of the Currency</w:t>
            </w:r>
          </w:p>
        </w:tc>
        <w:tc>
          <w:tcPr>
            <w:tcW w:w="120"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400 7th Street SW</w:t>
            </w:r>
          </w:p>
        </w:tc>
      </w:tr>
      <w:tr>
        <w:trPr/>
        <w:tc>
          <w:tcPr>
            <w:tcW w:w="3328" w:type="dxa"/>
            <w:tcBorders/>
            <w:shd w:fill="auto" w:val="clear"/>
            <w:vAlign w:val="bottom"/>
          </w:tcPr>
          <w:p>
            <w:pPr>
              <w:pStyle w:val="TableContents"/>
              <w:spacing w:before="0" w:after="283"/>
              <w:rPr/>
            </w:pPr>
            <w:r>
              <w:rPr/>
              <w:t>United States Department of the</w:t>
            </w:r>
          </w:p>
        </w:tc>
        <w:tc>
          <w:tcPr>
            <w:tcW w:w="120"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Washington, DC 20219</w:t>
            </w:r>
          </w:p>
        </w:tc>
      </w:tr>
      <w:tr>
        <w:trPr>
          <w:trHeight w:val="240" w:hRule="atLeast"/>
        </w:trPr>
        <w:tc>
          <w:tcPr>
            <w:tcW w:w="3328" w:type="dxa"/>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328" w:type="dxa"/>
            <w:tcBorders/>
            <w:shd w:fill="auto" w:val="clear"/>
            <w:vAlign w:val="bottom"/>
          </w:tcPr>
          <w:p>
            <w:pPr>
              <w:pStyle w:val="TableContents"/>
              <w:spacing w:before="0" w:after="283"/>
              <w:rPr/>
            </w:pPr>
            <w:r>
              <w:rPr/>
              <w:t>Treasury Federal Reserve Bank</w:t>
            </w:r>
          </w:p>
        </w:tc>
        <w:tc>
          <w:tcPr>
            <w:tcW w:w="120"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101 Market Street</w:t>
            </w:r>
          </w:p>
        </w:tc>
      </w:tr>
      <w:tr>
        <w:trPr/>
        <w:tc>
          <w:tcPr>
            <w:tcW w:w="33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San Francisco, CA 94105                        </w:t>
            </w:r>
          </w:p>
        </w:tc>
      </w:tr>
      <w:tr>
        <w:trPr>
          <w:trHeight w:val="240" w:hRule="atLeast"/>
        </w:trPr>
        <w:tc>
          <w:tcPr>
            <w:tcW w:w="3328" w:type="dxa"/>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328" w:type="dxa"/>
            <w:tcBorders/>
            <w:shd w:fill="auto" w:val="clear"/>
            <w:vAlign w:val="bottom"/>
          </w:tcPr>
          <w:p>
            <w:pPr>
              <w:pStyle w:val="TableContents"/>
              <w:spacing w:before="0" w:after="283"/>
              <w:rPr/>
            </w:pPr>
            <w:r>
              <w:rPr/>
              <w:t>Federal Deposit Insurance Corporation</w:t>
            </w:r>
          </w:p>
        </w:tc>
        <w:tc>
          <w:tcPr>
            <w:tcW w:w="120"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550 17th Street, N.W.</w:t>
            </w:r>
          </w:p>
        </w:tc>
      </w:tr>
      <w:tr>
        <w:trPr/>
        <w:tc>
          <w:tcPr>
            <w:tcW w:w="33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Washington, DC 20429</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(b)</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spacing w:before="120" w:after="0"/>
        <w:jc w:val="left"/>
        <w:rPr>
          <w:rFonts w:ascii="Times New Roman" w:hAnsi="Times New Roman"/>
          <w:sz w:val="20"/>
        </w:rPr>
      </w:pPr>
      <w:r>
        <w:rPr>
          <w:rFonts w:ascii="Times New Roman" w:hAnsi="Times New Roman"/>
          <w:sz w:val="20"/>
        </w:rPr>
        <w:t xml:space="preserve">Yes.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16.</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and 17 C.F.R. 229.10(d).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copy of certificate of authority of the trustee to commence business. (Exhibit 2 to Form T-1 filed with Registration Statement No. 333-121948).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7"/>
        <w:gridCol w:w="9291"/>
      </w:tblGrid>
      <w:tr>
        <w:trPr/>
        <w:tc>
          <w:tcPr>
            <w:tcW w:w="407"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3.</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(Exhibit 3 to Form T-1 filed with Registration Statement No. 333-152875).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333-229762).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333-152875).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24 th day of September,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5"/>
        <w:gridCol w:w="60"/>
        <w:gridCol w:w="649"/>
        <w:gridCol w:w="60"/>
        <w:gridCol w:w="2958"/>
      </w:tblGrid>
      <w:tr>
        <w:trPr/>
        <w:tc>
          <w:tcPr>
            <w:tcW w:w="3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58"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THE BANK OF NEW YORK MELLON TRUST COMPANY, N.A.</w:t>
            </w:r>
          </w:p>
        </w:tc>
      </w:tr>
      <w:tr>
        <w:trPr>
          <w:trHeight w:val="240" w:hRule="atLeast"/>
        </w:trPr>
        <w:tc>
          <w:tcPr>
            <w:tcW w:w="355" w:type="dxa"/>
            <w:tcBorders/>
            <w:shd w:fill="auto" w:val="clear"/>
            <w:vAlign w:val="center"/>
          </w:tcPr>
          <w:p>
            <w:pPr>
              <w:pStyle w:val="TableContents"/>
              <w:spacing w:before="0" w:after="283"/>
              <w:rPr>
                <w:sz w:val="4"/>
                <w:szCs w:val="4"/>
              </w:rPr>
            </w:pPr>
            <w:r>
              <w:rPr>
                <w:sz w:val="4"/>
                <w:szCs w:val="4"/>
              </w:rPr>
            </w:r>
          </w:p>
        </w:tc>
        <w:tc>
          <w:tcPr>
            <w:tcW w:w="709" w:type="dxa"/>
            <w:gridSpan w:val="2"/>
            <w:tcBorders/>
            <w:shd w:fill="auto" w:val="clear"/>
            <w:vAlign w:val="center"/>
          </w:tcPr>
          <w:p>
            <w:pPr>
              <w:pStyle w:val="TableContents"/>
              <w:spacing w:before="0" w:after="283"/>
              <w:rPr>
                <w:sz w:val="4"/>
                <w:szCs w:val="4"/>
              </w:rPr>
            </w:pPr>
            <w:r>
              <w:rPr>
                <w:sz w:val="4"/>
                <w:szCs w:val="4"/>
              </w:rPr>
            </w:r>
          </w:p>
        </w:tc>
        <w:tc>
          <w:tcPr>
            <w:tcW w:w="3018" w:type="dxa"/>
            <w:gridSpan w:val="2"/>
            <w:tcBorders/>
            <w:shd w:fill="auto" w:val="clear"/>
            <w:vAlign w:val="center"/>
          </w:tcPr>
          <w:p>
            <w:pPr>
              <w:pStyle w:val="TableContents"/>
              <w:spacing w:before="0" w:after="283"/>
              <w:rPr>
                <w:sz w:val="4"/>
                <w:szCs w:val="4"/>
              </w:rPr>
            </w:pPr>
            <w:r>
              <w:rPr>
                <w:sz w:val="4"/>
                <w:szCs w:val="4"/>
              </w:rPr>
            </w:r>
          </w:p>
        </w:tc>
      </w:tr>
      <w:tr>
        <w:trPr/>
        <w:tc>
          <w:tcPr>
            <w:tcW w:w="355"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49" w:type="dxa"/>
            <w:tcBorders>
              <w:bottom w:val="single" w:sz="2" w:space="0" w:color="000000"/>
            </w:tcBorders>
            <w:shd w:fill="auto" w:val="clear"/>
            <w:tcMar>
              <w:bottom w:w="28" w:type="dxa"/>
            </w:tcMar>
          </w:tcPr>
          <w:p>
            <w:pPr>
              <w:pStyle w:val="TableContents"/>
              <w:spacing w:before="0" w:after="283"/>
              <w:rPr/>
            </w:pPr>
            <w:r>
              <w:rPr/>
              <w:t>/s/</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2958" w:type="dxa"/>
            <w:tcBorders>
              <w:bottom w:val="single" w:sz="2" w:space="0" w:color="000000"/>
            </w:tcBorders>
            <w:shd w:fill="auto" w:val="clear"/>
            <w:tcMar>
              <w:bottom w:w="28" w:type="dxa"/>
            </w:tcMar>
          </w:tcPr>
          <w:p>
            <w:pPr>
              <w:pStyle w:val="TableContents"/>
              <w:spacing w:before="0" w:after="283"/>
              <w:rPr/>
            </w:pPr>
            <w:r>
              <w:rPr/>
              <w:t>Julie Hoffman-Ramos</w:t>
            </w:r>
          </w:p>
        </w:tc>
      </w:tr>
      <w:tr>
        <w:trPr/>
        <w:tc>
          <w:tcPr>
            <w:tcW w:w="3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58" w:type="dxa"/>
            <w:tcBorders/>
            <w:shd w:fill="auto" w:val="clear"/>
            <w:vAlign w:val="bottom"/>
          </w:tcPr>
          <w:p>
            <w:pPr>
              <w:pStyle w:val="TableContents"/>
              <w:spacing w:before="0" w:after="283"/>
              <w:rPr/>
            </w:pPr>
            <w:r>
              <w:rPr/>
              <w:t>Julie Hoffman-Ramos</w:t>
            </w:r>
          </w:p>
        </w:tc>
      </w:tr>
      <w:tr>
        <w:trPr/>
        <w:tc>
          <w:tcPr>
            <w:tcW w:w="3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58" w:type="dxa"/>
            <w:tcBorders/>
            <w:shd w:fill="auto" w:val="clear"/>
            <w:vAlign w:val="bottom"/>
          </w:tcPr>
          <w:p>
            <w:pPr>
              <w:pStyle w:val="TableContents"/>
              <w:spacing w:before="0" w:after="283"/>
              <w:rPr/>
            </w:pPr>
            <w:r>
              <w:rPr/>
              <w:t>Vice President</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20"/>
        </w:rPr>
      </w:pPr>
      <w:r>
        <w:rPr>
          <w:rFonts w:ascii="Times New Roman" w:hAnsi="Times New Roman"/>
          <w:b/>
          <w:sz w:val="20"/>
        </w:rPr>
        <w:t xml:space="preserve">EXHIBIT 7 </w:t>
      </w:r>
    </w:p>
    <w:p>
      <w:pPr>
        <w:pStyle w:val="TextBody"/>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spacing w:before="0" w:after="0"/>
        <w:jc w:val="center"/>
        <w:rPr>
          <w:rFonts w:ascii="Times New Roman" w:hAnsi="Times New Roman"/>
          <w:sz w:val="20"/>
        </w:rPr>
      </w:pPr>
      <w:r>
        <w:rPr>
          <w:rFonts w:ascii="Times New Roman" w:hAnsi="Times New Roman"/>
          <w:sz w:val="20"/>
        </w:rPr>
        <w:t xml:space="preserve">THE BANK OF NEW YORK MELLON TRUST COMPANY, N.A. </w:t>
      </w:r>
    </w:p>
    <w:p>
      <w:pPr>
        <w:pStyle w:val="TextBody"/>
        <w:spacing w:before="0" w:after="0"/>
        <w:jc w:val="center"/>
        <w:rPr>
          <w:rFonts w:ascii="Times New Roman" w:hAnsi="Times New Roman"/>
          <w:sz w:val="20"/>
        </w:rPr>
      </w:pPr>
      <w:r>
        <w:rPr>
          <w:rFonts w:ascii="Times New Roman" w:hAnsi="Times New Roman"/>
          <w:sz w:val="20"/>
        </w:rPr>
        <w:t xml:space="preserve">of 400 South Hope Street, Suite 500, Los Angeles, CA 90071 </w:t>
      </w:r>
    </w:p>
    <w:p>
      <w:pPr>
        <w:pStyle w:val="TextBody"/>
        <w:spacing w:before="240" w:after="0"/>
        <w:jc w:val="left"/>
        <w:rPr>
          <w:rFonts w:ascii="Times New Roman" w:hAnsi="Times New Roman"/>
          <w:sz w:val="20"/>
        </w:rPr>
      </w:pPr>
      <w:r>
        <w:rPr>
          <w:rFonts w:ascii="Times New Roman" w:hAnsi="Times New Roman"/>
          <w:sz w:val="20"/>
        </w:rPr>
        <w:t xml:space="preserve">At the close of business June 30, 2021, published in accordance with Federal regulatory authority instructions.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42"/>
        <w:gridCol w:w="399"/>
        <w:gridCol w:w="199"/>
        <w:gridCol w:w="1403"/>
        <w:gridCol w:w="62"/>
      </w:tblGrid>
      <w:tr>
        <w:trPr/>
        <w:tc>
          <w:tcPr>
            <w:tcW w:w="814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14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60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Dollar amounts</w:t>
            </w:r>
            <w:r>
              <w:rPr/>
              <w:br/>
            </w:r>
            <w:r>
              <w:rPr>
                <w:b/>
              </w:rPr>
              <w:t>in thousands</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u w:val="single"/>
              </w:rPr>
            </w:pPr>
            <w:r>
              <w:rPr>
                <w:rFonts w:ascii="Times New Roman" w:hAnsi="Times New Roman"/>
                <w:sz w:val="20"/>
                <w:u w:val="single"/>
              </w:rPr>
              <w:t>ASSETS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sz w:val="4"/>
                <w:szCs w:val="4"/>
              </w:rPr>
            </w:pPr>
            <w:r>
              <w:rPr>
                <w:sz w:val="4"/>
                <w:szCs w:val="4"/>
              </w:rPr>
            </w:r>
          </w:p>
        </w:tc>
        <w:tc>
          <w:tcPr>
            <w:tcW w:w="1403"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rHeight w:val="240" w:hRule="atLeast"/>
        </w:trPr>
        <w:tc>
          <w:tcPr>
            <w:tcW w:w="8142" w:type="dxa"/>
            <w:tcBorders/>
            <w:shd w:fill="auto" w:val="clear"/>
            <w:vAlign w:val="center"/>
          </w:tcPr>
          <w:p>
            <w:pPr>
              <w:pStyle w:val="TableContents"/>
              <w:spacing w:before="0" w:after="283"/>
              <w:rPr>
                <w:sz w:val="4"/>
                <w:szCs w:val="4"/>
              </w:rPr>
            </w:pPr>
            <w:r>
              <w:rPr>
                <w:sz w:val="4"/>
                <w:szCs w:val="4"/>
              </w:rPr>
            </w:r>
          </w:p>
        </w:tc>
        <w:tc>
          <w:tcPr>
            <w:tcW w:w="2063" w:type="dxa"/>
            <w:gridSpan w:val="4"/>
            <w:tcBorders/>
            <w:shd w:fill="auto" w:val="clear"/>
            <w:vAlign w:val="center"/>
          </w:tcPr>
          <w:p>
            <w:pPr>
              <w:pStyle w:val="TableContents"/>
              <w:spacing w:before="0" w:after="283"/>
              <w:rPr>
                <w:sz w:val="4"/>
                <w:szCs w:val="4"/>
              </w:rPr>
            </w:pPr>
            <w:r>
              <w:rPr>
                <w:sz w:val="4"/>
                <w:szCs w:val="4"/>
              </w:rPr>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Cash and balances due from depository institutions: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c>
          <w:tcPr>
            <w:tcW w:w="1403"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Noninterest-bearing balances and currency and coin</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22,897</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balances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339,038</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Securities: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sz w:val="4"/>
                <w:szCs w:val="4"/>
              </w:rPr>
            </w:pPr>
            <w:r>
              <w:rPr>
                <w:sz w:val="4"/>
                <w:szCs w:val="4"/>
              </w:rPr>
            </w:r>
          </w:p>
        </w:tc>
        <w:tc>
          <w:tcPr>
            <w:tcW w:w="1403"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Held-to-maturity securities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Available-for-sale debt securities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76,614</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Equity securities with readily determinable fair values not held for trading</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Federal funds sold and securities purchased under agreements to resell:</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sz w:val="4"/>
                <w:szCs w:val="4"/>
              </w:rPr>
            </w:pPr>
            <w:r>
              <w:rPr>
                <w:sz w:val="4"/>
                <w:szCs w:val="4"/>
              </w:rPr>
            </w:r>
          </w:p>
        </w:tc>
        <w:tc>
          <w:tcPr>
            <w:tcW w:w="1403"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Federal funds sold in domestic offices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Securities purchased under agreements to resell</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283"/>
              <w:rPr/>
            </w:pPr>
            <w:r>
              <w:rPr/>
              <w:t>Loans and lease financing receivables: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c>
          <w:tcPr>
            <w:tcW w:w="1403"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Loans and leases held for sale</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Loans and leases, held for investment</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LESS: Allowance for loan and lease losses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Loans and leases held for investment, net of allowance</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Trading assets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Premises and fixed assets (including capitalized leases)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20,616</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Other real estate owned</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Investments in unconsolidated subsidiaries and associated companies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Direct and indirect investments in real estate ventures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3" w:type="dxa"/>
            <w:tcBorders/>
            <w:shd w:fill="auto" w:val="clear"/>
            <w:vAlign w:val="bottom"/>
          </w:tcPr>
          <w:p>
            <w:pPr>
              <w:pStyle w:val="TableContents"/>
              <w:spacing w:before="0" w:after="283"/>
              <w:jc w:val="right"/>
              <w:rPr/>
            </w:pPr>
            <w:r>
              <w:rPr/>
              <w:t>856,313</w:t>
            </w:r>
          </w:p>
        </w:tc>
        <w:tc>
          <w:tcPr>
            <w:tcW w:w="62" w:type="dxa"/>
            <w:tcBorders/>
            <w:shd w:fill="auto" w:val="clear"/>
            <w:vAlign w:val="bottom"/>
          </w:tcPr>
          <w:p>
            <w:pPr>
              <w:pStyle w:val="TableContents"/>
              <w:spacing w:before="0" w:after="283"/>
              <w:rPr/>
            </w:pPr>
            <w:r>
              <w:rPr/>
              <w:t> </w:t>
            </w:r>
          </w:p>
        </w:tc>
      </w:tr>
      <w:tr>
        <w:trPr/>
        <w:tc>
          <w:tcPr>
            <w:tcW w:w="8142" w:type="dxa"/>
            <w:tcBorders/>
            <w:shd w:fill="CCEEFF" w:val="clear"/>
          </w:tcPr>
          <w:p>
            <w:pPr>
              <w:pStyle w:val="TableContents"/>
              <w:spacing w:before="0" w:after="0"/>
              <w:rPr>
                <w:rFonts w:ascii="Times New Roman" w:hAnsi="Times New Roman"/>
                <w:sz w:val="20"/>
              </w:rPr>
            </w:pPr>
            <w:r>
              <w:rPr>
                <w:rFonts w:ascii="Times New Roman" w:hAnsi="Times New Roman"/>
                <w:sz w:val="20"/>
              </w:rPr>
              <w:t>Other assets</w:t>
            </w:r>
          </w:p>
        </w:tc>
        <w:tc>
          <w:tcPr>
            <w:tcW w:w="399"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3" w:type="dxa"/>
            <w:tcBorders/>
            <w:shd w:fill="CCEEFF" w:val="clear"/>
            <w:vAlign w:val="bottom"/>
          </w:tcPr>
          <w:p>
            <w:pPr>
              <w:pStyle w:val="TableContents"/>
              <w:spacing w:before="0" w:after="283"/>
              <w:jc w:val="right"/>
              <w:rPr/>
            </w:pPr>
            <w:r>
              <w:rPr/>
              <w:t>103,666</w:t>
            </w:r>
          </w:p>
        </w:tc>
        <w:tc>
          <w:tcPr>
            <w:tcW w:w="62" w:type="dxa"/>
            <w:tcBorders/>
            <w:shd w:fill="CCEEFF" w:val="clear"/>
            <w:vAlign w:val="bottom"/>
          </w:tcPr>
          <w:p>
            <w:pPr>
              <w:pStyle w:val="TableContents"/>
              <w:spacing w:before="0" w:after="283"/>
              <w:rPr/>
            </w:pPr>
            <w:r>
              <w:rPr/>
              <w:t> </w:t>
            </w:r>
          </w:p>
        </w:tc>
      </w:tr>
      <w:tr>
        <w:trPr/>
        <w:tc>
          <w:tcPr>
            <w:tcW w:w="814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0"/>
              <w:rPr/>
            </w:pPr>
            <w:r>
              <w:rPr/>
              <w:t> </w:t>
            </w:r>
          </w:p>
        </w:tc>
        <w:tc>
          <w:tcPr>
            <w:tcW w:w="140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8142"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w:t>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w:t>
            </w:r>
          </w:p>
        </w:tc>
        <w:tc>
          <w:tcPr>
            <w:tcW w:w="1403" w:type="dxa"/>
            <w:tcBorders/>
            <w:shd w:fill="auto" w:val="clear"/>
            <w:vAlign w:val="bottom"/>
          </w:tcPr>
          <w:p>
            <w:pPr>
              <w:pStyle w:val="TableContents"/>
              <w:spacing w:before="0" w:after="283"/>
              <w:jc w:val="right"/>
              <w:rPr/>
            </w:pPr>
            <w:r>
              <w:rPr/>
              <w:t>1,419,144</w:t>
            </w:r>
          </w:p>
        </w:tc>
        <w:tc>
          <w:tcPr>
            <w:tcW w:w="62" w:type="dxa"/>
            <w:tcBorders/>
            <w:shd w:fill="auto" w:val="clear"/>
            <w:vAlign w:val="bottom"/>
          </w:tcPr>
          <w:p>
            <w:pPr>
              <w:pStyle w:val="TableContents"/>
              <w:spacing w:before="0" w:after="283"/>
              <w:rPr/>
            </w:pPr>
            <w:r>
              <w:rPr/>
              <w:t> </w:t>
            </w:r>
          </w:p>
        </w:tc>
      </w:tr>
      <w:tr>
        <w:trPr/>
        <w:tc>
          <w:tcPr>
            <w:tcW w:w="814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double" w:sz="6" w:space="1" w:color="000000"/>
              </w:pBdr>
              <w:spacing w:before="0" w:after="0"/>
              <w:rPr/>
            </w:pPr>
            <w:r>
              <w:rPr/>
              <w:t> </w:t>
            </w:r>
          </w:p>
        </w:tc>
        <w:tc>
          <w:tcPr>
            <w:tcW w:w="1403" w:type="dxa"/>
            <w:tcBorders/>
            <w:shd w:fill="auto" w:val="clear"/>
            <w:vAlign w:val="bottom"/>
          </w:tcPr>
          <w:p>
            <w:pPr>
              <w:pStyle w:val="TableContents"/>
              <w:pBdr>
                <w:top w:val="double" w:sz="6"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8943"/>
        <w:gridCol w:w="145"/>
        <w:gridCol w:w="60"/>
        <w:gridCol w:w="995"/>
        <w:gridCol w:w="62"/>
      </w:tblGrid>
      <w:tr>
        <w:trPr/>
        <w:tc>
          <w:tcPr>
            <w:tcW w:w="89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u w:val="single"/>
              </w:rPr>
            </w:pPr>
            <w:r>
              <w:rPr>
                <w:rFonts w:ascii="Times New Roman" w:hAnsi="Times New Roman"/>
                <w:sz w:val="20"/>
                <w:u w:val="single"/>
              </w:rPr>
              <w:t>LIABILITIES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rHeight w:val="240" w:hRule="atLeast"/>
        </w:trPr>
        <w:tc>
          <w:tcPr>
            <w:tcW w:w="8943" w:type="dxa"/>
            <w:tcBorders/>
            <w:shd w:fill="auto" w:val="clear"/>
            <w:vAlign w:val="center"/>
          </w:tcPr>
          <w:p>
            <w:pPr>
              <w:pStyle w:val="TableContents"/>
              <w:spacing w:before="0" w:after="283"/>
              <w:rPr>
                <w:sz w:val="4"/>
                <w:szCs w:val="4"/>
              </w:rPr>
            </w:pPr>
            <w:r>
              <w:rPr>
                <w:sz w:val="4"/>
                <w:szCs w:val="4"/>
              </w:rPr>
            </w:r>
          </w:p>
        </w:tc>
        <w:tc>
          <w:tcPr>
            <w:tcW w:w="1262" w:type="dxa"/>
            <w:gridSpan w:val="4"/>
            <w:tcBorders/>
            <w:shd w:fill="auto" w:val="clear"/>
            <w:vAlign w:val="center"/>
          </w:tcPr>
          <w:p>
            <w:pPr>
              <w:pStyle w:val="TableContents"/>
              <w:spacing w:before="0" w:after="283"/>
              <w:rPr>
                <w:sz w:val="4"/>
                <w:szCs w:val="4"/>
              </w:rPr>
            </w:pPr>
            <w:r>
              <w:rPr>
                <w:sz w:val="4"/>
                <w:szCs w:val="4"/>
              </w:rPr>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Deposits:</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In domestic offices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949</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Noninterest-bearing</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949</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rHeight w:val="240" w:hRule="atLeast"/>
        </w:trPr>
        <w:tc>
          <w:tcPr>
            <w:tcW w:w="8943" w:type="dxa"/>
            <w:tcBorders/>
            <w:shd w:fill="auto" w:val="clear"/>
            <w:vAlign w:val="center"/>
          </w:tcPr>
          <w:p>
            <w:pPr>
              <w:pStyle w:val="TableContents"/>
              <w:spacing w:before="0" w:after="283"/>
              <w:rPr>
                <w:sz w:val="4"/>
                <w:szCs w:val="4"/>
              </w:rPr>
            </w:pPr>
            <w:r>
              <w:rPr>
                <w:sz w:val="4"/>
                <w:szCs w:val="4"/>
              </w:rPr>
            </w:r>
          </w:p>
        </w:tc>
        <w:tc>
          <w:tcPr>
            <w:tcW w:w="1262" w:type="dxa"/>
            <w:gridSpan w:val="4"/>
            <w:tcBorders/>
            <w:shd w:fill="auto" w:val="clear"/>
            <w:vAlign w:val="center"/>
          </w:tcPr>
          <w:p>
            <w:pPr>
              <w:pStyle w:val="TableContents"/>
              <w:spacing w:before="0" w:after="283"/>
              <w:rPr>
                <w:sz w:val="4"/>
                <w:szCs w:val="4"/>
              </w:rPr>
            </w:pPr>
            <w:r>
              <w:rPr>
                <w:sz w:val="4"/>
                <w:szCs w:val="4"/>
              </w:rPr>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Federal funds purchased and securities sold under agreements to repurchase:</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Federal funds purchased in domestic offices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Securities sold under agreements to repurchase</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Trading liabilities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Other borrowed money:</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(includes mortgage indebtedness and obligations under capitalized leases)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Not applicable</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Not applicable</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Subordinated notes and debentures</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268,722</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269,671</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Not applicable</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rHeight w:val="240" w:hRule="atLeast"/>
        </w:trPr>
        <w:tc>
          <w:tcPr>
            <w:tcW w:w="8943" w:type="dxa"/>
            <w:tcBorders/>
            <w:shd w:fill="auto" w:val="clear"/>
            <w:vAlign w:val="center"/>
          </w:tcPr>
          <w:p>
            <w:pPr>
              <w:pStyle w:val="TableContents"/>
              <w:spacing w:before="0" w:after="283"/>
              <w:rPr>
                <w:sz w:val="4"/>
                <w:szCs w:val="4"/>
              </w:rPr>
            </w:pPr>
            <w:r>
              <w:rPr>
                <w:sz w:val="4"/>
                <w:szCs w:val="4"/>
              </w:rPr>
            </w:r>
          </w:p>
        </w:tc>
        <w:tc>
          <w:tcPr>
            <w:tcW w:w="1262" w:type="dxa"/>
            <w:gridSpan w:val="4"/>
            <w:tcBorders/>
            <w:shd w:fill="auto" w:val="clear"/>
            <w:vAlign w:val="center"/>
          </w:tcPr>
          <w:p>
            <w:pPr>
              <w:pStyle w:val="TableContents"/>
              <w:spacing w:before="0" w:after="283"/>
              <w:rPr>
                <w:sz w:val="4"/>
                <w:szCs w:val="4"/>
              </w:rPr>
            </w:pPr>
            <w:r>
              <w:rPr>
                <w:sz w:val="4"/>
                <w:szCs w:val="4"/>
              </w:rPr>
            </w:r>
          </w:p>
        </w:tc>
      </w:tr>
      <w:tr>
        <w:trPr/>
        <w:tc>
          <w:tcPr>
            <w:tcW w:w="8943" w:type="dxa"/>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EQUITY CAPITAL</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8943" w:type="dxa"/>
            <w:tcBorders/>
            <w:shd w:fill="auto" w:val="clear"/>
            <w:vAlign w:val="center"/>
          </w:tcPr>
          <w:p>
            <w:pPr>
              <w:pStyle w:val="TableContents"/>
              <w:spacing w:before="0" w:after="283"/>
              <w:rPr>
                <w:sz w:val="4"/>
                <w:szCs w:val="4"/>
              </w:rPr>
            </w:pPr>
            <w:r>
              <w:rPr>
                <w:sz w:val="4"/>
                <w:szCs w:val="4"/>
              </w:rPr>
            </w:r>
          </w:p>
        </w:tc>
        <w:tc>
          <w:tcPr>
            <w:tcW w:w="1262" w:type="dxa"/>
            <w:gridSpan w:val="4"/>
            <w:tcBorders/>
            <w:shd w:fill="auto" w:val="clear"/>
            <w:vAlign w:val="center"/>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Perpetual preferred stock and related surplus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1,000</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Surplus (exclude all surplus related to preferred stock)</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324,606</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Not available</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Retained earnings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823,023</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other comprehensive income</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844</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Other equity capital components</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0</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Not available</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Total bank equity capital</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1,149,473</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Noncontrolling (minority) interests in consolidated subsidiaries</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0</w:t>
            </w:r>
          </w:p>
        </w:tc>
        <w:tc>
          <w:tcPr>
            <w:tcW w:w="62" w:type="dxa"/>
            <w:tcBorders/>
            <w:shd w:fill="auto" w:val="clear"/>
            <w:vAlign w:val="bottom"/>
          </w:tcPr>
          <w:p>
            <w:pPr>
              <w:pStyle w:val="TableContents"/>
              <w:spacing w:before="0" w:after="283"/>
              <w:rPr/>
            </w:pPr>
            <w:r>
              <w:rPr/>
              <w:t> </w:t>
            </w:r>
          </w:p>
        </w:tc>
      </w:tr>
      <w:tr>
        <w:trPr/>
        <w:tc>
          <w:tcPr>
            <w:tcW w:w="8943" w:type="dxa"/>
            <w:tcBorders/>
            <w:shd w:fill="CCEEFF" w:val="clear"/>
          </w:tcPr>
          <w:p>
            <w:pPr>
              <w:pStyle w:val="TableContents"/>
              <w:spacing w:before="0" w:after="0"/>
              <w:rPr>
                <w:rFonts w:ascii="Times New Roman" w:hAnsi="Times New Roman"/>
                <w:sz w:val="20"/>
              </w:rPr>
            </w:pPr>
            <w:r>
              <w:rPr>
                <w:rFonts w:ascii="Times New Roman" w:hAnsi="Times New Roman"/>
                <w:sz w:val="20"/>
              </w:rPr>
              <w:t>Total equity capital</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1,149,473</w:t>
            </w:r>
          </w:p>
        </w:tc>
        <w:tc>
          <w:tcPr>
            <w:tcW w:w="62" w:type="dxa"/>
            <w:tcBorders/>
            <w:shd w:fill="CCEEFF" w:val="clear"/>
            <w:vAlign w:val="bottom"/>
          </w:tcPr>
          <w:p>
            <w:pPr>
              <w:pStyle w:val="TableContents"/>
              <w:spacing w:before="0" w:after="283"/>
              <w:rPr/>
            </w:pPr>
            <w:r>
              <w:rPr/>
              <w:t> </w:t>
            </w:r>
          </w:p>
        </w:tc>
      </w:tr>
      <w:tr>
        <w:trPr/>
        <w:tc>
          <w:tcPr>
            <w:tcW w:w="894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5"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8943"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 and equity capital</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1,419,144</w:t>
            </w:r>
          </w:p>
        </w:tc>
        <w:tc>
          <w:tcPr>
            <w:tcW w:w="62" w:type="dxa"/>
            <w:tcBorders/>
            <w:shd w:fill="auto" w:val="clear"/>
            <w:vAlign w:val="bottom"/>
          </w:tcPr>
          <w:p>
            <w:pPr>
              <w:pStyle w:val="TableContents"/>
              <w:spacing w:before="0" w:after="283"/>
              <w:rPr/>
            </w:pPr>
            <w:r>
              <w:rPr/>
              <w:t> </w:t>
            </w:r>
          </w:p>
        </w:tc>
      </w:tr>
      <w:tr>
        <w:trPr/>
        <w:tc>
          <w:tcPr>
            <w:tcW w:w="894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 </w:t>
      </w:r>
    </w:p>
    <w:p>
      <w:pPr>
        <w:pStyle w:val="TextBody"/>
        <w:spacing w:before="240" w:after="0"/>
        <w:jc w:val="left"/>
        <w:rPr>
          <w:rFonts w:ascii="Times New Roman" w:hAnsi="Times New Roman"/>
          <w:sz w:val="20"/>
        </w:rPr>
      </w:pPr>
      <w:r>
        <w:rPr>
          <w:rFonts w:ascii="Times New Roman" w:hAnsi="Times New Roman"/>
          <w:sz w:val="20"/>
        </w:rPr>
        <w:t xml:space="preserve">Matthew J. McNulty     )        CFO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 </w:t>
      </w:r>
    </w:p>
    <w:p>
      <w:pPr>
        <w:pStyle w:val="TextBody"/>
        <w:spacing w:before="240" w:after="0"/>
        <w:jc w:val="left"/>
        <w:rPr>
          <w:rFonts w:ascii="Times New Roman" w:hAnsi="Times New Roman"/>
          <w:sz w:val="20"/>
        </w:rPr>
      </w:pPr>
      <w:r>
        <w:rPr>
          <w:rFonts w:ascii="Times New Roman" w:hAnsi="Times New Roman"/>
          <w:sz w:val="20"/>
        </w:rPr>
        <w:t xml:space="preserve">Antonio I. Portuondo, President                 ) </w:t>
      </w:r>
    </w:p>
    <w:p>
      <w:pPr>
        <w:pStyle w:val="TextBody"/>
        <w:spacing w:before="0" w:after="0"/>
        <w:jc w:val="left"/>
        <w:rPr>
          <w:rFonts w:ascii="Times New Roman" w:hAnsi="Times New Roman"/>
          <w:sz w:val="20"/>
        </w:rPr>
      </w:pPr>
      <w:r>
        <w:rPr>
          <w:rFonts w:ascii="Times New Roman" w:hAnsi="Times New Roman"/>
          <w:sz w:val="20"/>
        </w:rPr>
        <w:t xml:space="preserve">Michael P. Scott, Managing Director         )        Directors (Trustees) </w:t>
      </w:r>
    </w:p>
    <w:p>
      <w:pPr>
        <w:pStyle w:val="TextBody"/>
        <w:spacing w:before="0" w:after="0"/>
        <w:jc w:val="left"/>
        <w:rPr>
          <w:rFonts w:ascii="Times New Roman" w:hAnsi="Times New Roman"/>
          <w:sz w:val="20"/>
        </w:rPr>
      </w:pPr>
      <w:r>
        <w:rPr>
          <w:rFonts w:ascii="Times New Roman" w:hAnsi="Times New Roman"/>
          <w:sz w:val="20"/>
        </w:rPr>
        <w:t xml:space="preserve">Kevin P. Caffrey, Managing Director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6281/000000628120000156/adi-20201031.htm" TargetMode="External"/><Relationship Id="rId4" Type="http://schemas.openxmlformats.org/officeDocument/2006/relationships/hyperlink" Target="http://www.sec.gov/Archives/edgar/data/6281/000119312521014177/d885382ddef14a.htm" TargetMode="External"/><Relationship Id="rId5" Type="http://schemas.openxmlformats.org/officeDocument/2006/relationships/hyperlink" Target="http://www.sec.gov/Archives/edgar/data/0000006281/000000628121000022/adi-20210130.htm" TargetMode="External"/><Relationship Id="rId6" Type="http://schemas.openxmlformats.org/officeDocument/2006/relationships/hyperlink" Target="http://www.sec.gov/Archives/edgar/data/6281/000000628121000169/adi-20210501.htm" TargetMode="External"/><Relationship Id="rId7" Type="http://schemas.openxmlformats.org/officeDocument/2006/relationships/hyperlink" Target="http://www.sec.gov/Archives/edgar/data/6281/000000628121000197/adi-20210731.htm" TargetMode="External"/><Relationship Id="rId8" Type="http://schemas.openxmlformats.org/officeDocument/2006/relationships/hyperlink" Target="http://www.sec.gov/Archives/edgar/data/6281/000000628120000147/adi-20201106.htm" TargetMode="External"/><Relationship Id="rId9" Type="http://schemas.openxmlformats.org/officeDocument/2006/relationships/hyperlink" Target="http://www.sec.gov/Archives/edgar/data/6281/000119312520320093/d71361d8k.htm" TargetMode="External"/><Relationship Id="rId10" Type="http://schemas.openxmlformats.org/officeDocument/2006/relationships/hyperlink" Target="http://www.sec.gov/Archives/edgar/data/6281/000000628121000011/adi-20210121.htm" TargetMode="External"/><Relationship Id="rId11" Type="http://schemas.openxmlformats.org/officeDocument/2006/relationships/hyperlink" Target="http://www.sec.gov/Archives/edgar/data/0000006281/000000628121000020/adi-20210216.htm" TargetMode="External"/><Relationship Id="rId12" Type="http://schemas.openxmlformats.org/officeDocument/2006/relationships/hyperlink" Target="http://www.sec.gov/Archives/edgar/data/6281/000000628121000041/adi-20210310.htm" TargetMode="External"/><Relationship Id="rId13" Type="http://schemas.openxmlformats.org/officeDocument/2006/relationships/hyperlink" Target="http://www.sec.gov/Archives/edgar/data/6281/000119312521197254/d177040d8k.htm" TargetMode="External"/><Relationship Id="rId14" Type="http://schemas.openxmlformats.org/officeDocument/2006/relationships/hyperlink" Target="http://www.sec.gov/Archives/edgar/data/0000006281/000119312521253971/d395467d8k.htm" TargetMode="External"/><Relationship Id="rId15" Type="http://schemas.openxmlformats.org/officeDocument/2006/relationships/hyperlink" Target="http://www.sec.gov/Archives/edgar/data/6281/000119312521257596/d218368d8k.htm" TargetMode="External"/><Relationship Id="rId16" Type="http://schemas.openxmlformats.org/officeDocument/2006/relationships/hyperlink" Target="http://www.sec.gov/Archives/edgar/data/../../../ix?doc=/Archives/edgar/data/6281/000000628121000257/adi-20210826.htm" TargetMode="External"/><Relationship Id="rId17" Type="http://schemas.openxmlformats.org/officeDocument/2006/relationships/hyperlink" Target="http://www.sec.gov/Archives/edgar/data/6281/000000628121000238/adi-20210907.htm" TargetMode="External"/><Relationship Id="rId18" Type="http://schemas.openxmlformats.org/officeDocument/2006/relationships/hyperlink" Target="http://www.sec.gov/Archives/edgar/data/6281/000119312520192918/d934725dex21.htm" TargetMode="External"/><Relationship Id="rId19" Type="http://schemas.openxmlformats.org/officeDocument/2006/relationships/hyperlink" Target="http://www.sec.gov/Archives/edgar/data/6281/000095013508003842/b69749adexv3w1.htm" TargetMode="External"/><Relationship Id="rId20" Type="http://schemas.openxmlformats.org/officeDocument/2006/relationships/hyperlink" Target="http://www.sec.gov/Archives/edgar/data/6281/000095013508007881/b73171adexv3w1.htm" TargetMode="External"/><Relationship Id="rId21" Type="http://schemas.openxmlformats.org/officeDocument/2006/relationships/hyperlink" Target="http://www.sec.gov/Archives/edgar/data/6281/000000628118000132/exhibit31-restatedbylawsxf.htm" TargetMode="External"/><Relationship Id="rId22" Type="http://schemas.openxmlformats.org/officeDocument/2006/relationships/hyperlink" Target="http://www.sec.gov/Archives/edgar/data/6281/000119312513245264/d548763dex41.htm" TargetMode="External"/><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16319</Words>
  <CharactersWithSpaces>101389</CharactersWithSpaces>
  <Paragraphs>1300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EX-25.1</dc:title>
</cp:coreProperties>
</file>