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4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-645795</wp:posOffset>
            </wp:positionV>
            <wp:extent cx="59055" cy="6591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4135755</wp:posOffset>
            </wp:positionH>
            <wp:positionV relativeFrom="paragraph">
              <wp:posOffset>-645795</wp:posOffset>
            </wp:positionV>
            <wp:extent cx="59055" cy="6591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-1710055</wp:posOffset>
            </wp:positionH>
            <wp:positionV relativeFrom="paragraph">
              <wp:posOffset>19685</wp:posOffset>
            </wp:positionV>
            <wp:extent cx="7324090" cy="53225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322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Wynne Eileen</w:t>
        </w:r>
      </w:hyperlink>
    </w:p>
    <w:p>
      <w:pPr>
        <w:spacing w:after="0" w:line="32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P.O. BOX 9106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ANALOG DEVICES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ADI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03/12/2016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2" w:right="680" w:firstLine="2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tbl>
      <w:tblPr>
        <w:tblLayout w:type="fixed"/>
        <w:tblInd w:w="198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61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VP, Chief Accounting Officer</w:t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2" w:space="720"/>
            <w:col w:w="3478"/>
          </w:cols>
          <w:pgMar w:left="240" w:top="225" w:right="139" w:bottom="1440" w:gutter="0" w:footer="0" w:header="0"/>
          <w:type w:val="continuous"/>
        </w:sect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TECHNOLOGY WAY</w:t>
      </w: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60" w:type="dxa"/>
            <w:vAlign w:val="bottom"/>
            <w:gridSpan w:val="6"/>
          </w:tcPr>
          <w:p>
            <w:pPr>
              <w:jc w:val="center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NORWOOD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02062-9106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780" w:type="dxa"/>
            <w:vAlign w:val="bottom"/>
            <w:gridSpan w:val="5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03/12/2016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1,010</w:t>
            </w:r>
          </w:p>
        </w:tc>
        <w:tc>
          <w:tcPr>
            <w:tcW w:w="7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0.0000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1,077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03/14/2016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382</w:t>
            </w:r>
          </w:p>
        </w:tc>
        <w:tc>
          <w:tcPr>
            <w:tcW w:w="7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55.67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4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695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70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0"/>
          </w:tcPr>
          <w:p>
            <w:pPr>
              <w:jc w:val="center"/>
              <w:ind w:left="4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of 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03/12/2016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1,010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03/12/2016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</w:tcPr>
          <w:p>
            <w:pPr>
              <w:ind w:left="4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1,010</w:t>
            </w: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Stock-$.16-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0.0000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(RSU)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2/3 value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20" w:firstLine="6"/>
        <w:spacing w:after="0" w:line="265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granted to the reporting person on March 12, 2013 (the "Original Grant Date") vested 100% on the third anniversary of the Original Grant Date. Upon the vesting date, each vested RSU automatically converted into one (1) share of common stock of the Company.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Cynthia M. McMakin,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-8255</wp:posOffset>
            </wp:positionV>
            <wp:extent cx="98806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80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Associate General Counsel, by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03/15/2016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-12700</wp:posOffset>
            </wp:positionV>
            <wp:extent cx="19532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-12700</wp:posOffset>
            </wp:positionV>
            <wp:extent cx="8172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72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800" w:firstLine="6"/>
        <w:spacing w:after="0" w:line="318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75706" TargetMode="External"/><Relationship Id="rId13" Type="http://schemas.openxmlformats.org/officeDocument/2006/relationships/hyperlink" Target="http://www.sec.gov/cgi-bin/browse-edgar?action=getcompany&amp;CIK=00000062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2019-12-24T05:28:21Z</dcterms:created>
  <dcterms:modified xsi:type="dcterms:W3CDTF">2019-12-24T05:28:21Z</dcterms:modified>
</cp:coreProperties>
</file>