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768603.xml.htm"/>
      <w:bookmarkStart w:id="1" w:name="kswkform4_17757686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Puccio Richard C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2"/>
        <w:gridCol w:w="903"/>
        <w:gridCol w:w="772"/>
        <w:gridCol w:w="600"/>
        <w:gridCol w:w="349"/>
        <w:gridCol w:w="891"/>
        <w:gridCol w:w="457"/>
        <w:gridCol w:w="619"/>
        <w:gridCol w:w="1367"/>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6,513</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57,968.559</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granted to the Reporting Person on April 7, 2026 vest in equal installments on the first, second, third and fourth anniversaries of March 15, 2026. Upon each vesting date, each vested RSU shall automatically convert into one (1)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110"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3330</Characters>
  <CharactersWithSpaces>3890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