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24" w:type="dxa"/>
        <w:tblCellMar>
          <w:top w:w="0" w:type="dxa"/>
          <w:left w:w="0" w:type="dxa"/>
          <w:bottom w:w="0" w:type="dxa"/>
          <w:right w:w="0" w:type="dxa"/>
        </w:tblCellMar>
      </w:tblPr>
      <w:tr>
        <w:trPr>
          <w:trHeight w:val="214"/>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rPr>
              <w:t>1-7819</w:t>
            </w:r>
          </w:p>
        </w:tc>
      </w:tr>
      <w:tr>
        <w:trPr>
          <w:trHeight w:val="148"/>
        </w:trPr>
        <w:tc>
          <w:tcPr>
            <w:tcW w:w="4460" w:type="dxa"/>
            <w:vAlign w:val="bottom"/>
          </w:tcPr>
          <w:p>
            <w:pPr>
              <w:jc w:val="center"/>
              <w:ind w:right="1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69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No.)</w:t>
            </w:r>
          </w:p>
        </w:tc>
      </w:tr>
      <w:tr>
        <w:trPr>
          <w:trHeight w:val="190"/>
        </w:trPr>
        <w:tc>
          <w:tcPr>
            <w:tcW w:w="446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spacing w:after="0"/>
              <w:rPr>
                <w:sz w:val="16"/>
                <w:szCs w:val="16"/>
                <w:color w:val="auto"/>
              </w:rPr>
            </w:pPr>
          </w:p>
        </w:tc>
      </w:tr>
      <w:tr>
        <w:trPr>
          <w:trHeight w:val="444"/>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9"/>
              </w:rPr>
              <w:t>One Analog Way, Wilmington, MA</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8"/>
                <w:szCs w:val="18"/>
                <w:b w:val="1"/>
                <w:bCs w:val="1"/>
                <w:color w:val="auto"/>
                <w:w w:val="97"/>
              </w:rPr>
              <w:t>01887</w:t>
            </w:r>
          </w:p>
        </w:tc>
      </w:tr>
      <w:tr>
        <w:trPr>
          <w:trHeight w:val="190"/>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40" w:type="dxa"/>
            <w:vAlign w:val="bottom"/>
          </w:tcPr>
          <w:p>
            <w:pPr>
              <w:jc w:val="center"/>
              <w:ind w:left="169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8"/>
        </w:trPr>
        <w:tc>
          <w:tcPr>
            <w:tcW w:w="446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Janene Asgeirsson</w:t>
            </w:r>
          </w:p>
        </w:tc>
        <w:tc>
          <w:tcPr>
            <w:tcW w:w="3140" w:type="dxa"/>
            <w:vAlign w:val="bottom"/>
          </w:tcPr>
          <w:p>
            <w:pPr>
              <w:jc w:val="center"/>
              <w:ind w:left="1677"/>
              <w:spacing w:after="0"/>
              <w:rPr>
                <w:sz w:val="20"/>
                <w:szCs w:val="20"/>
                <w:color w:val="auto"/>
              </w:rPr>
            </w:pPr>
            <w:r>
              <w:rPr>
                <w:rFonts w:ascii="Times New Roman" w:cs="Times New Roman" w:eastAsia="Times New Roman" w:hAnsi="Times New Roman"/>
                <w:sz w:val="18"/>
                <w:szCs w:val="18"/>
                <w:b w:val="1"/>
                <w:bCs w:val="1"/>
                <w:color w:val="auto"/>
                <w:w w:val="99"/>
              </w:rPr>
              <w:t>781-329-4700</w:t>
            </w:r>
          </w:p>
        </w:tc>
      </w:tr>
    </w:tbl>
    <w:p>
      <w:pPr>
        <w:ind w:left="1404"/>
        <w:spacing w:after="0"/>
        <w:rPr>
          <w:sz w:val="20"/>
          <w:szCs w:val="20"/>
          <w:color w:val="auto"/>
        </w:rPr>
      </w:pPr>
      <w:r>
        <w:rPr>
          <w:rFonts w:ascii="Times New Roman" w:cs="Times New Roman" w:eastAsia="Times New Roman" w:hAnsi="Times New Roman"/>
          <w:sz w:val="14"/>
          <w:szCs w:val="14"/>
          <w:b w:val="1"/>
          <w:bCs w:val="1"/>
          <w:color w:val="auto"/>
        </w:rPr>
        <w:t>Chief Legal Officer and Corporate Secretary</w:t>
      </w:r>
    </w:p>
    <w:p>
      <w:pPr>
        <w:spacing w:after="0" w:line="186"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01 to December 31, 2021.</w:t>
      </w:r>
    </w:p>
    <w:p>
      <w:pPr>
        <w:spacing w:after="0" w:line="102" w:lineRule="exact"/>
        <w:rPr>
          <w:sz w:val="24"/>
          <w:szCs w:val="24"/>
          <w:color w:val="auto"/>
        </w:rPr>
      </w:pPr>
    </w:p>
    <w:p>
      <w:pPr>
        <w:ind w:left="4"/>
        <w:spacing w:after="0" w:line="207" w:lineRule="exact"/>
        <w:tabs>
          <w:tab w:leader="none" w:pos="404" w:val="left"/>
          <w:tab w:leader="none" w:pos="780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Rule 13q-1 under the Securities Exchange Act (17 CFR 240.13q-1) for the fiscal year ended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224155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Analog Devices, Inc. has filed a Conflict Minerals Report (the “Report”) as Exhibit 1.01 hereto. The Report is publicly available at www.analog.com under the heading “Investor Relations.” The content of any website referred to in this Form SD and/or the Report is included for general information only and is not incorporated by reference in this Form SD and/or the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w:t>
      </w:r>
      <w:r>
        <w:rPr>
          <w:rFonts w:ascii="Times New Roman" w:cs="Times New Roman" w:eastAsia="Times New Roman" w:hAnsi="Times New Roman"/>
          <w:sz w:val="18"/>
          <w:szCs w:val="18"/>
          <w:color w:val="auto"/>
        </w:rPr>
        <w:t xml:space="preserve"> as required by Items 1.01 and 1.02 of this Form.</w:t>
      </w:r>
    </w:p>
    <w:p>
      <w:pPr>
        <w:sectPr>
          <w:pgSz w:w="11900" w:h="16838" w:orient="portrait"/>
          <w:cols w:equalWidth="0" w:num="1">
            <w:col w:w="10740"/>
          </w:cols>
          <w:pgMar w:left="440" w:top="266"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57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Prashanth Mahendra-Rajah</w:t>
            </w:r>
          </w:p>
        </w:tc>
        <w:tc>
          <w:tcPr>
            <w:tcW w:w="5400" w:type="dxa"/>
            <w:vAlign w:val="bottom"/>
          </w:tcPr>
          <w:p>
            <w:pPr>
              <w:ind w:left="3860"/>
              <w:spacing w:after="0"/>
              <w:rPr>
                <w:sz w:val="20"/>
                <w:szCs w:val="20"/>
                <w:color w:val="auto"/>
              </w:rPr>
            </w:pPr>
            <w:r>
              <w:rPr>
                <w:rFonts w:ascii="Times New Roman" w:cs="Times New Roman" w:eastAsia="Times New Roman" w:hAnsi="Times New Roman"/>
                <w:sz w:val="18"/>
                <w:szCs w:val="18"/>
                <w:color w:val="auto"/>
                <w:w w:val="99"/>
              </w:rPr>
              <w:t>Dated: May 27, 2022</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Prashanth Mahendra-Rajah</w:t>
            </w:r>
          </w:p>
        </w:tc>
        <w:tc>
          <w:tcPr>
            <w:tcW w:w="5400" w:type="dxa"/>
            <w:vAlign w:val="bottom"/>
          </w:tcPr>
          <w:p>
            <w:pPr>
              <w:spacing w:after="0"/>
              <w:rPr>
                <w:sz w:val="16"/>
                <w:szCs w:val="16"/>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c>
          <w:tcPr>
            <w:tcW w:w="54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CONFLICT MINERALS REPORT OF ANALOG DEVICES, INC. IN ACCORDANCE WITH RULE 13P-1 UNDER THE SECURITIES EXCHANGE ACT OF 1934 (UNAUDITED)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Introduction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Analog Devices, Inc. (“Analog Devices”, “ADI”, “we”, “our”) for calendar year 2021 in accordance with Rule 13p-1 under the Securities Exchange Act of 1934 (“Rule 13p-1”). Numerous terms in this Report are defined in Rule 13p-1 and Form SD and the reader is referred to those sources for such definitions and explanations thereof.</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scope of this report applies to Integrated Circuit (ICs), Assembled Products, and certain Evaluation Boards (collectively, the “Products”). Such Products may contain tantalum, tin, tungsten and/or gold (collectively, “conflict minerals”) that are necessary to the functionality or production of products manufactured or contracted to be manufactured by Analog Devices. Based on the Reasonable Country of Origin Inquiry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to determine whether the necessary conflict minerals in the Products did originate or may have originated in the Covered Countries.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Analog Devices is many steps removed from the mining of the conflict minerals; we do not purchase raw ore or unrefined conflict minerals, and we do no purchasing in the Covered Countries. We either purchase conflict minerals indirectly from a smelter or refiner (SOR)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 SORs are consolidating points for raw ore and are therefore in the best position in the total supply chain to know the origin of the ores. Our due diligence measures were based on multi-industry initiatives with the SORs of conflict minerals who provide those conflict minerals to Analog Devices’ suppliers.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Company Overview</w:t>
      </w:r>
    </w:p>
    <w:p>
      <w:pPr>
        <w:spacing w:after="0" w:line="12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Analog Devices is a leading global high-performance semiconductor company dedicated to solving our customers’ most complex engineering challenges. We play a critical role at the intersection of the physical and digital world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ectPr>
          <w:pgSz w:w="11900" w:h="16838" w:orient="portrait"/>
          <w:cols w:equalWidth="0" w:num="1">
            <w:col w:w="11020"/>
          </w:cols>
          <w:pgMar w:left="440" w:top="117" w:right="439" w:bottom="1440" w:gutter="0" w:footer="0" w:header="0"/>
        </w:sectPr>
      </w:pPr>
    </w:p>
    <w:bookmarkStart w:id="4" w:name="page5"/>
    <w:bookmarkEnd w:id="4"/>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focus on key strategic markets such as industrial, automotive, consumer, and communications where our signal processing technology is often a critical differentiator in our customers’ products.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August 26, 2021, we completed the acquisition of Maxim Integrated Products, Inc. (Maxim Integrated), an independent manufacturer of innovative analog and mixed-signal products and technologies. The Maxim Integrated supply chain is included in this report. Certain aspects of our diligence process with regard to Maxim Integrated’s supply chain relied on information, processes, and scoping performed by Maxim Integrated prior to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Principal Products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design, manufacture, test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analog and mixed signal, power management, radio frequency and microwave, edge processors and other sensors, and devise a solution that more closely meet the needs of a specific customer or group of customers. Because we have already developed the core technology platform for our general-purpose products, we can create application-specific solutions quickly and efficiently.</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produce and market a broad range of ICs and operate in one reportable segment based on the aggregation of our operating segments. The ICs sold by each of our operating segments are manufactured using similar semiconductor processes, package manufacturing processes and raw materials in either our own production facilities or by third-party wafer fabricators and package manufacturers.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Conflict Minerals Policy</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Analog Devices has adopted a Conflict Minerals Policy. The ADI Conflict Minerals Policy is publicly available on our website (http://www.analog.com/media/en/Other/About-ADI/Sustainability/Analog_Devices_Conflict_Minerals_Policy_Statement.pdf) and is a key component of our conflict minerals program framework systems. This policy:</w:t>
      </w:r>
    </w:p>
    <w:p>
      <w:pPr>
        <w:spacing w:after="0" w:line="8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ADI’s commitment to ethical practices and compliance with applicable laws and regulations,</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ADI’s actions to collaborate with other concerned electronics companies, under the Responsible Minerals Initiative (RMI), in developing methods to track the origin of conflict minerals used in the manufacture of electronic products,</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ADI’s support of the Responsible Minerals Assurance Process (RMAP) in assessing activities, processes, and systems used by the SOR facility to conduct upstream supply chain due diligence of minerals for conflict-affected and high-risk areas,</w:t>
      </w:r>
    </w:p>
    <w:p>
      <w:pPr>
        <w:spacing w:after="0" w:line="67"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communicated to ADI’s supply chain with the expectation of compliance with the Conflict Minerals Policy, and for the suppliers to provide sourcing information using the RMI Conflict Minerals Reporting Template (RMI CMRT) as a standard,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email address (conflictminerals@analog.com) for any questions or feedback from the supply chain.</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Conflict Minerals Team</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 internal team is tasked to implement our Conflict Minerals Policy and oversee ADI’s conflict minerals program. The Director of Environmental, Health, &amp; Safety (EH&amp;S), who reports to the Senior Vice President of Global Operations and Technology, is the assigned team leader and is supported by representatives from different functional groups.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Team reports the program’s conformance status quarterly to the Senior Vice President of Global Operations and Technology.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Reasonable Country of Origin Inquiry (RCOI)</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Analog Devices engaged with our relevant suppliers to identify the SORs in our supply chain. We define relevant suppliers as those who supply materials to Analog Devices that are known to contain any or all of the conflict minerals and that end up in our final products, where such conflict minerals are necessary to the functionality and/or production of the products. We reach out to our relevant suppliers to request conflict minerals sourcing information using the RMI Conflict Minerals Reporting Template (RMI CMRT). Information provided by our relevant suppliers is reviewed for completeness and reasonableness, based on our knowledge of the supplier. If necessary, assessment reports were created to outline additional actions needed from suppliers regarding their submission, including but not limited to follow-up and escalation.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Due Diligence</w:t>
      </w:r>
    </w:p>
    <w:p>
      <w:pPr>
        <w:spacing w:after="0" w:line="135"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Analog Devices’ due diligence framework</w:t>
      </w:r>
    </w:p>
    <w:p>
      <w:pPr>
        <w:spacing w:after="0" w:line="117" w:lineRule="exact"/>
        <w:rPr>
          <w:rFonts w:ascii="Times New Roman" w:cs="Times New Roman" w:eastAsia="Times New Roman" w:hAnsi="Times New Roman"/>
          <w:sz w:val="18"/>
          <w:szCs w:val="18"/>
          <w:color w:val="auto"/>
        </w:rPr>
      </w:pPr>
    </w:p>
    <w:p>
      <w:pPr>
        <w:ind w:left="98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 Devices’ due diligence measures are designed to conform, in all material respects, with the internationally recognized due diligence framework in the OECD Due Diligence Guidance for Responsible Supply Chains of Minerals from Conflict-Affected and High-Risk Areas: Third Edition (OECD 2016) (“OECD Framework”), including related supplements for each of the conflict minerals.</w:t>
      </w:r>
    </w:p>
    <w:p>
      <w:pPr>
        <w:spacing w:after="0" w:line="81" w:lineRule="exact"/>
        <w:rPr>
          <w:rFonts w:ascii="Times New Roman" w:cs="Times New Roman" w:eastAsia="Times New Roman" w:hAnsi="Times New Roman"/>
          <w:sz w:val="18"/>
          <w:szCs w:val="18"/>
          <w:color w:val="auto"/>
        </w:rPr>
      </w:pPr>
    </w:p>
    <w:p>
      <w:pPr>
        <w:ind w:left="980" w:right="1520" w:hanging="552"/>
        <w:spacing w:after="0" w:line="383" w:lineRule="auto"/>
        <w:tabs>
          <w:tab w:leader="none" w:pos="9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Analog Devices’ due diligence measures performed with respect to products manufactured during 2021 Analog Devices’ due diligence measures performed with respect to products manufactured during 2021 included:</w:t>
      </w:r>
    </w:p>
    <w:p>
      <w:pPr>
        <w:spacing w:after="0" w:line="1" w:lineRule="exact"/>
        <w:rPr>
          <w:sz w:val="20"/>
          <w:szCs w:val="20"/>
          <w:color w:val="auto"/>
        </w:rPr>
      </w:pPr>
    </w:p>
    <w:p>
      <w:pPr>
        <w:ind w:left="9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Validating the SORs identified by relevant suppliers via the CMRT against the RMI’s complete database of Smelters and Refiners that have received “Conformant” status by participating in an independent third party SOR audit.</w:t>
      </w:r>
    </w:p>
    <w:p>
      <w:pPr>
        <w:spacing w:after="0" w:line="67"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more information on SORs that are not listed on the references mentioned above by working with the SOR directly, contacting the SOR indirectly through our suppliers, or conducting internet research. If the result of this data collection process indicates that the SOR is legitimately processing conflict minerals, we forward the SOR information to RMI for further research. If, however, the result reveals that the SOR is not legitimate, we work with our supplier to conduct additional research on the SOR and to obtain information indicating that it is legitimate, otherwise, remove the alleged SOR from the supplier CMRT.</w:t>
      </w:r>
    </w:p>
    <w:p>
      <w:pPr>
        <w:sectPr>
          <w:pgSz w:w="11900" w:h="16838" w:orient="portrait"/>
          <w:cols w:equalWidth="0" w:num="1">
            <w:col w:w="11020"/>
          </w:cols>
          <w:pgMar w:left="440" w:top="266" w:right="439" w:bottom="1440" w:gutter="0" w:footer="0" w:header="0"/>
        </w:sectPr>
      </w:pPr>
    </w:p>
    <w:bookmarkStart w:id="6" w:name="page7"/>
    <w:bookmarkEnd w:id="6"/>
    <w:p>
      <w:pPr>
        <w:ind w:left="960" w:right="50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Reaching out directly to SORs that are no longer certified as conformant by a recognized certification program to gather information regarding their plans of recertification, or lack thereof. If the SOR decided not to pursue recertification, we will ask our supplier to discontinue engagement with the SOR.</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out directly to the RMI to gather additional information regarding questionable SORs. These include but are not limited to SORs that have been on the Active list (i.e., SORs that have been in the audit process but have not completed it) for more than 6 months, SORs whose certification status have expired, or newly added SORs.</w:t>
      </w:r>
    </w:p>
    <w:p>
      <w:pPr>
        <w:spacing w:after="0" w:line="81"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our suppliers to strongly encourage SORs in our supply chain to participate in the RMAP or a similar program and to cease sourcing from SORs that decline to participate in a RMAP or similar program.</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out directly to SORs to encourage their participation in the RMAP or a similar program.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suppliers to ensure accuracy of information being passed down the supply chain.</w:t>
      </w:r>
    </w:p>
    <w:p>
      <w:pPr>
        <w:spacing w:after="0" w:line="130" w:lineRule="exact"/>
        <w:rPr>
          <w:rFonts w:ascii="Times New Roman" w:cs="Times New Roman" w:eastAsia="Times New Roman" w:hAnsi="Times New Roman"/>
          <w:sz w:val="18"/>
          <w:szCs w:val="18"/>
          <w:color w:val="auto"/>
        </w:rPr>
      </w:pPr>
    </w:p>
    <w:p>
      <w:pPr>
        <w:ind w:left="960" w:right="38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non-responsive suppliers to obtain a CMRT. Suppliers that failed to provide survey information were escalated to our Procurement Team and the supplier’s management. We will take measures up to and including termination of our relationship with the supplier, if warranted.</w:t>
      </w:r>
    </w:p>
    <w:p>
      <w:pPr>
        <w:spacing w:after="0" w:line="81" w:lineRule="exact"/>
        <w:rPr>
          <w:rFonts w:ascii="Times New Roman" w:cs="Times New Roman" w:eastAsia="Times New Roman" w:hAnsi="Times New Roman"/>
          <w:sz w:val="18"/>
          <w:szCs w:val="18"/>
          <w:color w:val="auto"/>
        </w:rPr>
      </w:pPr>
    </w:p>
    <w:p>
      <w:pPr>
        <w:ind w:left="960" w:right="7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capacity building efforts by educating new members of our Procurement Team and other departments engaged in implementing our due diligence measures.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scope of our responsible sourcing program by including other minerals and geographies in our conflict minerals supplier survey.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integrate Maxim Integrated’s products and supply chain into our due diligence framework.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Risk Management Plan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OECD guidelines for managing risk are largely directed towards the upstream portion of the supply chain (SORs and mines of origin). Nevertheless, ADI as a downstream company in the supply chain, participates in the RMAP under the RMI consortium to identify and review the due diligence process of the SORs in the supply chain. RMI assesses and audits whether the SORs adhere to the due diligence measures per the OECD Guidance; compliant SORs are then designated as “conformant” and listed as such on the RMI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 Mitigation process includes the following:</w:t>
      </w:r>
    </w:p>
    <w:p>
      <w:pPr>
        <w:spacing w:after="0" w:line="131" w:lineRule="exact"/>
        <w:rPr>
          <w:sz w:val="20"/>
          <w:szCs w:val="20"/>
          <w:color w:val="auto"/>
        </w:rPr>
      </w:pPr>
    </w:p>
    <w:p>
      <w:pPr>
        <w:ind w:left="96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supplier reports on the RMI Conflict Minerals Reporting Template or it is discovered that the SOR has used conflict minerals sourced from mines that support armed conflict in the Covered Countries, we will work with the SOR to obtain its agreement to take steps to rectify the situation, which includes implementing corrective actions to discontinue the use of non-DRC conflict free minerals in products supplied to ADI in an agreed upon timeframe. Should the SOR fail to mitigate the issue, ADI will discontinue engagement with the SOR.</w:t>
      </w:r>
    </w:p>
    <w:p>
      <w:pPr>
        <w:spacing w:after="0" w:line="88"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 will continue to work with suppliers and with RMI to encourage SORs that have not yet obtained the “conformant” designation to do so.</w:t>
      </w:r>
    </w:p>
    <w:p>
      <w:pPr>
        <w:sectPr>
          <w:pgSz w:w="11900" w:h="16838" w:orient="portrait"/>
          <w:cols w:equalWidth="0" w:num="1">
            <w:col w:w="11020"/>
          </w:cols>
          <w:pgMar w:left="440" w:top="270" w:right="43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SORs designated as conformant and suppliers which reported them relative to the total number of SORs and suppliers in the ADI supply chain, the number of SORs whose sources of minerals are undeterminable, and any supplier reporting the use of minerals sourced from conflict mines are reported to the Senior Vice President of Global Operations and Technology and staff members quarterly.</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responses from our suppliers listed 333 entities as SORs of conflict minerals in their supply chains. A recognized responsible minerals assurance process verified 230 of these entities as conformant. The following is a summary of the SORs used by our suppliers by mineral type:</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4260" w:type="dxa"/>
            <w:vAlign w:val="bottom"/>
          </w:tcPr>
          <w:p>
            <w:pPr>
              <w:spacing w:after="0"/>
              <w:rPr>
                <w:sz w:val="16"/>
                <w:szCs w:val="16"/>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Known SORs Used</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Conformant SORs</w:t>
            </w: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171</w:t>
            </w:r>
          </w:p>
        </w:tc>
        <w:tc>
          <w:tcPr>
            <w:tcW w:w="10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25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Other Matters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Based on the information provided by our suppliers through December 31, 2021, we believe that the facilities that may have been used to process conflict minerals in our products include the SORs listed in Annex I below.</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 armed group in the Covered Countries. Based on information provided by our suppliers and from the RCOI data from RMI, Analog Devices believes that the origin of the conflict minerals contained in our products may include the countries listed in Annex II below as well as recycled and scrap sources.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Analog Devices will undertake the following steps during the next compliance period to continue to improve the due diligence conducted and to further mitigate the risk that our necessary conflict minerals benefit armed groups:</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industry initiatives, such as the RMI. We participate actively in RMI Plenary sessions.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contact SORs identified as a result of the RCOI process and request their participation in obtaining a “conformant” designation from an industry program such as the RMAP program or equivalent, if they have not already done so.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our alternate sourcing strategy to transition out suppliers who fail to comply with our Conflict Minerals requirements.</w:t>
      </w:r>
    </w:p>
    <w:p>
      <w:pPr>
        <w:spacing w:after="0" w:line="130" w:lineRule="exact"/>
        <w:rPr>
          <w:rFonts w:ascii="Times New Roman" w:cs="Times New Roman" w:eastAsia="Times New Roman" w:hAnsi="Times New Roman"/>
          <w:sz w:val="18"/>
          <w:szCs w:val="18"/>
          <w:color w:val="auto"/>
        </w:rPr>
      </w:pPr>
    </w:p>
    <w:p>
      <w:pPr>
        <w:ind w:left="960" w:right="7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our Procurement Team by providing them with resources that will guide them in choosing the material suppliers containing any or all of the conflict minerals.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the use of an automated system for the Conflict Minerals program.</w:t>
      </w:r>
    </w:p>
    <w:p>
      <w:pPr>
        <w:sectPr>
          <w:pgSz w:w="11900" w:h="16838" w:orient="portrait"/>
          <w:cols w:equalWidth="0" w:num="1">
            <w:col w:w="11000"/>
          </w:cols>
          <w:pgMar w:left="440" w:top="270" w:right="45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report includes forward-looking statements, within the meaning of the Private Securities Litigation Reform Act of 1995, which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actions or performance. Analog Devices assumes no obligation to revise or update any forward-looking statements for any reason, except as required by law.</w:t>
      </w:r>
    </w:p>
    <w:p>
      <w:pPr>
        <w:sectPr>
          <w:pgSz w:w="11900" w:h="16838" w:orient="portrait"/>
          <w:cols w:equalWidth="0" w:num="1">
            <w:col w:w="10820"/>
          </w:cols>
          <w:pgMar w:left="440" w:top="270"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Gold</w:t>
            </w:r>
          </w:p>
        </w:tc>
        <w:tc>
          <w:tcPr>
            <w:tcW w:w="10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8853 S.p.A.*</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African Gold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Agosi AG*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Alexy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Argor-Heraeus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Asahi Pretec Corp.*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Asahi Refining USA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Asaka Riken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AU Traders and Refiners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Aurubis AG*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Bangalore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Boliden AB*</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 Hafner GmbH + Co. KG*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Caridad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Cendres + Metaux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CGR Metalloys Pvt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Chimet S.p.A.*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Chugai Mining*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Dowa*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DSC (Do Sung Corporation)*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Emirates Gold DMCC*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ZIMBABWE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Fujairah Gold FZC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bl>
    <w:p>
      <w:pPr>
        <w:sectPr>
          <w:pgSz w:w="11900" w:h="16838" w:orient="portrait"/>
          <w:cols w:equalWidth="0" w:num="1">
            <w:col w:w="11020"/>
          </w:cols>
          <w:pgMar w:left="440" w:top="266"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Gold</w:t>
            </w:r>
          </w:p>
        </w:tc>
        <w:tc>
          <w:tcPr>
            <w:tcW w:w="10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Geib Refining Corporation*</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Gold Coast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GHANA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Heimerle + Meule GmbH*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HwaSeong CJ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Istanbul Gold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Italpreziosi*</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JALAN &amp;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Japan Mint*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Jiangxi Copper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JSC Novosibirsk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JSC Uralelectromed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K.A. Rasmussen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Kaloti Precious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Kazakhmys Smelting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Kazzinc*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Kojima Chemicals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Korea Zinc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Kyrgyzaltyn JSC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KYRGYZSTAN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Lingbao Gold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L’Orfebre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LS-NIKKO Copper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LT Metal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020"/>
          </w:cols>
          <w:pgMar w:left="440" w:top="263"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Gold</w:t>
            </w:r>
          </w:p>
        </w:tc>
        <w:tc>
          <w:tcPr>
            <w:tcW w:w="10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Marsam Metals*</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Materion*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Matsuda Sangyo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MD Overseas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Metallix Refining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Metalor Technologies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MMTC-PAMP India Pvt.,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Modeltech Sdn Bhd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Morris and Watson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NH Recytech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Nihon Material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44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Krastsvetmet)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PAMP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Pease &amp; Curren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PX Precinox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QG Refining,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Rand Refinery (Pty)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REMONDIS PMR B.V.*</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Royal Canadian Mint*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SAAMP*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Sabin Metal Corp.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Safimet S.p.A*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SAFINA 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Sai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Samduck Precious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Samwon Metals Corp.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bl>
    <w:p>
      <w:pPr>
        <w:sectPr>
          <w:pgSz w:w="11900" w:h="16838" w:orient="portrait"/>
          <w:cols w:equalWidth="0" w:num="1">
            <w:col w:w="11020"/>
          </w:cols>
          <w:pgMar w:left="440" w:top="263"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Gold</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Sancus ZFS (L’Orfebre, SA)**</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Sellem Industries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MAURITANIA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Sovereign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44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Sudan Gold Refinery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SungEel HiMetal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T.C.A S.p.A*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Tokuriki Honten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TOO Tau-Ken-Altyn*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Torecom*</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Valcambi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Value Trading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WEEEREFINING**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Yamakin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Yokohama Metal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AMG Brasil*</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 Block Metals,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bl>
    <w:p>
      <w:pPr>
        <w:sectPr>
          <w:pgSz w:w="11900" w:h="16838" w:orient="portrait"/>
          <w:cols w:equalWidth="0" w:num="1">
            <w:col w:w="11020"/>
          </w:cols>
          <w:pgMar w:left="440" w:top="263"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2"/>
              </w:rPr>
              <w:t>Tantalum</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H.C. Starck Hermsdorf GmbH*</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H.C. Starck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Jiujiang Tanbre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KEMET de Mexico*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Mineracao Taboca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NPM Silmet 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QuantumClean*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Taki Chemical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TANIOBIS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TANIOBIS GmbH*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TANIOBIS Japan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Telex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Alpha*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China Tin Group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44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CRM Synergies*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CV Venus Inti Perkasa**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Dowa*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44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Joint Stock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EM Vinto*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Estanho de Rondonia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Fenix Metals*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bl>
    <w:p>
      <w:pPr>
        <w:sectPr>
          <w:pgSz w:w="11900" w:h="16838" w:orient="portrait"/>
          <w:cols w:equalWidth="0" w:num="1">
            <w:col w:w="11020"/>
          </w:cols>
          <w:pgMar w:left="440" w:top="263" w:right="4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Tin</w:t>
            </w:r>
          </w:p>
        </w:tc>
        <w:tc>
          <w:tcPr>
            <w:tcW w:w="102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Luna Smelter,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Melt Metais e Ligas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Metallic Resources,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Metallo Belgium N.V.*</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Metallo Spain S.L.U.*</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Mineracao Taboca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Minsur*</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Modeltech Sdn Bhd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Novosibirsk Tin Combine*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Artha Cipta Langgeng*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Babel Inti Perkasa*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Bangka Serumpun*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Bukit Timah*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Cipta Persada Mulia*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Menara Cipta Mulia*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Mitra Stania Prima*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Panca Mega Persada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Prima Timah Utama*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Refined Bangka Tin*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1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bl>
    <w:p>
      <w:pPr>
        <w:sectPr>
          <w:pgSz w:w="11900" w:h="16838" w:orient="portrait"/>
          <w:cols w:equalWidth="0" w:num="1">
            <w:col w:w="11020"/>
          </w:cols>
          <w:pgMar w:left="440" w:top="263"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Tin</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PT Sukses Inti Makmur**</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PT Timah Nusantara**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PT Timah Tbk Kundur*</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PT Timah Tbk Mentok*</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PT Tinindo Inter Nusa*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PT Tirus Putra Mandiri</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PT Tommy Utama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Rui Da Hung*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Soft Metais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Super Ligas**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Thaisarco*</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A.L.M.T. Corp.*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ACL Metais Eireli*</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Artek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CNMC (Guangxi) PGMA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Cronimet Brasil Ltda*</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H.C. Starck Tungsten GmbH*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4400" w:type="dxa"/>
            <w:vAlign w:val="bottom"/>
          </w:tcPr>
          <w:p>
            <w:pPr>
              <w:spacing w:after="0"/>
              <w:rPr>
                <w:sz w:val="18"/>
                <w:szCs w:val="18"/>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44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 Branch*</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Hydrometallurg, JSC*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Japan New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bl>
    <w:p>
      <w:pPr>
        <w:sectPr>
          <w:pgSz w:w="11900" w:h="16838" w:orient="portrait"/>
          <w:cols w:equalWidth="0" w:num="1">
            <w:col w:w="11020"/>
          </w:cols>
          <w:pgMar w:left="440" w:top="263"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4"/>
              </w:rPr>
              <w:t>Tungsten</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9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Jiangxi Gan Bei Tungsten Co., Ltd.*</w:t>
            </w:r>
          </w:p>
        </w:tc>
        <w:tc>
          <w:tcPr>
            <w:tcW w:w="120" w:type="dxa"/>
            <w:vAlign w:val="bottom"/>
          </w:tcPr>
          <w:p>
            <w:pPr>
              <w:spacing w:after="0"/>
              <w:rPr>
                <w:sz w:val="16"/>
                <w:szCs w:val="16"/>
                <w:color w:val="auto"/>
              </w:rPr>
            </w:pPr>
          </w:p>
        </w:tc>
        <w:tc>
          <w:tcPr>
            <w:tcW w:w="4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Kennametal Fallon*</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Kennametal Huntsville*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KGETS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Lianyou Metals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Moliren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Niagara Refining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NPP Tyazhmetprom LLC**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OOO “Technolom” 1**</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OOO “Technolom” 2**</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Xiamen Tungsten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55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225" w:lineRule="exact"/>
        <w:rPr>
          <w:sz w:val="20"/>
          <w:szCs w:val="20"/>
          <w:color w:val="auto"/>
        </w:rPr>
      </w:pPr>
    </w:p>
    <w:p>
      <w:pPr>
        <w:ind w:left="4" w:right="4120" w:hanging="4"/>
        <w:spacing w:after="0" w:line="312" w:lineRule="auto"/>
        <w:tabs>
          <w:tab w:leader="none" w:pos="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Smelter name included in the RMAP Conformant Smelters and Refiners as of May 10, 2022. ** Smelter name included in the RMI Active Smelters and Refiners List as of May 10, 2022.</w:t>
      </w:r>
    </w:p>
    <w:p>
      <w:pPr>
        <w:sectPr>
          <w:pgSz w:w="11900" w:h="16838" w:orient="portrait"/>
          <w:cols w:equalWidth="0" w:num="1">
            <w:col w:w="11024"/>
          </w:cols>
          <w:pgMar w:left="436" w:top="263"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ectPr>
          <w:pgSz w:w="11900" w:h="16838" w:orient="portrait"/>
          <w:cols w:equalWidth="0" w:num="1">
            <w:col w:w="10019"/>
          </w:cols>
          <w:pgMar w:left="440" w:top="266" w:right="1440"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Algeria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Antigua and Barbuda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Armenia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Azerbaijan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Bahamas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Bangladesh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Barbados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Bolivia (Plurinational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Botswana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Bulgaria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Burkina Faso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Burundi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Congo, Democratic Republic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Côte d’Ivoire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Croatia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Cyprus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Czechia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Dominican 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Ecuador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Salvador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Eritrea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Ethiopia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Fiji</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French Guiana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Guatemala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Guernsey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Honduras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Jamaica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Krygyzstan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Lao People’s Democratic Republic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Latvia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Lebanon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Liechtenstein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Lithuania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Madagascar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w:t>
      </w:r>
    </w:p>
    <w:p>
      <w:pPr>
        <w:sectPr>
          <w:pgSz w:w="11900" w:h="16838" w:orient="portrait"/>
          <w:cols w:equalWidth="0" w:num="2">
            <w:col w:w="5020" w:space="720"/>
            <w:col w:w="4279"/>
          </w:cols>
          <w:pgMar w:left="440" w:top="266"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Mauritania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Mongolia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Mozambique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Namibia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Nicaragua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Panama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Papua New Guinea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Portugal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Qatar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Russian Federation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Kitts and Nevis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Marino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Sierra Leone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Sint Maarten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-213360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Vincent and Grenadines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Suriname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Swaziland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Trinidad and Tobago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Tunisia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Turks and Caicos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of Great Britain and Northern Ireland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Uzbekistan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Venezuela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Zimbabwe</w:t>
      </w:r>
    </w:p>
    <w:sectPr>
      <w:pgSz w:w="11900" w:h="16838" w:orient="portrait"/>
      <w:cols w:equalWidth="0" w:num="2">
        <w:col w:w="5020" w:space="720"/>
        <w:col w:w="427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2022-05-27T06:32:35Z</dcterms:created>
  <dcterms:modified xsi:type="dcterms:W3CDTF">2022-05-27T06:32:35Z</dcterms:modified>
</cp:coreProperties>
</file>