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45"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February 16, 2021</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93"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1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1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spacing w:after="0" w:line="177"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One Analog Way</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Wilmington, MA</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sectPr>
          <w:pgSz w:w="11900" w:h="16838" w:orient="portrait"/>
          <w:cols w:equalWidth="0" w:num="3">
            <w:col w:w="1940" w:space="340"/>
            <w:col w:w="4860" w:space="720"/>
            <w:col w:w="3380"/>
          </w:cols>
          <w:pgMar w:left="320" w:top="1029"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108" w:lineRule="exact"/>
        <w:rPr>
          <w:sz w:val="24"/>
          <w:szCs w:val="24"/>
          <w:color w:val="auto"/>
        </w:rPr>
      </w:pPr>
    </w:p>
    <w:p>
      <w:pPr>
        <w:sectPr>
          <w:pgSz w:w="11900" w:h="16838" w:orient="portrait"/>
          <w:cols w:equalWidth="0" w:num="2">
            <w:col w:w="6980" w:space="720"/>
            <w:col w:w="354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329-4700</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3"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Written communications pursuant to Rule 425 under the Securities Act (17 CFR 230.425)</w:t>
      </w:r>
    </w:p>
    <w:p>
      <w:pPr>
        <w:spacing w:after="0" w:line="32"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Soliciting material pursuant to Rule 14a-12 under the Exchange Act (17 CFR 240.14a-12)</w:t>
      </w: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14d-2(b) under the Exchange Act (17 CFR 240.14d-2(b))</w:t>
      </w:r>
    </w:p>
    <w:p>
      <w:pPr>
        <w:spacing w:after="0" w:line="47" w:lineRule="exact"/>
        <w:rPr>
          <w:sz w:val="24"/>
          <w:szCs w:val="24"/>
          <w:color w:val="auto"/>
        </w:rPr>
      </w:pPr>
    </w:p>
    <w:p>
      <w:pPr>
        <w:spacing w:after="0" w:line="242" w:lineRule="exact"/>
        <w:tabs>
          <w:tab w:leader="none" w:pos="360" w:val="left"/>
        </w:tabs>
        <w:rPr>
          <w:sz w:val="20"/>
          <w:szCs w:val="20"/>
          <w:color w:val="auto"/>
        </w:rPr>
      </w:pPr>
      <w:r>
        <w:rPr>
          <w:rFonts w:ascii="MS PGothic" w:cs="MS PGothic" w:eastAsia="MS PGothic" w:hAnsi="MS PGothic"/>
          <w:sz w:val="21"/>
          <w:szCs w:val="21"/>
          <w:color w:val="auto"/>
        </w:rPr>
        <w:t>☐</w:t>
      </w:r>
      <w:r>
        <w:rPr>
          <w:sz w:val="20"/>
          <w:szCs w:val="20"/>
          <w:color w:val="auto"/>
        </w:rPr>
        <w:tab/>
      </w:r>
      <w:r>
        <w:rPr>
          <w:rFonts w:ascii="Times New Roman" w:cs="Times New Roman" w:eastAsia="Times New Roman" w:hAnsi="Times New Roman"/>
          <w:sz w:val="17"/>
          <w:szCs w:val="17"/>
          <w:color w:val="auto"/>
        </w:rPr>
        <w:t>Pre-commencement communications pursuant to Rule 13e-4(c) under the Exchange Act (17 CFR 240.13e-4(c))</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6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468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2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100" w:type="dxa"/>
            <w:vAlign w:val="bottom"/>
          </w:tcPr>
          <w:p>
            <w:pPr>
              <w:jc w:val="center"/>
              <w:ind w:left="830"/>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25"/>
        </w:trPr>
        <w:tc>
          <w:tcPr>
            <w:tcW w:w="4680" w:type="dxa"/>
            <w:vAlign w:val="bottom"/>
            <w:vMerge w:val="continue"/>
          </w:tcPr>
          <w:p>
            <w:pPr>
              <w:spacing w:after="0"/>
              <w:rPr>
                <w:sz w:val="19"/>
                <w:szCs w:val="19"/>
                <w:color w:val="auto"/>
              </w:rPr>
            </w:pPr>
          </w:p>
        </w:tc>
        <w:tc>
          <w:tcPr>
            <w:tcW w:w="2260" w:type="dxa"/>
            <w:vAlign w:val="bottom"/>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3100" w:type="dxa"/>
            <w:vAlign w:val="bottom"/>
          </w:tcPr>
          <w:p>
            <w:pPr>
              <w:jc w:val="center"/>
              <w:ind w:left="870"/>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34"/>
        </w:trPr>
        <w:tc>
          <w:tcPr>
            <w:tcW w:w="468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2260" w:type="dxa"/>
            <w:vAlign w:val="bottom"/>
          </w:tcPr>
          <w:p>
            <w:pPr>
              <w:jc w:val="center"/>
              <w:ind w:right="370"/>
              <w:spacing w:after="0"/>
              <w:rPr>
                <w:sz w:val="20"/>
                <w:szCs w:val="20"/>
                <w:color w:val="auto"/>
              </w:rPr>
            </w:pPr>
            <w:r>
              <w:rPr>
                <w:rFonts w:ascii="Times New Roman" w:cs="Times New Roman" w:eastAsia="Times New Roman" w:hAnsi="Times New Roman"/>
                <w:sz w:val="18"/>
                <w:szCs w:val="18"/>
                <w:color w:val="auto"/>
                <w:w w:val="99"/>
              </w:rPr>
              <w:t>ADI</w:t>
            </w:r>
          </w:p>
        </w:tc>
        <w:tc>
          <w:tcPr>
            <w:tcW w:w="310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33"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-2540</wp:posOffset>
            </wp:positionV>
            <wp:extent cx="7020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25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94"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On February 17, 2021, Analog Devices, Inc. (the “Registrant”) announced its financial results for its fiscal first quarter ended January 30, 2021. The full text of the press release issued by the Registrant concerning the foregoing results is furnished herewith as Exhibit 99.2.</w:t>
      </w:r>
    </w:p>
    <w:p>
      <w:pPr>
        <w:spacing w:after="0" w:line="40" w:lineRule="exact"/>
        <w:rPr>
          <w:sz w:val="20"/>
          <w:szCs w:val="20"/>
          <w:color w:val="auto"/>
        </w:rPr>
      </w:pPr>
    </w:p>
    <w:p>
      <w:pPr>
        <w:ind w:right="120" w:firstLine="405"/>
        <w:spacing w:after="0" w:line="258" w:lineRule="auto"/>
        <w:rPr>
          <w:sz w:val="20"/>
          <w:szCs w:val="20"/>
          <w:color w:val="auto"/>
        </w:rPr>
      </w:pPr>
      <w:r>
        <w:rPr>
          <w:rFonts w:ascii="Times New Roman" w:cs="Times New Roman" w:eastAsia="Times New Roman" w:hAnsi="Times New Roman"/>
          <w:sz w:val="18"/>
          <w:szCs w:val="18"/>
          <w:color w:val="auto"/>
        </w:rPr>
        <w:t>The information contained herein and in the accompanying exhibit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the exhibit hereto, shall not be deemed to be “filed” for purposes of Section 18 of the Securities Exchange Act of 1934, as amended, or otherwise subject to the liabilities of that section or Sections 11 and 12(a)(2) of the Securities Act of 1933, as amended.</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08" w:lineRule="exact"/>
        <w:rPr>
          <w:sz w:val="20"/>
          <w:szCs w:val="20"/>
          <w:color w:val="auto"/>
        </w:rPr>
      </w:pPr>
    </w:p>
    <w:p>
      <w:pPr>
        <w:ind w:firstLine="405"/>
        <w:spacing w:after="0" w:line="261" w:lineRule="auto"/>
        <w:rPr>
          <w:sz w:val="20"/>
          <w:szCs w:val="20"/>
          <w:color w:val="auto"/>
        </w:rPr>
      </w:pPr>
      <w:r>
        <w:rPr>
          <w:rFonts w:ascii="Times New Roman" w:cs="Times New Roman" w:eastAsia="Times New Roman" w:hAnsi="Times New Roman"/>
          <w:sz w:val="18"/>
          <w:szCs w:val="18"/>
          <w:color w:val="auto"/>
        </w:rPr>
        <w:t>On February 16, 2021, the Registrant announced that its Board of Directors declared a quarterly cash dividend of $0.69 per outstanding share of common stock, an increase from the previously paid dividend of $0.62 per outstanding share of common stock. The dividend will be paid on March 9, 2021 to all shareholders of record at the close of business on February 26, 2021. A copy of the Registrant's press release is attached as Exhibit 99.1 to this Current Report on Form 8-K and is incorporated herein by reference.</w:t>
      </w:r>
    </w:p>
    <w:p>
      <w:pPr>
        <w:spacing w:after="0" w:line="378"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60" w:type="dxa"/>
            <w:vAlign w:val="bottom"/>
            <w:gridSpan w:val="3"/>
          </w:tcPr>
          <w:p>
            <w:pPr>
              <w:jc w:val="center"/>
              <w:ind w:right="660"/>
              <w:spacing w:after="0"/>
              <w:rPr>
                <w:sz w:val="20"/>
                <w:szCs w:val="20"/>
                <w:color w:val="auto"/>
              </w:rPr>
            </w:pPr>
            <w:r>
              <w:rPr>
                <w:rFonts w:ascii="Times New Roman" w:cs="Times New Roman" w:eastAsia="Times New Roman" w:hAnsi="Times New Roman"/>
                <w:sz w:val="18"/>
                <w:szCs w:val="18"/>
                <w:color w:val="auto"/>
              </w:rPr>
              <w:t>(d) Exhibits</w:t>
            </w: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60" w:type="dxa"/>
            <w:vAlign w:val="bottom"/>
          </w:tcPr>
          <w:p>
            <w:pPr>
              <w:spacing w:after="0"/>
              <w:rPr>
                <w:sz w:val="20"/>
                <w:szCs w:val="20"/>
                <w:color w:val="auto"/>
              </w:rPr>
            </w:pPr>
          </w:p>
        </w:tc>
      </w:tr>
      <w:tr>
        <w:trPr>
          <w:trHeight w:val="310"/>
        </w:trPr>
        <w:tc>
          <w:tcPr>
            <w:tcW w:w="1560" w:type="dxa"/>
            <w:vAlign w:val="bottom"/>
            <w:gridSpan w:val="3"/>
          </w:tcPr>
          <w:p>
            <w:pPr>
              <w:jc w:val="center"/>
              <w:ind w:right="640"/>
              <w:spacing w:after="0"/>
              <w:rPr>
                <w:sz w:val="20"/>
                <w:szCs w:val="20"/>
                <w:color w:val="auto"/>
              </w:rPr>
            </w:pPr>
            <w:r>
              <w:rPr>
                <w:rFonts w:ascii="Times New Roman" w:cs="Times New Roman" w:eastAsia="Times New Roman" w:hAnsi="Times New Roman"/>
                <w:sz w:val="18"/>
                <w:szCs w:val="18"/>
                <w:color w:val="auto"/>
                <w:w w:val="99"/>
              </w:rPr>
              <w:t>Exhibit No.</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r>
      <w:tr>
        <w:trPr>
          <w:trHeight w:val="475"/>
        </w:trPr>
        <w:tc>
          <w:tcPr>
            <w:tcW w:w="40" w:type="dxa"/>
            <w:vAlign w:val="bottom"/>
          </w:tcPr>
          <w:p>
            <w:pPr>
              <w:spacing w:after="0"/>
              <w:rPr>
                <w:sz w:val="24"/>
                <w:szCs w:val="24"/>
                <w:color w:val="auto"/>
              </w:rPr>
            </w:pP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99.1</w:t>
            </w:r>
          </w:p>
        </w:tc>
        <w:tc>
          <w:tcPr>
            <w:tcW w:w="9640" w:type="dxa"/>
            <w:vAlign w:val="bottom"/>
            <w:gridSpan w:val="3"/>
          </w:tcPr>
          <w:p>
            <w:pPr>
              <w:ind w:left="340"/>
              <w:spacing w:after="0"/>
              <w:rPr>
                <w:rFonts w:ascii="Times New Roman" w:cs="Times New Roman" w:eastAsia="Times New Roman" w:hAnsi="Times New Roman"/>
                <w:sz w:val="18"/>
                <w:szCs w:val="18"/>
                <w:color w:val="0000FF"/>
              </w:rPr>
            </w:pPr>
            <w:hyperlink w:anchor="page4">
              <w:r>
                <w:rPr>
                  <w:rFonts w:ascii="Times New Roman" w:cs="Times New Roman" w:eastAsia="Times New Roman" w:hAnsi="Times New Roman"/>
                  <w:sz w:val="18"/>
                  <w:szCs w:val="18"/>
                  <w:u w:val="single" w:color="auto"/>
                  <w:color w:val="0000FF"/>
                </w:rPr>
                <w:t>Press releas</w:t>
              </w:r>
              <w:r>
                <w:rPr>
                  <w:rFonts w:ascii="Times New Roman" w:cs="Times New Roman" w:eastAsia="Times New Roman" w:hAnsi="Times New Roman"/>
                  <w:sz w:val="18"/>
                  <w:szCs w:val="18"/>
                  <w:u w:val="single" w:color="auto"/>
                  <w:color w:val="000000"/>
                </w:rPr>
                <w:t>e</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dated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February 16, 2021</w:t>
            </w:r>
          </w:p>
        </w:tc>
      </w:tr>
      <w:tr>
        <w:trPr>
          <w:trHeight w:val="229"/>
        </w:trPr>
        <w:tc>
          <w:tcPr>
            <w:tcW w:w="156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color w:val="auto"/>
              </w:rPr>
              <w:t>99.2</w:t>
            </w:r>
          </w:p>
        </w:tc>
        <w:tc>
          <w:tcPr>
            <w:tcW w:w="9640" w:type="dxa"/>
            <w:vAlign w:val="bottom"/>
            <w:gridSpan w:val="3"/>
          </w:tcPr>
          <w:p>
            <w:pPr>
              <w:ind w:left="340"/>
              <w:spacing w:after="0"/>
              <w:rPr>
                <w:rFonts w:ascii="Times New Roman" w:cs="Times New Roman" w:eastAsia="Times New Roman" w:hAnsi="Times New Roman"/>
                <w:sz w:val="18"/>
                <w:szCs w:val="18"/>
                <w:color w:val="0000FF"/>
              </w:rPr>
            </w:pPr>
            <w:hyperlink w:anchor="page5">
              <w:r>
                <w:rPr>
                  <w:rFonts w:ascii="Times New Roman" w:cs="Times New Roman" w:eastAsia="Times New Roman" w:hAnsi="Times New Roman"/>
                  <w:sz w:val="18"/>
                  <w:szCs w:val="18"/>
                  <w:u w:val="single" w:color="auto"/>
                  <w:color w:val="0000FF"/>
                </w:rPr>
                <w:t>Press release</w:t>
              </w:r>
              <w:r>
                <w:rPr>
                  <w:rFonts w:ascii="Times New Roman" w:cs="Times New Roman" w:eastAsia="Times New Roman" w:hAnsi="Times New Roman"/>
                  <w:sz w:val="18"/>
                  <w:szCs w:val="18"/>
                  <w:color w:val="0000FF"/>
                </w:rPr>
                <w:t xml:space="preserve"> </w:t>
              </w:r>
            </w:hyperlink>
            <w:r>
              <w:rPr>
                <w:rFonts w:ascii="Times New Roman" w:cs="Times New Roman" w:eastAsia="Times New Roman" w:hAnsi="Times New Roman"/>
                <w:sz w:val="18"/>
                <w:szCs w:val="18"/>
                <w:color w:val="000000"/>
              </w:rPr>
              <w:t>dated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February 17, 2021</w:t>
            </w:r>
          </w:p>
        </w:tc>
      </w:tr>
      <w:tr>
        <w:trPr>
          <w:trHeight w:val="180"/>
        </w:trPr>
        <w:tc>
          <w:tcPr>
            <w:tcW w:w="40" w:type="dxa"/>
            <w:vAlign w:val="bottom"/>
          </w:tcPr>
          <w:p>
            <w:pPr>
              <w:spacing w:after="0"/>
              <w:rPr>
                <w:sz w:val="15"/>
                <w:szCs w:val="15"/>
                <w:color w:val="auto"/>
              </w:rPr>
            </w:pPr>
          </w:p>
        </w:tc>
        <w:tc>
          <w:tcPr>
            <w:tcW w:w="1520" w:type="dxa"/>
            <w:vAlign w:val="bottom"/>
            <w:gridSpan w:val="2"/>
          </w:tcPr>
          <w:p>
            <w:pPr>
              <w:jc w:val="center"/>
              <w:ind w:left="30"/>
              <w:spacing w:after="0" w:line="181" w:lineRule="exact"/>
              <w:rPr>
                <w:sz w:val="20"/>
                <w:szCs w:val="20"/>
                <w:color w:val="auto"/>
              </w:rPr>
            </w:pPr>
            <w:r>
              <w:rPr>
                <w:rFonts w:ascii="Times New Roman" w:cs="Times New Roman" w:eastAsia="Times New Roman" w:hAnsi="Times New Roman"/>
                <w:sz w:val="18"/>
                <w:szCs w:val="18"/>
                <w:color w:val="auto"/>
                <w:w w:val="99"/>
              </w:rPr>
              <w:t>101.INS</w:t>
            </w:r>
          </w:p>
        </w:tc>
        <w:tc>
          <w:tcPr>
            <w:tcW w:w="9640" w:type="dxa"/>
            <w:vAlign w:val="bottom"/>
            <w:gridSpan w:val="3"/>
          </w:tcPr>
          <w:p>
            <w:pPr>
              <w:ind w:left="340"/>
              <w:spacing w:after="0" w:line="181" w:lineRule="exact"/>
              <w:rPr>
                <w:sz w:val="20"/>
                <w:szCs w:val="20"/>
                <w:color w:val="auto"/>
              </w:rPr>
            </w:pPr>
            <w:r>
              <w:rPr>
                <w:rFonts w:ascii="Times New Roman" w:cs="Times New Roman" w:eastAsia="Times New Roman" w:hAnsi="Times New Roman"/>
                <w:sz w:val="18"/>
                <w:szCs w:val="18"/>
                <w:color w:val="auto"/>
                <w:w w:val="99"/>
              </w:rPr>
              <w:t>The instance document does not appear in the Interactive Data File because its XBRL tags are embedded within the inline XBRL</w:t>
            </w:r>
          </w:p>
        </w:tc>
      </w:tr>
      <w:tr>
        <w:trPr>
          <w:trHeight w:val="225"/>
        </w:trPr>
        <w:tc>
          <w:tcPr>
            <w:tcW w:w="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document.**</w:t>
            </w:r>
          </w:p>
        </w:tc>
      </w:tr>
      <w:tr>
        <w:trPr>
          <w:trHeight w:val="230"/>
        </w:trPr>
        <w:tc>
          <w:tcPr>
            <w:tcW w:w="40" w:type="dxa"/>
            <w:vAlign w:val="bottom"/>
          </w:tcPr>
          <w:p>
            <w:pPr>
              <w:spacing w:after="0"/>
              <w:rPr>
                <w:sz w:val="19"/>
                <w:szCs w:val="19"/>
                <w:color w:val="auto"/>
              </w:rPr>
            </w:pPr>
          </w:p>
        </w:tc>
        <w:tc>
          <w:tcPr>
            <w:tcW w:w="15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101.SCH</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9"/>
        </w:trPr>
        <w:tc>
          <w:tcPr>
            <w:tcW w:w="40" w:type="dxa"/>
            <w:vAlign w:val="bottom"/>
          </w:tcPr>
          <w:p>
            <w:pPr>
              <w:spacing w:after="0"/>
              <w:rPr>
                <w:sz w:val="19"/>
                <w:szCs w:val="19"/>
                <w:color w:val="auto"/>
              </w:rPr>
            </w:pP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101.CAL</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30"/>
        </w:trPr>
        <w:tc>
          <w:tcPr>
            <w:tcW w:w="40" w:type="dxa"/>
            <w:vAlign w:val="bottom"/>
          </w:tcPr>
          <w:p>
            <w:pPr>
              <w:spacing w:after="0"/>
              <w:rPr>
                <w:sz w:val="19"/>
                <w:szCs w:val="19"/>
                <w:color w:val="auto"/>
              </w:rPr>
            </w:pP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101.LAB</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Labels Linkbase Document.**</w:t>
            </w:r>
          </w:p>
        </w:tc>
      </w:tr>
      <w:tr>
        <w:trPr>
          <w:trHeight w:val="230"/>
        </w:trPr>
        <w:tc>
          <w:tcPr>
            <w:tcW w:w="40" w:type="dxa"/>
            <w:vAlign w:val="bottom"/>
          </w:tcPr>
          <w:p>
            <w:pPr>
              <w:spacing w:after="0"/>
              <w:rPr>
                <w:sz w:val="19"/>
                <w:szCs w:val="19"/>
                <w:color w:val="auto"/>
              </w:rPr>
            </w:pPr>
          </w:p>
        </w:tc>
        <w:tc>
          <w:tcPr>
            <w:tcW w:w="15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101.PRE</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r>
        <w:trPr>
          <w:trHeight w:val="234"/>
        </w:trPr>
        <w:tc>
          <w:tcPr>
            <w:tcW w:w="40" w:type="dxa"/>
            <w:vAlign w:val="bottom"/>
          </w:tcPr>
          <w:p>
            <w:pPr>
              <w:spacing w:after="0"/>
              <w:rPr>
                <w:sz w:val="20"/>
                <w:szCs w:val="20"/>
                <w:color w:val="auto"/>
              </w:rPr>
            </w:pPr>
          </w:p>
        </w:tc>
        <w:tc>
          <w:tcPr>
            <w:tcW w:w="152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101.DEF</w:t>
            </w:r>
          </w:p>
        </w:tc>
        <w:tc>
          <w:tcPr>
            <w:tcW w:w="964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bl>
    <w:p>
      <w:pPr>
        <w:ind w:left="1900" w:right="540" w:hanging="1170"/>
        <w:spacing w:after="0" w:line="234" w:lineRule="auto"/>
        <w:tabs>
          <w:tab w:leader="none" w:pos="19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1" w:lineRule="exact"/>
        <w:rPr>
          <w:sz w:val="20"/>
          <w:szCs w:val="20"/>
          <w:color w:val="auto"/>
        </w:rPr>
      </w:pPr>
    </w:p>
    <w:p>
      <w:pPr>
        <w:ind w:left="1900" w:hanging="1125"/>
        <w:spacing w:after="0"/>
        <w:tabs>
          <w:tab w:leader="none" w:pos="1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electronically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794385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25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17, 2021</w:t>
            </w:r>
          </w:p>
        </w:tc>
        <w:tc>
          <w:tcPr>
            <w:tcW w:w="568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405"/>
        </w:trPr>
        <w:tc>
          <w:tcPr>
            <w:tcW w:w="3920" w:type="dxa"/>
            <w:vAlign w:val="bottom"/>
          </w:tcPr>
          <w:p>
            <w:pPr>
              <w:spacing w:after="0"/>
              <w:rPr>
                <w:sz w:val="24"/>
                <w:szCs w:val="24"/>
                <w:color w:val="auto"/>
              </w:rPr>
            </w:pPr>
          </w:p>
        </w:tc>
        <w:tc>
          <w:tcPr>
            <w:tcW w:w="2560" w:type="dxa"/>
            <w:vAlign w:val="bottom"/>
          </w:tcPr>
          <w:p>
            <w:pPr>
              <w:ind w:left="1980"/>
              <w:spacing w:after="0"/>
              <w:rPr>
                <w:sz w:val="20"/>
                <w:szCs w:val="20"/>
                <w:color w:val="auto"/>
              </w:rPr>
            </w:pPr>
            <w:r>
              <w:rPr>
                <w:rFonts w:ascii="Times New Roman" w:cs="Times New Roman" w:eastAsia="Times New Roman" w:hAnsi="Times New Roman"/>
                <w:sz w:val="18"/>
                <w:szCs w:val="18"/>
                <w:color w:val="auto"/>
              </w:rPr>
              <w:t>By:</w:t>
            </w: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Prashanth Mahendra-Rajah</w:t>
            </w:r>
          </w:p>
        </w:tc>
      </w:tr>
      <w:tr>
        <w:trPr>
          <w:trHeight w:val="228"/>
        </w:trPr>
        <w:tc>
          <w:tcPr>
            <w:tcW w:w="392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Prashanth Mahendra-Rajah</w:t>
            </w:r>
          </w:p>
        </w:tc>
      </w:tr>
    </w:tbl>
    <w:p>
      <w:pPr>
        <w:ind w:left="6520"/>
        <w:spacing w:after="0" w:line="215" w:lineRule="auto"/>
        <w:rPr>
          <w:sz w:val="20"/>
          <w:szCs w:val="20"/>
          <w:color w:val="auto"/>
        </w:rPr>
      </w:pPr>
      <w:r>
        <w:rPr>
          <w:rFonts w:ascii="Times New Roman" w:cs="Times New Roman" w:eastAsia="Times New Roman" w:hAnsi="Times New Roman"/>
          <w:sz w:val="18"/>
          <w:szCs w:val="18"/>
          <w:color w:val="auto"/>
        </w:rPr>
        <w:t>Senior Vice President, Finance and Chief</w:t>
      </w:r>
    </w:p>
    <w:p>
      <w:pPr>
        <w:ind w:left="6520"/>
        <w:spacing w:after="0"/>
        <w:rPr>
          <w:sz w:val="20"/>
          <w:szCs w:val="20"/>
          <w:color w:val="auto"/>
        </w:rPr>
      </w:pPr>
      <w:r>
        <w:rPr>
          <w:rFonts w:ascii="Times New Roman" w:cs="Times New Roman" w:eastAsia="Times New Roman" w:hAnsi="Times New Roman"/>
          <w:sz w:val="18"/>
          <w:szCs w:val="18"/>
          <w:color w:val="auto"/>
        </w:rPr>
        <w:t>Financial Officer</w:t>
      </w:r>
    </w:p>
    <w:p>
      <w:pPr>
        <w:sectPr>
          <w:pgSz w:w="11900" w:h="16838" w:orient="portrait"/>
          <w:cols w:equalWidth="0" w:num="1">
            <w:col w:w="10980"/>
          </w:cols>
          <w:pgMar w:left="320" w:top="985" w:right="5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Analog Devices Raises Quarterly Dividend By 11%</w:t>
      </w:r>
    </w:p>
    <w:p>
      <w:pPr>
        <w:spacing w:after="0" w:line="233"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22"/>
          <w:szCs w:val="22"/>
          <w:b w:val="1"/>
          <w:bCs w:val="1"/>
          <w:color w:val="auto"/>
        </w:rPr>
        <w:t xml:space="preserve">WILMINGTON, Mass.— February 16, 2021 </w:t>
      </w:r>
      <w:r>
        <w:rPr>
          <w:rFonts w:ascii="Times New Roman" w:cs="Times New Roman" w:eastAsia="Times New Roman" w:hAnsi="Times New Roman"/>
          <w:sz w:val="22"/>
          <w:szCs w:val="22"/>
          <w:color w:val="auto"/>
        </w:rPr>
        <w:t>—Analog Devices, Inc. (Nasdaq: ADI) today announced that its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has voted to increase its quarterly dividend from $0.62 per outstanding share of common stock to $0.69, which is the equivalent of $2.76 annually. The new dividend represents an increase of 11% and marks the Company's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increase in the last 17 years. ADI has paid a dividend for 69 consecutive quarters, totaling $7 billion of cash returned to shareholders through dividends.</w:t>
      </w:r>
    </w:p>
    <w:p>
      <w:pPr>
        <w:spacing w:after="0" w:line="206"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22"/>
          <w:szCs w:val="22"/>
          <w:color w:val="auto"/>
        </w:rPr>
        <w:t>"Our robust cash generation and free cash flow margin places us in the top 10% of companies in the S&amp;P 500, and we remain committed to returning 100% of our free cash flow to shareholders,” said Vincent Roche, President and CEO. “The diversity of our business and our alignment to the most important secular trends gives me confidence that we are well positioned to drive sustained growth over the long-term.”</w:t>
      </w:r>
    </w:p>
    <w:p>
      <w:pPr>
        <w:spacing w:after="0" w:line="20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The increase is effective with the dividend payable on March 9, 2021 to shareholders of record as of the close of business on February 26, 2021. The payment of any future quarterly dividends, or a future increase in the quarterly dividend amount, will be at the discretion of the Board and will be dependent upon ADI's financial position, results of operations, outlook, liquidity, and other factors deemed relevant by the Board.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Analog Devices</w:t>
      </w:r>
    </w:p>
    <w:p>
      <w:pPr>
        <w:spacing w:after="0" w:line="23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21"/>
          <w:szCs w:val="21"/>
          <w:color w:val="auto"/>
        </w:rPr>
        <w:t>Analog Devices (Nasdaq: ADI)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Editor’s Contact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Michael Lucarelli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781-461-3282</w:t>
      </w:r>
    </w:p>
    <w:p>
      <w:pPr>
        <w:spacing w:after="0" w:line="230" w:lineRule="auto"/>
        <w:rPr>
          <w:sz w:val="20"/>
          <w:szCs w:val="20"/>
          <w:color w:val="auto"/>
        </w:rPr>
      </w:pPr>
      <w:r>
        <w:rPr>
          <w:rFonts w:ascii="Times New Roman" w:cs="Times New Roman" w:eastAsia="Times New Roman" w:hAnsi="Times New Roman"/>
          <w:sz w:val="22"/>
          <w:szCs w:val="22"/>
          <w:color w:val="auto"/>
        </w:rPr>
        <w:t>Sr. Director of Investor Relations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investor.relations@analog.com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(ADI-WEB)</w:t>
      </w:r>
    </w:p>
    <w:p>
      <w:pPr>
        <w:sectPr>
          <w:pgSz w:w="11900" w:h="16838" w:orient="portrait"/>
          <w:cols w:equalWidth="0" w:num="1">
            <w:col w:w="11240"/>
          </w:cols>
          <w:pgMar w:left="320" w:top="358"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Analog Devices Reports First Quarter Fiscal 2021 Results at the High End of Guidance</w:t>
      </w:r>
    </w:p>
    <w:p>
      <w:pPr>
        <w:spacing w:after="0" w:line="237"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Revenue of $1.56 billion with double digit year-over-year growth across all B2B markets</w:t>
      </w:r>
    </w:p>
    <w:p>
      <w:pPr>
        <w:spacing w:after="0" w:line="13" w:lineRule="exact"/>
        <w:rPr>
          <w:rFonts w:ascii="Arial" w:cs="Arial" w:eastAsia="Arial" w:hAnsi="Arial"/>
          <w:sz w:val="22"/>
          <w:szCs w:val="22"/>
          <w:color w:val="auto"/>
        </w:rPr>
      </w:pPr>
    </w:p>
    <w:p>
      <w:pPr>
        <w:ind w:left="660" w:right="440" w:hanging="328"/>
        <w:spacing w:after="0" w:line="230" w:lineRule="auto"/>
        <w:tabs>
          <w:tab w:leader="none" w:pos="65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Operating cash flow of $2.1 billion and free cash flow of $1.9 billion, or 33% of revenue, on a trailing twelve months basis</w:t>
      </w:r>
    </w:p>
    <w:p>
      <w:pPr>
        <w:spacing w:after="0" w:line="1" w:lineRule="exact"/>
        <w:rPr>
          <w:rFonts w:ascii="Times New Roman" w:cs="Times New Roman" w:eastAsia="Times New Roman" w:hAnsi="Times New Roman"/>
          <w:sz w:val="22"/>
          <w:szCs w:val="22"/>
          <w:color w:val="auto"/>
        </w:rPr>
      </w:pPr>
    </w:p>
    <w:p>
      <w:pPr>
        <w:ind w:left="660" w:hanging="328"/>
        <w:spacing w:after="0" w:line="229" w:lineRule="auto"/>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Returned over $380 million to shareholders in the first quarter through dividends and share repurchases</w:t>
      </w:r>
    </w:p>
    <w:p>
      <w:pPr>
        <w:ind w:left="660" w:hanging="328"/>
        <w:spacing w:after="0"/>
        <w:tabs>
          <w:tab w:leader="none" w:pos="660" w:val="left"/>
        </w:tabs>
        <w:numPr>
          <w:ilvl w:val="0"/>
          <w:numId w:val="3"/>
        </w:numPr>
        <w:rPr>
          <w:rFonts w:ascii="Arial" w:cs="Arial" w:eastAsia="Arial" w:hAnsi="Arial"/>
          <w:sz w:val="22"/>
          <w:szCs w:val="22"/>
          <w:color w:val="auto"/>
        </w:rPr>
      </w:pPr>
      <w:r>
        <w:rPr>
          <w:rFonts w:ascii="Times New Roman" w:cs="Times New Roman" w:eastAsia="Times New Roman" w:hAnsi="Times New Roman"/>
          <w:sz w:val="22"/>
          <w:szCs w:val="22"/>
          <w:color w:val="auto"/>
        </w:rPr>
        <w:t>Increased quarterly dividend by 11%, marking the Company's 18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increase over the last 17 years</w:t>
      </w:r>
    </w:p>
    <w:p>
      <w:pPr>
        <w:spacing w:after="0" w:line="150" w:lineRule="exact"/>
        <w:rPr>
          <w:sz w:val="20"/>
          <w:szCs w:val="20"/>
          <w:color w:val="auto"/>
        </w:rPr>
      </w:pPr>
    </w:p>
    <w:p>
      <w:pPr>
        <w:jc w:val="both"/>
        <w:ind w:right="440"/>
        <w:spacing w:after="0" w:line="259" w:lineRule="auto"/>
        <w:rPr>
          <w:sz w:val="20"/>
          <w:szCs w:val="20"/>
          <w:color w:val="auto"/>
        </w:rPr>
      </w:pPr>
      <w:r>
        <w:rPr>
          <w:rFonts w:ascii="Times New Roman" w:cs="Times New Roman" w:eastAsia="Times New Roman" w:hAnsi="Times New Roman"/>
          <w:sz w:val="22"/>
          <w:szCs w:val="22"/>
          <w:b w:val="1"/>
          <w:bCs w:val="1"/>
          <w:color w:val="auto"/>
        </w:rPr>
        <w:t>WILMINGTON, Mass.--(BUSINESS WIRE)--February 17, 2021</w:t>
      </w:r>
      <w:r>
        <w:rPr>
          <w:rFonts w:ascii="Times New Roman" w:cs="Times New Roman" w:eastAsia="Times New Roman" w:hAnsi="Times New Roman"/>
          <w:sz w:val="22"/>
          <w:szCs w:val="22"/>
          <w:color w:val="auto"/>
        </w:rPr>
        <w:t>--Analog Devices, Inc. (Nasdaq: ADI), a leading global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high-performance semiconductor company, today announced financial results for its first quarter of fiscal 2021, which ended January 30, 2021.</w:t>
      </w:r>
    </w:p>
    <w:p>
      <w:pPr>
        <w:spacing w:after="0" w:line="184"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“ADI delivered strong first quarter results at the high end of our outlook, reflecting the diversity of our business and our alignment to the most important secular growth trends,” said Vincent Roche, President and CEO. “Revenue increased 20% year-over-year with growth across all market segments, including a record quarter for our Industrial business. While the economic backdrop remains uncertain, we are confident that a broad-based recovery is underway given continued momentum in ADI’s bookings and lean inventories across the industry.”</w:t>
      </w:r>
    </w:p>
    <w:p>
      <w:pPr>
        <w:spacing w:after="0" w:line="20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Roche continued, “ADI remains focused on addressing our customers’ toughest challenges and providing breakthrough solutions, pushing the edge of what is possible. At the same time, we are passionately driven to deliver a positive impact on the world around us, enabling a more connected, safer and sustainable future, while creating value for all stakeholders.”</w:t>
      </w:r>
    </w:p>
    <w:p>
      <w:pPr>
        <w:sectPr>
          <w:pgSz w:w="11900" w:h="16838" w:orient="portrait"/>
          <w:cols w:equalWidth="0" w:num="1">
            <w:col w:w="11240"/>
          </w:cols>
          <w:pgMar w:left="320" w:top="89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Performance for the First Quarter of Fiscal 2021</w:t>
      </w:r>
    </w:p>
    <w:p>
      <w:pPr>
        <w:spacing w:after="0" w:line="2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Results Summary</w:t>
      </w:r>
      <w:r>
        <w:rPr>
          <w:rFonts w:ascii="Times New Roman" w:cs="Times New Roman" w:eastAsia="Times New Roman" w:hAnsi="Times New Roman"/>
          <w:sz w:val="28"/>
          <w:szCs w:val="28"/>
          <w:b w:val="1"/>
          <w:bCs w:val="1"/>
          <w:color w:val="auto"/>
          <w:vertAlign w:val="superscript"/>
        </w:rPr>
        <w:t>(1)</w:t>
      </w: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amounts and percentages)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66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920" w:type="dxa"/>
            <w:vAlign w:val="bottom"/>
            <w:tcBorders>
              <w:top w:val="single" w:sz="8" w:color="auto"/>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980" w:type="dxa"/>
            <w:vAlign w:val="bottom"/>
            <w:tcBorders>
              <w:top w:val="single" w:sz="8" w:color="auto"/>
              <w:bottom w:val="single" w:sz="8" w:color="auto"/>
            </w:tcBorders>
          </w:tcPr>
          <w:p>
            <w:pPr>
              <w:spacing w:after="0"/>
              <w:rPr>
                <w:sz w:val="21"/>
                <w:szCs w:val="21"/>
                <w:color w:val="auto"/>
              </w:rPr>
            </w:pPr>
          </w:p>
        </w:tc>
      </w:tr>
      <w:tr>
        <w:trPr>
          <w:trHeight w:val="263"/>
        </w:trPr>
        <w:tc>
          <w:tcPr>
            <w:tcW w:w="5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Jan. 30, 2021</w:t>
            </w:r>
          </w:p>
        </w:tc>
        <w:tc>
          <w:tcPr>
            <w:tcW w:w="140" w:type="dxa"/>
            <w:vAlign w:val="bottom"/>
          </w:tcPr>
          <w:p>
            <w:pPr>
              <w:spacing w:after="0"/>
              <w:rPr>
                <w:sz w:val="22"/>
                <w:szCs w:val="22"/>
                <w:color w:val="auto"/>
              </w:rPr>
            </w:pPr>
          </w:p>
        </w:tc>
        <w:tc>
          <w:tcPr>
            <w:tcW w:w="1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Feb. 1, 2020</w:t>
            </w:r>
          </w:p>
        </w:tc>
        <w:tc>
          <w:tcPr>
            <w:tcW w:w="198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23"/>
        </w:trPr>
        <w:tc>
          <w:tcPr>
            <w:tcW w:w="5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Borders>
              <w:top w:val="single" w:sz="8" w:color="CCEEFF"/>
            </w:tcBorders>
            <w:shd w:val="clear" w:color="auto" w:fill="CCEEFF"/>
          </w:tcPr>
          <w:p>
            <w:pPr>
              <w:spacing w:after="0"/>
              <w:rPr>
                <w:sz w:val="19"/>
                <w:szCs w:val="19"/>
                <w:color w:val="auto"/>
              </w:rPr>
            </w:pPr>
          </w:p>
        </w:tc>
        <w:tc>
          <w:tcPr>
            <w:tcW w:w="1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 bps</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70 %</w:t>
            </w:r>
          </w:p>
        </w:tc>
      </w:tr>
      <w:tr>
        <w:trPr>
          <w:trHeight w:val="230"/>
        </w:trPr>
        <w:tc>
          <w:tcPr>
            <w:tcW w:w="5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21.0 %</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 bps</w:t>
            </w:r>
          </w:p>
        </w:tc>
      </w:tr>
      <w:tr>
        <w:trPr>
          <w:trHeight w:val="229"/>
        </w:trPr>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89 %</w:t>
            </w:r>
          </w:p>
        </w:tc>
      </w:tr>
      <w:tr>
        <w:trPr>
          <w:trHeight w:val="257"/>
        </w:trPr>
        <w:tc>
          <w:tcPr>
            <w:tcW w:w="5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980" w:type="dxa"/>
            <w:vAlign w:val="bottom"/>
            <w:shd w:val="clear" w:color="auto" w:fill="CCEEFF"/>
          </w:tcPr>
          <w:p>
            <w:pPr>
              <w:spacing w:after="0"/>
              <w:rPr>
                <w:sz w:val="22"/>
                <w:szCs w:val="22"/>
                <w:color w:val="auto"/>
              </w:rPr>
            </w:pPr>
          </w:p>
        </w:tc>
      </w:tr>
    </w:tbl>
    <w:p>
      <w:pPr>
        <w:ind w:left="20"/>
        <w:spacing w:after="0"/>
        <w:rPr>
          <w:sz w:val="20"/>
          <w:szCs w:val="20"/>
          <w:color w:val="auto"/>
        </w:rPr>
      </w:pPr>
      <w:r>
        <w:rPr>
          <w:rFonts w:ascii="Times New Roman" w:cs="Times New Roman" w:eastAsia="Times New Roman" w:hAnsi="Times New Roman"/>
          <w:sz w:val="22"/>
          <w:szCs w:val="22"/>
          <w:b w:val="1"/>
          <w:bCs w:val="1"/>
          <w:color w:val="auto"/>
        </w:rPr>
        <w:t>Adjusted Results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18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gross margin percentage</w:t>
            </w:r>
          </w:p>
        </w:tc>
        <w:tc>
          <w:tcPr>
            <w:tcW w:w="18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70.0 %</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8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635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1800" w:type="dxa"/>
            <w:vAlign w:val="bottom"/>
          </w:tcPr>
          <w:p>
            <w:pPr>
              <w:spacing w:after="0"/>
              <w:rPr>
                <w:sz w:val="19"/>
                <w:szCs w:val="19"/>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40.7 %</w:t>
            </w: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80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1.44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920" w:type="dxa"/>
            <w:vAlign w:val="bottom"/>
            <w:gridSpan w:val="2"/>
          </w:tcPr>
          <w:p>
            <w:pPr>
              <w:spacing w:after="0"/>
              <w:rPr>
                <w:sz w:val="23"/>
                <w:szCs w:val="23"/>
                <w:color w:val="auto"/>
              </w:rPr>
            </w:pPr>
          </w:p>
        </w:tc>
        <w:tc>
          <w:tcPr>
            <w:tcW w:w="198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Generation</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Jan. 30, 2021</w:t>
            </w:r>
          </w:p>
        </w:tc>
        <w:tc>
          <w:tcPr>
            <w:tcW w:w="300" w:type="dxa"/>
            <w:vAlign w:val="bottom"/>
          </w:tcPr>
          <w:p>
            <w:pPr>
              <w:spacing w:after="0"/>
              <w:rPr>
                <w:sz w:val="17"/>
                <w:szCs w:val="17"/>
                <w:color w:val="auto"/>
              </w:rPr>
            </w:pPr>
          </w:p>
        </w:tc>
        <w:tc>
          <w:tcPr>
            <w:tcW w:w="1680" w:type="dxa"/>
            <w:vAlign w:val="bottom"/>
          </w:tcPr>
          <w:p>
            <w:pPr>
              <w:jc w:val="center"/>
              <w:ind w:right="1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Jan. 30,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2,087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of revenue</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1,909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revenue</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20" w:type="dxa"/>
            <w:vAlign w:val="bottom"/>
            <w:gridSpan w:val="2"/>
          </w:tcPr>
          <w:p>
            <w:pPr>
              <w:spacing w:after="0"/>
              <w:rPr>
                <w:sz w:val="22"/>
                <w:szCs w:val="22"/>
                <w:color w:val="auto"/>
              </w:rPr>
            </w:pPr>
          </w:p>
        </w:tc>
        <w:tc>
          <w:tcPr>
            <w:tcW w:w="198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04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Return</w:t>
            </w: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19"/>
                <w:szCs w:val="19"/>
                <w:color w:val="auto"/>
              </w:rPr>
            </w:pPr>
          </w:p>
        </w:tc>
        <w:tc>
          <w:tcPr>
            <w:tcW w:w="198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40" w:type="dxa"/>
            <w:vAlign w:val="bottom"/>
            <w:gridSpan w:val="3"/>
            <w:vMerge w:val="continue"/>
          </w:tcPr>
          <w:p>
            <w:pPr>
              <w:spacing w:after="0"/>
              <w:rPr>
                <w:sz w:val="17"/>
                <w:szCs w:val="17"/>
                <w:color w:val="auto"/>
              </w:rPr>
            </w:pPr>
          </w:p>
        </w:tc>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20" w:type="dxa"/>
            <w:vAlign w:val="bottom"/>
            <w:gridSpan w:val="2"/>
          </w:tcPr>
          <w:p>
            <w:pPr>
              <w:jc w:val="center"/>
              <w:ind w:right="240"/>
              <w:spacing w:after="0" w:line="182" w:lineRule="exact"/>
              <w:rPr>
                <w:sz w:val="20"/>
                <w:szCs w:val="20"/>
                <w:color w:val="auto"/>
              </w:rPr>
            </w:pPr>
            <w:r>
              <w:rPr>
                <w:rFonts w:ascii="Times New Roman" w:cs="Times New Roman" w:eastAsia="Times New Roman" w:hAnsi="Times New Roman"/>
                <w:sz w:val="18"/>
                <w:szCs w:val="18"/>
                <w:b w:val="1"/>
                <w:bCs w:val="1"/>
                <w:color w:val="auto"/>
                <w:w w:val="99"/>
              </w:rPr>
              <w:t>Jan. 30, 2021</w:t>
            </w:r>
          </w:p>
        </w:tc>
        <w:tc>
          <w:tcPr>
            <w:tcW w:w="300" w:type="dxa"/>
            <w:vAlign w:val="bottom"/>
          </w:tcPr>
          <w:p>
            <w:pPr>
              <w:spacing w:after="0"/>
              <w:rPr>
                <w:sz w:val="17"/>
                <w:szCs w:val="17"/>
                <w:color w:val="auto"/>
              </w:rPr>
            </w:pPr>
          </w:p>
        </w:tc>
        <w:tc>
          <w:tcPr>
            <w:tcW w:w="1680" w:type="dxa"/>
            <w:vAlign w:val="bottom"/>
          </w:tcPr>
          <w:p>
            <w:pPr>
              <w:jc w:val="center"/>
              <w:ind w:right="190"/>
              <w:spacing w:after="0" w:line="182" w:lineRule="exact"/>
              <w:rPr>
                <w:sz w:val="20"/>
                <w:szCs w:val="20"/>
                <w:color w:val="auto"/>
              </w:rPr>
            </w:pPr>
            <w:r>
              <w:rPr>
                <w:rFonts w:ascii="Times New Roman" w:cs="Times New Roman" w:eastAsia="Times New Roman" w:hAnsi="Times New Roman"/>
                <w:sz w:val="18"/>
                <w:szCs w:val="18"/>
                <w:b w:val="1"/>
                <w:bCs w:val="1"/>
                <w:color w:val="auto"/>
                <w:w w:val="99"/>
              </w:rPr>
              <w:t>Jan. 30, 2021</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paid</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18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returned</w:t>
            </w:r>
          </w:p>
        </w:tc>
        <w:tc>
          <w:tcPr>
            <w:tcW w:w="18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(1,212)</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 The sum and/or computation of the individual amounts may not equal the total due to rounding.</w:t>
      </w:r>
    </w:p>
    <w:p>
      <w:pPr>
        <w:sectPr>
          <w:pgSz w:w="11900" w:h="16838" w:orient="portrait"/>
          <w:cols w:equalWidth="0" w:num="1">
            <w:col w:w="11240"/>
          </w:cols>
          <w:pgMar w:left="320" w:top="89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 for the Second Quarter of Fiscal Year 2021</w:t>
      </w:r>
    </w:p>
    <w:p>
      <w:pPr>
        <w:spacing w:after="0" w:line="23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21"/>
          <w:szCs w:val="21"/>
          <w:color w:val="auto"/>
        </w:rPr>
        <w:t>For the second quarter of fiscal 2021, we are forecasting revenue of $1.60 billion, +/- $50 million. At the midpoint of this revenue outlook, we expect reported operating margin of approximately 30.6%, +/-110 bps, and adjusted operating margin of approximately 41.0%, +/-70 bps. We are planning for reported EPS to be $1.06, +/-$0.08, and adjusted EPS to be $1.44, +/-$0.08.</w:t>
      </w:r>
    </w:p>
    <w:p>
      <w:pPr>
        <w:spacing w:after="0" w:line="198" w:lineRule="exact"/>
        <w:rPr>
          <w:sz w:val="20"/>
          <w:szCs w:val="20"/>
          <w:color w:val="auto"/>
        </w:rPr>
      </w:pPr>
    </w:p>
    <w:p>
      <w:pPr>
        <w:ind w:right="240"/>
        <w:spacing w:after="0" w:line="252" w:lineRule="auto"/>
        <w:rPr>
          <w:sz w:val="20"/>
          <w:szCs w:val="20"/>
          <w:color w:val="auto"/>
        </w:rPr>
      </w:pPr>
      <w:r>
        <w:rPr>
          <w:rFonts w:ascii="Times New Roman" w:cs="Times New Roman" w:eastAsia="Times New Roman" w:hAnsi="Times New Roman"/>
          <w:sz w:val="22"/>
          <w:szCs w:val="22"/>
          <w:color w:val="auto"/>
        </w:rPr>
        <w:t>Our second quarter fiscal 2021 outlook is based on current expectations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206"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2"/>
          <w:szCs w:val="22"/>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press release. See also “Non-GAAP Financial Information” section for additional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 Payment</w:t>
      </w:r>
    </w:p>
    <w:p>
      <w:pPr>
        <w:spacing w:after="0" w:line="251" w:lineRule="exact"/>
        <w:rPr>
          <w:sz w:val="20"/>
          <w:szCs w:val="20"/>
          <w:color w:val="auto"/>
        </w:rPr>
      </w:pPr>
    </w:p>
    <w:p>
      <w:pPr>
        <w:ind w:right="760"/>
        <w:spacing w:after="0" w:line="295" w:lineRule="auto"/>
        <w:rPr>
          <w:sz w:val="20"/>
          <w:szCs w:val="20"/>
          <w:color w:val="auto"/>
        </w:rPr>
      </w:pPr>
      <w:r>
        <w:rPr>
          <w:rFonts w:ascii="Times New Roman" w:cs="Times New Roman" w:eastAsia="Times New Roman" w:hAnsi="Times New Roman"/>
          <w:sz w:val="21"/>
          <w:szCs w:val="21"/>
          <w:color w:val="auto"/>
        </w:rPr>
        <w:t>The ADI Board of Directors has declared a quarterly cash dividend of $0.69 per outstanding share of common stock. The dividend will be paid on March 9, 2021 to all shareholders of record at the close of business on February 26,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Scheduled for Today, Wednesday, February 17, 2021 at 10:00 am ET</w:t>
      </w:r>
    </w:p>
    <w:p>
      <w:pPr>
        <w:spacing w:after="0" w:line="251"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22"/>
          <w:szCs w:val="22"/>
          <w:color w:val="auto"/>
        </w:rPr>
        <w:t>ADI will host a conference call to discuss our first quarter fiscal 2021 results and short-term outlook today, beginning at 10:00 am ET. Investors may join via webcast, accessible at investor.analog.com, or by telephone (call 800-859-9560, or 706-634-7193 for international calls, ten minutes before the call begins and provide the password "ADI").</w:t>
      </w:r>
    </w:p>
    <w:p>
      <w:pPr>
        <w:spacing w:after="0" w:line="20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22"/>
          <w:szCs w:val="22"/>
          <w:color w:val="auto"/>
        </w:rPr>
        <w:t>A replay will be available two hours after the completion of the call. The replay may be accessed for up to two weeks by dialing 855-859-2056 (replay only) and providing the conference ID: 3567727, or by visiting investor.analog.com.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Information</w:t>
      </w:r>
    </w:p>
    <w:p>
      <w:pPr>
        <w:spacing w:after="0" w:line="251"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2"/>
          <w:szCs w:val="22"/>
          <w:color w:val="auto"/>
        </w:rPr>
        <w:t>This release includes non-GAAP financial measures that are not in accordance with, nor an alternative to,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measures to the most directly comparable financial measures calculated and presented in accordance with GAAP are provided in the financial tables included in this release.</w:t>
      </w:r>
    </w:p>
    <w:p>
      <w:pPr>
        <w:sectPr>
          <w:pgSz w:w="11900" w:h="16838" w:orient="portrait"/>
          <w:cols w:equalWidth="0" w:num="1">
            <w:col w:w="11240"/>
          </w:cols>
          <w:pgMar w:left="320" w:top="891" w:right="339" w:bottom="1440" w:gutter="0" w:footer="0" w:header="0"/>
        </w:sectPr>
      </w:pPr>
    </w:p>
    <w:bookmarkStart w:id="7" w:name="page8"/>
    <w:bookmarkEnd w:id="7"/>
    <w:p>
      <w:pPr>
        <w:spacing w:after="0" w:line="246" w:lineRule="auto"/>
        <w:rPr>
          <w:sz w:val="20"/>
          <w:szCs w:val="20"/>
          <w:color w:val="auto"/>
        </w:rPr>
      </w:pPr>
      <w:r>
        <w:rPr>
          <w:rFonts w:ascii="Times New Roman" w:cs="Times New Roman" w:eastAsia="Times New Roman" w:hAnsi="Times New Roman"/>
          <w:sz w:val="22"/>
          <w:szCs w:val="22"/>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the primary performance measurement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 Management also believes that the non-GAAP liquidity measure free cash flow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5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income before income taxes, adjusted provision for income taxes, adjusted tax rate, adjusted diluted earnings per share (EPS), free cash flow, and free cash flow margin percentage.</w:t>
      </w:r>
    </w:p>
    <w:p>
      <w:pPr>
        <w:spacing w:after="0" w:line="54" w:lineRule="exact"/>
        <w:rPr>
          <w:sz w:val="20"/>
          <w:szCs w:val="20"/>
          <w:color w:val="auto"/>
        </w:rPr>
      </w:pPr>
    </w:p>
    <w:p>
      <w:pPr>
        <w:ind w:right="320"/>
        <w:spacing w:after="0" w:line="231" w:lineRule="auto"/>
        <w:rPr>
          <w:sz w:val="20"/>
          <w:szCs w:val="20"/>
          <w:color w:val="auto"/>
        </w:rPr>
      </w:pPr>
      <w:r>
        <w:rPr>
          <w:rFonts w:ascii="Times New Roman" w:cs="Times New Roman" w:eastAsia="Times New Roman" w:hAnsi="Times New Roman"/>
          <w:sz w:val="22"/>
          <w:szCs w:val="22"/>
          <w:color w:val="auto"/>
        </w:rPr>
        <w:t xml:space="preserve">Adjusted gross margin is defined as gross margin, determined in accordance with GAAP, excluding certain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are described further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gross margin percentage represents adjusted gross margin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revenue.</w:t>
      </w:r>
    </w:p>
    <w:p>
      <w:pPr>
        <w:spacing w:after="0" w:line="71" w:lineRule="exact"/>
        <w:rPr>
          <w:sz w:val="20"/>
          <w:szCs w:val="20"/>
          <w:color w:val="auto"/>
        </w:rPr>
      </w:pPr>
    </w:p>
    <w:p>
      <w:pPr>
        <w:ind w:right="140"/>
        <w:spacing w:after="0" w:line="219" w:lineRule="auto"/>
        <w:rPr>
          <w:sz w:val="20"/>
          <w:szCs w:val="20"/>
          <w:color w:val="auto"/>
        </w:rPr>
      </w:pPr>
      <w:r>
        <w:rPr>
          <w:rFonts w:ascii="Times New Roman" w:cs="Times New Roman" w:eastAsia="Times New Roman" w:hAnsi="Times New Roman"/>
          <w:sz w:val="22"/>
          <w:szCs w:val="22"/>
          <w:color w:val="auto"/>
        </w:rPr>
        <w:t xml:space="preserve">Adjusted operating expenses is defined as operating expenses,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acquisition related transaction costs</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restructuring related expense</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charitable foundation contribution</w:t>
      </w:r>
      <w:r>
        <w:rPr>
          <w:rFonts w:ascii="Times New Roman" w:cs="Times New Roman" w:eastAsia="Times New Roman" w:hAnsi="Times New Roman"/>
          <w:sz w:val="28"/>
          <w:szCs w:val="28"/>
          <w:i w:val="1"/>
          <w:iCs w:val="1"/>
          <w:color w:val="auto"/>
          <w:vertAlign w:val="superscript"/>
        </w:rPr>
        <w:t>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are described further below. Adjusted operating expenses percentage represents adjusted operating expenses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divided by revenue.</w:t>
      </w:r>
    </w:p>
    <w:p>
      <w:pPr>
        <w:spacing w:after="0" w:line="54" w:lineRule="exact"/>
        <w:rPr>
          <w:sz w:val="20"/>
          <w:szCs w:val="20"/>
          <w:color w:val="auto"/>
        </w:rPr>
      </w:pPr>
    </w:p>
    <w:p>
      <w:pPr>
        <w:jc w:val="both"/>
        <w:ind w:right="120"/>
        <w:spacing w:after="0" w:line="242" w:lineRule="auto"/>
        <w:rPr>
          <w:sz w:val="20"/>
          <w:szCs w:val="20"/>
          <w:color w:val="auto"/>
        </w:rPr>
      </w:pPr>
      <w:r>
        <w:rPr>
          <w:rFonts w:ascii="Times New Roman" w:cs="Times New Roman" w:eastAsia="Times New Roman" w:hAnsi="Times New Roman"/>
          <w:sz w:val="21"/>
          <w:szCs w:val="21"/>
          <w:color w:val="auto"/>
        </w:rPr>
        <w:t xml:space="preserve">Adjusted operating income is defined as operating income, determined in accordance with GAAP, excluding: </w:t>
      </w:r>
      <w:r>
        <w:rPr>
          <w:rFonts w:ascii="Times New Roman" w:cs="Times New Roman" w:eastAsia="Times New Roman" w:hAnsi="Times New Roman"/>
          <w:sz w:val="21"/>
          <w:szCs w:val="21"/>
          <w:i w:val="1"/>
          <w:iCs w:val="1"/>
          <w:color w:val="auto"/>
        </w:rPr>
        <w:t>acquisition related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expenses</w:t>
      </w:r>
      <w:r>
        <w:rPr>
          <w:rFonts w:ascii="Times New Roman" w:cs="Times New Roman" w:eastAsia="Times New Roman" w:hAnsi="Times New Roman"/>
          <w:sz w:val="27"/>
          <w:szCs w:val="27"/>
          <w:i w:val="1"/>
          <w:iCs w:val="1"/>
          <w:color w:val="auto"/>
          <w:vertAlign w:val="superscript"/>
        </w:rPr>
        <w:t>1</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acquisition related transaction costs</w:t>
      </w:r>
      <w:r>
        <w:rPr>
          <w:rFonts w:ascii="Times New Roman" w:cs="Times New Roman" w:eastAsia="Times New Roman" w:hAnsi="Times New Roman"/>
          <w:sz w:val="27"/>
          <w:szCs w:val="27"/>
          <w:i w:val="1"/>
          <w:iCs w:val="1"/>
          <w:color w:val="auto"/>
          <w:vertAlign w:val="superscript"/>
        </w:rPr>
        <w:t>2</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restructuring related expense</w:t>
      </w:r>
      <w:r>
        <w:rPr>
          <w:rFonts w:ascii="Times New Roman" w:cs="Times New Roman" w:eastAsia="Times New Roman" w:hAnsi="Times New Roman"/>
          <w:sz w:val="27"/>
          <w:szCs w:val="27"/>
          <w:i w:val="1"/>
          <w:iCs w:val="1"/>
          <w:color w:val="auto"/>
          <w:vertAlign w:val="superscript"/>
        </w:rPr>
        <w:t>3</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i w:val="1"/>
          <w:iCs w:val="1"/>
          <w:color w:val="auto"/>
        </w:rPr>
        <w:t xml:space="preserve"> charitable foundation contribution</w:t>
      </w:r>
      <w:r>
        <w:rPr>
          <w:rFonts w:ascii="Times New Roman" w:cs="Times New Roman" w:eastAsia="Times New Roman" w:hAnsi="Times New Roman"/>
          <w:sz w:val="27"/>
          <w:szCs w:val="27"/>
          <w:i w:val="1"/>
          <w:iCs w:val="1"/>
          <w:color w:val="auto"/>
          <w:vertAlign w:val="superscript"/>
        </w:rPr>
        <w:t>4</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which</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are described further below. Adjusted operating margin represents adjusted operating income divided by revenue.</w:t>
      </w:r>
    </w:p>
    <w:p>
      <w:pPr>
        <w:spacing w:after="0" w:line="68" w:lineRule="exact"/>
        <w:rPr>
          <w:sz w:val="20"/>
          <w:szCs w:val="20"/>
          <w:color w:val="auto"/>
        </w:rPr>
      </w:pPr>
    </w:p>
    <w:p>
      <w:pPr>
        <w:ind w:right="360"/>
        <w:spacing w:after="0" w:line="234" w:lineRule="auto"/>
        <w:rPr>
          <w:sz w:val="20"/>
          <w:szCs w:val="20"/>
          <w:color w:val="auto"/>
        </w:rPr>
      </w:pPr>
      <w:r>
        <w:rPr>
          <w:rFonts w:ascii="Times New Roman" w:cs="Times New Roman" w:eastAsia="Times New Roman" w:hAnsi="Times New Roman"/>
          <w:sz w:val="22"/>
          <w:szCs w:val="22"/>
          <w:color w:val="auto"/>
        </w:rPr>
        <w:t xml:space="preserve">Adjusted income before income taxes is defined as income before income taxes, determined in accordance with GAAP, excluding: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acquisition related transaction costs</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restructuring related expense</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i w:val="1"/>
          <w:iCs w:val="1"/>
          <w:color w:val="auto"/>
        </w:rPr>
        <w:t>charitable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foundation contribution</w:t>
      </w:r>
      <w:r>
        <w:rPr>
          <w:rFonts w:ascii="Times New Roman" w:cs="Times New Roman" w:eastAsia="Times New Roman" w:hAnsi="Times New Roman"/>
          <w:sz w:val="28"/>
          <w:szCs w:val="28"/>
          <w:i w:val="1"/>
          <w:iCs w:val="1"/>
          <w:color w:val="auto"/>
          <w:vertAlign w:val="superscript"/>
        </w:rPr>
        <w:t>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are described further below.</w:t>
      </w:r>
    </w:p>
    <w:p>
      <w:pPr>
        <w:spacing w:after="0" w:line="4" w:lineRule="exact"/>
        <w:rPr>
          <w:sz w:val="20"/>
          <w:szCs w:val="20"/>
          <w:color w:val="auto"/>
        </w:rPr>
      </w:pPr>
    </w:p>
    <w:p>
      <w:pPr>
        <w:jc w:val="both"/>
        <w:ind w:right="140"/>
        <w:spacing w:after="0" w:line="226" w:lineRule="auto"/>
        <w:rPr>
          <w:sz w:val="20"/>
          <w:szCs w:val="20"/>
          <w:color w:val="auto"/>
        </w:rPr>
      </w:pPr>
      <w:r>
        <w:rPr>
          <w:rFonts w:ascii="Times New Roman" w:cs="Times New Roman" w:eastAsia="Times New Roman" w:hAnsi="Times New Roman"/>
          <w:sz w:val="22"/>
          <w:szCs w:val="22"/>
          <w:color w:val="auto"/>
        </w:rPr>
        <w:t xml:space="preserve">Adjusted provision for income taxes is defined as provision for income taxes, determined in accordance with GAAP, excluding </w:t>
      </w:r>
      <w:r>
        <w:rPr>
          <w:rFonts w:ascii="Times New Roman" w:cs="Times New Roman" w:eastAsia="Times New Roman" w:hAnsi="Times New Roman"/>
          <w:sz w:val="22"/>
          <w:szCs w:val="22"/>
          <w:i w:val="1"/>
          <w:iCs w:val="1"/>
          <w:color w:val="auto"/>
        </w:rPr>
        <w:t>tax related items</w:t>
      </w:r>
      <w:r>
        <w:rPr>
          <w:rFonts w:ascii="Times New Roman" w:cs="Times New Roman" w:eastAsia="Times New Roman" w:hAnsi="Times New Roman"/>
          <w:sz w:val="28"/>
          <w:szCs w:val="28"/>
          <w:i w:val="1"/>
          <w:iCs w:val="1"/>
          <w:color w:val="auto"/>
          <w:vertAlign w:val="superscript"/>
        </w:rPr>
        <w:t>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are described further below. Adjusted tax rate represents adjusted provision for income taxes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income before income taxes.</w:t>
      </w:r>
    </w:p>
    <w:p>
      <w:pPr>
        <w:spacing w:after="0" w:line="53" w:lineRule="exact"/>
        <w:rPr>
          <w:sz w:val="20"/>
          <w:szCs w:val="20"/>
          <w:color w:val="auto"/>
        </w:rPr>
      </w:pPr>
    </w:p>
    <w:p>
      <w:pPr>
        <w:jc w:val="both"/>
        <w:ind w:right="140"/>
        <w:spacing w:after="0" w:line="213" w:lineRule="auto"/>
        <w:rPr>
          <w:sz w:val="20"/>
          <w:szCs w:val="20"/>
          <w:color w:val="auto"/>
        </w:rPr>
      </w:pPr>
      <w:r>
        <w:rPr>
          <w:rFonts w:ascii="Times New Roman" w:cs="Times New Roman" w:eastAsia="Times New Roman" w:hAnsi="Times New Roman"/>
          <w:sz w:val="22"/>
          <w:szCs w:val="22"/>
          <w:color w:val="auto"/>
        </w:rPr>
        <w:t xml:space="preserve">Adjusted diluted EPS is defined as diluted EPS, determined in accordance with GAAP, excluding: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acquisition related transaction costs</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restructuring related expense</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charitable foundation contribution</w:t>
      </w:r>
      <w:r>
        <w:rPr>
          <w:rFonts w:ascii="Times New Roman" w:cs="Times New Roman" w:eastAsia="Times New Roman" w:hAnsi="Times New Roman"/>
          <w:sz w:val="28"/>
          <w:szCs w:val="28"/>
          <w:i w:val="1"/>
          <w:iCs w:val="1"/>
          <w:color w:val="auto"/>
          <w:vertAlign w:val="superscript"/>
        </w:rPr>
        <w:t>4</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i w:val="1"/>
          <w:iCs w:val="1"/>
          <w:color w:val="auto"/>
        </w:rPr>
        <w:t xml:space="preserve"> tax related items</w:t>
      </w:r>
      <w:r>
        <w:rPr>
          <w:rFonts w:ascii="Times New Roman" w:cs="Times New Roman" w:eastAsia="Times New Roman" w:hAnsi="Times New Roman"/>
          <w:sz w:val="28"/>
          <w:szCs w:val="28"/>
          <w:i w:val="1"/>
          <w:iCs w:val="1"/>
          <w:color w:val="auto"/>
          <w:vertAlign w:val="superscript"/>
        </w:rPr>
        <w:t>5</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which are described further below.</w:t>
      </w:r>
    </w:p>
    <w:p>
      <w:pPr>
        <w:spacing w:after="0" w:line="72"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22"/>
          <w:szCs w:val="22"/>
          <w:color w:val="auto"/>
        </w:rPr>
        <w:t>Free cash flow is defined as net cash provided by operating activities, determined in accordance with GAAP, less additions to property, plant and equipment, net. Free cash flow margin percentage represents free cash flow divided by revenue.</w:t>
      </w:r>
    </w:p>
    <w:p>
      <w:pPr>
        <w:spacing w:after="0" w:line="29" w:lineRule="exact"/>
        <w:rPr>
          <w:sz w:val="20"/>
          <w:szCs w:val="20"/>
          <w:color w:val="auto"/>
        </w:rPr>
      </w:pPr>
    </w:p>
    <w:p>
      <w:pPr>
        <w:ind w:left="660" w:right="160"/>
        <w:spacing w:after="0" w:line="236" w:lineRule="auto"/>
        <w:rPr>
          <w:sz w:val="20"/>
          <w:szCs w:val="20"/>
          <w:color w:val="auto"/>
        </w:rPr>
      </w:pP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2"/>
          <w:szCs w:val="22"/>
          <w:color w:val="auto"/>
        </w:rPr>
        <w:t>: Expenses incurred as a result of current and prior period acquisitions and primarily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include expenses associated with the fair value adjustments to inventory, property, plant and equipment and amortization of acquisition related intangibles, which include acquired intangibles such as purchased technology and customer relationships. Expenses also include severance payments, equity award accelerations, and the fair value adjustment associated with the replacement of share-based awards related to the Linear Technology</w:t>
      </w:r>
    </w:p>
    <w:p>
      <w:pPr>
        <w:sectPr>
          <w:pgSz w:w="11900" w:h="16838" w:orient="portrait"/>
          <w:cols w:equalWidth="0" w:num="1">
            <w:col w:w="11240"/>
          </w:cols>
          <w:pgMar w:left="320" w:top="990" w:right="339" w:bottom="1440" w:gutter="0" w:footer="0" w:header="0"/>
        </w:sectPr>
      </w:pPr>
    </w:p>
    <w:bookmarkStart w:id="8" w:name="page9"/>
    <w:bookmarkEnd w:id="8"/>
    <w:p>
      <w:pPr>
        <w:ind w:left="660" w:right="180"/>
        <w:spacing w:after="0" w:line="271" w:lineRule="auto"/>
        <w:rPr>
          <w:sz w:val="20"/>
          <w:szCs w:val="20"/>
          <w:color w:val="auto"/>
        </w:rPr>
      </w:pPr>
      <w:r>
        <w:rPr>
          <w:rFonts w:ascii="Times New Roman" w:cs="Times New Roman" w:eastAsia="Times New Roman" w:hAnsi="Times New Roman"/>
          <w:sz w:val="22"/>
          <w:szCs w:val="22"/>
          <w:color w:val="auto"/>
        </w:rPr>
        <w:t>Corporation (Linear) acquisition. We excluded these costs from our non-GAAP measures because they relate to specific transactions and are not reflective of our ongoing financial performance.</w:t>
      </w:r>
    </w:p>
    <w:p>
      <w:pPr>
        <w:spacing w:after="0" w:line="19" w:lineRule="exact"/>
        <w:rPr>
          <w:sz w:val="20"/>
          <w:szCs w:val="20"/>
          <w:color w:val="auto"/>
        </w:rPr>
      </w:pPr>
    </w:p>
    <w:p>
      <w:pPr>
        <w:ind w:left="660" w:right="20"/>
        <w:spacing w:after="0" w:line="234" w:lineRule="auto"/>
        <w:rPr>
          <w:sz w:val="20"/>
          <w:szCs w:val="20"/>
          <w:color w:val="auto"/>
        </w:rPr>
      </w:pP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i w:val="1"/>
          <w:iCs w:val="1"/>
          <w:color w:val="auto"/>
        </w:rPr>
        <w:t>Acquisition Related Transaction Costs</w:t>
      </w:r>
      <w:r>
        <w:rPr>
          <w:rFonts w:ascii="Times New Roman" w:cs="Times New Roman" w:eastAsia="Times New Roman" w:hAnsi="Times New Roman"/>
          <w:sz w:val="22"/>
          <w:szCs w:val="22"/>
          <w:color w:val="auto"/>
        </w:rPr>
        <w:t>: Costs directly related to the proposed Maxim Integrated Products, Inc.</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acquisition, including legal, accounting and other professional fees as well as integration-related costs. We excluded these costs from our non-GAAP measures because they relate to a specific transaction and are not reflective of our ongoing financial performance.</w:t>
      </w:r>
    </w:p>
    <w:p>
      <w:pPr>
        <w:spacing w:after="0" w:line="63" w:lineRule="exact"/>
        <w:rPr>
          <w:sz w:val="20"/>
          <w:szCs w:val="20"/>
          <w:color w:val="auto"/>
        </w:rPr>
      </w:pPr>
    </w:p>
    <w:p>
      <w:pPr>
        <w:ind w:left="660" w:right="60"/>
        <w:spacing w:after="0" w:line="236" w:lineRule="auto"/>
        <w:rPr>
          <w:sz w:val="20"/>
          <w:szCs w:val="20"/>
          <w:color w:val="auto"/>
        </w:rPr>
      </w:pP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i w:val="1"/>
          <w:iCs w:val="1"/>
          <w:color w:val="auto"/>
        </w:rPr>
        <w:t>Restructuring Related Expense</w:t>
      </w:r>
      <w:r>
        <w:rPr>
          <w:rFonts w:ascii="Times New Roman" w:cs="Times New Roman" w:eastAsia="Times New Roman" w:hAnsi="Times New Roman"/>
          <w:sz w:val="22"/>
          <w:szCs w:val="22"/>
          <w:color w:val="auto"/>
        </w:rPr>
        <w:t>: Expenses incurred in connection with facility closures, consolidation of manufacturing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facilities, severance, other accelerated stock-based compensation expense and other cost reduction efforts or reorganizational initiatives. We excluded these expenses from our non-GAAP measures because apart from ongoing expense savings as a result of such items, these expenses have no direct correlation to the operation of our business in the future.</w:t>
      </w:r>
    </w:p>
    <w:p>
      <w:pPr>
        <w:spacing w:after="0" w:line="65" w:lineRule="exact"/>
        <w:rPr>
          <w:sz w:val="20"/>
          <w:szCs w:val="20"/>
          <w:color w:val="auto"/>
        </w:rPr>
      </w:pPr>
    </w:p>
    <w:p>
      <w:pPr>
        <w:jc w:val="both"/>
        <w:ind w:left="660" w:right="140"/>
        <w:spacing w:after="0" w:line="232" w:lineRule="auto"/>
        <w:rPr>
          <w:sz w:val="20"/>
          <w:szCs w:val="20"/>
          <w:color w:val="auto"/>
        </w:rPr>
      </w:pPr>
      <w:r>
        <w:rPr>
          <w:rFonts w:ascii="Times New Roman" w:cs="Times New Roman" w:eastAsia="Times New Roman" w:hAnsi="Times New Roman"/>
          <w:sz w:val="28"/>
          <w:szCs w:val="28"/>
          <w:i w:val="1"/>
          <w:iCs w:val="1"/>
          <w:color w:val="auto"/>
          <w:vertAlign w:val="superscript"/>
        </w:rPr>
        <w:t>4</w:t>
      </w:r>
      <w:r>
        <w:rPr>
          <w:rFonts w:ascii="Times New Roman" w:cs="Times New Roman" w:eastAsia="Times New Roman" w:hAnsi="Times New Roman"/>
          <w:sz w:val="22"/>
          <w:szCs w:val="22"/>
          <w:i w:val="1"/>
          <w:iCs w:val="1"/>
          <w:color w:val="auto"/>
        </w:rPr>
        <w:t>Charitable Foundation Contribution</w:t>
      </w:r>
      <w:r>
        <w:rPr>
          <w:rFonts w:ascii="Times New Roman" w:cs="Times New Roman" w:eastAsia="Times New Roman" w:hAnsi="Times New Roman"/>
          <w:sz w:val="22"/>
          <w:szCs w:val="22"/>
          <w:color w:val="auto"/>
        </w:rPr>
        <w:t>: Expenses incurred in connection with a one time contribution of registered shares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common stock to the Analog Devices Foundation. We excluded this expense from our non-GAAP measures because this expense has no direct correlation to the operation of our business in the future.</w:t>
      </w:r>
    </w:p>
    <w:p>
      <w:pPr>
        <w:spacing w:after="0" w:line="54" w:lineRule="exact"/>
        <w:rPr>
          <w:sz w:val="20"/>
          <w:szCs w:val="20"/>
          <w:color w:val="auto"/>
        </w:rPr>
      </w:pPr>
    </w:p>
    <w:p>
      <w:pPr>
        <w:ind w:left="660" w:right="100"/>
        <w:spacing w:after="0" w:line="231" w:lineRule="auto"/>
        <w:rPr>
          <w:sz w:val="20"/>
          <w:szCs w:val="20"/>
          <w:color w:val="auto"/>
        </w:rPr>
      </w:pPr>
      <w:r>
        <w:rPr>
          <w:rFonts w:ascii="Times New Roman" w:cs="Times New Roman" w:eastAsia="Times New Roman" w:hAnsi="Times New Roman"/>
          <w:sz w:val="28"/>
          <w:szCs w:val="28"/>
          <w:i w:val="1"/>
          <w:iCs w:val="1"/>
          <w:color w:val="auto"/>
          <w:vertAlign w:val="superscript"/>
        </w:rPr>
        <w:t>5</w:t>
      </w:r>
      <w:r>
        <w:rPr>
          <w:rFonts w:ascii="Times New Roman" w:cs="Times New Roman" w:eastAsia="Times New Roman" w:hAnsi="Times New Roman"/>
          <w:sz w:val="22"/>
          <w:szCs w:val="22"/>
          <w:i w:val="1"/>
          <w:iCs w:val="1"/>
          <w:color w:val="auto"/>
        </w:rPr>
        <w:t>Tax Related Items</w:t>
      </w:r>
      <w:r>
        <w:rPr>
          <w:rFonts w:ascii="Times New Roman" w:cs="Times New Roman" w:eastAsia="Times New Roman" w:hAnsi="Times New Roman"/>
          <w:sz w:val="22"/>
          <w:szCs w:val="22"/>
          <w:color w:val="auto"/>
        </w:rPr>
        <w:t>: Income tax effect of the non-GAAP items discussed above. We excluded the income tax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benefit/provision effect of these tax related items from our non-GAAP measures because they are not associated with the tax expense on our ongoing operating results.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Analog Devices</w:t>
      </w:r>
    </w:p>
    <w:p>
      <w:pPr>
        <w:spacing w:after="0" w:line="251" w:lineRule="exact"/>
        <w:rPr>
          <w:sz w:val="20"/>
          <w:szCs w:val="20"/>
          <w:color w:val="auto"/>
        </w:rPr>
      </w:pPr>
    </w:p>
    <w:p>
      <w:pPr>
        <w:ind w:right="120"/>
        <w:spacing w:after="0" w:line="275" w:lineRule="auto"/>
        <w:rPr>
          <w:sz w:val="20"/>
          <w:szCs w:val="20"/>
          <w:color w:val="auto"/>
        </w:rPr>
      </w:pPr>
      <w:r>
        <w:rPr>
          <w:rFonts w:ascii="Times New Roman" w:cs="Times New Roman" w:eastAsia="Times New Roman" w:hAnsi="Times New Roman"/>
          <w:sz w:val="21"/>
          <w:szCs w:val="21"/>
          <w:color w:val="auto"/>
        </w:rPr>
        <w:t>Analog Devices (Nasdaq: ADI) is a leading global high-performance analog technology company dedicated to solving the toughest engineering challenges. We enable our customers to interpret the world around us by intelligently bridging the physical and digital with unmatched technologies that sense, measure, power, connect and interpret. Visit http://www.analog.com.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247"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2"/>
          <w:szCs w:val="22"/>
          <w:i w:val="1"/>
          <w:iCs w:val="1"/>
          <w:color w:val="auto"/>
        </w:rPr>
        <w:t>This press release contains forward-looking statements, which address a variety of subjects including, for example, our statements regarding our proposed acquisition of Maxim Integrated Products, Inc. (“Maxim”); the impact of the COVID-19 pandemic on our business, financial condition and results of operations; expected revenue, operating margin, tax rate, earnings per share, and other financial results; expected market trends, market share gains, operating leverage, production and inventory levels; expected customer demand and order rates for our products and expected product offerings; product development; and marketing position.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our or Maxim’s estimates of our respective expected tax rates based on current tax law; our ability to successfully integrate Maxim’s businesses and technologies; the risk that the expected benefits and synergies of the proposed transaction and growth prospects of the combined company may not be fully achieved in a timely manner,</w:t>
      </w:r>
    </w:p>
    <w:p>
      <w:pPr>
        <w:sectPr>
          <w:pgSz w:w="11900" w:h="16838" w:orient="portrait"/>
          <w:cols w:equalWidth="0" w:num="1">
            <w:col w:w="11200"/>
          </w:cols>
          <w:pgMar w:left="320" w:top="990" w:right="379" w:bottom="1440" w:gutter="0" w:footer="0" w:header="0"/>
        </w:sectPr>
      </w:pPr>
    </w:p>
    <w:bookmarkStart w:id="9" w:name="page10"/>
    <w:bookmarkEnd w:id="9"/>
    <w:p>
      <w:pPr>
        <w:spacing w:after="0" w:line="245" w:lineRule="auto"/>
        <w:rPr>
          <w:sz w:val="20"/>
          <w:szCs w:val="20"/>
          <w:color w:val="auto"/>
        </w:rPr>
      </w:pPr>
      <w:r>
        <w:rPr>
          <w:rFonts w:ascii="Times New Roman" w:cs="Times New Roman" w:eastAsia="Times New Roman" w:hAnsi="Times New Roman"/>
          <w:sz w:val="22"/>
          <w:szCs w:val="22"/>
          <w:i w:val="1"/>
          <w:iCs w:val="1"/>
          <w:color w:val="auto"/>
        </w:rPr>
        <w:t>or at all; adverse results in litigation matters, including the potential for litigation related to the proposed transaction; the risk that we or Maxim will be unable to retain and hire key personnel; the risk associated with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our common stock; the diversion of management time on transaction-related matters; our ability to successfully integrate acquired businesses and technologies; and the risk that expected benefits, synergies and growth prospects of acquisitions may not be fully achieved in a timely manner, or at all. For additional information about factors that could cause actual results to differ materially from those described in the forward-looking statements, please refer to our filings with the Securities and Exchange Commission (“SEC”), including the risk factors contained in our most recent Quarterly Report on Form 10-Q and Annual Report on Form 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0" w:lineRule="exact"/>
        <w:rPr>
          <w:sz w:val="20"/>
          <w:szCs w:val="20"/>
          <w:color w:val="auto"/>
        </w:rPr>
      </w:pPr>
    </w:p>
    <w:p>
      <w:pPr>
        <w:spacing w:after="0" w:line="264" w:lineRule="exact"/>
        <w:rPr>
          <w:sz w:val="20"/>
          <w:szCs w:val="20"/>
          <w:color w:val="auto"/>
        </w:rPr>
      </w:pPr>
    </w:p>
    <w:p>
      <w:pPr>
        <w:ind w:right="860"/>
        <w:spacing w:after="0" w:line="271" w:lineRule="auto"/>
        <w:rPr>
          <w:sz w:val="20"/>
          <w:szCs w:val="20"/>
          <w:color w:val="auto"/>
        </w:rPr>
      </w:pPr>
      <w:r>
        <w:rPr>
          <w:rFonts w:ascii="Times New Roman" w:cs="Times New Roman" w:eastAsia="Times New Roman" w:hAnsi="Times New Roman"/>
          <w:sz w:val="22"/>
          <w:szCs w:val="22"/>
          <w:color w:val="auto"/>
        </w:rPr>
        <w:t>Analog Devices and the Analog Devices logo are registered trademarks or trademarks of Analog Devices, Inc. All other trademarks mentioned in this document are the property of their respective owners.</w:t>
      </w:r>
    </w:p>
    <w:p>
      <w:pPr>
        <w:sectPr>
          <w:pgSz w:w="11900" w:h="16838" w:orient="portrait"/>
          <w:cols w:equalWidth="0" w:num="1">
            <w:col w:w="11240"/>
          </w:cols>
          <w:pgMar w:left="320" w:top="891"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4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2700" w:type="dxa"/>
            <w:vAlign w:val="bottom"/>
            <w:tcBorders>
              <w:top w:val="single" w:sz="8" w:color="auto"/>
              <w:bottom w:val="single" w:sz="8" w:color="auto"/>
            </w:tcBorders>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 30, 2021</w:t>
            </w:r>
          </w:p>
        </w:tc>
        <w:tc>
          <w:tcPr>
            <w:tcW w:w="160" w:type="dxa"/>
            <w:vAlign w:val="bottom"/>
          </w:tcPr>
          <w:p>
            <w:pPr>
              <w:spacing w:after="0"/>
              <w:rPr>
                <w:sz w:val="19"/>
                <w:szCs w:val="19"/>
                <w:color w:val="auto"/>
              </w:rPr>
            </w:pPr>
          </w:p>
        </w:tc>
        <w:tc>
          <w:tcPr>
            <w:tcW w:w="12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Feb. 1, 2020</w:t>
            </w:r>
          </w:p>
        </w:tc>
      </w:tr>
      <w:tr>
        <w:trPr>
          <w:trHeight w:val="223"/>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1,558,458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1,303,565</w:t>
            </w:r>
          </w:p>
        </w:tc>
      </w:tr>
      <w:tr>
        <w:trPr>
          <w:trHeight w:val="229"/>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513,087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455,423</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1,045,371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848,142</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288,150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257,073</w:t>
            </w:r>
          </w:p>
        </w:tc>
      </w:tr>
      <w:tr>
        <w:trPr>
          <w:trHeight w:val="229"/>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199,280</w:t>
            </w:r>
          </w:p>
        </w:tc>
      </w:tr>
      <w:tr>
        <w:trPr>
          <w:trHeight w:val="230"/>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107,225</w:t>
            </w:r>
          </w:p>
        </w:tc>
      </w:tr>
      <w:tr>
        <w:trPr>
          <w:trHeight w:val="229"/>
        </w:trPr>
        <w:tc>
          <w:tcPr>
            <w:tcW w:w="8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Special charges</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11,136</w:t>
            </w: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581,511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574,714</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463,860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273,428</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48,813</w:t>
            </w:r>
          </w:p>
        </w:tc>
      </w:tr>
      <w:tr>
        <w:trPr>
          <w:trHeight w:val="229"/>
        </w:trPr>
        <w:tc>
          <w:tcPr>
            <w:tcW w:w="8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w:t>
            </w:r>
          </w:p>
        </w:tc>
      </w:tr>
      <w:tr>
        <w:trPr>
          <w:trHeight w:val="229"/>
        </w:trPr>
        <w:tc>
          <w:tcPr>
            <w:tcW w:w="84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23"/>
        </w:trPr>
        <w:tc>
          <w:tcPr>
            <w:tcW w:w="84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47,211</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436,618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226,217</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48,099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22,343</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388,519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203,874</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8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basic</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369,203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368,241</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common share - diluted</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373,106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372,264</w:t>
            </w:r>
          </w:p>
        </w:tc>
      </w:tr>
      <w:tr>
        <w:trPr>
          <w:trHeight w:val="257"/>
        </w:trPr>
        <w:tc>
          <w:tcPr>
            <w:tcW w:w="8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34"/>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r>
    </w:tbl>
    <w:p>
      <w:pPr>
        <w:sectPr>
          <w:pgSz w:w="11900" w:h="16838" w:orient="portrait"/>
          <w:cols w:equalWidth="0" w:num="1">
            <w:col w:w="11240"/>
          </w:cols>
          <w:pgMar w:left="320" w:top="887" w:right="33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Jan. 30, 2021</w:t>
            </w:r>
          </w:p>
        </w:tc>
        <w:tc>
          <w:tcPr>
            <w:tcW w:w="340" w:type="dxa"/>
            <w:vAlign w:val="bottom"/>
          </w:tcPr>
          <w:p>
            <w:pPr>
              <w:spacing w:after="0"/>
              <w:rPr>
                <w:sz w:val="20"/>
                <w:szCs w:val="20"/>
                <w:color w:val="auto"/>
              </w:rPr>
            </w:pPr>
          </w:p>
        </w:tc>
        <w:tc>
          <w:tcPr>
            <w:tcW w:w="184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Oct. 31, 2020</w:t>
            </w:r>
          </w:p>
        </w:tc>
      </w:tr>
      <w:tr>
        <w:trPr>
          <w:trHeight w:val="223"/>
        </w:trPr>
        <w:tc>
          <w:tcPr>
            <w:tcW w:w="6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1,048,063</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1,055,860</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826,964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737,536</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618,640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608,260</w:t>
            </w:r>
          </w:p>
        </w:tc>
      </w:tr>
      <w:tr>
        <w:trPr>
          <w:trHeight w:val="229"/>
        </w:trPr>
        <w:tc>
          <w:tcPr>
            <w:tcW w:w="6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131,074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116,032</w:t>
            </w:r>
          </w:p>
        </w:tc>
      </w:tr>
      <w:tr>
        <w:trPr>
          <w:trHeight w:val="223"/>
        </w:trPr>
        <w:tc>
          <w:tcPr>
            <w:tcW w:w="6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2,624,741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2,517,688</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1,129,214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1,120,561</w:t>
            </w: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86,729</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12,282,751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12,278,425</w:t>
            </w: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3,535,475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3,650,280</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1,466,489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1,503,064</w:t>
            </w: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309,720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311,856</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21,440,110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21,468,603</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237"/>
        </w:trPr>
        <w:tc>
          <w:tcPr>
            <w:tcW w:w="67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1,277,537</w:t>
            </w:r>
          </w:p>
        </w:tc>
        <w:tc>
          <w:tcPr>
            <w:tcW w:w="1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1,364,986</w:t>
            </w:r>
          </w:p>
        </w:tc>
      </w:tr>
      <w:tr>
        <w:trPr>
          <w:trHeight w:val="230"/>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current</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399,220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4,747,347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5,145,102</w:t>
            </w: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1,862,068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1,919,595</w:t>
            </w:r>
          </w:p>
        </w:tc>
      </w:tr>
      <w:tr>
        <w:trPr>
          <w:trHeight w:val="230"/>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1,040,975</w:t>
            </w:r>
          </w:p>
        </w:tc>
      </w:tr>
      <w:tr>
        <w:trPr>
          <w:trHeight w:val="229"/>
        </w:trPr>
        <w:tc>
          <w:tcPr>
            <w:tcW w:w="6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12,087,746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11,997,945</w:t>
            </w:r>
          </w:p>
        </w:tc>
      </w:tr>
      <w:tr>
        <w:trPr>
          <w:trHeight w:val="223"/>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&amp;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21,440,110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21,468,603</w:t>
            </w:r>
          </w:p>
        </w:tc>
      </w:tr>
      <w:tr>
        <w:trPr>
          <w:trHeight w:val="21"/>
        </w:trPr>
        <w:tc>
          <w:tcPr>
            <w:tcW w:w="6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887" w:right="35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14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920" w:type="dxa"/>
            <w:vAlign w:val="bottom"/>
            <w:tcBorders>
              <w:top w:val="single" w:sz="8" w:color="auto"/>
              <w:bottom w:val="single" w:sz="8" w:color="auto"/>
            </w:tcBorders>
            <w:gridSpan w:val="4"/>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23"/>
        </w:trPr>
        <w:tc>
          <w:tcPr>
            <w:tcW w:w="8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 30, 2021</w:t>
            </w:r>
          </w:p>
        </w:tc>
        <w:tc>
          <w:tcPr>
            <w:tcW w:w="200" w:type="dxa"/>
            <w:vAlign w:val="bottom"/>
          </w:tcPr>
          <w:p>
            <w:pPr>
              <w:spacing w:after="0"/>
              <w:rPr>
                <w:sz w:val="19"/>
                <w:szCs w:val="19"/>
                <w:color w:val="auto"/>
              </w:rPr>
            </w:pPr>
          </w:p>
        </w:tc>
        <w:tc>
          <w:tcPr>
            <w:tcW w:w="13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Feb. 1, 2020</w:t>
            </w:r>
          </w:p>
        </w:tc>
      </w:tr>
      <w:tr>
        <w:trPr>
          <w:trHeight w:val="209"/>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388,519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203,874</w:t>
            </w:r>
          </w:p>
        </w:tc>
      </w:tr>
      <w:tr>
        <w:trPr>
          <w:trHeight w:val="230"/>
        </w:trPr>
        <w:tc>
          <w:tcPr>
            <w:tcW w:w="8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operations: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w:t>
            </w:r>
          </w:p>
        </w:tc>
        <w:tc>
          <w:tcPr>
            <w:tcW w:w="1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56,309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59,863</w:t>
            </w:r>
          </w:p>
        </w:tc>
      </w:tr>
      <w:tr>
        <w:trPr>
          <w:trHeight w:val="22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144,069</w:t>
            </w:r>
          </w:p>
        </w:tc>
      </w:tr>
      <w:tr>
        <w:trPr>
          <w:trHeight w:val="230"/>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9"/>
                <w:szCs w:val="19"/>
                <w:color w:val="auto"/>
              </w:rPr>
            </w:pP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36,638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37,501</w:t>
            </w:r>
          </w:p>
        </w:tc>
      </w:tr>
      <w:tr>
        <w:trPr>
          <w:trHeight w:val="22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(27,275)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(13,982)</w:t>
            </w:r>
          </w:p>
        </w:tc>
      </w:tr>
      <w:tr>
        <w:trPr>
          <w:trHeight w:val="230"/>
        </w:trPr>
        <w:tc>
          <w:tcPr>
            <w:tcW w:w="8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Non-cash contribution to charitable foundation</w:t>
            </w:r>
          </w:p>
        </w:tc>
        <w:tc>
          <w:tcPr>
            <w:tcW w:w="180" w:type="dxa"/>
            <w:vAlign w:val="bottom"/>
          </w:tcPr>
          <w:p>
            <w:pPr>
              <w:spacing w:after="0"/>
              <w:rPr>
                <w:sz w:val="19"/>
                <w:szCs w:val="19"/>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40,000</w:t>
            </w:r>
          </w:p>
        </w:tc>
      </w:tr>
      <w:tr>
        <w:trPr>
          <w:trHeight w:val="229"/>
        </w:trPr>
        <w:tc>
          <w:tcPr>
            <w:tcW w:w="8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non-cash activity</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(14,553)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2,332</w:t>
            </w:r>
          </w:p>
        </w:tc>
      </w:tr>
      <w:tr>
        <w:trPr>
          <w:trHeight w:val="229"/>
        </w:trPr>
        <w:tc>
          <w:tcPr>
            <w:tcW w:w="8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(156,741)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(124,009)</w:t>
            </w:r>
          </w:p>
        </w:tc>
      </w:tr>
      <w:tr>
        <w:trPr>
          <w:trHeight w:val="223"/>
        </w:trPr>
        <w:tc>
          <w:tcPr>
            <w:tcW w:w="8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adjustments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39,422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145,774</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427,941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349,648</w:t>
            </w:r>
          </w:p>
        </w:tc>
      </w:tr>
      <w:tr>
        <w:trPr>
          <w:trHeight w:val="223"/>
        </w:trPr>
        <w:tc>
          <w:tcPr>
            <w:tcW w:w="81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Percent of revenue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other investments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18,566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 to property, plant and equipment</w:t>
            </w:r>
          </w:p>
        </w:tc>
        <w:tc>
          <w:tcPr>
            <w:tcW w:w="1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(67,388)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(54,839)</w:t>
            </w: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paid for asset acquisition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(22,522)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for acquisitions, net of cash acquired</w:t>
            </w:r>
          </w:p>
        </w:tc>
        <w:tc>
          <w:tcPr>
            <w:tcW w:w="1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(2,428)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other assets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(75,071)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(54,732)</w:t>
            </w:r>
          </w:p>
        </w:tc>
      </w:tr>
      <w:tr>
        <w:trPr>
          <w:trHeight w:val="250"/>
        </w:trPr>
        <w:tc>
          <w:tcPr>
            <w:tcW w:w="8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payments to shareholders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(229,179)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(199,160)</w:t>
            </w:r>
          </w:p>
        </w:tc>
      </w:tr>
      <w:tr>
        <w:trPr>
          <w:trHeight w:val="230"/>
        </w:trPr>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(157,057)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(106,030)</w:t>
            </w:r>
          </w:p>
        </w:tc>
      </w:tr>
      <w:tr>
        <w:trPr>
          <w:trHeight w:val="230"/>
        </w:trPr>
        <w:tc>
          <w:tcPr>
            <w:tcW w:w="8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16,113</w:t>
            </w:r>
          </w:p>
        </w:tc>
      </w:tr>
      <w:tr>
        <w:trPr>
          <w:trHeight w:val="230"/>
        </w:trPr>
        <w:tc>
          <w:tcPr>
            <w:tcW w:w="81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Changes in other financing activities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2,493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(495)</w:t>
            </w:r>
          </w:p>
        </w:tc>
      </w:tr>
      <w:tr>
        <w:trPr>
          <w:trHeight w:val="223"/>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(363,823)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(289,572)</w:t>
            </w:r>
          </w:p>
        </w:tc>
      </w:tr>
      <w:tr>
        <w:trPr>
          <w:trHeight w:val="223"/>
        </w:trPr>
        <w:tc>
          <w:tcPr>
            <w:tcW w:w="8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742</w:t>
            </w:r>
          </w:p>
        </w:tc>
      </w:tr>
      <w:tr>
        <w:trPr>
          <w:trHeight w:val="250"/>
        </w:trPr>
        <w:tc>
          <w:tcPr>
            <w:tcW w:w="8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bl>
    <w:p>
      <w:pPr>
        <w:spacing w:after="0" w:line="1" w:lineRule="exact"/>
        <w:rPr>
          <w:sz w:val="20"/>
          <w:szCs w:val="20"/>
          <w:color w:val="auto"/>
        </w:rPr>
      </w:pPr>
    </w:p>
    <w:p>
      <w:pPr>
        <w:sectPr>
          <w:pgSz w:w="11900" w:h="16838" w:orient="portrait"/>
          <w:cols w:equalWidth="0" w:num="1">
            <w:col w:w="11240"/>
          </w:cols>
          <w:pgMar w:left="320" w:top="887"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Net (decrease) increase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145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jc w:val="both"/>
        <w:ind w:left="780"/>
        <w:spacing w:after="0"/>
        <w:tabs>
          <w:tab w:leader="none" w:pos="2440" w:val="left"/>
        </w:tabs>
        <w:rPr>
          <w:sz w:val="20"/>
          <w:szCs w:val="20"/>
          <w:color w:val="auto"/>
        </w:rPr>
      </w:pPr>
      <w:r>
        <w:rPr>
          <w:rFonts w:ascii="Times New Roman" w:cs="Times New Roman" w:eastAsia="Times New Roman" w:hAnsi="Times New Roman"/>
          <w:sz w:val="18"/>
          <w:szCs w:val="18"/>
          <w:color w:val="auto"/>
        </w:rPr>
        <w:t>(7,797)</w:t>
      </w:r>
      <w:r>
        <w:rPr>
          <w:sz w:val="20"/>
          <w:szCs w:val="20"/>
          <w:color w:val="auto"/>
        </w:rPr>
        <w:tab/>
      </w:r>
      <w:r>
        <w:rPr>
          <w:rFonts w:ascii="Times New Roman" w:cs="Times New Roman" w:eastAsia="Times New Roman" w:hAnsi="Times New Roman"/>
          <w:sz w:val="18"/>
          <w:szCs w:val="18"/>
          <w:color w:val="auto"/>
        </w:rPr>
        <w:t>6,086</w:t>
      </w:r>
    </w:p>
    <w:p>
      <w:pPr>
        <w:spacing w:after="0" w:line="23" w:lineRule="exact"/>
        <w:rPr>
          <w:sz w:val="20"/>
          <w:szCs w:val="20"/>
          <w:color w:val="auto"/>
        </w:rPr>
      </w:pPr>
    </w:p>
    <w:p>
      <w:pPr>
        <w:jc w:val="both"/>
        <w:ind w:left="540"/>
        <w:spacing w:after="0"/>
        <w:tabs>
          <w:tab w:leader="none" w:pos="2260" w:val="left"/>
        </w:tabs>
        <w:rPr>
          <w:sz w:val="20"/>
          <w:szCs w:val="20"/>
          <w:color w:val="auto"/>
        </w:rPr>
      </w:pPr>
      <w:r>
        <w:rPr>
          <w:rFonts w:ascii="Times New Roman" w:cs="Times New Roman" w:eastAsia="Times New Roman" w:hAnsi="Times New Roman"/>
          <w:sz w:val="18"/>
          <w:szCs w:val="18"/>
          <w:color w:val="auto"/>
        </w:rPr>
        <w:t>1,055,860</w:t>
      </w:r>
      <w:r>
        <w:rPr>
          <w:sz w:val="20"/>
          <w:szCs w:val="20"/>
          <w:color w:val="auto"/>
        </w:rPr>
        <w:tab/>
      </w:r>
      <w:r>
        <w:rPr>
          <w:rFonts w:ascii="Times New Roman" w:cs="Times New Roman" w:eastAsia="Times New Roman" w:hAnsi="Times New Roman"/>
          <w:sz w:val="18"/>
          <w:szCs w:val="18"/>
          <w:color w:val="auto"/>
        </w:rPr>
        <w:t>648,322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14605</wp:posOffset>
            </wp:positionV>
            <wp:extent cx="19716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1" w:lineRule="exact"/>
        <w:rPr>
          <w:sz w:val="20"/>
          <w:szCs w:val="20"/>
          <w:color w:val="auto"/>
        </w:rPr>
      </w:pPr>
    </w:p>
    <w:p>
      <w:pPr>
        <w:spacing w:after="0"/>
        <w:tabs>
          <w:tab w:leader="none" w:pos="520" w:val="left"/>
          <w:tab w:leader="none" w:pos="1580" w:val="left"/>
          <w:tab w:leader="none" w:pos="22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1,048,063</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654,408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17145</wp:posOffset>
            </wp:positionV>
            <wp:extent cx="197167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71675" cy="34290"/>
                    </a:xfrm>
                    <a:prstGeom prst="rect">
                      <a:avLst/>
                    </a:prstGeom>
                    <a:noFill/>
                  </pic:spPr>
                </pic:pic>
              </a:graphicData>
            </a:graphic>
          </wp:anchor>
        </w:drawing>
      </w:r>
    </w:p>
    <w:p>
      <w:pPr>
        <w:sectPr>
          <w:pgSz w:w="11900" w:h="16838" w:orient="portrait"/>
          <w:cols w:equalWidth="0" w:num="2">
            <w:col w:w="7440" w:space="720"/>
            <w:col w:w="3080"/>
          </w:cols>
          <w:pgMar w:left="320" w:top="887" w:right="339" w:bottom="1440" w:gutter="0" w:footer="0" w:header="0"/>
          <w:type w:val="continuous"/>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REVENUE TRENDS BY END MARKET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700" w:type="dxa"/>
            <w:vAlign w:val="bottom"/>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spacing w:after="0"/>
              <w:rPr>
                <w:sz w:val="21"/>
                <w:szCs w:val="21"/>
                <w:color w:val="auto"/>
              </w:rPr>
            </w:pPr>
          </w:p>
        </w:tc>
        <w:tc>
          <w:tcPr>
            <w:tcW w:w="18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620" w:type="dxa"/>
            <w:vAlign w:val="bottom"/>
            <w:tcBorders>
              <w:top w:val="single" w:sz="8" w:color="auto"/>
              <w:bottom w:val="single" w:sz="8" w:color="auto"/>
            </w:tcBorders>
          </w:tcPr>
          <w:p>
            <w:pPr>
              <w:spacing w:after="0"/>
              <w:rPr>
                <w:sz w:val="21"/>
                <w:szCs w:val="21"/>
                <w:color w:val="auto"/>
              </w:rPr>
            </w:pPr>
          </w:p>
        </w:tc>
      </w:tr>
      <w:tr>
        <w:trPr>
          <w:trHeight w:val="223"/>
        </w:trPr>
        <w:tc>
          <w:tcPr>
            <w:tcW w:w="2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Jan. 30, 2021</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8"/>
                <w:szCs w:val="18"/>
                <w:b w:val="1"/>
                <w:bCs w:val="1"/>
                <w:color w:val="auto"/>
              </w:rPr>
              <w:t>Feb. 1, 2020</w:t>
            </w:r>
          </w:p>
        </w:tc>
      </w:tr>
      <w:tr>
        <w:trPr>
          <w:trHeight w:val="223"/>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Y/Y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855,454</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24%</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687,685</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w:t>
            </w:r>
          </w:p>
        </w:tc>
      </w:tr>
      <w:tr>
        <w:trPr>
          <w:trHeight w:val="23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281,049</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18%</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241,804</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Automotive</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245,250</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205,712</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176,705</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7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168,364</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13%</w:t>
            </w:r>
          </w:p>
        </w:tc>
      </w:tr>
      <w:tr>
        <w:trPr>
          <w:trHeight w:val="221"/>
        </w:trPr>
        <w:tc>
          <w:tcPr>
            <w:tcW w:w="27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shd w:val="clear" w:color="auto" w:fill="CCEEFF"/>
          </w:tcPr>
          <w:p>
            <w:pPr>
              <w:jc w:val="right"/>
              <w:ind w:right="11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1,558,458</w:t>
            </w:r>
          </w:p>
        </w:tc>
        <w:tc>
          <w:tcPr>
            <w:tcW w:w="120" w:type="dxa"/>
            <w:vAlign w:val="bottom"/>
            <w:tcBorders>
              <w:bottom w:val="single" w:sz="8" w:color="CCEEFF"/>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7"/>
              </w:rPr>
              <w:t>100%</w:t>
            </w:r>
          </w:p>
        </w:tc>
        <w:tc>
          <w:tcPr>
            <w:tcW w:w="1720" w:type="dxa"/>
            <w:vAlign w:val="bottom"/>
            <w:tcBorders>
              <w:bottom w:val="single" w:sz="8" w:color="CCEEFF"/>
            </w:tcBorders>
            <w:gridSpan w:val="2"/>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20%</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1,303,565</w:t>
            </w:r>
          </w:p>
        </w:tc>
        <w:tc>
          <w:tcPr>
            <w:tcW w:w="1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sum of the individual percentages may not equal the total due to rounding.</w:t>
      </w:r>
    </w:p>
    <w:p>
      <w:pPr>
        <w:sectPr>
          <w:pgSz w:w="11900" w:h="16838" w:orient="portrait"/>
          <w:cols w:equalWidth="0" w:num="1">
            <w:col w:w="11240"/>
          </w:cols>
          <w:pgMar w:left="320" w:top="88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3180" w:type="dxa"/>
            <w:vAlign w:val="bottom"/>
            <w:tcBorders>
              <w:top w:val="single" w:sz="8" w:color="auto"/>
              <w:bottom w:val="single" w:sz="8" w:color="auto"/>
            </w:tcBorders>
            <w:gridSpan w:val="4"/>
          </w:tcPr>
          <w:p>
            <w:pPr>
              <w:jc w:val="right"/>
              <w:ind w:right="89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0" w:type="dxa"/>
            <w:vAlign w:val="bottom"/>
          </w:tcPr>
          <w:p>
            <w:pPr>
              <w:spacing w:after="0"/>
              <w:rPr>
                <w:sz w:val="1"/>
                <w:szCs w:val="1"/>
                <w:color w:val="auto"/>
              </w:rPr>
            </w:pPr>
          </w:p>
        </w:tc>
      </w:tr>
      <w:tr>
        <w:trPr>
          <w:trHeight w:val="209"/>
        </w:trPr>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Jan. 30, 2021</w:t>
            </w:r>
          </w:p>
        </w:tc>
        <w:tc>
          <w:tcPr>
            <w:tcW w:w="260" w:type="dxa"/>
            <w:vAlign w:val="bottom"/>
          </w:tcPr>
          <w:p>
            <w:pPr>
              <w:spacing w:after="0"/>
              <w:rPr>
                <w:sz w:val="18"/>
                <w:szCs w:val="18"/>
                <w:color w:val="auto"/>
              </w:rPr>
            </w:pPr>
          </w:p>
        </w:tc>
        <w:tc>
          <w:tcPr>
            <w:tcW w:w="140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Feb. 1, 2020</w:t>
            </w:r>
          </w:p>
        </w:tc>
        <w:tc>
          <w:tcPr>
            <w:tcW w:w="0" w:type="dxa"/>
            <w:vAlign w:val="bottom"/>
          </w:tcPr>
          <w:p>
            <w:pPr>
              <w:spacing w:after="0"/>
              <w:rPr>
                <w:sz w:val="1"/>
                <w:szCs w:val="1"/>
                <w:color w:val="auto"/>
              </w:rPr>
            </w:pPr>
          </w:p>
        </w:tc>
      </w:tr>
      <w:tr>
        <w:trPr>
          <w:trHeight w:val="36"/>
        </w:trPr>
        <w:tc>
          <w:tcPr>
            <w:tcW w:w="7820" w:type="dxa"/>
            <w:vAlign w:val="bottom"/>
          </w:tcPr>
          <w:p>
            <w:pPr>
              <w:spacing w:after="0"/>
              <w:rPr>
                <w:sz w:val="3"/>
                <w:szCs w:val="3"/>
                <w:color w:val="auto"/>
              </w:rPr>
            </w:pPr>
          </w:p>
        </w:tc>
        <w:tc>
          <w:tcPr>
            <w:tcW w:w="240" w:type="dxa"/>
            <w:vAlign w:val="bottom"/>
            <w:tcBorders>
              <w:top w:val="single" w:sz="8" w:color="auto"/>
            </w:tcBorders>
          </w:tcPr>
          <w:p>
            <w:pPr>
              <w:spacing w:after="0"/>
              <w:rPr>
                <w:sz w:val="3"/>
                <w:szCs w:val="3"/>
                <w:color w:val="auto"/>
              </w:rPr>
            </w:pPr>
          </w:p>
        </w:tc>
        <w:tc>
          <w:tcPr>
            <w:tcW w:w="142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400" w:type="dxa"/>
            <w:vAlign w:val="bottom"/>
            <w:tcBorders>
              <w:top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1,045,371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848,142</w:t>
            </w:r>
          </w:p>
        </w:tc>
        <w:tc>
          <w:tcPr>
            <w:tcW w:w="0" w:type="dxa"/>
            <w:vAlign w:val="bottom"/>
          </w:tcPr>
          <w:p>
            <w:pPr>
              <w:spacing w:after="0"/>
              <w:rPr>
                <w:sz w:val="1"/>
                <w:szCs w:val="1"/>
                <w:color w:val="auto"/>
              </w:rPr>
            </w:pPr>
          </w:p>
        </w:tc>
      </w:tr>
      <w:tr>
        <w:trPr>
          <w:trHeight w:val="213"/>
        </w:trPr>
        <w:tc>
          <w:tcPr>
            <w:tcW w:w="7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Gross margin percentage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65.1 %</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44,997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45,016</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gross margin</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1,090,368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893,158</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gross margin percentage</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68.5 %</w:t>
            </w:r>
          </w:p>
        </w:tc>
        <w:tc>
          <w:tcPr>
            <w:tcW w:w="0" w:type="dxa"/>
            <w:vAlign w:val="bottom"/>
          </w:tcPr>
          <w:p>
            <w:pPr>
              <w:spacing w:after="0"/>
              <w:rPr>
                <w:sz w:val="1"/>
                <w:szCs w:val="1"/>
                <w:color w:val="auto"/>
              </w:rPr>
            </w:pPr>
          </w:p>
        </w:tc>
      </w:tr>
      <w:tr>
        <w:trPr>
          <w:trHeight w:val="54"/>
        </w:trPr>
        <w:tc>
          <w:tcPr>
            <w:tcW w:w="7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581,511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574,714</w:t>
            </w:r>
          </w:p>
        </w:tc>
        <w:tc>
          <w:tcPr>
            <w:tcW w:w="0" w:type="dxa"/>
            <w:vAlign w:val="bottom"/>
          </w:tcPr>
          <w:p>
            <w:pPr>
              <w:spacing w:after="0"/>
              <w:rPr>
                <w:sz w:val="1"/>
                <w:szCs w:val="1"/>
                <w:color w:val="auto"/>
              </w:rPr>
            </w:pPr>
          </w:p>
        </w:tc>
      </w:tr>
      <w:tr>
        <w:trPr>
          <w:trHeight w:val="213"/>
        </w:trPr>
        <w:tc>
          <w:tcPr>
            <w:tcW w:w="7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Percent of revenue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44.1 %</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(110,300)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(111,782)</w:t>
            </w: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240" w:type="dxa"/>
            <w:vAlign w:val="bottom"/>
          </w:tcPr>
          <w:p>
            <w:pPr>
              <w:spacing w:after="0"/>
              <w:rPr>
                <w:sz w:val="18"/>
                <w:szCs w:val="18"/>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(15,236)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Charitable foundation contribution</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(40,000)</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Restructuring related expense</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(11,136)</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operating expenses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455,537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411,796</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Adjusted operating expenses percentage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2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29.2 %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31.6 %</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463,860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273,428</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Operating margin</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21.0 %</w:t>
            </w: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4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155,297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156,798</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15,236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Charitable foundation contribution</w:t>
            </w:r>
          </w:p>
        </w:tc>
        <w:tc>
          <w:tcPr>
            <w:tcW w:w="240" w:type="dxa"/>
            <w:vAlign w:val="bottom"/>
          </w:tcPr>
          <w:p>
            <w:pPr>
              <w:spacing w:after="0"/>
              <w:rPr>
                <w:sz w:val="18"/>
                <w:szCs w:val="18"/>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40,000</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Restructuring related expense</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11,136</w:t>
            </w:r>
          </w:p>
        </w:tc>
        <w:tc>
          <w:tcPr>
            <w:tcW w:w="0" w:type="dxa"/>
            <w:vAlign w:val="bottom"/>
          </w:tcPr>
          <w:p>
            <w:pPr>
              <w:spacing w:after="0"/>
              <w:rPr>
                <w:sz w:val="1"/>
                <w:szCs w:val="1"/>
                <w:color w:val="auto"/>
              </w:rPr>
            </w:pPr>
          </w:p>
        </w:tc>
      </w:tr>
      <w:tr>
        <w:trPr>
          <w:trHeight w:val="21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income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634,831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481,362</w:t>
            </w:r>
          </w:p>
        </w:tc>
        <w:tc>
          <w:tcPr>
            <w:tcW w:w="0" w:type="dxa"/>
            <w:vAlign w:val="bottom"/>
          </w:tcPr>
          <w:p>
            <w:pPr>
              <w:spacing w:after="0"/>
              <w:rPr>
                <w:sz w:val="1"/>
                <w:szCs w:val="1"/>
                <w:color w:val="auto"/>
              </w:rPr>
            </w:pPr>
          </w:p>
        </w:tc>
      </w:tr>
      <w:tr>
        <w:trPr>
          <w:trHeight w:val="20"/>
        </w:trPr>
        <w:tc>
          <w:tcPr>
            <w:tcW w:w="78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Adjusted operating margin</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36.9 %</w:t>
            </w:r>
          </w:p>
        </w:tc>
        <w:tc>
          <w:tcPr>
            <w:tcW w:w="0" w:type="dxa"/>
            <w:vAlign w:val="bottom"/>
          </w:tcPr>
          <w:p>
            <w:pPr>
              <w:spacing w:after="0"/>
              <w:rPr>
                <w:sz w:val="1"/>
                <w:szCs w:val="1"/>
                <w:color w:val="auto"/>
              </w:rPr>
            </w:pPr>
          </w:p>
        </w:tc>
      </w:tr>
      <w:tr>
        <w:trPr>
          <w:trHeight w:val="54"/>
        </w:trPr>
        <w:tc>
          <w:tcPr>
            <w:tcW w:w="78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48,099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22,343</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Income tax effect of adjustments above</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22,796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28,280</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provision for income taxes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70,895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50,623</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436,618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226,217</w:t>
            </w:r>
          </w:p>
        </w:tc>
        <w:tc>
          <w:tcPr>
            <w:tcW w:w="0" w:type="dxa"/>
            <w:vAlign w:val="bottom"/>
          </w:tcPr>
          <w:p>
            <w:pPr>
              <w:spacing w:after="0"/>
              <w:rPr>
                <w:sz w:val="1"/>
                <w:szCs w:val="1"/>
                <w:color w:val="auto"/>
              </w:rPr>
            </w:pPr>
          </w:p>
        </w:tc>
      </w:tr>
      <w:tr>
        <w:trPr>
          <w:trHeight w:val="213"/>
        </w:trPr>
        <w:tc>
          <w:tcPr>
            <w:tcW w:w="78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Effective tax rate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11.0 %</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9.9 %</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155,297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156,798</w:t>
            </w: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24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15,236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Charitable foundation contribution</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40,000</w:t>
            </w:r>
          </w:p>
        </w:tc>
        <w:tc>
          <w:tcPr>
            <w:tcW w:w="0" w:type="dxa"/>
            <w:vAlign w:val="bottom"/>
          </w:tcPr>
          <w:p>
            <w:pPr>
              <w:spacing w:after="0"/>
              <w:rPr>
                <w:sz w:val="1"/>
                <w:szCs w:val="1"/>
                <w:color w:val="auto"/>
              </w:rPr>
            </w:pPr>
          </w:p>
        </w:tc>
      </w:tr>
      <w:tr>
        <w:trPr>
          <w:trHeight w:val="213"/>
        </w:trPr>
        <w:tc>
          <w:tcPr>
            <w:tcW w:w="7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Restructuring related expense</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11,136</w:t>
            </w:r>
          </w:p>
        </w:tc>
        <w:tc>
          <w:tcPr>
            <w:tcW w:w="0" w:type="dxa"/>
            <w:vAlign w:val="bottom"/>
          </w:tcPr>
          <w:p>
            <w:pPr>
              <w:spacing w:after="0"/>
              <w:rPr>
                <w:sz w:val="1"/>
                <w:szCs w:val="1"/>
                <w:color w:val="auto"/>
              </w:rPr>
            </w:pPr>
          </w:p>
        </w:tc>
      </w:tr>
      <w:tr>
        <w:trPr>
          <w:trHeight w:val="237"/>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income before income taxes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607,589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434,151</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100"/>
              <w:spacing w:after="0"/>
              <w:rPr>
                <w:sz w:val="20"/>
                <w:szCs w:val="20"/>
                <w:color w:val="auto"/>
              </w:rPr>
            </w:pPr>
            <w:r>
              <w:rPr>
                <w:rFonts w:ascii="Times New Roman" w:cs="Times New Roman" w:eastAsia="Times New Roman" w:hAnsi="Times New Roman"/>
                <w:sz w:val="16"/>
                <w:szCs w:val="16"/>
                <w:color w:val="auto"/>
              </w:rPr>
              <w:t>Adjusted tax rate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82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11.7 %</w:t>
            </w:r>
          </w:p>
        </w:tc>
        <w:tc>
          <w:tcPr>
            <w:tcW w:w="0" w:type="dxa"/>
            <w:vAlign w:val="bottom"/>
          </w:tcPr>
          <w:p>
            <w:pPr>
              <w:spacing w:after="0"/>
              <w:rPr>
                <w:sz w:val="1"/>
                <w:szCs w:val="1"/>
                <w:color w:val="auto"/>
              </w:rPr>
            </w:pPr>
          </w:p>
        </w:tc>
      </w:tr>
      <w:tr>
        <w:trPr>
          <w:trHeight w:val="213"/>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EPS</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1.04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0.55</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Acquisition related expenses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0.42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Acquisition related transaction costs</w:t>
            </w:r>
          </w:p>
        </w:tc>
        <w:tc>
          <w:tcPr>
            <w:tcW w:w="24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Charitable foundation contribution</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0.11</w:t>
            </w:r>
          </w:p>
        </w:tc>
        <w:tc>
          <w:tcPr>
            <w:tcW w:w="0" w:type="dxa"/>
            <w:vAlign w:val="bottom"/>
          </w:tcPr>
          <w:p>
            <w:pPr>
              <w:spacing w:after="0"/>
              <w:rPr>
                <w:sz w:val="1"/>
                <w:szCs w:val="1"/>
                <w:color w:val="auto"/>
              </w:rPr>
            </w:pPr>
          </w:p>
        </w:tc>
      </w:tr>
      <w:tr>
        <w:trPr>
          <w:trHeight w:val="213"/>
        </w:trPr>
        <w:tc>
          <w:tcPr>
            <w:tcW w:w="782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Restructuring related expense</w:t>
            </w:r>
          </w:p>
        </w:tc>
        <w:tc>
          <w:tcPr>
            <w:tcW w:w="240" w:type="dxa"/>
            <w:vAlign w:val="bottom"/>
          </w:tcPr>
          <w:p>
            <w:pPr>
              <w:spacing w:after="0"/>
              <w:rPr>
                <w:sz w:val="18"/>
                <w:szCs w:val="18"/>
                <w:color w:val="auto"/>
              </w:rPr>
            </w:pPr>
          </w:p>
        </w:tc>
        <w:tc>
          <w:tcPr>
            <w:tcW w:w="14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0.00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9"/>
        </w:trPr>
        <w:tc>
          <w:tcPr>
            <w:tcW w:w="7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Income tax effect of adjustments above</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(0.08)</w:t>
            </w:r>
          </w:p>
        </w:tc>
        <w:tc>
          <w:tcPr>
            <w:tcW w:w="0" w:type="dxa"/>
            <w:vAlign w:val="bottom"/>
          </w:tcPr>
          <w:p>
            <w:pPr>
              <w:spacing w:after="0"/>
              <w:rPr>
                <w:sz w:val="1"/>
                <w:szCs w:val="1"/>
                <w:color w:val="auto"/>
              </w:rPr>
            </w:pPr>
          </w:p>
        </w:tc>
      </w:tr>
      <w:tr>
        <w:trPr>
          <w:trHeight w:val="210"/>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diluted EPS*</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The sum of the individual per share amounts may not equal the total due to rounding.</w:t>
      </w:r>
    </w:p>
    <w:p>
      <w:pPr>
        <w:sectPr>
          <w:pgSz w:w="11900" w:h="16838" w:orient="portrait"/>
          <w:cols w:equalWidth="0" w:num="1">
            <w:col w:w="11240"/>
          </w:cols>
          <w:pgMar w:left="320" w:top="684"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5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Trailing Twelve</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940" w:type="dxa"/>
            <w:vAlign w:val="bottom"/>
            <w:tcBorders>
              <w:top w:val="single" w:sz="8" w:color="auto"/>
            </w:tcBorders>
            <w:gridSpan w:val="5"/>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940" w:type="dxa"/>
            <w:vAlign w:val="bottom"/>
            <w:gridSpan w:val="5"/>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5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Jan. 30, 2021</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Jan. 30, 2021</w:t>
            </w: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Oct. 31, 2020</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Aug. 1, 2020</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May 2, 2020</w:t>
            </w:r>
          </w:p>
        </w:tc>
        <w:tc>
          <w:tcPr>
            <w:tcW w:w="0" w:type="dxa"/>
            <w:vAlign w:val="bottom"/>
          </w:tcPr>
          <w:p>
            <w:pPr>
              <w:spacing w:after="0"/>
              <w:rPr>
                <w:sz w:val="1"/>
                <w:szCs w:val="1"/>
                <w:color w:val="auto"/>
              </w:rPr>
            </w:pPr>
          </w:p>
        </w:tc>
      </w:tr>
      <w:tr>
        <w:trPr>
          <w:trHeight w:val="223"/>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5,857,949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1,558,458</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1,526,295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1,456,136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1,317,060</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2,086,780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427,941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672,598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557,200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429,041</w:t>
            </w: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29"/>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(178,241)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(67,388)</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(29,888)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(20,804)</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(60,161)</w:t>
            </w:r>
          </w:p>
        </w:tc>
        <w:tc>
          <w:tcPr>
            <w:tcW w:w="0" w:type="dxa"/>
            <w:vAlign w:val="bottom"/>
          </w:tcPr>
          <w:p>
            <w:pPr>
              <w:spacing w:after="0"/>
              <w:rPr>
                <w:sz w:val="1"/>
                <w:szCs w:val="1"/>
                <w:color w:val="auto"/>
              </w:rPr>
            </w:pPr>
          </w:p>
        </w:tc>
      </w:tr>
      <w:tr>
        <w:trPr>
          <w:trHeight w:val="22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1,908,539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360,553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642,710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536,396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368,880</w:t>
            </w:r>
          </w:p>
        </w:tc>
        <w:tc>
          <w:tcPr>
            <w:tcW w:w="0" w:type="dxa"/>
            <w:vAlign w:val="bottom"/>
          </w:tcPr>
          <w:p>
            <w:pPr>
              <w:spacing w:after="0"/>
              <w:rPr>
                <w:sz w:val="1"/>
                <w:szCs w:val="1"/>
                <w:color w:val="auto"/>
              </w:rPr>
            </w:pPr>
          </w:p>
        </w:tc>
      </w:tr>
      <w:tr>
        <w:trPr>
          <w:trHeight w:val="234"/>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PROJECTED GAAP TO NON-GAAP RESULTS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80" w:type="dxa"/>
            <w:vAlign w:val="bottom"/>
          </w:tcPr>
          <w:p>
            <w:pPr>
              <w:spacing w:after="0"/>
              <w:rPr>
                <w:sz w:val="21"/>
                <w:szCs w:val="21"/>
                <w:color w:val="auto"/>
              </w:rPr>
            </w:pPr>
          </w:p>
        </w:tc>
        <w:tc>
          <w:tcPr>
            <w:tcW w:w="6620" w:type="dxa"/>
            <w:vAlign w:val="bottom"/>
            <w:tcBorders>
              <w:top w:val="single" w:sz="8" w:color="auto"/>
              <w:bottom w:val="single" w:sz="8" w:color="auto"/>
            </w:tcBorders>
            <w:gridSpan w:val="3"/>
          </w:tcPr>
          <w:p>
            <w:pPr>
              <w:ind w:left="1980"/>
              <w:spacing w:after="0"/>
              <w:rPr>
                <w:sz w:val="20"/>
                <w:szCs w:val="20"/>
                <w:color w:val="auto"/>
              </w:rPr>
            </w:pPr>
            <w:r>
              <w:rPr>
                <w:rFonts w:ascii="Times New Roman" w:cs="Times New Roman" w:eastAsia="Times New Roman" w:hAnsi="Times New Roman"/>
                <w:sz w:val="18"/>
                <w:szCs w:val="18"/>
                <w:b w:val="1"/>
                <w:bCs w:val="1"/>
                <w:color w:val="auto"/>
              </w:rPr>
              <w:t>Three Months Ending May 1, 2021</w:t>
            </w:r>
          </w:p>
        </w:tc>
      </w:tr>
      <w:tr>
        <w:trPr>
          <w:trHeight w:val="237"/>
        </w:trPr>
        <w:tc>
          <w:tcPr>
            <w:tcW w:w="4580" w:type="dxa"/>
            <w:vAlign w:val="bottom"/>
          </w:tcPr>
          <w:p>
            <w:pPr>
              <w:spacing w:after="0"/>
              <w:rPr>
                <w:sz w:val="20"/>
                <w:szCs w:val="20"/>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Reported</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7"/>
        </w:trPr>
        <w:tc>
          <w:tcPr>
            <w:tcW w:w="458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60" w:type="dxa"/>
            <w:vAlign w:val="bottom"/>
            <w:tcBorders>
              <w:bottom w:val="single" w:sz="8" w:color="auto"/>
            </w:tcBorders>
          </w:tcPr>
          <w:p>
            <w:pPr>
              <w:spacing w:after="0"/>
              <w:rPr>
                <w:sz w:val="2"/>
                <w:szCs w:val="2"/>
                <w:color w:val="auto"/>
              </w:rPr>
            </w:pPr>
          </w:p>
        </w:tc>
      </w:tr>
      <w:tr>
        <w:trPr>
          <w:trHeight w:val="223"/>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$1.60 Billion</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$1.60 Billion</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 $50 Million)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$50 Million)</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30.6%</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 (1)</w:t>
            </w:r>
          </w:p>
        </w:tc>
      </w:tr>
      <w:tr>
        <w:trPr>
          <w:trHeight w:val="230"/>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(+/-110 bps)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(+/-70 bps)</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w:t>
            </w:r>
          </w:p>
        </w:tc>
        <w:tc>
          <w:tcPr>
            <w:tcW w:w="3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$44 Million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$44 Million</w:t>
            </w:r>
          </w:p>
        </w:tc>
      </w:tr>
      <w:tr>
        <w:trPr>
          <w:trHeight w:val="23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 rate</w:t>
            </w: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11% to 13%</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 to 13% (2)</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$1.44 (3)</w:t>
            </w:r>
          </w:p>
        </w:tc>
      </w:tr>
      <w:tr>
        <w:trPr>
          <w:trHeight w:val="234"/>
        </w:trPr>
        <w:tc>
          <w:tcPr>
            <w:tcW w:w="458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$0.08)</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$0.08)</w:t>
            </w:r>
          </w:p>
        </w:tc>
      </w:tr>
    </w:tbl>
    <w:p>
      <w:pPr>
        <w:spacing w:after="0" w:line="328" w:lineRule="exact"/>
        <w:rPr>
          <w:sz w:val="20"/>
          <w:szCs w:val="20"/>
          <w:color w:val="auto"/>
        </w:rPr>
      </w:pPr>
    </w:p>
    <w:p>
      <w:pPr>
        <w:ind w:right="140" w:firstLine="8"/>
        <w:spacing w:after="0" w:line="26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$166 million of adjustments related to acquisition related expenses and acquisition related transaction costs as previously defined in the Non-GAAP Financial Information section of this press release.</w:t>
      </w:r>
    </w:p>
    <w:p>
      <w:pPr>
        <w:ind w:right="500" w:firstLine="8"/>
        <w:spacing w:after="0" w:line="250"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$23 million of tax effects associated with the adjustments for acquisition related expenses and acquisition related transaction costs noted above.</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$0.38 of adjustments related to the net impact of $0.44 of acquisition related expenses and acquisition related transaction costs, as well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$0.06 of tax effects on those items.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(ADI-WEB)</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more information, please contact: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Michael Lucarelli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Sr. Director of Investor Relations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781-461-3282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investor.relations@analog.com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Contacts: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Teneo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Ms. Andrea Calise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917-826-3804</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andrea.calise@teneo.com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Teneo</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Ms. Megan Fenton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917-860-0356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megan.fenton@teneo.com</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0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2021-02-17T07:05:16Z</dcterms:created>
  <dcterms:modified xsi:type="dcterms:W3CDTF">2021-02-17T07:05:16Z</dcterms:modified>
</cp:coreProperties>
</file>