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-199390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7"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fiscal year ended November 2, 2013</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ind w:left="620" w:hanging="585"/>
        <w:spacing w:after="0"/>
        <w:tabs>
          <w:tab w:leader="none" w:pos="6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sz w:val="24"/>
          <w:szCs w:val="24"/>
          <w:color w:val="auto"/>
        </w:rPr>
      </w:pPr>
    </w:p>
    <w:p>
      <w:pPr>
        <w:ind w:left="4340"/>
        <w:spacing w:after="0"/>
        <w:tabs>
          <w:tab w:leader="none" w:pos="68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9" w:lineRule="exact"/>
        <w:rPr>
          <w:sz w:val="24"/>
          <w:szCs w:val="24"/>
          <w:color w:val="auto"/>
        </w:rPr>
      </w:pPr>
    </w:p>
    <w:p>
      <w:pPr>
        <w:jc w:val="center"/>
        <w:ind w:left="340"/>
        <w:spacing w:after="0"/>
        <w:rPr>
          <w:sz w:val="20"/>
          <w:szCs w:val="20"/>
          <w:color w:val="auto"/>
        </w:rPr>
      </w:pPr>
      <w:r>
        <w:rPr>
          <w:rFonts w:ascii="Arial" w:cs="Arial" w:eastAsia="Arial" w:hAnsi="Arial"/>
          <w:sz w:val="16"/>
          <w:szCs w:val="16"/>
          <w:b w:val="1"/>
          <w:bCs w:val="1"/>
          <w:color w:val="auto"/>
        </w:rPr>
        <w:t>Commission File No. 1-7819</w:t>
      </w:r>
    </w:p>
    <w:p>
      <w:pPr>
        <w:spacing w:after="0" w:line="25" w:lineRule="exact"/>
        <w:rPr>
          <w:sz w:val="24"/>
          <w:szCs w:val="24"/>
          <w:color w:val="auto"/>
        </w:rPr>
      </w:pPr>
    </w:p>
    <w:p>
      <w:pPr>
        <w:jc w:val="center"/>
        <w:ind w:left="340"/>
        <w:spacing w:after="0"/>
        <w:rPr>
          <w:sz w:val="20"/>
          <w:szCs w:val="20"/>
          <w:color w:val="auto"/>
        </w:rPr>
      </w:pPr>
      <w:r>
        <w:rPr>
          <w:rFonts w:ascii="Arial" w:cs="Arial" w:eastAsia="Arial" w:hAnsi="Arial"/>
          <w:sz w:val="40"/>
          <w:szCs w:val="40"/>
          <w:b w:val="1"/>
          <w:bCs w:val="1"/>
          <w:color w:val="auto"/>
        </w:rPr>
        <w:t>Analog Devices, Inc.</w:t>
      </w:r>
    </w:p>
    <w:p>
      <w:pPr>
        <w:jc w:val="center"/>
        <w:ind w:left="34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6" w:lineRule="exact"/>
        <w:rPr>
          <w:sz w:val="24"/>
          <w:szCs w:val="24"/>
          <w:color w:val="auto"/>
        </w:rPr>
      </w:pPr>
    </w:p>
    <w:p>
      <w:pPr>
        <w:ind w:left="2260"/>
        <w:spacing w:after="0"/>
        <w:tabs>
          <w:tab w:leader="none" w:pos="8220" w:val="left"/>
        </w:tabs>
        <w:rPr>
          <w:sz w:val="20"/>
          <w:szCs w:val="20"/>
          <w:color w:val="auto"/>
        </w:rPr>
      </w:pPr>
      <w:r>
        <w:rPr>
          <w:rFonts w:ascii="Arial" w:cs="Arial" w:eastAsia="Arial" w:hAnsi="Arial"/>
          <w:sz w:val="16"/>
          <w:szCs w:val="16"/>
          <w:b w:val="1"/>
          <w:bCs w:val="1"/>
          <w:color w:val="auto"/>
        </w:rPr>
        <w:t>Massachusetts</w:t>
      </w:r>
      <w:r>
        <w:rPr>
          <w:sz w:val="20"/>
          <w:szCs w:val="20"/>
          <w:color w:val="auto"/>
        </w:rPr>
        <w:tab/>
      </w:r>
      <w:r>
        <w:rPr>
          <w:rFonts w:ascii="Arial" w:cs="Arial" w:eastAsia="Arial" w:hAnsi="Arial"/>
          <w:sz w:val="16"/>
          <w:szCs w:val="16"/>
          <w:b w:val="1"/>
          <w:bCs w:val="1"/>
          <w:color w:val="auto"/>
        </w:rPr>
        <w:t>04-2348234</w:t>
      </w:r>
    </w:p>
    <w:p>
      <w:pPr>
        <w:spacing w:after="0" w:line="81" w:lineRule="exact"/>
        <w:rPr>
          <w:sz w:val="24"/>
          <w:szCs w:val="24"/>
          <w:color w:val="auto"/>
        </w:rPr>
      </w:pPr>
    </w:p>
    <w:p>
      <w:pPr>
        <w:ind w:left="1000"/>
        <w:spacing w:after="0"/>
        <w:tabs>
          <w:tab w:leader="none" w:pos="7580" w:val="left"/>
        </w:tabs>
        <w:rPr>
          <w:sz w:val="20"/>
          <w:szCs w:val="20"/>
          <w:color w:val="auto"/>
        </w:rPr>
      </w:pPr>
      <w:r>
        <w:rPr>
          <w:rFonts w:ascii="Arial" w:cs="Arial" w:eastAsia="Arial" w:hAnsi="Arial"/>
          <w:sz w:val="14"/>
          <w:szCs w:val="14"/>
          <w:i w:val="1"/>
          <w:iCs w:val="1"/>
          <w:color w:val="auto"/>
        </w:rPr>
        <w:t>(State or other jurisdiction of incorporation or organization)</w:t>
      </w:r>
      <w:r>
        <w:rPr>
          <w:sz w:val="20"/>
          <w:szCs w:val="20"/>
          <w:color w:val="auto"/>
        </w:rPr>
        <w:tab/>
      </w:r>
      <w:r>
        <w:rPr>
          <w:rFonts w:ascii="Arial" w:cs="Arial" w:eastAsia="Arial" w:hAnsi="Arial"/>
          <w:sz w:val="13"/>
          <w:szCs w:val="13"/>
          <w:i w:val="1"/>
          <w:iCs w:val="1"/>
          <w:color w:val="auto"/>
        </w:rPr>
        <w:t>(I.R.S. Employer Identification No.)</w:t>
      </w:r>
    </w:p>
    <w:p>
      <w:pPr>
        <w:spacing w:after="0" w:line="384" w:lineRule="exact"/>
        <w:rPr>
          <w:sz w:val="24"/>
          <w:szCs w:val="24"/>
          <w:color w:val="auto"/>
        </w:rPr>
      </w:pPr>
    </w:p>
    <w:p>
      <w:pPr>
        <w:ind w:left="1480"/>
        <w:spacing w:after="0"/>
        <w:tabs>
          <w:tab w:leader="none" w:pos="8220" w:val="left"/>
        </w:tabs>
        <w:rPr>
          <w:sz w:val="20"/>
          <w:szCs w:val="20"/>
          <w:color w:val="auto"/>
        </w:rPr>
      </w:pPr>
      <w:r>
        <w:rPr>
          <w:rFonts w:ascii="Arial" w:cs="Arial" w:eastAsia="Arial" w:hAnsi="Arial"/>
          <w:sz w:val="16"/>
          <w:szCs w:val="16"/>
          <w:b w:val="1"/>
          <w:bCs w:val="1"/>
          <w:color w:val="auto"/>
        </w:rPr>
        <w:t>One Technology Way, Norwood, MA</w:t>
      </w:r>
      <w:r>
        <w:rPr>
          <w:sz w:val="20"/>
          <w:szCs w:val="20"/>
          <w:color w:val="auto"/>
        </w:rPr>
        <w:tab/>
      </w:r>
      <w:r>
        <w:rPr>
          <w:rFonts w:ascii="Arial" w:cs="Arial" w:eastAsia="Arial" w:hAnsi="Arial"/>
          <w:sz w:val="14"/>
          <w:szCs w:val="14"/>
          <w:b w:val="1"/>
          <w:bCs w:val="1"/>
          <w:color w:val="auto"/>
        </w:rPr>
        <w:t>02062-9106</w:t>
      </w:r>
    </w:p>
    <w:p>
      <w:pPr>
        <w:spacing w:after="0" w:line="81" w:lineRule="exact"/>
        <w:rPr>
          <w:sz w:val="24"/>
          <w:szCs w:val="24"/>
          <w:color w:val="auto"/>
        </w:rPr>
      </w:pPr>
    </w:p>
    <w:p>
      <w:pPr>
        <w:ind w:left="1620"/>
        <w:spacing w:after="0"/>
        <w:tabs>
          <w:tab w:leader="none" w:pos="8300" w:val="left"/>
        </w:tabs>
        <w:rPr>
          <w:sz w:val="20"/>
          <w:szCs w:val="20"/>
          <w:color w:val="auto"/>
        </w:rPr>
      </w:pPr>
      <w:r>
        <w:rPr>
          <w:rFonts w:ascii="Arial" w:cs="Arial" w:eastAsia="Arial" w:hAnsi="Arial"/>
          <w:sz w:val="14"/>
          <w:szCs w:val="14"/>
          <w:i w:val="1"/>
          <w:iCs w:val="1"/>
          <w:color w:val="auto"/>
        </w:rPr>
        <w:t>(Address of principal executive offices)</w:t>
      </w:r>
      <w:r>
        <w:rPr>
          <w:sz w:val="20"/>
          <w:szCs w:val="20"/>
          <w:color w:val="auto"/>
        </w:rPr>
        <w:tab/>
      </w:r>
      <w:r>
        <w:rPr>
          <w:rFonts w:ascii="Arial" w:cs="Arial" w:eastAsia="Arial" w:hAnsi="Arial"/>
          <w:sz w:val="13"/>
          <w:szCs w:val="13"/>
          <w:i w:val="1"/>
          <w:iCs w:val="1"/>
          <w:color w:val="auto"/>
        </w:rPr>
        <w:t>(Zip Code)</w:t>
      </w:r>
    </w:p>
    <w:p>
      <w:pPr>
        <w:spacing w:after="0" w:line="14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(781) 329-4700</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7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7" w:lineRule="exact"/>
        <w:rPr>
          <w:sz w:val="24"/>
          <w:szCs w:val="24"/>
          <w:color w:val="auto"/>
        </w:rPr>
      </w:pPr>
    </w:p>
    <w:p>
      <w:pPr>
        <w:ind w:left="1560"/>
        <w:spacing w:after="0"/>
        <w:tabs>
          <w:tab w:leader="none" w:pos="7500" w:val="left"/>
        </w:tabs>
        <w:rPr>
          <w:sz w:val="20"/>
          <w:szCs w:val="20"/>
          <w:color w:val="auto"/>
        </w:rPr>
      </w:pPr>
      <w:r>
        <w:rPr>
          <w:rFonts w:ascii="Arial" w:cs="Arial" w:eastAsia="Arial" w:hAnsi="Arial"/>
          <w:sz w:val="16"/>
          <w:szCs w:val="16"/>
          <w:b w:val="1"/>
          <w:bCs w:val="1"/>
          <w:color w:val="auto"/>
        </w:rPr>
        <w:t>Common Stock $0.16</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/3 Par Value</w:t>
      </w:r>
      <w:r>
        <w:rPr>
          <w:sz w:val="20"/>
          <w:szCs w:val="20"/>
          <w:color w:val="auto"/>
        </w:rPr>
        <w:tab/>
      </w:r>
      <w:r>
        <w:rPr>
          <w:rFonts w:ascii="Arial" w:cs="Arial" w:eastAsia="Arial" w:hAnsi="Arial"/>
          <w:sz w:val="15"/>
          <w:szCs w:val="15"/>
          <w:b w:val="1"/>
          <w:bCs w:val="1"/>
          <w:color w:val="auto"/>
        </w:rPr>
        <w:t>NASDAQ Global Select Market</w:t>
      </w:r>
    </w:p>
    <w:p>
      <w:pPr>
        <w:spacing w:after="0" w:line="22" w:lineRule="exact"/>
        <w:rPr>
          <w:sz w:val="24"/>
          <w:szCs w:val="24"/>
          <w:color w:val="auto"/>
        </w:rPr>
      </w:pPr>
    </w:p>
    <w:p>
      <w:pPr>
        <w:ind w:left="2200"/>
        <w:spacing w:after="0"/>
        <w:tabs>
          <w:tab w:leader="none" w:pos="7280" w:val="left"/>
        </w:tabs>
        <w:rPr>
          <w:sz w:val="20"/>
          <w:szCs w:val="20"/>
          <w:color w:val="auto"/>
        </w:rPr>
      </w:pPr>
      <w:r>
        <w:rPr>
          <w:rFonts w:ascii="Arial" w:cs="Arial" w:eastAsia="Arial" w:hAnsi="Arial"/>
          <w:sz w:val="14"/>
          <w:szCs w:val="14"/>
          <w:i w:val="1"/>
          <w:iCs w:val="1"/>
          <w:color w:val="auto"/>
        </w:rPr>
        <w:t>Title of Each Class</w:t>
      </w:r>
      <w:r>
        <w:rPr>
          <w:sz w:val="20"/>
          <w:szCs w:val="20"/>
          <w:color w:val="auto"/>
        </w:rPr>
        <w:tab/>
      </w:r>
      <w:r>
        <w:rPr>
          <w:rFonts w:ascii="Arial" w:cs="Arial" w:eastAsia="Arial" w:hAnsi="Arial"/>
          <w:sz w:val="12"/>
          <w:szCs w:val="12"/>
          <w:i w:val="1"/>
          <w:iCs w:val="1"/>
          <w:color w:val="auto"/>
        </w:rPr>
        <w:t>Name of Each Exchange on Which Registered</w:t>
      </w:r>
    </w:p>
    <w:p>
      <w:pPr>
        <w:spacing w:after="0" w:line="14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None</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Title of Class</w:t>
      </w:r>
    </w:p>
    <w:p>
      <w:pPr>
        <w:spacing w:after="0" w:line="49" w:lineRule="exact"/>
        <w:rPr>
          <w:sz w:val="24"/>
          <w:szCs w:val="24"/>
          <w:color w:val="auto"/>
        </w:rPr>
      </w:pPr>
    </w:p>
    <w:p>
      <w:pPr>
        <w:ind w:left="340" w:right="2260"/>
        <w:spacing w:after="0" w:line="262"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 Indicate by check mark if the registrant is not required to file reports pursuant to Section 13 or Section 15(d) of the Act. YES o NO </w:t>
      </w:r>
      <w:r>
        <w:rPr>
          <w:rFonts w:ascii="MS PGothic" w:cs="MS PGothic" w:eastAsia="MS PGothic" w:hAnsi="MS PGothic"/>
          <w:sz w:val="15"/>
          <w:szCs w:val="15"/>
          <w:color w:val="auto"/>
        </w:rPr>
        <w:t>☑</w:t>
      </w:r>
    </w:p>
    <w:p>
      <w:pPr>
        <w:spacing w:after="0" w:line="47" w:lineRule="exact"/>
        <w:rPr>
          <w:sz w:val="24"/>
          <w:szCs w:val="24"/>
          <w:color w:val="auto"/>
        </w:rPr>
      </w:pPr>
    </w:p>
    <w:p>
      <w:pPr>
        <w:ind w:right="5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48" w:lineRule="exact"/>
        <w:rPr>
          <w:sz w:val="24"/>
          <w:szCs w:val="24"/>
          <w:color w:val="auto"/>
        </w:rPr>
      </w:pPr>
    </w:p>
    <w:p>
      <w:pPr>
        <w:ind w:right="14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(Sec.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48" w:lineRule="exact"/>
        <w:rPr>
          <w:sz w:val="24"/>
          <w:szCs w:val="24"/>
          <w:color w:val="auto"/>
        </w:rPr>
      </w:pPr>
    </w:p>
    <w:p>
      <w:pPr>
        <w:ind w:right="60" w:firstLine="324"/>
        <w:spacing w:after="0" w:line="261" w:lineRule="auto"/>
        <w:rPr>
          <w:sz w:val="20"/>
          <w:szCs w:val="20"/>
          <w:color w:val="auto"/>
        </w:rPr>
      </w:pPr>
      <w:r>
        <w:rPr>
          <w:rFonts w:ascii="Arial" w:cs="Arial" w:eastAsia="Arial" w:hAnsi="Arial"/>
          <w:sz w:val="16"/>
          <w:szCs w:val="16"/>
          <w:color w:val="auto"/>
        </w:rPr>
        <w:t>Indicate by check mark if disclosure of delinquent filers pursuant to Item 405 of Regulation S-K (Sec.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48"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89" w:lineRule="exact"/>
        <w:rPr>
          <w:sz w:val="24"/>
          <w:szCs w:val="24"/>
          <w:color w:val="auto"/>
        </w:rPr>
      </w:pPr>
    </w:p>
    <w:p>
      <w:pPr>
        <w:ind w:left="260"/>
        <w:spacing w:after="0" w:line="184" w:lineRule="exact"/>
        <w:tabs>
          <w:tab w:leader="none" w:pos="2520" w:val="left"/>
          <w:tab w:leader="none" w:pos="5340" w:val="left"/>
          <w:tab w:leader="none" w:pos="85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 o</w:t>
      </w:r>
      <w:r>
        <w:rPr>
          <w:sz w:val="20"/>
          <w:szCs w:val="20"/>
          <w:color w:val="auto"/>
        </w:rPr>
        <w:tab/>
      </w:r>
      <w:r>
        <w:rPr>
          <w:rFonts w:ascii="Arial" w:cs="Arial" w:eastAsia="Arial" w:hAnsi="Arial"/>
          <w:sz w:val="16"/>
          <w:szCs w:val="16"/>
          <w:color w:val="auto"/>
        </w:rPr>
        <w:t>Non-accelerated filer o</w:t>
      </w:r>
      <w:r>
        <w:rPr>
          <w:sz w:val="20"/>
          <w:szCs w:val="20"/>
          <w:color w:val="auto"/>
        </w:rPr>
        <w:tab/>
      </w:r>
      <w:r>
        <w:rPr>
          <w:rFonts w:ascii="Arial" w:cs="Arial" w:eastAsia="Arial" w:hAnsi="Arial"/>
          <w:sz w:val="14"/>
          <w:szCs w:val="14"/>
          <w:color w:val="auto"/>
        </w:rPr>
        <w:t>Smaller reporting company o</w:t>
      </w:r>
    </w:p>
    <w:p>
      <w:pPr>
        <w:spacing w:after="0" w:line="63" w:lineRule="exact"/>
        <w:rPr>
          <w:sz w:val="24"/>
          <w:szCs w:val="24"/>
          <w:color w:val="auto"/>
        </w:rPr>
      </w:pPr>
    </w:p>
    <w:p>
      <w:pPr>
        <w:ind w:left="4600"/>
        <w:spacing w:after="0"/>
        <w:rPr>
          <w:sz w:val="20"/>
          <w:szCs w:val="20"/>
          <w:color w:val="auto"/>
        </w:rPr>
      </w:pPr>
      <w:r>
        <w:rPr>
          <w:rFonts w:ascii="Arial" w:cs="Arial" w:eastAsia="Arial" w:hAnsi="Arial"/>
          <w:sz w:val="16"/>
          <w:szCs w:val="16"/>
          <w:color w:val="auto"/>
        </w:rPr>
        <w:t>(Do not check if a smaller reporting company)</w:t>
      </w:r>
    </w:p>
    <w:p>
      <w:pPr>
        <w:spacing w:after="0" w:line="56" w:lineRule="exact"/>
        <w:rPr>
          <w:sz w:val="24"/>
          <w:szCs w:val="24"/>
          <w:color w:val="auto"/>
        </w:rPr>
      </w:pPr>
    </w:p>
    <w:p>
      <w:pPr>
        <w:ind w:left="340"/>
        <w:spacing w:after="0" w:line="184" w:lineRule="exact"/>
        <w:tabs>
          <w:tab w:leader="none" w:pos="77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 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16" w:lineRule="exact"/>
        <w:rPr>
          <w:sz w:val="24"/>
          <w:szCs w:val="24"/>
          <w:color w:val="auto"/>
        </w:rPr>
      </w:pPr>
    </w:p>
    <w:p>
      <w:pPr>
        <w:ind w:right="120" w:firstLine="324"/>
        <w:spacing w:after="0" w:line="256"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was approximately $12,124,000,000 based on the last reported sale of the Common Stock on The NASDAQ Global Select Market on May 4, 2013. Shares of voting and non-voting stock beneficially owned by executive officers, directors and holders of more than 5% of the outstanding stock have been excluded from this calculation because such persons or institutions may be deemed affiliates. This determination of affiliate status is not a conclusive determination for other purposes.</w:t>
      </w:r>
    </w:p>
    <w:p>
      <w:pPr>
        <w:spacing w:after="0" w:line="5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November 2, 2013, there were 311,045,084 shares of Common Stock, $0.16</w:t>
      </w:r>
      <w:r>
        <w:rPr>
          <w:rFonts w:ascii="Arial" w:cs="Arial" w:eastAsia="Arial" w:hAnsi="Arial"/>
          <w:sz w:val="21"/>
          <w:szCs w:val="21"/>
          <w:color w:val="auto"/>
          <w:vertAlign w:val="superscript"/>
        </w:rPr>
        <w:t>2</w:t>
      </w:r>
      <w:r>
        <w:rPr>
          <w:rFonts w:ascii="Arial" w:cs="Arial" w:eastAsia="Arial" w:hAnsi="Arial"/>
          <w:sz w:val="16"/>
          <w:szCs w:val="16"/>
          <w:color w:val="auto"/>
        </w:rPr>
        <w:t>/3 par value per share, outstanding.</w:t>
      </w:r>
    </w:p>
    <w:p>
      <w:pPr>
        <w:spacing w:after="0" w:line="29" w:lineRule="exact"/>
        <w:rPr>
          <w:sz w:val="24"/>
          <w:szCs w:val="24"/>
          <w:color w:val="auto"/>
        </w:rPr>
      </w:pPr>
    </w:p>
    <w:p>
      <w:pPr>
        <w:ind w:left="43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08" w:lineRule="exact"/>
        <w:rPr>
          <w:sz w:val="24"/>
          <w:szCs w:val="24"/>
          <w:color w:val="auto"/>
        </w:rPr>
      </w:pPr>
    </w:p>
    <w:p>
      <w:pPr>
        <w:ind w:left="40"/>
        <w:spacing w:after="0"/>
        <w:tabs>
          <w:tab w:leader="none" w:pos="10220" w:val="left"/>
        </w:tabs>
        <w:rPr>
          <w:sz w:val="20"/>
          <w:szCs w:val="20"/>
          <w:color w:val="auto"/>
        </w:rPr>
      </w:pPr>
      <w:r>
        <w:rPr>
          <w:rFonts w:ascii="Arial" w:cs="Arial" w:eastAsia="Arial" w:hAnsi="Arial"/>
          <w:sz w:val="14"/>
          <w:szCs w:val="14"/>
          <w:b w:val="1"/>
          <w:bCs w:val="1"/>
          <w:color w:val="auto"/>
        </w:rPr>
        <w:t>Document Description</w:t>
      </w:r>
      <w:r>
        <w:rPr>
          <w:sz w:val="20"/>
          <w:szCs w:val="20"/>
          <w:color w:val="auto"/>
        </w:rPr>
        <w:tab/>
      </w:r>
      <w:r>
        <w:rPr>
          <w:rFonts w:ascii="Arial" w:cs="Arial" w:eastAsia="Arial" w:hAnsi="Arial"/>
          <w:sz w:val="13"/>
          <w:szCs w:val="13"/>
          <w:b w:val="1"/>
          <w:bCs w:val="1"/>
          <w:color w:val="auto"/>
        </w:rPr>
        <w:t>Form 10-K Part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72" w:right="259" w:bottom="1440" w:gutter="0" w:footer="0" w:header="0"/>
        </w:sectPr>
      </w:pPr>
    </w:p>
    <w:p>
      <w:pPr>
        <w:spacing w:after="0" w:line="68" w:lineRule="exact"/>
        <w:rPr>
          <w:sz w:val="24"/>
          <w:szCs w:val="24"/>
          <w:color w:val="auto"/>
        </w:rPr>
      </w:pPr>
    </w:p>
    <w:p>
      <w:pPr>
        <w:ind w:left="40"/>
        <w:spacing w:after="0"/>
        <w:tabs>
          <w:tab w:leader="none" w:pos="10640" w:val="left"/>
        </w:tabs>
        <w:rPr>
          <w:sz w:val="20"/>
          <w:szCs w:val="20"/>
          <w:color w:val="auto"/>
        </w:rPr>
      </w:pPr>
      <w:r>
        <w:rPr>
          <w:rFonts w:ascii="Arial" w:cs="Arial" w:eastAsia="Arial" w:hAnsi="Arial"/>
          <w:sz w:val="16"/>
          <w:szCs w:val="16"/>
          <w:color w:val="auto"/>
        </w:rPr>
        <w:t>Portions of the Registrant’s Proxy Statement for the Annual Meeting of Shareholders to be held March 12, 2014</w:t>
      </w:r>
      <w:r>
        <w:rPr>
          <w:sz w:val="20"/>
          <w:szCs w:val="20"/>
          <w:color w:val="auto"/>
        </w:rPr>
        <w:tab/>
      </w:r>
      <w:r>
        <w:rPr>
          <w:rFonts w:ascii="Arial" w:cs="Arial" w:eastAsia="Arial" w:hAnsi="Arial"/>
          <w:sz w:val="16"/>
          <w:szCs w:val="16"/>
          <w:color w:val="auto"/>
        </w:rPr>
        <w:t>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72" w:right="2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3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This Annual Report on Form 10-K, including in particular the section entitled “Outlook,” contained in Item 7, “Management’s Discussion and Analysis of Financial Condition and Results of Operations,”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“may” and "will," and variations of such words and similar expressions are intended to identify such forward-looking statements. In addition, any statements that refer to projections regarding our future financial performance; our anticipated growth and trends in our businesses; our future capital needs and capital expenditures; our future market position and expected competitive changes in the marketplace for our products; our ability to pay dividends or repurchase stock; our ability to service our outstanding debt; our expected tax rate; the effect of new accounting pronouncements;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 Item 1A. "Risk Factors" and elsewhere in our Annual Report on Form 10-K. Therefore, actual results may differ materially and adversely from those expressed in any forward-looking statements. We undertake no obligation to revise or update any forward-looking statements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35"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are a world leader in the design, manufacture and marketing of a broad portfolio of high-performance analog, mixed-signal and digital signal processing integrated circuits (ICs) used in virtually all types of electronic equipment. Since our inception in 1965, we have focused on solving the engineering challenges associated with signal processing in electronic equipment. Our signal processing products play a fundamental role in converting, conditioning, and processing real-world phenomena such as temperature, pressure, sound, light, speed and motion into electrical signals to be used in a wide array of electronic devices. As new generations of digital applications evolve, new needs for high-performance analog signal processing and digital signal processing (DSP) technology are generated. As a result, we produce a wide range of innovative products — including data converters, amplifiers and linear products, radio frequency (RF) ICs, power management products, sensors based on micro-electro mechanical systems (MEMS) technology and other sensors, and processing products, including DSP and other processors — that are designed to meet the needs of a broad base of customers.</w:t>
      </w:r>
    </w:p>
    <w:p>
      <w:pPr>
        <w:spacing w:after="0" w:line="72"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focus on key strategic markets where our signal processing technology is often a critical differentiator in our customers’ products, in particular, the industrial, automotive, consumer and communications markets. Used by over 60,000 customers worldwide, our products are embedded inside many different types of electronic equipment including:</w:t>
      </w:r>
    </w:p>
    <w:p>
      <w:pPr>
        <w:sectPr>
          <w:pgSz w:w="11900" w:h="16838" w:orient="portrait"/>
          <w:cols w:equalWidth="0" w:num="1">
            <w:col w:w="11400"/>
          </w:cols>
          <w:pgMar w:left="240" w:top="580" w:right="259" w:bottom="1440" w:gutter="0" w:footer="0" w:header="0"/>
        </w:sectPr>
      </w:pP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Industrial process control systems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center"/>
        <w:ind w:right="3280"/>
        <w:spacing w:after="0"/>
        <w:rPr>
          <w:sz w:val="20"/>
          <w:szCs w:val="20"/>
          <w:color w:val="auto"/>
        </w:rPr>
      </w:pPr>
      <w:r>
        <w:rPr>
          <w:rFonts w:ascii="Arial" w:cs="Arial" w:eastAsia="Arial" w:hAnsi="Arial"/>
          <w:sz w:val="16"/>
          <w:szCs w:val="16"/>
          <w:color w:val="auto"/>
        </w:rPr>
        <w:t>• Medical imaging equipment</w:t>
      </w:r>
    </w:p>
    <w:p>
      <w:pPr>
        <w:spacing w:after="0" w:line="86"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Factory automation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Patient monitoring devices</w:t>
      </w:r>
    </w:p>
    <w:p>
      <w:pPr>
        <w:spacing w:after="0" w:line="86"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Instrumentation and measurement systems</w:t>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Arial" w:cs="Arial" w:eastAsia="Arial" w:hAnsi="Arial"/>
          <w:sz w:val="16"/>
          <w:szCs w:val="16"/>
          <w:color w:val="auto"/>
        </w:rPr>
        <w:t>• Wireless infrastructure equipment</w:t>
      </w:r>
    </w:p>
    <w:p>
      <w:pPr>
        <w:spacing w:after="0" w:line="86"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Energy management systems</w:t>
      </w:r>
    </w:p>
    <w:p>
      <w:pPr>
        <w:spacing w:after="0" w:line="20" w:lineRule="exact"/>
        <w:rPr>
          <w:sz w:val="20"/>
          <w:szCs w:val="20"/>
          <w:color w:val="auto"/>
        </w:rPr>
      </w:pPr>
      <w:r>
        <w:rPr>
          <w:sz w:val="20"/>
          <w:szCs w:val="20"/>
          <w:color w:val="auto"/>
        </w:rPr>
        <w:br w:type="column"/>
      </w:r>
    </w:p>
    <w:p>
      <w:pPr>
        <w:jc w:val="center"/>
        <w:ind w:right="3640"/>
        <w:spacing w:after="0"/>
        <w:rPr>
          <w:sz w:val="20"/>
          <w:szCs w:val="20"/>
          <w:color w:val="auto"/>
        </w:rPr>
      </w:pPr>
      <w:r>
        <w:rPr>
          <w:rFonts w:ascii="Arial" w:cs="Arial" w:eastAsia="Arial" w:hAnsi="Arial"/>
          <w:sz w:val="16"/>
          <w:szCs w:val="16"/>
          <w:color w:val="auto"/>
        </w:rPr>
        <w:t>• Networking equipment</w:t>
      </w:r>
    </w:p>
    <w:p>
      <w:pPr>
        <w:spacing w:after="0" w:line="86"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Aerospace and defense electronics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Optical systems</w:t>
      </w:r>
    </w:p>
    <w:p>
      <w:pPr>
        <w:spacing w:after="0" w:line="86"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Automobiles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Digital cameras</w:t>
      </w:r>
    </w:p>
    <w:p>
      <w:pPr>
        <w:spacing w:after="0" w:line="86"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Digital televisions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Portable electronic devices</w:t>
      </w:r>
    </w:p>
    <w:p>
      <w:pPr>
        <w:spacing w:after="0" w:line="181" w:lineRule="exact"/>
        <w:rPr>
          <w:sz w:val="20"/>
          <w:szCs w:val="20"/>
          <w:color w:val="auto"/>
        </w:rPr>
      </w:pPr>
    </w:p>
    <w:p>
      <w:pPr>
        <w:sectPr>
          <w:pgSz w:w="11900" w:h="16838" w:orient="portrait"/>
          <w:cols w:equalWidth="0" w:num="2">
            <w:col w:w="5260" w:space="720"/>
            <w:col w:w="5420"/>
          </w:cols>
          <w:pgMar w:left="240" w:top="580" w:right="259" w:bottom="1440" w:gutter="0" w:footer="0" w:header="0"/>
          <w:type w:val="continuous"/>
        </w:sectPr>
      </w:pPr>
    </w:p>
    <w:p>
      <w:pPr>
        <w:ind w:right="80" w:firstLine="405"/>
        <w:spacing w:after="0" w:line="264" w:lineRule="auto"/>
        <w:rPr>
          <w:sz w:val="20"/>
          <w:szCs w:val="20"/>
          <w:color w:val="auto"/>
        </w:rPr>
      </w:pPr>
      <w:r>
        <w:rPr>
          <w:rFonts w:ascii="Arial" w:cs="Arial" w:eastAsia="Arial" w:hAnsi="Arial"/>
          <w:sz w:val="18"/>
          <w:szCs w:val="18"/>
          <w:color w:val="auto"/>
        </w:rPr>
        <w:t>We were incorporated in Massachusetts in 1965. Our headquarters are near Boston, in Norwood, Massachusetts. In addition, we have manufacturing facilities in Massachusetts, Ireland, and the Philippines, and have more than thirty design facilities worldwide. Our common stock is listed on The NASDAQ Global Select Market under the symbol ADI and is included in the Standard &amp; Poor’s 500 Index.</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maintain a website with the address www.analog.com. We are not including the information contained on our website as a part of, or incorporating it by reference into, this Annual Report on Form 10-K. We make available free of charge through our website our Annual Reports on Form 10-K, Quarterly Reports on Form 10-Q and Current Reports on Form 8-K (including exhibits), and amendments to these reports, as soon as reasonably practicable after we electronically file such material with, or furnish such material to, the Securities and Exchange Commission (SEC). We also make available on our website our corporate governance guidelines, the charters for our audit committee, compensation committee, and nominating and corporate governance committee, our equity award granting policies, our code of business conduct and ethics which applies to our directors, officers and employees, and our related person transaction policy, and such information is available in print and free of charge to any shareholder of Analog Devices who requests it. In addition, we intend to disclose on our website any amendments to, or waivers from, our code of business conduct and ethics that are required to be publicly disclosed pursuant to rules of the SEC or NASDAQ.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3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Semiconductor components are the electronic building blocks used in electronic systems and equipment. These components are classified as either discrete devices, such as individual transistors, or ICs, in which a number of transistors and other elements are combined to form a more complicated electronic circuit. ICs may be divided into two general categories, digital and analog. Digital circuits, such as memory devices and microprocessors, generally process on-off electrical signals, represented by binary digits, “1” and “0”. In contrast, analog ICs monitor, condition, amplify or transform continuous analog signals associated with physical properties, such as temperature, pressure, weight, light, sound or motion, and play an important role in bridging between real world phenomena and a variety of electronic systems. Analog ICs also provide voltage regulation and power control to electronic systems.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0" w:right="2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Organizational Structure</w:t>
      </w:r>
    </w:p>
    <w:p>
      <w:pPr>
        <w:spacing w:after="0" w:line="135"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The organization is viewed based upon the products manufactured and the end markets served. The product group is focused on core technology development and leadership in converters, amplifiers and RF, MEMS, power management, and DSP. The end market-focused organization is dedicated to understanding, selecting, and resourcing initiatives that are more customized to a particular market or application. The focus of this team is to apply the full expanse of our broad technology portfolio to more integrated and targeted product strategies for the industrial, automotive, consumer, and communications markets. The end market group includes our sales organization.</w:t>
      </w:r>
    </w:p>
    <w:p>
      <w:pPr>
        <w:spacing w:after="0" w:line="94" w:lineRule="exact"/>
        <w:rPr>
          <w:sz w:val="20"/>
          <w:szCs w:val="20"/>
          <w:color w:val="auto"/>
        </w:rPr>
      </w:pPr>
    </w:p>
    <w:p>
      <w:pPr>
        <w:ind w:right="820" w:firstLine="432"/>
        <w:spacing w:after="0" w:line="264" w:lineRule="auto"/>
        <w:rPr>
          <w:sz w:val="20"/>
          <w:szCs w:val="20"/>
          <w:color w:val="auto"/>
        </w:rPr>
      </w:pPr>
      <w:r>
        <w:rPr>
          <w:rFonts w:ascii="Arial" w:cs="Arial" w:eastAsia="Arial" w:hAnsi="Arial"/>
          <w:sz w:val="18"/>
          <w:szCs w:val="18"/>
          <w:color w:val="auto"/>
        </w:rPr>
        <w:t>These two groups collaborate at all levels. Our product group develops key technology for use by the end market groups, which apply these technologies to specific applications. Equally important, the applications expertise within each end market group is used to enhance and direct core technology development by our product group.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w:t>
      </w:r>
    </w:p>
    <w:p>
      <w:pPr>
        <w:spacing w:after="0" w:line="135"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design, manufacture and market a broad line of high-performance ICs that incorporate analog, mixed-signal and digital signal processing technologies. Our ICs are designed to address a wide range of real-world signal processing applications. Our product portfolio includes both general-purpose products used by a broad range of customers and applications, as well as application-specific products designed for specific clusters of customers in key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However, for some industrial, automotive, consumer, and communications products, we focus on working with leading customers to design application-specific solutions. We begin with our existing core technologies in data conversion, amplification, RF, MEMS, power management and DSP, and devise a solution to more closely meet the needs of a specific customer or group of customers. Because we have already developed the core technology for our general-purpose products, we can create application-specific solutions quickly.</w:t>
      </w:r>
    </w:p>
    <w:p>
      <w:pPr>
        <w:spacing w:after="0" w:line="72"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produce and market several thousand products and operate in one reportable segment based on the aggregation of five operating segments. Our ten highest revenue products, in the aggregate, accounted for approximately 9% of our revenue for fiscal 2013. A breakdown of our fiscal 2013 revenue by product category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r>
      <w:tr>
        <w:trPr>
          <w:trHeight w:val="270"/>
        </w:trPr>
        <w:tc>
          <w:tcPr>
            <w:tcW w:w="9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2013</w:t>
            </w:r>
          </w:p>
        </w:tc>
      </w:tr>
      <w:tr>
        <w:trPr>
          <w:trHeight w:val="276"/>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 Category</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Converters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45%</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b w:val="1"/>
                <w:bCs w:val="1"/>
                <w:color w:val="auto"/>
              </w:rPr>
              <w:t>Amplifiers/ Radio frequency</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26%</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analog</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14%</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b w:val="1"/>
                <w:bCs w:val="1"/>
                <w:color w:val="auto"/>
              </w:rPr>
              <w:t>Power management &amp; reference</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7%</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Digital signal processing</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r>
      <w:tr>
        <w:trPr>
          <w:trHeight w:val="27"/>
        </w:trPr>
        <w:tc>
          <w:tcPr>
            <w:tcW w:w="9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Analog Products</w:t>
      </w:r>
    </w:p>
    <w:p>
      <w:pPr>
        <w:spacing w:after="0" w:line="13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analog and mixed signal IC technology has been the foundation of our business for over four decades, and we are one of the world’s largest suppliers of high-performance analog ICs. Our analog signal processing ICs are primarily high-performance devices, offering higher dynamic range, greater bandwidth, and other enhanced features. The principal advantages these products have as compared to competitors’ products include higher accuracy, higher speed, lower cost per function, smaller size, lower power consumption and fewer components, resulting in improved performance and reliability. Our product portfolio includes several thousand analog ICs, any one of which can have as many as several hundred customers. Our analog ICs typically have long product life cycles. Our analog IC customers include original equipment manufacturers (OEMs) and customers who build electronic subsystems for integration into larger systems.</w:t>
      </w:r>
    </w:p>
    <w:p>
      <w:pPr>
        <w:spacing w:after="0" w:line="95"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i w:val="1"/>
          <w:iCs w:val="1"/>
          <w:color w:val="auto"/>
        </w:rPr>
        <w:t xml:space="preserve">Converters </w:t>
      </w:r>
      <w:r>
        <w:rPr>
          <w:rFonts w:ascii="Arial" w:cs="Arial" w:eastAsia="Arial" w:hAnsi="Arial"/>
          <w:sz w:val="17"/>
          <w:szCs w:val="17"/>
          <w:color w:val="auto"/>
        </w:rPr>
        <w:t>— We are a leading supplier of data converter products. Data converters translate real-world analog signals into digital data and also</w:t>
      </w:r>
      <w:r>
        <w:rPr>
          <w:rFonts w:ascii="Arial" w:cs="Arial" w:eastAsia="Arial" w:hAnsi="Arial"/>
          <w:sz w:val="17"/>
          <w:szCs w:val="17"/>
          <w:i w:val="1"/>
          <w:iCs w:val="1"/>
          <w:color w:val="auto"/>
        </w:rPr>
        <w:t xml:space="preserve"> </w:t>
      </w:r>
      <w:r>
        <w:rPr>
          <w:rFonts w:ascii="Arial" w:cs="Arial" w:eastAsia="Arial" w:hAnsi="Arial"/>
          <w:sz w:val="17"/>
          <w:szCs w:val="17"/>
          <w:color w:val="auto"/>
        </w:rPr>
        <w:t>translate digital data into analog signals. Data converters remain our largest and most diverse product family and an area where we are continuously innovating to enable our customers to redefine and differentiate their products. Our converter products combine sampling rates and accuracy with the low noise, power, price and small package size required by industrial, automotive, consumer, and communications electronics.</w:t>
      </w:r>
    </w:p>
    <w:p>
      <w:pPr>
        <w:spacing w:after="0" w:line="7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 xml:space="preserve">Amplifiers/Radio Frequency </w:t>
      </w:r>
      <w:r>
        <w:rPr>
          <w:rFonts w:ascii="Arial" w:cs="Arial" w:eastAsia="Arial" w:hAnsi="Arial"/>
          <w:sz w:val="18"/>
          <w:szCs w:val="18"/>
          <w:color w:val="auto"/>
        </w:rPr>
        <w:t>— We are also a leading supplier of high-performance amplifiers. Amplifiers are used to condition analog signals. High</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amplifiers emphasize the performance dimensions of speed and precision. Within this product portfolio we provide precision, instrumentation, high speed, intermediate frequency/RF, broadband, and other amplifiers. We also offer an extensive portfolio of precision voltage references that are used in a wide variety of applications.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10" w:right="239" w:bottom="1440" w:gutter="0" w:footer="0" w:header="0"/>
        </w:sectPr>
      </w:pPr>
    </w:p>
    <w:bookmarkStart w:id="4" w:name="page5"/>
    <w:bookmarkEnd w:id="4"/>
    <w:p>
      <w:pPr>
        <w:spacing w:after="0" w:line="259" w:lineRule="auto"/>
        <w:rPr>
          <w:sz w:val="20"/>
          <w:szCs w:val="20"/>
          <w:color w:val="auto"/>
        </w:rPr>
      </w:pPr>
      <w:r>
        <w:rPr>
          <w:rFonts w:ascii="Arial" w:cs="Arial" w:eastAsia="Arial" w:hAnsi="Arial"/>
          <w:sz w:val="18"/>
          <w:szCs w:val="18"/>
          <w:color w:val="auto"/>
        </w:rPr>
        <w:t>Our analog product line also includes a broad portfolio of high performance RF ICs covering the entire RF signal chain, from industry-leading stand-alone RF function blocks such as phase locked loops, frequency synthesizers, mixers, modulators, demodulators, and power detectors, to highly integrated broadband and short-range single chip transceiver solutions. Our high performance RF ICs support the high performance requirements of cellular infrastructure and a broad range of applications in our target markets.</w:t>
      </w:r>
    </w:p>
    <w:p>
      <w:pPr>
        <w:spacing w:after="0" w:line="92"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i w:val="1"/>
          <w:iCs w:val="1"/>
          <w:color w:val="auto"/>
        </w:rPr>
        <w:t xml:space="preserve">Other Analog </w:t>
      </w:r>
      <w:r>
        <w:rPr>
          <w:rFonts w:ascii="Arial" w:cs="Arial" w:eastAsia="Arial" w:hAnsi="Arial"/>
          <w:sz w:val="16"/>
          <w:szCs w:val="16"/>
          <w:color w:val="auto"/>
        </w:rPr>
        <w:t>— Also within our analog technology portfolio are products that are based on MEMS technology. This technology enables us to build</w:t>
      </w:r>
      <w:r>
        <w:rPr>
          <w:rFonts w:ascii="Arial" w:cs="Arial" w:eastAsia="Arial" w:hAnsi="Arial"/>
          <w:sz w:val="16"/>
          <w:szCs w:val="16"/>
          <w:i w:val="1"/>
          <w:iCs w:val="1"/>
          <w:color w:val="auto"/>
        </w:rPr>
        <w:t xml:space="preserve"> </w:t>
      </w:r>
      <w:r>
        <w:rPr>
          <w:rFonts w:ascii="Arial" w:cs="Arial" w:eastAsia="Arial" w:hAnsi="Arial"/>
          <w:sz w:val="16"/>
          <w:szCs w:val="16"/>
          <w:color w:val="auto"/>
        </w:rPr>
        <w:t>extremely small sensors that incorporate an electromechanical structure and the supporting analog circuitry for conditioning signals obtained from the sensing element. Our MEMS product portfolio includes accelerometers used to sense acceleration, gyroscopes used to sense rotation and inertial measurement units used to sense multiple degrees of freedom combining multiple sensing types along multiple axes. The majority of our current revenue from MEMS products is derived from the automotive end market. The consumer and, to a lesser extent, the industrial end markets, accounted for the balance of revenue from MEMS products in fiscal year 2013. In addition to our MEMS products, our other analog product category includes isolators that enable designers to implement isolation in designs without the cost, size, power, performance, and reliability constraints found with optocouplers. Our isolators have been designed into hundreds of applications, such as universal serial bus isolation in patient monitors, where it allows hospitals and physicians to adopt the latest advances in computer technology to supervise patient health and wirelessly transmit medical records. In smart metering applications, our isolators provide reliable electrostatic discharge performance that helps reduce meter tampering. Likewise, in satellites, where any malfunction can be catastrophic, our isolators help protect the power system while enabling designers to achieve small form factors.</w:t>
      </w:r>
    </w:p>
    <w:p>
      <w:pPr>
        <w:spacing w:after="0" w:line="7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 xml:space="preserve">Power Management &amp; Reference </w:t>
      </w:r>
      <w:r>
        <w:rPr>
          <w:rFonts w:ascii="Arial" w:cs="Arial" w:eastAsia="Arial" w:hAnsi="Arial"/>
          <w:sz w:val="18"/>
          <w:szCs w:val="18"/>
          <w:color w:val="auto"/>
        </w:rPr>
        <w:t>— Power management &amp; reference products make up the balance of our analog sales. Those products, which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such as power conversion, driver monitoring, sequencing and energy management, are developed to complement analog signal chain components across core market segments from micro power, energy-sensitive battery applications to efficient, high performance power systems in infrastructure and industrial applications.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Digital Signal Processing Products</w:t>
      </w:r>
    </w:p>
    <w:p>
      <w:pPr>
        <w:spacing w:after="0" w:line="131"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Digital Signal Processing products (DSPs) complete our product portfolio. DSPs are optimized for high-speed numeric calculations, which are essential for instantaneous, or real-time, processing of digital data generated, in most cases, from analog to digital signal conversion. Our DSPs are designed to be fully programmable and to efficiently execute specialized software programs, or algorithms, associated with processing digitized real-time, real-world data.</w:t>
      </w:r>
    </w:p>
    <w:p>
      <w:pPr>
        <w:ind w:right="60"/>
        <w:spacing w:after="0" w:line="269" w:lineRule="auto"/>
        <w:rPr>
          <w:sz w:val="20"/>
          <w:szCs w:val="20"/>
          <w:color w:val="auto"/>
        </w:rPr>
      </w:pPr>
      <w:r>
        <w:rPr>
          <w:rFonts w:ascii="Arial" w:cs="Arial" w:eastAsia="Arial" w:hAnsi="Arial"/>
          <w:sz w:val="17"/>
          <w:szCs w:val="17"/>
          <w:color w:val="auto"/>
        </w:rPr>
        <w:t>Programmable DSPs are designed to provide the flexibility to modify the device’s function quickly and inexpensively using software. Our general-purpose DSP IC customers typically write their own algorithms using software development tools provided by us and third-party suppliers. Our DSPs are designed in families of products that share common architectures and therefore can execute the same software across a range of products. We support these products with easy-to-use development tools, which are designed to reduce our customers’ product development costs and time-to-market. Our customers use our products to solve a wide range of signal processing challenges across our core market and segment focus areas within the industrial, automotive, consumer and communications end markets. As an integrated part of our customers' signal chain, there are typically many other Analog Devices products connected to our processors including converters, audio and video codecs and power management solutions.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706"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Markets and Applications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breakdown of our fiscal 2013 revenue by end market is set out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r>
      <w:tr>
        <w:trPr>
          <w:trHeight w:val="270"/>
        </w:trPr>
        <w:tc>
          <w:tcPr>
            <w:tcW w:w="9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2013</w:t>
            </w:r>
          </w:p>
        </w:tc>
      </w:tr>
      <w:tr>
        <w:trPr>
          <w:trHeight w:val="276"/>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End Market</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Industrial</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46%</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b w:val="1"/>
                <w:bCs w:val="1"/>
                <w:color w:val="auto"/>
              </w:rPr>
              <w:t>Automotive</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18%</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Consumer</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15%</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Communications</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20%</w:t>
            </w:r>
          </w:p>
        </w:tc>
      </w:tr>
    </w:tbl>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The sum of the individual percentages do not equal 100% due to rounding.</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describes some of the characteristics of, and customer products within, our major end markets: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Industrial </w:t>
      </w:r>
      <w:r>
        <w:rPr>
          <w:rFonts w:ascii="Arial" w:cs="Arial" w:eastAsia="Arial" w:hAnsi="Arial"/>
          <w:sz w:val="18"/>
          <w:szCs w:val="18"/>
          <w:color w:val="auto"/>
        </w:rPr>
        <w:t>— Our industrial market includes the following sectors:</w:t>
      </w:r>
    </w:p>
    <w:p>
      <w:pPr>
        <w:spacing w:after="0" w:line="13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 xml:space="preserve">Industrial and Instrumentation </w:t>
      </w:r>
      <w:r>
        <w:rPr>
          <w:rFonts w:ascii="Arial" w:cs="Arial" w:eastAsia="Arial" w:hAnsi="Arial"/>
          <w:sz w:val="18"/>
          <w:szCs w:val="18"/>
          <w:color w:val="auto"/>
        </w:rPr>
        <w:t>— Our industrial automation applications generally require ICs that offer performance greater than that available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commodity-level ICs but generally do not have production volumes that warrant custom ICs. There is a trend towards development of products focused on particular sub-applications, which incorporate combinations of analog, mixed-signal, and DSP ICs to achieve the necessary functionality. Our instrumentation customers differentiate themselves by using the highest performance analog and mixed-signal ICs available. Our industrial and instrumentation market includes applications such as:</w:t>
      </w:r>
    </w:p>
    <w:p>
      <w:pPr>
        <w:sectPr>
          <w:pgSz w:w="11900" w:h="16838" w:orient="portrait"/>
          <w:cols w:equalWidth="0" w:num="1">
            <w:col w:w="11420"/>
          </w:cols>
          <w:pgMar w:left="240" w:top="810" w:right="239" w:bottom="1440" w:gutter="0" w:footer="0" w:header="0"/>
        </w:sectPr>
      </w:pPr>
    </w:p>
    <w:p>
      <w:pPr>
        <w:spacing w:after="0" w:line="134" w:lineRule="exact"/>
        <w:rPr>
          <w:sz w:val="20"/>
          <w:szCs w:val="20"/>
          <w:color w:val="auto"/>
        </w:rPr>
      </w:pPr>
    </w:p>
    <w:p>
      <w:pPr>
        <w:ind w:left="40"/>
        <w:spacing w:after="0"/>
        <w:rPr>
          <w:sz w:val="20"/>
          <w:szCs w:val="20"/>
          <w:color w:val="auto"/>
        </w:rPr>
      </w:pPr>
      <w:r>
        <w:rPr>
          <w:rFonts w:ascii="Arial" w:cs="Arial" w:eastAsia="Arial" w:hAnsi="Arial"/>
          <w:sz w:val="15"/>
          <w:szCs w:val="15"/>
          <w:color w:val="auto"/>
        </w:rPr>
        <w:t>• Process control systems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ind w:right="4340"/>
        <w:spacing w:after="0"/>
        <w:rPr>
          <w:sz w:val="20"/>
          <w:szCs w:val="20"/>
          <w:color w:val="auto"/>
        </w:rPr>
      </w:pPr>
      <w:r>
        <w:rPr>
          <w:rFonts w:ascii="Arial" w:cs="Arial" w:eastAsia="Arial" w:hAnsi="Arial"/>
          <w:sz w:val="16"/>
          <w:szCs w:val="16"/>
          <w:color w:val="auto"/>
        </w:rPr>
        <w:t>• Oscilloscopes</w:t>
      </w:r>
    </w:p>
    <w:p>
      <w:pPr>
        <w:spacing w:after="0" w:line="86" w:lineRule="exact"/>
        <w:rPr>
          <w:sz w:val="20"/>
          <w:szCs w:val="20"/>
          <w:color w:val="auto"/>
        </w:rPr>
      </w:pPr>
    </w:p>
    <w:p>
      <w:pPr>
        <w:sectPr>
          <w:pgSz w:w="11900" w:h="16838" w:orient="portrait"/>
          <w:cols w:equalWidth="0" w:num="2">
            <w:col w:w="5260" w:space="720"/>
            <w:col w:w="5440"/>
          </w:cols>
          <w:pgMar w:left="240" w:top="81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Robotics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Lab, chemical, and environmental analyzers</w:t>
      </w:r>
    </w:p>
    <w:p>
      <w:pPr>
        <w:spacing w:after="0" w:line="86" w:lineRule="exact"/>
        <w:rPr>
          <w:sz w:val="20"/>
          <w:szCs w:val="20"/>
          <w:color w:val="auto"/>
        </w:rPr>
      </w:pPr>
    </w:p>
    <w:p>
      <w:pPr>
        <w:sectPr>
          <w:pgSz w:w="11900" w:h="16838" w:orient="portrait"/>
          <w:cols w:equalWidth="0" w:num="2">
            <w:col w:w="5260" w:space="720"/>
            <w:col w:w="5440"/>
          </w:cols>
          <w:pgMar w:left="240" w:top="81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Environmental control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Weigh scales</w:t>
      </w:r>
    </w:p>
    <w:p>
      <w:pPr>
        <w:spacing w:after="0" w:line="192" w:lineRule="exact"/>
        <w:rPr>
          <w:sz w:val="20"/>
          <w:szCs w:val="20"/>
          <w:color w:val="auto"/>
        </w:rPr>
      </w:pPr>
    </w:p>
    <w:p>
      <w:pPr>
        <w:sectPr>
          <w:pgSz w:w="11900" w:h="16838" w:orient="portrait"/>
          <w:cols w:equalWidth="0" w:num="2">
            <w:col w:w="5260" w:space="720"/>
            <w:col w:w="5440"/>
          </w:cols>
          <w:pgMar w:left="240" w:top="810" w:right="239" w:bottom="1440" w:gutter="0" w:footer="0" w:header="0"/>
          <w:type w:val="continuous"/>
        </w:sectPr>
      </w:pPr>
    </w:p>
    <w:p>
      <w:pPr>
        <w:ind w:right="140" w:firstLine="432"/>
        <w:spacing w:after="0" w:line="259" w:lineRule="auto"/>
        <w:rPr>
          <w:sz w:val="20"/>
          <w:szCs w:val="20"/>
          <w:color w:val="auto"/>
        </w:rPr>
      </w:pPr>
      <w:r>
        <w:rPr>
          <w:rFonts w:ascii="Arial" w:cs="Arial" w:eastAsia="Arial" w:hAnsi="Arial"/>
          <w:sz w:val="18"/>
          <w:szCs w:val="18"/>
          <w:i w:val="1"/>
          <w:iCs w:val="1"/>
          <w:color w:val="auto"/>
        </w:rPr>
        <w:t xml:space="preserve">Defense/Aerospace </w:t>
      </w:r>
      <w:r>
        <w:rPr>
          <w:rFonts w:ascii="Arial" w:cs="Arial" w:eastAsia="Arial" w:hAnsi="Arial"/>
          <w:sz w:val="18"/>
          <w:szCs w:val="18"/>
          <w:color w:val="auto"/>
        </w:rPr>
        <w:t>— The defense, commercial avionics and space markets all require high-performance ICs that meet rigorous environmental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reliability specifications. Many of our analog ICs can be supplied in versions that meet these standards. In addition, many products can be supplied to meet the standards required for broadcast satellites and other commercial space applications. Most of our products sold in this market are specially tested versions of products derived from our standard product offering. Customer products include:</w:t>
      </w:r>
    </w:p>
    <w:p>
      <w:pPr>
        <w:sectPr>
          <w:pgSz w:w="11900" w:h="16838" w:orient="portrait"/>
          <w:cols w:equalWidth="0" w:num="1">
            <w:col w:w="11420"/>
          </w:cols>
          <w:pgMar w:left="240" w:top="810" w:right="2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 Navigation systems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ind w:right="4280"/>
        <w:spacing w:after="0"/>
        <w:rPr>
          <w:sz w:val="20"/>
          <w:szCs w:val="20"/>
          <w:color w:val="auto"/>
        </w:rPr>
      </w:pPr>
      <w:r>
        <w:rPr>
          <w:rFonts w:ascii="Arial" w:cs="Arial" w:eastAsia="Arial" w:hAnsi="Arial"/>
          <w:sz w:val="15"/>
          <w:szCs w:val="15"/>
          <w:color w:val="auto"/>
        </w:rPr>
        <w:t>• Radar systems</w:t>
      </w:r>
    </w:p>
    <w:p>
      <w:pPr>
        <w:spacing w:after="0" w:line="97" w:lineRule="exact"/>
        <w:rPr>
          <w:sz w:val="20"/>
          <w:szCs w:val="20"/>
          <w:color w:val="auto"/>
        </w:rPr>
      </w:pPr>
    </w:p>
    <w:p>
      <w:pPr>
        <w:sectPr>
          <w:pgSz w:w="11900" w:h="16838" w:orient="portrait"/>
          <w:cols w:equalWidth="0" w:num="2">
            <w:col w:w="5260" w:space="720"/>
            <w:col w:w="5440"/>
          </w:cols>
          <w:pgMar w:left="240" w:top="81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Space and satellite communications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Security devices</w:t>
      </w:r>
    </w:p>
    <w:p>
      <w:pPr>
        <w:spacing w:after="0" w:line="181" w:lineRule="exact"/>
        <w:rPr>
          <w:sz w:val="20"/>
          <w:szCs w:val="20"/>
          <w:color w:val="auto"/>
        </w:rPr>
      </w:pPr>
    </w:p>
    <w:p>
      <w:pPr>
        <w:sectPr>
          <w:pgSz w:w="11900" w:h="16838" w:orient="portrait"/>
          <w:cols w:equalWidth="0" w:num="2">
            <w:col w:w="5260" w:space="720"/>
            <w:col w:w="5440"/>
          </w:cols>
          <w:pgMar w:left="240" w:top="810" w:right="239" w:bottom="1440" w:gutter="0" w:footer="0" w:header="0"/>
          <w:type w:val="continuous"/>
        </w:sectPr>
      </w:pPr>
    </w:p>
    <w:p>
      <w:pPr>
        <w:ind w:right="60" w:firstLine="432"/>
        <w:spacing w:after="0" w:line="259" w:lineRule="auto"/>
        <w:rPr>
          <w:sz w:val="20"/>
          <w:szCs w:val="20"/>
          <w:color w:val="auto"/>
        </w:rPr>
      </w:pPr>
      <w:r>
        <w:rPr>
          <w:rFonts w:ascii="Arial" w:cs="Arial" w:eastAsia="Arial" w:hAnsi="Arial"/>
          <w:sz w:val="18"/>
          <w:szCs w:val="18"/>
          <w:i w:val="1"/>
          <w:iCs w:val="1"/>
          <w:color w:val="auto"/>
        </w:rPr>
        <w:t xml:space="preserve">Energy Management </w:t>
      </w:r>
      <w:r>
        <w:rPr>
          <w:rFonts w:ascii="Arial" w:cs="Arial" w:eastAsia="Arial" w:hAnsi="Arial"/>
          <w:sz w:val="18"/>
          <w:szCs w:val="18"/>
          <w:color w:val="auto"/>
        </w:rPr>
        <w:t>— The desire to improve energy efficiency, conservation, reliability, and cleanliness is driving investments in renewable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power transmission and distribution systems, electric meters, and other innovative areas. The common characteristic behind these efforts is the addition of sensing, measurement, and communication technologies to electrical infrastructure. Our offerings include both standard and application-specific products and are used in applications such as:</w:t>
      </w:r>
    </w:p>
    <w:p>
      <w:pPr>
        <w:sectPr>
          <w:pgSz w:w="11900" w:h="16838" w:orient="portrait"/>
          <w:cols w:equalWidth="0" w:num="1">
            <w:col w:w="11420"/>
          </w:cols>
          <w:pgMar w:left="240" w:top="810" w:right="2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7"/>
          <w:szCs w:val="17"/>
          <w:color w:val="auto"/>
        </w:rPr>
        <w:t>• Utility meters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Wind turbines</w:t>
      </w:r>
    </w:p>
    <w:p>
      <w:pPr>
        <w:spacing w:after="0" w:line="86" w:lineRule="exact"/>
        <w:rPr>
          <w:sz w:val="20"/>
          <w:szCs w:val="20"/>
          <w:color w:val="auto"/>
        </w:rPr>
      </w:pPr>
    </w:p>
    <w:p>
      <w:pPr>
        <w:sectPr>
          <w:pgSz w:w="11900" w:h="16838" w:orient="portrait"/>
          <w:cols w:equalWidth="0" w:num="2">
            <w:col w:w="5260" w:space="720"/>
            <w:col w:w="5440"/>
          </w:cols>
          <w:pgMar w:left="240" w:top="81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Meter communication modules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Solar inverters</w:t>
      </w:r>
    </w:p>
    <w:p>
      <w:pPr>
        <w:spacing w:after="0" w:line="86" w:lineRule="exact"/>
        <w:rPr>
          <w:sz w:val="20"/>
          <w:szCs w:val="20"/>
          <w:color w:val="auto"/>
        </w:rPr>
      </w:pPr>
    </w:p>
    <w:p>
      <w:pPr>
        <w:sectPr>
          <w:pgSz w:w="11900" w:h="16838" w:orient="portrait"/>
          <w:cols w:equalWidth="0" w:num="2">
            <w:col w:w="5260" w:space="720"/>
            <w:col w:w="5440"/>
          </w:cols>
          <w:pgMar w:left="240" w:top="81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Substation relays and automation equipment</w:t>
      </w:r>
    </w:p>
    <w:p>
      <w:pPr>
        <w:spacing w:after="0" w:line="20" w:lineRule="exact"/>
        <w:rPr>
          <w:sz w:val="20"/>
          <w:szCs w:val="20"/>
          <w:color w:val="auto"/>
        </w:rPr>
      </w:pPr>
      <w:r>
        <w:rPr>
          <w:sz w:val="20"/>
          <w:szCs w:val="20"/>
          <w:color w:val="auto"/>
        </w:rPr>
        <w:br w:type="column"/>
      </w:r>
    </w:p>
    <w:p>
      <w:pPr>
        <w:jc w:val="center"/>
        <w:ind w:right="2760"/>
        <w:spacing w:after="0"/>
        <w:rPr>
          <w:sz w:val="20"/>
          <w:szCs w:val="20"/>
          <w:color w:val="auto"/>
        </w:rPr>
      </w:pPr>
      <w:r>
        <w:rPr>
          <w:rFonts w:ascii="Arial" w:cs="Arial" w:eastAsia="Arial" w:hAnsi="Arial"/>
          <w:sz w:val="16"/>
          <w:szCs w:val="16"/>
          <w:color w:val="auto"/>
        </w:rPr>
        <w:t>• Building energy automation/control</w:t>
      </w:r>
    </w:p>
    <w:p>
      <w:pPr>
        <w:spacing w:after="0" w:line="200" w:lineRule="exact"/>
        <w:rPr>
          <w:sz w:val="20"/>
          <w:szCs w:val="20"/>
          <w:color w:val="auto"/>
        </w:rPr>
      </w:pPr>
    </w:p>
    <w:p>
      <w:pPr>
        <w:sectPr>
          <w:pgSz w:w="11900" w:h="16838" w:orient="portrait"/>
          <w:cols w:equalWidth="0" w:num="2">
            <w:col w:w="5260" w:space="720"/>
            <w:col w:w="5440"/>
          </w:cols>
          <w:pgMar w:left="240" w:top="810" w:right="239" w:bottom="1440" w:gutter="0" w:footer="0" w:header="0"/>
          <w:type w:val="continuous"/>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810" w:right="239" w:bottom="1440" w:gutter="0" w:footer="0" w:header="0"/>
          <w:type w:val="continuous"/>
        </w:sectPr>
      </w:pPr>
    </w:p>
    <w:bookmarkStart w:id="6" w:name="page7"/>
    <w:bookmarkEnd w:id="6"/>
    <w:p>
      <w:pPr>
        <w:ind w:right="260" w:firstLine="432"/>
        <w:spacing w:after="0" w:line="257" w:lineRule="auto"/>
        <w:rPr>
          <w:sz w:val="20"/>
          <w:szCs w:val="20"/>
          <w:color w:val="auto"/>
        </w:rPr>
      </w:pPr>
      <w:r>
        <w:rPr>
          <w:rFonts w:ascii="Arial" w:cs="Arial" w:eastAsia="Arial" w:hAnsi="Arial"/>
          <w:sz w:val="18"/>
          <w:szCs w:val="18"/>
          <w:i w:val="1"/>
          <w:iCs w:val="1"/>
          <w:color w:val="auto"/>
        </w:rPr>
        <w:t xml:space="preserve">Healthcare </w:t>
      </w:r>
      <w:r>
        <w:rPr>
          <w:rFonts w:ascii="Arial" w:cs="Arial" w:eastAsia="Arial" w:hAnsi="Arial"/>
          <w:sz w:val="18"/>
          <w:szCs w:val="18"/>
          <w:color w:val="auto"/>
        </w:rPr>
        <w:t>— Two significant trends in the healthcare market today are the increasing need for higher channel counts in medical imaging systems to</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resolution and throughput while achieving a lower cost per channel, and the movement of highly accurate patient monitoring devices from the hospital environment to the home, improving patient care and reducing overall healthcare costs. Our innovative technologies are designed into a variety of high performance imaging, patient monitoring, medical instrumentation, and home health devices. Our offerings include both standard and application-specific products and are used in applications such as:</w:t>
      </w:r>
    </w:p>
    <w:p>
      <w:pPr>
        <w:sectPr>
          <w:pgSz w:w="11900" w:h="16838" w:orient="portrait"/>
          <w:cols w:equalWidth="0" w:num="1">
            <w:col w:w="11420"/>
          </w:cols>
          <w:pgMar w:left="240" w:top="706" w:right="239" w:bottom="1440" w:gutter="0" w:footer="0" w:header="0"/>
        </w:sectPr>
      </w:pPr>
    </w:p>
    <w:p>
      <w:pPr>
        <w:spacing w:after="0" w:line="1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 Ultrasound</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 Infusion pumps</w:t>
      </w:r>
    </w:p>
    <w:p>
      <w:pPr>
        <w:spacing w:after="0" w:line="86" w:lineRule="exact"/>
        <w:rPr>
          <w:sz w:val="20"/>
          <w:szCs w:val="20"/>
          <w:color w:val="auto"/>
        </w:rPr>
      </w:pPr>
    </w:p>
    <w:p>
      <w:pPr>
        <w:sectPr>
          <w:pgSz w:w="11900" w:h="16838" w:orient="portrait"/>
          <w:cols w:equalWidth="0" w:num="2">
            <w:col w:w="5260" w:space="720"/>
            <w:col w:w="5440"/>
          </w:cols>
          <w:pgMar w:left="240" w:top="706"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CT scanners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Clinical lab instrumentation</w:t>
      </w:r>
    </w:p>
    <w:p>
      <w:pPr>
        <w:spacing w:after="0" w:line="86" w:lineRule="exact"/>
        <w:rPr>
          <w:sz w:val="20"/>
          <w:szCs w:val="20"/>
          <w:color w:val="auto"/>
        </w:rPr>
      </w:pPr>
    </w:p>
    <w:p>
      <w:pPr>
        <w:sectPr>
          <w:pgSz w:w="11900" w:h="16838" w:orient="portrait"/>
          <w:cols w:equalWidth="0" w:num="2">
            <w:col w:w="5260" w:space="720"/>
            <w:col w:w="5440"/>
          </w:cols>
          <w:pgMar w:left="240" w:top="706"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 Digital x-ray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Surgical instrumentation</w:t>
      </w:r>
    </w:p>
    <w:p>
      <w:pPr>
        <w:spacing w:after="0" w:line="86" w:lineRule="exact"/>
        <w:rPr>
          <w:sz w:val="20"/>
          <w:szCs w:val="20"/>
          <w:color w:val="auto"/>
        </w:rPr>
      </w:pPr>
    </w:p>
    <w:p>
      <w:pPr>
        <w:sectPr>
          <w:pgSz w:w="11900" w:h="16838" w:orient="portrait"/>
          <w:cols w:equalWidth="0" w:num="2">
            <w:col w:w="5260" w:space="720"/>
            <w:col w:w="5440"/>
          </w:cols>
          <w:pgMar w:left="240" w:top="70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Multi-parameter patient monitors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Blood analyzers</w:t>
      </w:r>
    </w:p>
    <w:p>
      <w:pPr>
        <w:spacing w:after="0" w:line="86" w:lineRule="exact"/>
        <w:rPr>
          <w:sz w:val="20"/>
          <w:szCs w:val="20"/>
          <w:color w:val="auto"/>
        </w:rPr>
      </w:pPr>
    </w:p>
    <w:p>
      <w:pPr>
        <w:sectPr>
          <w:pgSz w:w="11900" w:h="16838" w:orient="portrait"/>
          <w:cols w:equalWidth="0" w:num="2">
            <w:col w:w="5260" w:space="720"/>
            <w:col w:w="5440"/>
          </w:cols>
          <w:pgMar w:left="240" w:top="70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Pulse oximeters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Activity monitors</w:t>
      </w:r>
    </w:p>
    <w:p>
      <w:pPr>
        <w:spacing w:after="0" w:line="169" w:lineRule="exact"/>
        <w:rPr>
          <w:sz w:val="20"/>
          <w:szCs w:val="20"/>
          <w:color w:val="auto"/>
        </w:rPr>
      </w:pPr>
    </w:p>
    <w:p>
      <w:pPr>
        <w:sectPr>
          <w:pgSz w:w="11900" w:h="16838" w:orient="portrait"/>
          <w:cols w:equalWidth="0" w:num="2">
            <w:col w:w="5260" w:space="720"/>
            <w:col w:w="5440"/>
          </w:cols>
          <w:pgMar w:left="240" w:top="706" w:right="239" w:bottom="1440" w:gutter="0" w:footer="0" w:header="0"/>
          <w:type w:val="continuous"/>
        </w:sectPr>
      </w:pPr>
    </w:p>
    <w:p>
      <w:pPr>
        <w:ind w:right="120" w:firstLine="432"/>
        <w:spacing w:after="0" w:line="259" w:lineRule="auto"/>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 We develop differentiated high performance signal processing solutions that enable sophisticated automotive systems to be greener,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safer and more comfortable. Through collaboration with manufacturers worldwide, ADI has achieved significant market share through a broad portfolio of analog, digital and MEMS ICs that increase fuel efficiency, enhance vehicle stability and improve the audio/video experience of passengers. Specifically, we have developed products used in applications such as: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Green</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Safety</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Comfort</w:t>
            </w:r>
          </w:p>
        </w:tc>
      </w:tr>
      <w:tr>
        <w:trPr>
          <w:trHeight w:val="243"/>
        </w:trPr>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260"/>
              <w:spacing w:after="0"/>
              <w:rPr>
                <w:sz w:val="20"/>
                <w:szCs w:val="20"/>
                <w:color w:val="auto"/>
              </w:rPr>
            </w:pPr>
            <w:r>
              <w:rPr>
                <w:rFonts w:ascii="Arial" w:cs="Arial" w:eastAsia="Arial" w:hAnsi="Arial"/>
                <w:sz w:val="18"/>
                <w:szCs w:val="18"/>
                <w:color w:val="auto"/>
              </w:rPr>
              <w:t>Hybrid electric / electric vehicles</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Crash sensors in airbag systems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3460" w:type="dxa"/>
            <w:vAlign w:val="bottom"/>
          </w:tcPr>
          <w:p>
            <w:pPr>
              <w:ind w:left="180"/>
              <w:spacing w:after="0"/>
              <w:rPr>
                <w:sz w:val="20"/>
                <w:szCs w:val="20"/>
                <w:color w:val="auto"/>
              </w:rPr>
            </w:pPr>
            <w:r>
              <w:rPr>
                <w:rFonts w:ascii="Arial" w:cs="Arial" w:eastAsia="Arial" w:hAnsi="Arial"/>
                <w:sz w:val="18"/>
                <w:szCs w:val="18"/>
                <w:color w:val="auto"/>
              </w:rPr>
              <w:t>Car audio amplifiers</w:t>
            </w:r>
          </w:p>
        </w:tc>
      </w:tr>
      <w:tr>
        <w:trPr>
          <w:trHeight w:val="270"/>
        </w:trPr>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260"/>
              <w:spacing w:after="0"/>
              <w:rPr>
                <w:sz w:val="20"/>
                <w:szCs w:val="20"/>
                <w:color w:val="auto"/>
              </w:rPr>
            </w:pPr>
            <w:r>
              <w:rPr>
                <w:rFonts w:ascii="Arial" w:cs="Arial" w:eastAsia="Arial" w:hAnsi="Arial"/>
                <w:sz w:val="18"/>
                <w:szCs w:val="18"/>
                <w:color w:val="auto"/>
              </w:rPr>
              <w:t>Intelligent battery sensors</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Electronic stability systems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3460" w:type="dxa"/>
            <w:vAlign w:val="bottom"/>
          </w:tcPr>
          <w:p>
            <w:pPr>
              <w:ind w:left="180"/>
              <w:spacing w:after="0"/>
              <w:rPr>
                <w:sz w:val="20"/>
                <w:szCs w:val="20"/>
                <w:color w:val="auto"/>
              </w:rPr>
            </w:pPr>
            <w:r>
              <w:rPr>
                <w:rFonts w:ascii="Arial" w:cs="Arial" w:eastAsia="Arial" w:hAnsi="Arial"/>
                <w:sz w:val="18"/>
                <w:szCs w:val="18"/>
                <w:color w:val="auto"/>
              </w:rPr>
              <w:t>Head unit solutions</w:t>
            </w:r>
          </w:p>
        </w:tc>
      </w:tr>
      <w:tr>
        <w:trPr>
          <w:trHeight w:val="256"/>
        </w:trPr>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260"/>
              <w:spacing w:after="0"/>
              <w:rPr>
                <w:sz w:val="20"/>
                <w:szCs w:val="20"/>
                <w:color w:val="auto"/>
              </w:rPr>
            </w:pPr>
            <w:r>
              <w:rPr>
                <w:rFonts w:ascii="Arial" w:cs="Arial" w:eastAsia="Arial" w:hAnsi="Arial"/>
                <w:sz w:val="18"/>
                <w:szCs w:val="18"/>
                <w:color w:val="auto"/>
              </w:rPr>
              <w:t>Battery monitoring and management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Advanced driver assistance systems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3460" w:type="dxa"/>
            <w:vAlign w:val="bottom"/>
          </w:tcPr>
          <w:p>
            <w:pPr>
              <w:ind w:left="180"/>
              <w:spacing w:after="0"/>
              <w:rPr>
                <w:sz w:val="20"/>
                <w:szCs w:val="20"/>
                <w:color w:val="auto"/>
              </w:rPr>
            </w:pPr>
            <w:r>
              <w:rPr>
                <w:rFonts w:ascii="Arial" w:cs="Arial" w:eastAsia="Arial" w:hAnsi="Arial"/>
                <w:sz w:val="18"/>
                <w:szCs w:val="18"/>
                <w:color w:val="auto"/>
              </w:rPr>
              <w:t>Rear seat entertainment systems</w:t>
            </w:r>
          </w:p>
        </w:tc>
      </w:tr>
      <w:tr>
        <w:trPr>
          <w:trHeight w:val="230"/>
        </w:trPr>
        <w:tc>
          <w:tcPr>
            <w:tcW w:w="360" w:type="dxa"/>
            <w:vAlign w:val="bottom"/>
          </w:tcPr>
          <w:p>
            <w:pPr>
              <w:spacing w:after="0"/>
              <w:rPr>
                <w:sz w:val="20"/>
                <w:szCs w:val="20"/>
                <w:color w:val="auto"/>
              </w:rPr>
            </w:pPr>
          </w:p>
        </w:tc>
        <w:tc>
          <w:tcPr>
            <w:tcW w:w="3420" w:type="dxa"/>
            <w:vAlign w:val="bottom"/>
            <w:gridSpan w:val="2"/>
          </w:tcPr>
          <w:p>
            <w:pPr>
              <w:ind w:left="260"/>
              <w:spacing w:after="0"/>
              <w:rPr>
                <w:sz w:val="20"/>
                <w:szCs w:val="20"/>
                <w:color w:val="auto"/>
              </w:rPr>
            </w:pPr>
            <w:r>
              <w:rPr>
                <w:rFonts w:ascii="Arial" w:cs="Arial" w:eastAsia="Arial" w:hAnsi="Arial"/>
                <w:sz w:val="18"/>
                <w:szCs w:val="18"/>
                <w:color w:val="auto"/>
              </w:rPr>
              <w:t>systems</w:t>
            </w:r>
          </w:p>
        </w:tc>
        <w:tc>
          <w:tcPr>
            <w:tcW w:w="300" w:type="dxa"/>
            <w:vAlign w:val="bottom"/>
          </w:tcPr>
          <w:p>
            <w:pPr>
              <w:spacing w:after="0"/>
              <w:rPr>
                <w:sz w:val="20"/>
                <w:szCs w:val="20"/>
                <w:color w:val="auto"/>
              </w:rPr>
            </w:pP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(RADAR/Vision)</w:t>
            </w:r>
          </w:p>
        </w:tc>
        <w:tc>
          <w:tcPr>
            <w:tcW w:w="28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270"/>
        </w:trPr>
        <w:tc>
          <w:tcPr>
            <w:tcW w:w="3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580" w:type="dxa"/>
            <w:vAlign w:val="bottom"/>
            <w:gridSpan w:val="2"/>
          </w:tcPr>
          <w:p>
            <w:pPr>
              <w:ind w:left="200"/>
              <w:spacing w:after="0"/>
              <w:rPr>
                <w:sz w:val="20"/>
                <w:szCs w:val="20"/>
                <w:color w:val="auto"/>
              </w:rPr>
            </w:pPr>
            <w:r>
              <w:rPr>
                <w:rFonts w:ascii="Arial" w:cs="Arial" w:eastAsia="Arial" w:hAnsi="Arial"/>
                <w:sz w:val="18"/>
                <w:szCs w:val="18"/>
                <w:color w:val="auto"/>
              </w:rPr>
              <w:t>Vehicle dynamic control systems</w:t>
            </w:r>
          </w:p>
        </w:tc>
        <w:tc>
          <w:tcPr>
            <w:tcW w:w="280" w:type="dxa"/>
            <w:vAlign w:val="bottom"/>
          </w:tcPr>
          <w:p>
            <w:pPr>
              <w:spacing w:after="0"/>
              <w:rPr>
                <w:sz w:val="23"/>
                <w:szCs w:val="23"/>
                <w:color w:val="auto"/>
              </w:rPr>
            </w:pPr>
          </w:p>
        </w:tc>
        <w:tc>
          <w:tcPr>
            <w:tcW w:w="3460" w:type="dxa"/>
            <w:vAlign w:val="bottom"/>
          </w:tcPr>
          <w:p>
            <w:pPr>
              <w:spacing w:after="0"/>
              <w:rPr>
                <w:sz w:val="23"/>
                <w:szCs w:val="23"/>
                <w:color w:val="auto"/>
              </w:rPr>
            </w:pPr>
          </w:p>
        </w:tc>
      </w:tr>
    </w:tbl>
    <w:p>
      <w:pPr>
        <w:spacing w:after="0" w:line="134"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b w:val="1"/>
          <w:bCs w:val="1"/>
          <w:i w:val="1"/>
          <w:iCs w:val="1"/>
          <w:color w:val="auto"/>
        </w:rPr>
        <w:t xml:space="preserve">Consumer </w:t>
      </w:r>
      <w:r>
        <w:rPr>
          <w:rFonts w:ascii="Arial" w:cs="Arial" w:eastAsia="Arial" w:hAnsi="Arial"/>
          <w:sz w:val="18"/>
          <w:szCs w:val="18"/>
          <w:color w:val="auto"/>
        </w:rPr>
        <w:t>— To address the market demand for digital entertainment systems and the consumer demand for high quality voice transmissions, music,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movies and photographs with a high degree of interactivity, we have developed analog and digital solutions that meet the rigorous cost and time-to-market requirements of the consumer electronics market. The emergence of high-performance, feature-rich consumer products has created a market for our high-performance ICs with a high level of specific functionality. These products include:</w:t>
      </w:r>
    </w:p>
    <w:p>
      <w:pPr>
        <w:sectPr>
          <w:pgSz w:w="11900" w:h="16838" w:orient="portrait"/>
          <w:cols w:equalWidth="0" w:num="1">
            <w:col w:w="11420"/>
          </w:cols>
          <w:pgMar w:left="240" w:top="706" w:right="2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 Digital cameras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High-performance audio/video equipment</w:t>
      </w:r>
    </w:p>
    <w:p>
      <w:pPr>
        <w:spacing w:after="0" w:line="86" w:lineRule="exact"/>
        <w:rPr>
          <w:sz w:val="20"/>
          <w:szCs w:val="20"/>
          <w:color w:val="auto"/>
        </w:rPr>
      </w:pPr>
    </w:p>
    <w:p>
      <w:pPr>
        <w:sectPr>
          <w:pgSz w:w="11900" w:h="16838" w:orient="portrait"/>
          <w:cols w:equalWidth="0" w:num="2">
            <w:col w:w="4560" w:space="720"/>
            <w:col w:w="6140"/>
          </w:cols>
          <w:pgMar w:left="240" w:top="70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High-definition televisions and DVD recorders/players</w:t>
      </w:r>
    </w:p>
    <w:p>
      <w:pPr>
        <w:spacing w:after="0" w:line="20" w:lineRule="exact"/>
        <w:rPr>
          <w:sz w:val="20"/>
          <w:szCs w:val="20"/>
          <w:color w:val="auto"/>
        </w:rPr>
      </w:pPr>
      <w:r>
        <w:rPr>
          <w:sz w:val="20"/>
          <w:szCs w:val="20"/>
          <w:color w:val="auto"/>
        </w:rPr>
        <w:br w:type="column"/>
      </w:r>
    </w:p>
    <w:p>
      <w:pPr>
        <w:jc w:val="center"/>
        <w:ind w:right="1120"/>
        <w:spacing w:after="0"/>
        <w:rPr>
          <w:sz w:val="20"/>
          <w:szCs w:val="20"/>
          <w:color w:val="auto"/>
        </w:rPr>
      </w:pPr>
      <w:r>
        <w:rPr>
          <w:rFonts w:ascii="Arial" w:cs="Arial" w:eastAsia="Arial" w:hAnsi="Arial"/>
          <w:sz w:val="16"/>
          <w:szCs w:val="16"/>
          <w:color w:val="auto"/>
        </w:rPr>
        <w:t>• Portable media devices (smart phones, tablets and cellular handsets)</w:t>
      </w:r>
    </w:p>
    <w:p>
      <w:pPr>
        <w:spacing w:after="0" w:line="86" w:lineRule="exact"/>
        <w:rPr>
          <w:sz w:val="20"/>
          <w:szCs w:val="20"/>
          <w:color w:val="auto"/>
        </w:rPr>
      </w:pPr>
    </w:p>
    <w:p>
      <w:pPr>
        <w:sectPr>
          <w:pgSz w:w="11900" w:h="16838" w:orient="portrait"/>
          <w:cols w:equalWidth="0" w:num="2">
            <w:col w:w="4560" w:space="720"/>
            <w:col w:w="6140"/>
          </w:cols>
          <w:pgMar w:left="240" w:top="706"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Home theater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Computers</w:t>
      </w:r>
    </w:p>
    <w:p>
      <w:pPr>
        <w:spacing w:after="0" w:line="181" w:lineRule="exact"/>
        <w:rPr>
          <w:sz w:val="20"/>
          <w:szCs w:val="20"/>
          <w:color w:val="auto"/>
        </w:rPr>
      </w:pPr>
    </w:p>
    <w:p>
      <w:pPr>
        <w:sectPr>
          <w:pgSz w:w="11900" w:h="16838" w:orient="portrait"/>
          <w:cols w:equalWidth="0" w:num="2">
            <w:col w:w="4560" w:space="720"/>
            <w:col w:w="6140"/>
          </w:cols>
          <w:pgMar w:left="240" w:top="706" w:right="239" w:bottom="1440" w:gutter="0" w:footer="0" w:header="0"/>
          <w:type w:val="continuous"/>
        </w:sectPr>
      </w:pPr>
    </w:p>
    <w:p>
      <w:pPr>
        <w:ind w:right="260" w:firstLine="432"/>
        <w:spacing w:after="0" w:line="297" w:lineRule="auto"/>
        <w:rPr>
          <w:sz w:val="20"/>
          <w:szCs w:val="20"/>
          <w:color w:val="auto"/>
        </w:rPr>
      </w:pPr>
      <w:r>
        <w:rPr>
          <w:rFonts w:ascii="Arial" w:cs="Arial" w:eastAsia="Arial" w:hAnsi="Arial"/>
          <w:sz w:val="16"/>
          <w:szCs w:val="16"/>
          <w:b w:val="1"/>
          <w:bCs w:val="1"/>
          <w:i w:val="1"/>
          <w:iCs w:val="1"/>
          <w:color w:val="auto"/>
        </w:rPr>
        <w:t xml:space="preserve">Communications </w:t>
      </w:r>
      <w:r>
        <w:rPr>
          <w:rFonts w:ascii="Arial" w:cs="Arial" w:eastAsia="Arial" w:hAnsi="Arial"/>
          <w:sz w:val="16"/>
          <w:szCs w:val="16"/>
          <w:color w:val="auto"/>
        </w:rPr>
        <w:t>— The development of broadband, wireless and internet infrastructures around the world has created an important market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products. Communications technology involves the acquisition of analog signals that are converted from analog to digital and digital to analog form during the process of transmitting and receiving data. The need for higher speed and reduced power consumption, coupled with more reliable, bandwidth-efficient communications, creates demand for our products, which are used in the full spectrum of signal processing for internet protocol, video streaming and voice communication. In wireless and broadband communication applications, our products are incorporated into:</w:t>
      </w:r>
    </w:p>
    <w:p>
      <w:pPr>
        <w:sectPr>
          <w:pgSz w:w="11900" w:h="16838" w:orient="portrait"/>
          <w:cols w:equalWidth="0" w:num="1">
            <w:col w:w="11420"/>
          </w:cols>
          <w:pgMar w:left="240" w:top="706" w:right="239" w:bottom="1440" w:gutter="0" w:footer="0" w:header="0"/>
          <w:type w:val="continuous"/>
        </w:sectPr>
      </w:pP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Cellular basestation equipment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Wired networking equipment</w:t>
      </w:r>
    </w:p>
    <w:p>
      <w:pPr>
        <w:spacing w:after="0" w:line="85" w:lineRule="exact"/>
        <w:rPr>
          <w:sz w:val="20"/>
          <w:szCs w:val="20"/>
          <w:color w:val="auto"/>
        </w:rPr>
      </w:pPr>
    </w:p>
    <w:p>
      <w:pPr>
        <w:sectPr>
          <w:pgSz w:w="11900" w:h="16838" w:orient="portrait"/>
          <w:cols w:equalWidth="0" w:num="4">
            <w:col w:w="100" w:space="520"/>
            <w:col w:w="4520" w:space="720"/>
            <w:col w:w="80" w:space="380"/>
            <w:col w:w="5100"/>
          </w:cols>
          <w:pgMar w:left="240" w:top="706"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Wireless backhaul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Satellite systems</w:t>
      </w:r>
    </w:p>
    <w:p>
      <w:pPr>
        <w:spacing w:after="0" w:line="192" w:lineRule="exact"/>
        <w:rPr>
          <w:sz w:val="20"/>
          <w:szCs w:val="20"/>
          <w:color w:val="auto"/>
        </w:rPr>
      </w:pPr>
    </w:p>
    <w:p>
      <w:pPr>
        <w:sectPr>
          <w:pgSz w:w="11900" w:h="16838" w:orient="portrait"/>
          <w:cols w:equalWidth="0" w:num="4">
            <w:col w:w="100" w:space="520"/>
            <w:col w:w="4520" w:space="720"/>
            <w:col w:w="80" w:space="380"/>
            <w:col w:w="5100"/>
          </w:cols>
          <w:pgMar w:left="240" w:top="706" w:right="239" w:bottom="1440" w:gutter="0" w:footer="0" w:header="0"/>
          <w:type w:val="continuous"/>
        </w:sectPr>
      </w:pPr>
    </w:p>
    <w:p>
      <w:pPr>
        <w:ind w:firstLine="432"/>
        <w:spacing w:after="0" w:line="277" w:lineRule="auto"/>
        <w:rPr>
          <w:sz w:val="20"/>
          <w:szCs w:val="20"/>
          <w:color w:val="auto"/>
        </w:rPr>
      </w:pPr>
      <w:r>
        <w:rPr>
          <w:rFonts w:ascii="Arial" w:cs="Arial" w:eastAsia="Arial" w:hAnsi="Arial"/>
          <w:sz w:val="18"/>
          <w:szCs w:val="18"/>
          <w:color w:val="auto"/>
        </w:rPr>
        <w:t>See Note 4 in the Notes to Consolidated Financial Statements contained in Item 8 of this Annual Report on Form 10-K for further information about our products by category and end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35"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Our markets are characterized by rapid technological changes and advances. Accordingly, we make substantial investments in the design and development of new products and manufacturing processes, and the improvement of existing products and manufacturing processes. We spent approximately $513 million during fiscal 2013 on the design, development and improvement of new and existing products and manufacturing processes, compared to approximately $512 million during fiscal 2012 and approximately $506 million during fiscal 2011.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06" w:right="239" w:bottom="1440" w:gutter="0" w:footer="0" w:header="0"/>
          <w:type w:val="continuous"/>
        </w:sectPr>
      </w:pPr>
    </w:p>
    <w:bookmarkStart w:id="7" w:name="page8"/>
    <w:bookmarkEnd w:id="7"/>
    <w:p>
      <w:pPr>
        <w:ind w:right="180" w:firstLine="432"/>
        <w:spacing w:after="0" w:line="264" w:lineRule="auto"/>
        <w:rPr>
          <w:sz w:val="20"/>
          <w:szCs w:val="20"/>
          <w:color w:val="auto"/>
        </w:rPr>
      </w:pPr>
      <w:r>
        <w:rPr>
          <w:rFonts w:ascii="Arial" w:cs="Arial" w:eastAsia="Arial" w:hAnsi="Arial"/>
          <w:sz w:val="18"/>
          <w:szCs w:val="18"/>
          <w:color w:val="auto"/>
        </w:rPr>
        <w:t>Our research and development strategy focuses on building technical leadership in core technologies of converters, amplifiers and RF, MEMS, power management, and DSP. In support of our research and development activities, we employ thousands of engineers involved in product and manufacturing process development throughout the world.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Other Intellectual Property Rights</w:t>
      </w:r>
    </w:p>
    <w:p>
      <w:pPr>
        <w:spacing w:after="0" w:line="135"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We seek to establish and maintain our proprietary rights in our technology and products through the use of patents, copyrights, mask works, trademarks and trade secrets. We have a program to file applications for and obtain patents, copyrights, mask works and trademarks in the United States and in selected foreign countries where we believe filing for such protection is appropriate. We also seek to maintain our trade secrets and confidential information by nondisclosure policies and through the use of appropriate confidentiality agreements. We have obtained a substantial number of patents and trademarks in the United States and in other countries. As of November 2, 2013, we held approximately 1,950 U.S. patents and approximately 700 non-provisional pending U.S. patent applications with expiration dates ranging from 2013 through 2033. There can be no assurance, however, that the rights obtained can be successfully enforced against infringing products in every jurisdiction. While our patents, copyrights, mask works, trademarks and trade secrets provide some advantage and protection, we believe our competitive position and future success is largely determined by such factors as the system and application knowledge, innovative skills, technological expertise and management ability and experience of our personnel; the range and success of new products being developed by us; our market brand recognition and ongoing marketing efforts; and customer service and technical support. It is generally our policy to seek patent protection for significant inventions that may be patented, though we may elect, in certain cases, not to seek patent protection even for significant inventions, if we determine other protection, such as maintaining the invention as a trade secret, to be more advantageous. We also have trademarks that are used in the conduct of our business to distinguish genuine Analog Devices products and we maintain cooperative advertising programs to promote our brands and identify products containing genuine Analog Devices components.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Channels</w:t>
      </w:r>
    </w:p>
    <w:p>
      <w:pPr>
        <w:spacing w:after="0" w:line="13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sell our products globally through a direct sales force, third-party distributors, independent sales representatives and via our website. We have direct sales offices, sales representatives and/or distributors in over 40 countries outside North America.</w:t>
      </w:r>
    </w:p>
    <w:p>
      <w:pPr>
        <w:spacing w:after="0" w:line="76"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support our worldwide technical direct field sales efforts by an extensive promotional program that includes editorial coverage and paid advertising in trade publications, direct mail programs, promotional brochures, technical seminars and participation in trade shows. We publish and distribute product catalogs, applications guides, technical handbooks and detailed data sheets for individual products. We also provide this information and sell products via our website. We maintain a staff of field application engineers who aid customers in incorporating our products into their products. In addition, we offer a variety of web-based tools that ease product selection and aid in the design process for our customers.</w:t>
      </w:r>
    </w:p>
    <w:p>
      <w:pPr>
        <w:spacing w:after="0" w:line="78"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derived approximately 55% of our fiscal 2013 revenue from sales made through distributors. These distributors typically maintain an inventory of our products. Some of them also sell products that compete with our products, including those for which we are an alternate source. In all regions of the world, we defer revenue and the related cost of sales on shipments to distributors until the distributors resell the products to their customers. We make sales to distributors under agreements that allow distributors to receive price adjustment credits and to return qualifying products for credit, as determined by us, in order to reduce the amounts of slow-moving, discontinued or obsolete product from their inventory. These agreements limit such returns to a certain percentage of our shipments to that distributor during the prior quarter. In addition, distributors are allowed to return unsold products if we terminate the relationship with the distributor. Additional information relating to our sales to distributors is set forth in Note 2n in the Notes to Consolidated Financial Statements contained in Item 8 of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Financial Information and Geographic Information</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operate and track our results in one reportable segment based on the aggregation of five operating segments.</w:t>
      </w:r>
    </w:p>
    <w:p>
      <w:pPr>
        <w:spacing w:after="0" w:line="13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Through subsidiaries and affiliates, we conduct business in numerous countries outside the United States. During fiscal 2013, we derived approximately 69% of our revenue from customers in international markets. Our international business is subject to risks customarily encountered in foreign operations, including fluctuations in foreign currency exchange rates and controls, import and export controls, and other laws, policies and regulations of foreign governments. Although we engage in hedging transactions to reduce our exposure to currency exchange rate fluctuations, our competitive position may be adversely affected by changes in the exchange rate of the United States dollar against other currencies.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06" w:right="259" w:bottom="1440" w:gutter="0" w:footer="0" w:header="0"/>
        </w:sectPr>
      </w:pPr>
    </w:p>
    <w:bookmarkStart w:id="8" w:name="page9"/>
    <w:bookmarkEnd w:id="8"/>
    <w:p>
      <w:pPr>
        <w:ind w:left="440"/>
        <w:spacing w:after="0"/>
        <w:rPr>
          <w:sz w:val="20"/>
          <w:szCs w:val="20"/>
          <w:color w:val="auto"/>
        </w:rPr>
      </w:pPr>
      <w:r>
        <w:rPr>
          <w:rFonts w:ascii="Arial" w:cs="Arial" w:eastAsia="Arial" w:hAnsi="Arial"/>
          <w:sz w:val="17"/>
          <w:szCs w:val="17"/>
          <w:color w:val="auto"/>
        </w:rPr>
        <w:t>Revenue by geographic region, based on the primary location of our customers' design activity for our products, for fiscal 2013 was as follow: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r>
      <w:tr>
        <w:trPr>
          <w:trHeight w:val="270"/>
        </w:trPr>
        <w:tc>
          <w:tcPr>
            <w:tcW w:w="9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2013</w:t>
            </w:r>
          </w:p>
        </w:tc>
      </w:tr>
      <w:tr>
        <w:trPr>
          <w:trHeight w:val="276"/>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Geographic Area</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31%</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Rest of North/South America</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4%</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32%</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Japan</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11%</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13%</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Rest of Asia</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w:t>
            </w:r>
          </w:p>
        </w:tc>
      </w:tr>
    </w:tbl>
    <w:p>
      <w:pPr>
        <w:spacing w:after="0" w:line="134"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For further detail regarding revenue and financial information about our industry, segment and geographic areas, see our Consolidated Financial Statements and Note 4 in the related Notes contained in Item 8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have tens of thousands of customers worldwide. No sales to an individual customer accounted for more than 10% of fiscal year 2013, 2012, or 2011 revenue. These customers use hundreds of different types of our products in a wide range of applications spanning the industrial, automotive, consumer and communication markets. Our largest single customer, excluding distributors, represented approximately 4% of our fiscal 2013 revenue. Our 20 largest customers, excluding distributors, accounted for approximately 34% of our fiscal 2013 revenue.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3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Sales to customers during our first fiscal quarter may be lower than other quarters due to plant shutdowns at some of our customers during the holiday season. In general, the seasonality for any specific period of time has not had a material impact on our results of operations. In addition, as explained in our risk factors contained in Item 1A of this Annual Report on Form 10-K, our revenue is more likely to be influenced on a quarter to quarter basis by cyclicality in the semiconductor industry.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Raw Materials</w:t>
      </w:r>
    </w:p>
    <w:p>
      <w:pPr>
        <w:spacing w:after="0" w:line="13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Monolithic IC components are manufactured in a sequence of semiconductor production steps that include wafer fabrication, wafer testing, cutting the wafer into individual “chips,” or dice, assembly of the dice into packages and electrical testing of the devices in final packaged form. The raw materials used to manufacture these devices include silicon wafers, processing chemicals (including liquefied gases), precious metals and ceramic and plastic used for packaging.</w:t>
      </w:r>
    </w:p>
    <w:p>
      <w:pPr>
        <w:spacing w:after="0" w:line="92" w:lineRule="exact"/>
        <w:rPr>
          <w:sz w:val="20"/>
          <w:szCs w:val="20"/>
          <w:color w:val="auto"/>
        </w:rPr>
      </w:pPr>
    </w:p>
    <w:p>
      <w:pPr>
        <w:ind w:right="380" w:firstLine="432"/>
        <w:spacing w:after="0" w:line="342" w:lineRule="auto"/>
        <w:rPr>
          <w:sz w:val="20"/>
          <w:szCs w:val="20"/>
          <w:color w:val="auto"/>
        </w:rPr>
      </w:pPr>
      <w:r>
        <w:rPr>
          <w:rFonts w:ascii="Arial" w:cs="Arial" w:eastAsia="Arial" w:hAnsi="Arial"/>
          <w:sz w:val="16"/>
          <w:szCs w:val="16"/>
          <w:color w:val="auto"/>
        </w:rPr>
        <w:t>We develop and employ a wide variety of proprietary manufacturing processes that are specifically tailored for use in fabricating high-performance analog, DSP, mixed-signal and MEMS ICs. We also use bipolar and complementary metal-oxide semiconductor, or CMOS, wafer fabrication processes.</w:t>
      </w:r>
    </w:p>
    <w:p>
      <w:pPr>
        <w:spacing w:after="0" w:line="29"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Our IC products are fabricated both at our production facilities and by third-party wafer fabricators. Our products are manufactured in our own wafer fabrication facilities using proprietary processes and at third-party wafer-fabrication foundries using sub-micron digital CMOS processes. We currently source approximately 50% of our wafer requirements annually from third-party wafer fabrication foundries, primarily Taiwan Semiconductor Manufacturing Company (TSMC). We operate wafer fabrication facilities in Wilmington, Massachusetts and Limerick, Ireland. We also operate test facilities located in the Philippines and use third-party subcontractors for the assembly and testing of our products.</w:t>
      </w:r>
    </w:p>
    <w:p>
      <w:pPr>
        <w:spacing w:after="0" w:line="78"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Capital spending was approximately $123 million in fiscal 2013, compared with approximately $132 million in fiscal 2012. We expect capital expenditures for fiscal 2014 to be approximately $150 million, of which about two-thirds relates to ongoing capital spending, and about one-third relates to capital spending for a new building we are constructing on our campus in Ireland.</w:t>
      </w:r>
    </w:p>
    <w:p>
      <w:pPr>
        <w:spacing w:after="0" w:line="8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products require a wide variety of components, raw materials and external foundry services, most of which we purchase from third-party suppliers. We have multiple sources for many of the components and materials that we purchase and incorporate into our products. However, a large portion of our external wafer purchases and foundry services are from a limited number of suppliers, primarily TSMC. If TSMC or any of our other key suppliers are unable or unwilling to manufacture and deliver sufficient quantities of components to us, on the time schedule and of the quality that we require, we may be forced to seek to engage additional or replacement suppliers, which could result in significant expenses and disruptions or delays in manufacturing, product development and shipment of product to our customers. Although we have experienced shortages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0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components, materials and external foundry services from time to time, these items have generally been available to us as needed.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3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Backlog at the end of fiscal 2013 was approximately $345 million, down from approximately $357 million at the end of fiscal 2012. We define backlog as of a particular date to mean firm orders from a customer or distributor with a requested delivery date within thirteen weeks. Backlog is impacted by the tendency of customers to rely on shorter lead times available from suppliers, including us, in periods of depressed demand. In periods of increased demand, there is a tendency towards longer lead times that has the effect of increasing backlog and, in some instances, we may not have manufacturing capacity sufficient to fulfill all orders. As is customary in the semiconductor industry, we allow most orders to be cancelled or deliveries to be delayed by customers without significant penalty. Accordingly, we believe that our backlog at any time should not be used as an indication of our future revenue.</w:t>
      </w:r>
    </w:p>
    <w:p>
      <w:pPr>
        <w:spacing w:after="0" w:line="7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We typically do not have long-term sales contracts with our customers. In some of our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 As a result, we may incur inventory and manufacturing costs in advance of anticipated sales and are subject to the risk of cancellation of orders leading to a sharp reduction of sales and backlog. Further, those orders or forecasts may be for products that meet the customer’s unique requirements so that those canceled orders would, in addition, result in an inventory of unsaleable products, resulting in potential inventory write-offs. As a result of lengthy manufacturing cycles for some of our products that are subject to these uncertainties, the amount of unsaleable product could be substantial.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13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We estimate that approximately 3% of our fiscal 2013 revenue was attributable to sales to the U.S. government and U.S. government contractors and subcontractors. Our government contract business is predominantly in the form of negotiated, firm, fixed-price subcontracts. Most of these contracts and subcontracts contain standard provisions relating to termination at the election of the U.S. government.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Divestitures and Investments</w:t>
      </w:r>
    </w:p>
    <w:p>
      <w:pPr>
        <w:spacing w:after="0" w:line="13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An element of our business strategy involves expansion through the acquisition of businesses, assets, products or technologies that allow us to complement our existing product offerings, expand our market coverage, increase our engineering workforce or enhance our technological capabilities. From time to time, we consider acquisitions and divestitures that may strengthen our business.</w:t>
      </w:r>
    </w:p>
    <w:p>
      <w:pPr>
        <w:spacing w:after="0" w:line="8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On October 31, 2013, we completed the sale of the assets and intellectual property related to our microphone product line to InvenSense, Inc. (InvenSense). We received $100.0 million in cash for the assets and intellectual property at the closing. In addition, we have agreed to provide InvenSense with various transition services subsequent to the closing. We may receive additional cash payments, not to exceed $70.0 million, based on the achievement of certain revenue milestones through the first anniversary of the closing date.</w:t>
      </w:r>
    </w:p>
    <w:p>
      <w:pPr>
        <w:spacing w:after="0" w:line="9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Additional information relating to our acquisition and divestiture activities during fiscal years 2013, 2012 and 2011 is set forth in Note 2u, Note 6 and Note 17 of the Notes to Consolidated Financial Statements contained in Item 8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believe that competitive performance in the marketplace for signal processing products depends upon multiple factors, including technological innovation, strength of brand, diversity of product portfolio, product performance, technical support, delivery capabilities, customer service quality, reliability and price, with the relative importance of these factors varying among products, markets, and customers.</w:t>
      </w:r>
    </w:p>
    <w:p>
      <w:pPr>
        <w:spacing w:after="0" w:line="87"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We compete with a number of semiconductor companies in markets that are highly competitive. Our competitors include but are not limited to:</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706" w:right="279" w:bottom="1440" w:gutter="0" w:footer="0" w:header="0"/>
        </w:sectPr>
      </w:pPr>
    </w:p>
    <w:bookmarkStart w:id="10" w:name="page11"/>
    <w:bookmarkEnd w:id="10"/>
    <w:p>
      <w:pPr>
        <w:ind w:left="40"/>
        <w:spacing w:after="0"/>
        <w:rPr>
          <w:sz w:val="20"/>
          <w:szCs w:val="20"/>
          <w:color w:val="auto"/>
        </w:rPr>
      </w:pPr>
      <w:r>
        <w:rPr>
          <w:rFonts w:ascii="Arial" w:cs="Arial" w:eastAsia="Arial" w:hAnsi="Arial"/>
          <w:sz w:val="16"/>
          <w:szCs w:val="16"/>
          <w:color w:val="auto"/>
        </w:rPr>
        <w:t>• Broadcom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Microchip Technology, Inc.</w:t>
      </w:r>
    </w:p>
    <w:p>
      <w:pPr>
        <w:spacing w:after="0" w:line="86" w:lineRule="exact"/>
        <w:rPr>
          <w:sz w:val="20"/>
          <w:szCs w:val="20"/>
          <w:color w:val="auto"/>
        </w:rPr>
      </w:pPr>
    </w:p>
    <w:p>
      <w:pPr>
        <w:sectPr>
          <w:pgSz w:w="11900" w:h="16838" w:orient="portrait"/>
          <w:cols w:equalWidth="0" w:num="2">
            <w:col w:w="5260" w:space="720"/>
            <w:col w:w="5440"/>
          </w:cols>
          <w:pgMar w:left="240" w:top="746" w:right="239" w:bottom="1440" w:gutter="0" w:footer="0" w:header="0"/>
        </w:sectPr>
      </w:pPr>
    </w:p>
    <w:p>
      <w:pPr>
        <w:ind w:left="40"/>
        <w:spacing w:after="0"/>
        <w:rPr>
          <w:sz w:val="20"/>
          <w:szCs w:val="20"/>
          <w:color w:val="auto"/>
        </w:rPr>
      </w:pPr>
      <w:r>
        <w:rPr>
          <w:rFonts w:ascii="Arial" w:cs="Arial" w:eastAsia="Arial" w:hAnsi="Arial"/>
          <w:sz w:val="16"/>
          <w:szCs w:val="16"/>
          <w:color w:val="auto"/>
        </w:rPr>
        <w:t>• Freescale Semiconductor, Inc.</w:t>
      </w:r>
    </w:p>
    <w:p>
      <w:pPr>
        <w:spacing w:after="0" w:line="20" w:lineRule="exact"/>
        <w:rPr>
          <w:sz w:val="20"/>
          <w:szCs w:val="20"/>
          <w:color w:val="auto"/>
        </w:rPr>
      </w:pPr>
      <w:r>
        <w:rPr>
          <w:sz w:val="20"/>
          <w:szCs w:val="20"/>
          <w:color w:val="auto"/>
        </w:rPr>
        <w:br w:type="column"/>
      </w:r>
    </w:p>
    <w:p>
      <w:pPr>
        <w:jc w:val="center"/>
        <w:ind w:right="3760"/>
        <w:spacing w:after="0"/>
        <w:rPr>
          <w:sz w:val="20"/>
          <w:szCs w:val="20"/>
          <w:color w:val="auto"/>
        </w:rPr>
      </w:pPr>
      <w:r>
        <w:rPr>
          <w:rFonts w:ascii="Arial" w:cs="Arial" w:eastAsia="Arial" w:hAnsi="Arial"/>
          <w:sz w:val="16"/>
          <w:szCs w:val="16"/>
          <w:color w:val="auto"/>
        </w:rPr>
        <w:t>• NXP Semiconductors</w:t>
      </w:r>
    </w:p>
    <w:p>
      <w:pPr>
        <w:spacing w:after="0" w:line="86" w:lineRule="exact"/>
        <w:rPr>
          <w:sz w:val="20"/>
          <w:szCs w:val="20"/>
          <w:color w:val="auto"/>
        </w:rPr>
      </w:pPr>
    </w:p>
    <w:p>
      <w:pPr>
        <w:sectPr>
          <w:pgSz w:w="11900" w:h="16838" w:orient="portrait"/>
          <w:cols w:equalWidth="0" w:num="2">
            <w:col w:w="5260" w:space="720"/>
            <w:col w:w="54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Infineon Technologies</w:t>
      </w:r>
    </w:p>
    <w:p>
      <w:pPr>
        <w:spacing w:after="0" w:line="20" w:lineRule="exact"/>
        <w:rPr>
          <w:sz w:val="20"/>
          <w:szCs w:val="20"/>
          <w:color w:val="auto"/>
        </w:rPr>
      </w:pPr>
      <w:r>
        <w:rPr>
          <w:sz w:val="20"/>
          <w:szCs w:val="20"/>
          <w:color w:val="auto"/>
        </w:rPr>
        <w:br w:type="column"/>
      </w:r>
    </w:p>
    <w:p>
      <w:pPr>
        <w:jc w:val="center"/>
        <w:ind w:right="3860"/>
        <w:spacing w:after="0"/>
        <w:rPr>
          <w:sz w:val="20"/>
          <w:szCs w:val="20"/>
          <w:color w:val="auto"/>
        </w:rPr>
      </w:pPr>
      <w:r>
        <w:rPr>
          <w:rFonts w:ascii="Arial" w:cs="Arial" w:eastAsia="Arial" w:hAnsi="Arial"/>
          <w:sz w:val="16"/>
          <w:szCs w:val="16"/>
          <w:color w:val="auto"/>
        </w:rPr>
        <w:t>• ST Microelectronics</w:t>
      </w:r>
    </w:p>
    <w:p>
      <w:pPr>
        <w:spacing w:after="0" w:line="86" w:lineRule="exact"/>
        <w:rPr>
          <w:sz w:val="20"/>
          <w:szCs w:val="20"/>
          <w:color w:val="auto"/>
        </w:rPr>
      </w:pPr>
    </w:p>
    <w:p>
      <w:pPr>
        <w:sectPr>
          <w:pgSz w:w="11900" w:h="16838" w:orient="portrait"/>
          <w:cols w:equalWidth="0" w:num="2">
            <w:col w:w="5260" w:space="720"/>
            <w:col w:w="54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Intersil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Silicon Laboratories, Inc.</w:t>
      </w:r>
    </w:p>
    <w:p>
      <w:pPr>
        <w:spacing w:after="0" w:line="86" w:lineRule="exact"/>
        <w:rPr>
          <w:sz w:val="20"/>
          <w:szCs w:val="20"/>
          <w:color w:val="auto"/>
        </w:rPr>
      </w:pPr>
    </w:p>
    <w:p>
      <w:pPr>
        <w:sectPr>
          <w:pgSz w:w="11900" w:h="16838" w:orient="portrait"/>
          <w:cols w:equalWidth="0" w:num="2">
            <w:col w:w="5260" w:space="720"/>
            <w:col w:w="54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Linear Technology Corporation</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Arial" w:cs="Arial" w:eastAsia="Arial" w:hAnsi="Arial"/>
          <w:sz w:val="16"/>
          <w:szCs w:val="16"/>
          <w:color w:val="auto"/>
        </w:rPr>
        <w:t>• Texas Instruments, Inc.</w:t>
      </w:r>
    </w:p>
    <w:p>
      <w:pPr>
        <w:spacing w:after="0" w:line="86" w:lineRule="exact"/>
        <w:rPr>
          <w:sz w:val="20"/>
          <w:szCs w:val="20"/>
          <w:color w:val="auto"/>
        </w:rPr>
      </w:pPr>
    </w:p>
    <w:p>
      <w:pPr>
        <w:sectPr>
          <w:pgSz w:w="11900" w:h="16838" w:orient="portrait"/>
          <w:cols w:equalWidth="0" w:num="2">
            <w:col w:w="5260" w:space="720"/>
            <w:col w:w="544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Maxim Integrated Products, Inc.</w:t>
      </w:r>
    </w:p>
    <w:p>
      <w:pPr>
        <w:sectPr>
          <w:pgSz w:w="11900" w:h="16838" w:orient="portrait"/>
          <w:cols w:equalWidth="0" w:num="1">
            <w:col w:w="11420"/>
          </w:cols>
          <w:pgMar w:left="240" w:top="746" w:right="239" w:bottom="1440" w:gutter="0" w:footer="0" w:header="0"/>
          <w:type w:val="continuous"/>
        </w:sectPr>
      </w:pPr>
    </w:p>
    <w:p>
      <w:pPr>
        <w:spacing w:after="0" w:line="181"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We believe that our technical innovation emphasizing product performance and reliability, supported by our commitment to strong customer service and technical support, enables us to make a fundamental difference to our customers’ competitiveness in our chosen markets.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 Health and Safety</w:t>
      </w:r>
    </w:p>
    <w:p>
      <w:pPr>
        <w:spacing w:after="0" w:line="13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are committed to protecting the environment and the health and safety of our employees, customers and the public. We endeavor to adhere to applicable environmental, health and safety (EHS) regulatory and industry standards across all of our facilities, and to encourage pollution prevention, reduce our water and energy consumption, reduce waste generation, and strive towards continual improvement. We strive to achieve excellence in EHS management practices as an integral part of our total quality management system.</w:t>
      </w:r>
    </w:p>
    <w:p>
      <w:pPr>
        <w:spacing w:after="0" w:line="9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Our management systems are certified to ISO 14001, OHSAS 18001, ISO 9001 and TS16949. We are a member of the Electronic Industry Citizenship Coalition (EICC). Our Sustainability Report, first published in 2009, states our commitment to consuming less energy and applying fair labor standards, among other things. We are not including the information contained in our Sustainability Report in, or incorporating it by reference into this Annual Report on Form 10-K.</w:t>
      </w:r>
    </w:p>
    <w:p>
      <w:pPr>
        <w:spacing w:after="0" w:line="92"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manufacturing facilities are subject to numerous and increasingly strict federal, state, local and foreign EHS laws and regulations, particularly with respect to the transportation, storage, handling, use, emission, discharge and disposal of certain chemicals used or produced in the semiconductor manufacturing process. Our products are subject to increasingly stringent regulations regarding chemical content in jurisdictions where we sell products, including the Restriction of Hazardous Substances (RoHS) directive in the European Union and China and the Registration, Evaluation, Authorization and Restriction of Chemicals (REACH) directive in the European Union. Contracts with many of our customers reflect these and additional EHS compliance standards. Compliance with these laws and regulations has not had a material impact on our capital expenditures, earnings, financial condition or competitive position. There can be no assurance, however, that current or future environmental laws and regulations will not impose costly requirements upon us. Any failure by us to comply with applicable environmental laws, regulations and contractual obligations could result in fines, suspension of production, the need to alter manufacturing processes and legal liability.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5"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As of November 2, 2013, we employed approximately 9,100 individuals worldwide. Our future success depends in large part on the continued service of our key technical and senior management personnel, and on our ability to continue to attract, retain and motivate qualified employees, particularly those highly-skilled design, process, test and applications engineers involved in the design, support and manufacture of new and existing products and processes. We believe that relations with our employees are good; however, the competition for such personnel is intense, and the loss of key personnel could have a material adverse impact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global credit and financial markets could materially and adversely affect our business and results of operations.</w:t>
      </w:r>
    </w:p>
    <w:p>
      <w:pPr>
        <w:spacing w:after="0" w:line="225"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There is significant continuing uncertainty regarding the stability of global credit and financial markets. These economic uncertainties may lead consumers and businesses to postpone spending, which may cause our customers to cancel, decrease or delay their existing and future orders for our products and make it difficult for us to accurately forecast and plan our future business activities. Uncertainty regarding the future stability of the Euro Zone could cause the value of the Euro to deteriorate, thus reducing the purchasing power of our European customers. In addition, financial difficulties experienced by our suppliers or distributors could result in product delays, increased accounts receivable defaults and inventory challenges. During the past few years, many governments adopted stimulus or spending programs designed to ease the economic impact of the crisis. Some of our businesses benefited from these stimulus programs and there can be no assurance that such programs will continue in the future. If economic conditions deteriorate, we may record additional charges relating to restructuring costs or the impairment of assets and our business and results of operations could be materially and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and net income are difficult to predict and may materially fluctuate.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future revenue, gross margins, operating results and net income are difficult to predict and may be materially affected by a number of factors, including:</w:t>
      </w:r>
    </w:p>
    <w:p>
      <w:pPr>
        <w:spacing w:after="0" w:line="8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markets in which we sell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customer demand for our products and for end products that incorporate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new product announcements or introductions by us, our customers or our competitors;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15" w:lineRule="exact"/>
        <w:rPr>
          <w:rFonts w:ascii="Arial" w:cs="Arial" w:eastAsia="Arial" w:hAnsi="Arial"/>
          <w:sz w:val="17"/>
          <w:szCs w:val="17"/>
          <w:color w:val="auto"/>
        </w:rPr>
      </w:pPr>
    </w:p>
    <w:p>
      <w:pPr>
        <w:ind w:left="660" w:right="30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delay or cancellation of significant customer orders and our ability to manage inventory;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hire, retain and motivate adequate numbers of engineers and other qualified employees to meet the demands of our customers;</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significant litigation-related costs;</w:t>
      </w:r>
    </w:p>
    <w:p>
      <w:pPr>
        <w:spacing w:after="0" w:line="103" w:lineRule="exact"/>
        <w:rPr>
          <w:rFonts w:ascii="Arial" w:cs="Arial" w:eastAsia="Arial" w:hAnsi="Arial"/>
          <w:sz w:val="18"/>
          <w:szCs w:val="18"/>
          <w:color w:val="auto"/>
        </w:rPr>
      </w:pPr>
    </w:p>
    <w:p>
      <w:pPr>
        <w:ind w:left="660" w:right="16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environmental and social responsibility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effective tax rates in the United States, Ireland or worldwide; and</w:t>
      </w:r>
    </w:p>
    <w:p>
      <w:pPr>
        <w:spacing w:after="0" w:line="103" w:lineRule="exact"/>
        <w:rPr>
          <w:rFonts w:ascii="Arial" w:cs="Arial" w:eastAsia="Arial" w:hAnsi="Arial"/>
          <w:sz w:val="18"/>
          <w:szCs w:val="18"/>
          <w:color w:val="auto"/>
        </w:rPr>
      </w:pPr>
    </w:p>
    <w:p>
      <w:pPr>
        <w:ind w:left="660" w:right="20" w:hanging="328"/>
        <w:spacing w:after="0" w:line="38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and other events beyond our control.</w:t>
      </w:r>
    </w:p>
    <w:p>
      <w:pPr>
        <w:spacing w:after="0" w:line="116"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In addition, the semiconductor market has historically been cyclical and subject to significant economic upturns and downturns. Our business is subject to rapid technological changes and there can be no assurance (i) that products stocked in our inventory will not be rendered obsolete before we ship them, or</w:t>
      </w:r>
    </w:p>
    <w:p>
      <w:pPr>
        <w:ind w:right="100" w:firstLine="8"/>
        <w:spacing w:after="0" w:line="261"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will be able to produce products in a timely fashion to accommodate changing customer demand. As a result of these and other factors, there can be no assurance that we will not</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580" w:right="299" w:bottom="1440" w:gutter="0" w:footer="0" w:header="0"/>
        </w:sectPr>
      </w:pPr>
    </w:p>
    <w:bookmarkStart w:id="12" w:name="page13"/>
    <w:bookmarkEnd w:id="12"/>
    <w:p>
      <w:pPr>
        <w:ind w:right="80"/>
        <w:spacing w:after="0" w:line="264" w:lineRule="auto"/>
        <w:rPr>
          <w:sz w:val="20"/>
          <w:szCs w:val="20"/>
          <w:color w:val="auto"/>
        </w:rPr>
      </w:pPr>
      <w:r>
        <w:rPr>
          <w:rFonts w:ascii="Arial" w:cs="Arial" w:eastAsia="Arial" w:hAnsi="Arial"/>
          <w:sz w:val="18"/>
          <w:szCs w:val="18"/>
          <w:color w:val="auto"/>
        </w:rPr>
        <w:t>experience material fluctuations in future revenue, gross margins, operating results and net income on a quarterly or annual basis. In addition, if our revenue, gross margins, operating results and net income do not meet the expectations of securities analysts or investors, the market price of our common stock may decline.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our effective tax rate may impact our results of operations.</w:t>
      </w:r>
    </w:p>
    <w:p>
      <w:pPr>
        <w:spacing w:after="0" w:line="9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 number of factors may increase our future effective tax rate, including: changes in tax laws or the interpretation of such tax laws; increases in tax rates in various jurisdictions; variation in the jurisdictions in which profits are earned and taxed; any adverse resolution of ongoing tax audits or adverse rulings from taxing authorities worldwide;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Any significant increase in our future effective tax rates could adversely impact our net income during future periods.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cancellations or delays in orders for our products could adversely affect our operating results.</w:t>
      </w:r>
    </w:p>
    <w:p>
      <w:pPr>
        <w:spacing w:after="0" w:line="102"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canceled or unrealized orders would, in addition, result in an inventory of unsaleable products, causing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1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Our future success depends upon our ability to continue to innovate, improve our products, develop and market new products, and identify and enter new markets.</w:t>
      </w:r>
    </w:p>
    <w:p>
      <w:pPr>
        <w:spacing w:after="0" w:line="35"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Our future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face intense technological and pricing competition in the semiconductor industry, and we expect this competition to increase in the future, including from companies located outside the United States.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emerging companies selling specialized products in markets we serve.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584" w:right="279" w:bottom="1440" w:gutter="0" w:footer="0" w:header="0"/>
        </w:sectPr>
      </w:pPr>
    </w:p>
    <w:bookmarkStart w:id="13" w:name="page14"/>
    <w:bookmarkEnd w:id="13"/>
    <w:p>
      <w:pPr>
        <w:ind w:right="80"/>
        <w:spacing w:after="0" w:line="264" w:lineRule="auto"/>
        <w:rPr>
          <w:sz w:val="20"/>
          <w:szCs w:val="20"/>
          <w:color w:val="auto"/>
        </w:rPr>
      </w:pPr>
      <w:r>
        <w:rPr>
          <w:rFonts w:ascii="Arial" w:cs="Arial" w:eastAsia="Arial" w:hAnsi="Arial"/>
          <w:sz w:val="18"/>
          <w:szCs w:val="18"/>
          <w:color w:val="auto"/>
        </w:rPr>
        <w:t>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20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We rely on third-party suppliers, subcontractors and manufacturers for some industry-standard wafers, manufacturing processes and assembly and test services, and generally cannot control their availability or conditions of supply.</w:t>
      </w:r>
    </w:p>
    <w:p>
      <w:pPr>
        <w:spacing w:after="0" w:line="3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rely, and plan to continue to rely, on suppliers, assembly and test subcontractors, and third-party wafer fabricators to supply most of our wafers that can be manufactured using industry-standard submicron processes. This reliance involves several risks, including reduced control over availability, capacity utilization, delivery schedules, manufacturing yields, and costs. We currently source approximately 50% of our wafer requirements annually from third-party wafer fabrication foundries, primarily Taiwan Semiconductor Manufacturing Company, or TSMC</w:t>
      </w:r>
      <w:r>
        <w:rPr>
          <w:rFonts w:ascii="Arial" w:cs="Arial" w:eastAsia="Arial" w:hAnsi="Arial"/>
          <w:sz w:val="17"/>
          <w:szCs w:val="17"/>
          <w:i w:val="1"/>
          <w:iCs w:val="1"/>
          <w:color w:val="auto"/>
        </w:rPr>
        <w:t>.</w:t>
      </w:r>
      <w:r>
        <w:rPr>
          <w:rFonts w:ascii="Arial" w:cs="Arial" w:eastAsia="Arial" w:hAnsi="Arial"/>
          <w:sz w:val="17"/>
          <w:szCs w:val="17"/>
          <w:color w:val="auto"/>
        </w:rPr>
        <w:t xml:space="preserve"> In addition, these suppliers often provide manufacturing services to our competitors and therefore periods of increased industry demand may result in capacity constraints. In certain instances, the third-party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replacement suppliers or manufacturing processes are not available, we may also experience delays in product development or shipment which could, in turn, result in the temporary or permanent loss of customers.</w:t>
      </w:r>
    </w:p>
    <w:p>
      <w:pPr>
        <w:spacing w:after="0" w:line="2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35" w:lineRule="exact"/>
        <w:rPr>
          <w:sz w:val="20"/>
          <w:szCs w:val="20"/>
          <w:color w:val="auto"/>
        </w:rPr>
      </w:pPr>
    </w:p>
    <w:p>
      <w:pPr>
        <w:ind w:right="160" w:firstLine="432"/>
        <w:spacing w:after="0" w:line="289" w:lineRule="auto"/>
        <w:rPr>
          <w:sz w:val="20"/>
          <w:szCs w:val="20"/>
          <w:color w:val="auto"/>
        </w:rPr>
      </w:pPr>
      <w:r>
        <w:rPr>
          <w:rFonts w:ascii="Arial" w:cs="Arial" w:eastAsia="Arial" w:hAnsi="Arial"/>
          <w:sz w:val="16"/>
          <w:szCs w:val="16"/>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1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35"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3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84" w:right="259" w:bottom="1440" w:gutter="0" w:footer="0" w:header="0"/>
        </w:sectPr>
      </w:pPr>
    </w:p>
    <w:bookmarkStart w:id="14" w:name="page15"/>
    <w:bookmarkEnd w:id="14"/>
    <w:p>
      <w:pPr>
        <w:ind w:right="520"/>
        <w:spacing w:after="0" w:line="277"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35"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obligations to indemnify our customers.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indemnity, warranty or product liability claims that could lead to significant costs and expenses as we defend those claims or pay damage awards. There can be no assurance that we are adequately insured to protect against all claims and potential liabilities. We may incur costs and expenses relating to a recall of our customers’ products due to an alleged failure of components we supply. An adverse outcome in litigation could have a material adverse effect on our financial position or on our operating results or cash flows in the period in which the litigation is resolved.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future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intellectual property, it is possible that competitors or other unauthorized third parties may obtain, copy, use or disclose our technologies, products and processes. Moreover, the laws of foreign countries in which we design, manufacture, market and sell our products may afford little or no effective protection of our proprietary intellectual property.</w:t>
      </w:r>
    </w:p>
    <w:p>
      <w:pPr>
        <w:spacing w:after="0" w:line="13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adequate protection. We may not be able to obtain foreign patents or pending applications corresponding to our U.S. patents and applications. Even if foreign patents are granted, effective enforcement in foreign countries may not be available. If our patents and mask works do not adequately protect our technology, our competitors may be able to offer products similar to ours. Our competitors may also be able to develop similar technology independently or design around our patents.</w:t>
      </w:r>
    </w:p>
    <w:p>
      <w:pPr>
        <w:spacing w:after="0" w:line="139"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significant disruption in, or breach in security of, our information technology systems could materially and adversely affect our business or reputation.</w:t>
      </w:r>
    </w:p>
    <w:p>
      <w:pPr>
        <w:spacing w:after="0" w:line="237" w:lineRule="exact"/>
        <w:rPr>
          <w:sz w:val="20"/>
          <w:szCs w:val="20"/>
          <w:color w:val="auto"/>
        </w:rPr>
      </w:pPr>
    </w:p>
    <w:p>
      <w:pPr>
        <w:ind w:firstLine="297"/>
        <w:spacing w:after="0" w:line="270" w:lineRule="auto"/>
        <w:rPr>
          <w:sz w:val="20"/>
          <w:szCs w:val="20"/>
          <w:color w:val="auto"/>
        </w:rPr>
      </w:pPr>
      <w:r>
        <w:rPr>
          <w:rFonts w:ascii="Arial" w:cs="Arial" w:eastAsia="Arial" w:hAnsi="Arial"/>
          <w:sz w:val="17"/>
          <w:szCs w:val="17"/>
          <w:color w:val="auto"/>
        </w:rPr>
        <w:t>We rely on information technology systems throughout our Company to keep financial records, process orders, manage inventory, coordinate shipments to customers, and operate other critical functions. Our information technology systems may be susceptible to damage, disruptions or shutdowns due to power outages, hardware failures, telecommunication failures, user errors, catastrophes or other unforeseen events. We may also be subject to security breaches caused by computer viruses, illegal break-ins or hacking, sabotage, or acts of vandalism by third parties. Our security measures or those of our third party service providers may not detect or prevent security breaches. If we were to experience a prolonged disruption in the information technology systems that involve our interactions with customers or suppliers, it could result in the loss of sales and customers and significant incremental costs, which could adversely affect our business. In addition, security breaches of our information technology systems could result in the misappropriation or unauthorized disclosure of confidential information belonging to us or to our employees, partners, customers or suppliers, which could result in our suffering significant financial or reputational damage.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827"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adversely affected.</w:t>
      </w:r>
    </w:p>
    <w:p>
      <w:pPr>
        <w:spacing w:after="0" w:line="90"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purchase or license technology from third parties, or enter into other strategic transactions in order to introduce new products or enhance our existing products.</w:t>
      </w:r>
    </w:p>
    <w:p>
      <w:pPr>
        <w:spacing w:after="0" w:line="3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the need for regulatory approvals, and difficulties related to integration efforts. Both in the U.S. and abroad, governmental regulation of acquisitions has become more complex, increasing the costs and risks of undertaking significant acquisitions. In order to finance a potential transaction, we may need to raise additional funds by issuing securities or borrowing money. We may not be able to find financing on favorable terms, and the sale of our stock may result in the dilution of our existing shareholders or the issuance of securities with rights that are superior to the rights of our common shareholders.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Acquisitions also involve a number of risks, including:</w:t>
      </w:r>
    </w:p>
    <w:p>
      <w:pPr>
        <w:spacing w:after="0" w:line="6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integrating acquired technologies, operations and personnel with our existing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which may be significant;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risk of costly and time-consuming litigation.</w:t>
      </w:r>
    </w:p>
    <w:p>
      <w:pPr>
        <w:spacing w:after="0" w:line="212"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plans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supplies, services and manufacturing capacity located in geologically unstable areas, which could affect our ability to produce products.</w:t>
      </w:r>
    </w:p>
    <w:p>
      <w:pPr>
        <w:spacing w:after="0" w:line="102"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like many companies in the semiconductor industry, rely on supplies, services,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For example, in fiscal 2011, our revenue in Japan declined as a result of the severe earthquake and tsunami in that country. In addition, flooding in Thailand and the Philippines in 2012 had disruptive effects on local semiconductor-related businesses.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legal and other risks through our significant worldwide operations.</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have significant operations and manufacturing facilities outside the United States, including in Ireland and the Philippines. Approximately 69% of our revenue is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At November 2, 2013, our principal source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27" w:right="239" w:bottom="1440" w:gutter="0" w:footer="0" w:header="0"/>
        </w:sectPr>
      </w:pPr>
    </w:p>
    <w:bookmarkStart w:id="16" w:name="page17"/>
    <w:bookmarkEnd w:id="16"/>
    <w:p>
      <w:pPr>
        <w:ind w:right="60"/>
        <w:spacing w:after="0" w:line="291" w:lineRule="auto"/>
        <w:rPr>
          <w:sz w:val="20"/>
          <w:szCs w:val="20"/>
          <w:color w:val="auto"/>
        </w:rPr>
      </w:pPr>
      <w:r>
        <w:rPr>
          <w:rFonts w:ascii="Arial" w:cs="Arial" w:eastAsia="Arial" w:hAnsi="Arial"/>
          <w:sz w:val="16"/>
          <w:szCs w:val="16"/>
          <w:color w:val="auto"/>
        </w:rPr>
        <w:t>of liquidity was $4,682.9 million of cash and cash equivalents and short-term investments, of which approximately $1,318.9 million was held in the United States and the remaining balance was held outside the United States in various foreign subsidiaries. As we intend to reinvest our foreign earnings indefinitely, this cash held outside the United States is not readily available to meet our cash requirements in the United States. We require a substantial amount of cash in the United States for operating requirements, stock repurchases, cash dividends and acquisitions. If we are unable to address our U.S. cash requirements through operations, through borrowings under our current credit facility, through future debt or equity offerings or from other sources of cash obtained at an acceptable cost, it may be necessary for us to consider repatriation of earnings that are permanently reinvested, and we may be required to pay additional taxes under current tax laws, which could have a material effect on our results of operations and financial condition.</w:t>
      </w:r>
    </w:p>
    <w:p>
      <w:pPr>
        <w:spacing w:after="0" w:line="113"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In addition to being exposed to the ongoing economic cycles in the semiconductor industry, we are also subject to the economic, political and legal risks inherent in international operations, including the risks associated with the recent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global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competition practices, intellectual property, anti-corruption and environmental compliance, trade and travel restrictions, pandemics, import and export license requirements and restrictions, difficulties in staffing and managing worldwide operations, and accounts receivable collections. We also incur significant costs associated with our foreign defined benefit pension plans. There can be no assurance that the value of the plan assets will be sufficient in the future and it is possible that we may be required to make higher cash contributions to the plans in future years, which would reduce the cash available for other business purposes.</w:t>
      </w:r>
    </w:p>
    <w:p>
      <w:pPr>
        <w:spacing w:after="0" w:line="115"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We expect to continue to expand our business and operations in China. Our success in the Chinese markets may be adversely affected by China’s continuously evolving laws and regulations, including those relating to taxation, import and export tariffs, currency controls, environmental regulations, indigenous innovation, and intellectual property rights and enforcement of those rights. Enforcement of existing laws or agreements may be inconsistent. In addition, changes in the political environment, governmental policies or U.S.-China relations could result in revisions to laws or regulations or their interpretation and enforcement, exposure of our proprietary intellectual property, increased taxation, restrictions on imports, import duties or currency revaluations, which could have an adverse effect on our business plans and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9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they could terminate their representation of us. We generally do not require letters of credit from our distributors and are not protected against accounts receivable default or declarations of bankruptcy by these distributors. Our inability to collect open accounts receivable could adversely affect our operating results. Termination of a significant distributor, whether at our initiative or the distributor’s initiative or through consolidation in the distribution industry, could disrupt our current business, and if we are unable to find suitable replacements, our operating results could be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subject to increasingly strict environmental, health and safety (EHS) regulations, which could increase our expenses and affect our operating results.</w:t>
      </w:r>
    </w:p>
    <w:p>
      <w:pPr>
        <w:spacing w:after="0" w:line="19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industry is subject to increasingly strict EHS requirements, particularly those environmental requirements that control and restrict the sourcing, use, transportation, emission, discharge, storage and disposal of certain chemicals, minerals, elements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environmental laws or regulations may require us to invest in costly equipment or alter the way our products are made. In addition, we use hazardous and other regulated materials that subject us to risks of strict liability for damages caused by potential or actual releases of such materials. Any failure to control such materials adequately or to comply with statutory or regulatory standards or contractual obligations could result in liability for damages, penalties, and civil and criminal fines, and might damage our reputation, increase our expenses, and adversely affect our operating results.</w:t>
      </w:r>
    </w:p>
    <w:p>
      <w:pPr>
        <w:spacing w:after="0" w:line="125"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Compliance with new “conflict minerals” rules recently promulgated by the Securities and Exchange Commission will result in increased costs related to investigations to determine the sources of raw materials used in our products, and to any resulting changes to products, processes or sources of supply. The implementation of these rules could also adversely affect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65" w:right="239" w:bottom="1440" w:gutter="0" w:footer="0" w:header="0"/>
        </w:sectPr>
      </w:pPr>
    </w:p>
    <w:bookmarkStart w:id="17" w:name="page18"/>
    <w:bookmarkEnd w:id="17"/>
    <w:p>
      <w:pPr>
        <w:spacing w:after="0" w:line="288" w:lineRule="auto"/>
        <w:rPr>
          <w:sz w:val="20"/>
          <w:szCs w:val="20"/>
          <w:color w:val="auto"/>
        </w:rPr>
      </w:pPr>
      <w:r>
        <w:rPr>
          <w:rFonts w:ascii="Arial" w:cs="Arial" w:eastAsia="Arial" w:hAnsi="Arial"/>
          <w:sz w:val="16"/>
          <w:szCs w:val="16"/>
          <w:color w:val="auto"/>
        </w:rPr>
        <w:t>sourcing, supply and pricing of materials used in our products. New climate change laws and regulations could require us to change our manufacturing processes or obtain substitute materials that may cost more or be less available for our manufacturing operations. In addition, new restrictions on emissions of carbon dioxide or other greenhouse gases could result in significant costs for us. The Commonwealth of Massachusetts has adopted greenhouse gas regulations, and the U.S. Congress may pass federal greenhouse gas legislation in the future. The U.S. Environmental Protection Agency (EPA) has issued greenhouse gas reporting regulations that may apply to certain of our operations. The EPA is developing other climate change-based regulations, as are certain states, that also may increase our expenses and adversely affect our operating results. We expect increased worldwide regulatory activity relating to climate change in the future. Compliance with these laws and regulations has not had a material impact on our capital expenditures, earnings, financial condition or competitive position. There is no assurance that the cost to comply with current or future EHS laws and regulations will not exceed our estimates or adversely affect our financial condition or results of operations. Additionally, any failure by us to comply with applicable EHS requirements or contractual obligations could result in penalties, civil and criminal fines, suspension of or changes to production, legal liability and damage to our reputation.</w:t>
      </w:r>
    </w:p>
    <w:p>
      <w:pPr>
        <w:spacing w:after="0" w:line="1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outstanding senior unsecured notes.</w:t>
      </w:r>
    </w:p>
    <w:p>
      <w:pPr>
        <w:spacing w:after="0" w:line="3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 April 2011, we issued in a public offering $375.0 million aggregate principal amount of 3.0% senior unsecured notes due April 15, 2016 (the 2016 Notes). In June 2013, we issued in a public offering $500.0 million aggregate principal amount of 2.875% senior unsecured notes due June 1, 2023 (the 2023 Notes and together with the 2016 Notes, the Notes).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outstanding debt, we may be required to, among other things:</w:t>
      </w:r>
    </w:p>
    <w:p>
      <w:pPr>
        <w:spacing w:after="0" w:line="31" w:lineRule="exact"/>
        <w:rPr>
          <w:sz w:val="20"/>
          <w:szCs w:val="20"/>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additional financing in the debt or equity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 including the Notes;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borrow under our existing revolving credit facility;</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divert funds that would otherwise be invested in our operations;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selected assets; or</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 or delay planned capital expenditures or operating expenditures.</w:t>
      </w:r>
    </w:p>
    <w:p>
      <w:pPr>
        <w:spacing w:after="0" w:line="212"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Such measures might not be sufficient to enable us to service our debt, including the Notes, which could negatively impact our financial results. In addition, any such financing, refinancing or sale of assets might not be possible on economically favorable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revolving credit facility and outstanding debt instruments may limit our activities.</w:t>
      </w:r>
    </w:p>
    <w:p>
      <w:pPr>
        <w:spacing w:after="0" w:line="90"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Our current revolving credit facility and our outstanding senior unsecured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revolving credit facility requires us to maintain compliance with specified financial ratios. If we breach any of the covenants under our revolving credit facility or the indenture governing our outstanding Notes and do not obtain appropriate waivers, then, subject to applicable cure periods, our outstanding indebtedness thereunder could be declared immediately due and payable.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90"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8" w:lineRule="exact"/>
        <w:rPr>
          <w:sz w:val="20"/>
          <w:szCs w:val="20"/>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those estimates or our published guidance;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8" w:name="page19"/>
    <w:bookmarkEnd w:id="18"/>
    <w:p>
      <w:pPr>
        <w:ind w:left="660" w:hanging="24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103" w:lineRule="exact"/>
        <w:rPr>
          <w:rFonts w:ascii="Arial" w:cs="Arial" w:eastAsia="Arial" w:hAnsi="Arial"/>
          <w:sz w:val="18"/>
          <w:szCs w:val="18"/>
          <w:color w:val="auto"/>
        </w:rPr>
      </w:pPr>
    </w:p>
    <w:p>
      <w:pPr>
        <w:ind w:left="660" w:right="400" w:hanging="247"/>
        <w:spacing w:after="0" w:line="3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new products, technical innovations, material transactions, acquisitions or dispositions, litigation or capital commitments;</w:t>
      </w:r>
    </w:p>
    <w:p>
      <w:pPr>
        <w:ind w:left="660" w:hanging="24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alleged noncompliance with laws, regulations or ethics standards by us or any of our employees, officers or directors; and</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21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240" w:top="638"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corporate headquarters is located in Norwood, Massachusetts. Manufacturing and other operations are conducted in several locations worldwide.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certain information about our principal general offices and manufacturing facilities: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gridSpan w:val="2"/>
          </w:tcPr>
          <w:p>
            <w:pPr>
              <w:ind w:left="420"/>
              <w:spacing w:after="0"/>
              <w:rPr>
                <w:sz w:val="20"/>
                <w:szCs w:val="20"/>
                <w:color w:val="auto"/>
              </w:rPr>
            </w:pPr>
            <w:r>
              <w:rPr>
                <w:rFonts w:ascii="Arial" w:cs="Arial" w:eastAsia="Arial" w:hAnsi="Arial"/>
                <w:sz w:val="14"/>
                <w:szCs w:val="14"/>
                <w:b w:val="1"/>
                <w:bCs w:val="1"/>
                <w:color w:val="auto"/>
              </w:rPr>
              <w:t>Principal Properties</w:t>
            </w:r>
          </w:p>
        </w:tc>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235"/>
              <w:spacing w:after="0"/>
              <w:rPr>
                <w:sz w:val="20"/>
                <w:szCs w:val="20"/>
                <w:color w:val="auto"/>
              </w:rPr>
            </w:pPr>
            <w:r>
              <w:rPr>
                <w:rFonts w:ascii="Arial" w:cs="Arial" w:eastAsia="Arial" w:hAnsi="Arial"/>
                <w:sz w:val="14"/>
                <w:szCs w:val="14"/>
                <w:b w:val="1"/>
                <w:bCs w:val="1"/>
                <w:color w:val="auto"/>
              </w:rPr>
              <w:t>Approximate</w:t>
            </w:r>
          </w:p>
        </w:tc>
      </w:tr>
      <w:tr>
        <w:trPr>
          <w:trHeight w:val="276"/>
        </w:trPr>
        <w:tc>
          <w:tcPr>
            <w:tcW w:w="20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Owned:</w:t>
            </w:r>
          </w:p>
        </w:tc>
        <w:tc>
          <w:tcPr>
            <w:tcW w:w="120" w:type="dxa"/>
            <w:vAlign w:val="bottom"/>
          </w:tcPr>
          <w:p>
            <w:pPr>
              <w:spacing w:after="0"/>
              <w:rPr>
                <w:sz w:val="24"/>
                <w:szCs w:val="24"/>
                <w:color w:val="auto"/>
              </w:rPr>
            </w:pPr>
          </w:p>
        </w:tc>
        <w:tc>
          <w:tcPr>
            <w:tcW w:w="7640" w:type="dxa"/>
            <w:vAlign w:val="bottom"/>
            <w:tcBorders>
              <w:bottom w:val="single" w:sz="8" w:color="auto"/>
            </w:tcBorders>
          </w:tcPr>
          <w:p>
            <w:pPr>
              <w:ind w:left="3700"/>
              <w:spacing w:after="0"/>
              <w:rPr>
                <w:sz w:val="20"/>
                <w:szCs w:val="20"/>
                <w:color w:val="auto"/>
              </w:rPr>
            </w:pPr>
            <w:r>
              <w:rPr>
                <w:rFonts w:ascii="Arial" w:cs="Arial" w:eastAsia="Arial" w:hAnsi="Arial"/>
                <w:sz w:val="14"/>
                <w:szCs w:val="14"/>
                <w:b w:val="1"/>
                <w:bCs w:val="1"/>
                <w:color w:val="auto"/>
              </w:rPr>
              <w:t>Use</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Total Sq. Ft.</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Wilmington, MA</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Wafer fabrication, testing, engineering, marketing and administrative offices</w:t>
            </w:r>
          </w:p>
        </w:tc>
        <w:tc>
          <w:tcPr>
            <w:tcW w:w="1480" w:type="dxa"/>
            <w:vAlign w:val="bottom"/>
          </w:tcPr>
          <w:p>
            <w:pPr>
              <w:jc w:val="right"/>
              <w:spacing w:after="0"/>
              <w:rPr>
                <w:sz w:val="20"/>
                <w:szCs w:val="20"/>
                <w:color w:val="auto"/>
              </w:rPr>
            </w:pPr>
            <w:r>
              <w:rPr>
                <w:rFonts w:ascii="Arial" w:cs="Arial" w:eastAsia="Arial" w:hAnsi="Arial"/>
                <w:sz w:val="18"/>
                <w:szCs w:val="18"/>
                <w:color w:val="auto"/>
              </w:rPr>
              <w:t>586,000 sq. ft.</w:t>
            </w:r>
          </w:p>
        </w:tc>
      </w:tr>
      <w:tr>
        <w:trPr>
          <w:trHeight w:val="270"/>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Cavite, Philippines</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Wafer probe and testing, warehouse, engineering and administrative offices</w:t>
            </w:r>
          </w:p>
        </w:tc>
        <w:tc>
          <w:tcPr>
            <w:tcW w:w="1480" w:type="dxa"/>
            <w:vAlign w:val="bottom"/>
          </w:tcPr>
          <w:p>
            <w:pPr>
              <w:jc w:val="right"/>
              <w:spacing w:after="0"/>
              <w:rPr>
                <w:sz w:val="20"/>
                <w:szCs w:val="20"/>
                <w:color w:val="auto"/>
              </w:rPr>
            </w:pPr>
            <w:r>
              <w:rPr>
                <w:rFonts w:ascii="Arial" w:cs="Arial" w:eastAsia="Arial" w:hAnsi="Arial"/>
                <w:sz w:val="18"/>
                <w:szCs w:val="18"/>
                <w:color w:val="auto"/>
              </w:rPr>
              <w:t>605,000 sq. ft.</w:t>
            </w:r>
          </w:p>
        </w:tc>
      </w:tr>
      <w:tr>
        <w:trPr>
          <w:trHeight w:val="270"/>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Limerick, Ireland</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Wafer fabrication, wafer probe and testing, engineering and administrative offices</w:t>
            </w:r>
          </w:p>
        </w:tc>
        <w:tc>
          <w:tcPr>
            <w:tcW w:w="1480" w:type="dxa"/>
            <w:vAlign w:val="bottom"/>
          </w:tcPr>
          <w:p>
            <w:pPr>
              <w:jc w:val="right"/>
              <w:spacing w:after="0"/>
              <w:rPr>
                <w:sz w:val="20"/>
                <w:szCs w:val="20"/>
                <w:color w:val="auto"/>
              </w:rPr>
            </w:pPr>
            <w:r>
              <w:rPr>
                <w:rFonts w:ascii="Arial" w:cs="Arial" w:eastAsia="Arial" w:hAnsi="Arial"/>
                <w:sz w:val="18"/>
                <w:szCs w:val="18"/>
                <w:color w:val="auto"/>
              </w:rPr>
              <w:t>351,500 sq. ft.</w:t>
            </w:r>
          </w:p>
        </w:tc>
      </w:tr>
      <w:tr>
        <w:trPr>
          <w:trHeight w:val="270"/>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Greensboro, NC</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Product testing, engineering and administrative offices</w:t>
            </w:r>
          </w:p>
        </w:tc>
        <w:tc>
          <w:tcPr>
            <w:tcW w:w="1480" w:type="dxa"/>
            <w:vAlign w:val="bottom"/>
          </w:tcPr>
          <w:p>
            <w:pPr>
              <w:jc w:val="right"/>
              <w:spacing w:after="0"/>
              <w:rPr>
                <w:sz w:val="20"/>
                <w:szCs w:val="20"/>
                <w:color w:val="auto"/>
              </w:rPr>
            </w:pPr>
            <w:r>
              <w:rPr>
                <w:rFonts w:ascii="Arial" w:cs="Arial" w:eastAsia="Arial" w:hAnsi="Arial"/>
                <w:sz w:val="18"/>
                <w:szCs w:val="18"/>
                <w:color w:val="auto"/>
              </w:rPr>
              <w:t>99,000 sq. ft.</w:t>
            </w:r>
          </w:p>
        </w:tc>
      </w:tr>
      <w:tr>
        <w:trPr>
          <w:trHeight w:val="270"/>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San Jose, CA</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Engineering, administrative offices</w:t>
            </w:r>
          </w:p>
        </w:tc>
        <w:tc>
          <w:tcPr>
            <w:tcW w:w="1480" w:type="dxa"/>
            <w:vAlign w:val="bottom"/>
          </w:tcPr>
          <w:p>
            <w:pPr>
              <w:jc w:val="right"/>
              <w:spacing w:after="0"/>
              <w:rPr>
                <w:sz w:val="20"/>
                <w:szCs w:val="20"/>
                <w:color w:val="auto"/>
              </w:rPr>
            </w:pPr>
            <w:r>
              <w:rPr>
                <w:rFonts w:ascii="Arial" w:cs="Arial" w:eastAsia="Arial" w:hAnsi="Arial"/>
                <w:sz w:val="18"/>
                <w:szCs w:val="18"/>
                <w:color w:val="auto"/>
              </w:rPr>
              <w:t>77,000 sq. ft.</w:t>
            </w:r>
          </w:p>
        </w:tc>
      </w:tr>
    </w:tbl>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Principal</w:t>
            </w:r>
          </w:p>
        </w:tc>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Lease</w:t>
            </w:r>
          </w:p>
        </w:tc>
        <w:tc>
          <w:tcPr>
            <w:tcW w:w="1360" w:type="dxa"/>
            <w:vAlign w:val="bottom"/>
          </w:tcPr>
          <w:p>
            <w:pPr>
              <w:spacing w:after="0"/>
              <w:rPr>
                <w:sz w:val="16"/>
                <w:szCs w:val="16"/>
                <w:color w:val="auto"/>
              </w:rPr>
            </w:pPr>
          </w:p>
        </w:tc>
      </w:tr>
      <w:tr>
        <w:trPr>
          <w:trHeight w:val="270"/>
        </w:trPr>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Properties</w:t>
            </w:r>
          </w:p>
        </w:tc>
        <w:tc>
          <w:tcPr>
            <w:tcW w:w="4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340"/>
              <w:spacing w:after="0"/>
              <w:rPr>
                <w:sz w:val="20"/>
                <w:szCs w:val="20"/>
                <w:color w:val="auto"/>
              </w:rPr>
            </w:pPr>
            <w:r>
              <w:rPr>
                <w:rFonts w:ascii="Arial" w:cs="Arial" w:eastAsia="Arial" w:hAnsi="Arial"/>
                <w:sz w:val="14"/>
                <w:szCs w:val="14"/>
                <w:b w:val="1"/>
                <w:bCs w:val="1"/>
                <w:color w:val="auto"/>
              </w:rPr>
              <w:t>Approximate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Termination</w:t>
            </w:r>
          </w:p>
        </w:tc>
        <w:tc>
          <w:tcPr>
            <w:tcW w:w="1360" w:type="dxa"/>
            <w:vAlign w:val="bottom"/>
          </w:tcPr>
          <w:p>
            <w:pPr>
              <w:spacing w:after="0"/>
              <w:rPr>
                <w:sz w:val="23"/>
                <w:szCs w:val="23"/>
                <w:color w:val="auto"/>
              </w:rPr>
            </w:pPr>
          </w:p>
        </w:tc>
      </w:tr>
      <w:tr>
        <w:trPr>
          <w:trHeight w:val="276"/>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Leased:</w:t>
            </w:r>
          </w:p>
        </w:tc>
        <w:tc>
          <w:tcPr>
            <w:tcW w:w="120" w:type="dxa"/>
            <w:vAlign w:val="bottom"/>
          </w:tcPr>
          <w:p>
            <w:pPr>
              <w:spacing w:after="0"/>
              <w:rPr>
                <w:sz w:val="24"/>
                <w:szCs w:val="24"/>
                <w:color w:val="auto"/>
              </w:rPr>
            </w:pPr>
          </w:p>
        </w:tc>
        <w:tc>
          <w:tcPr>
            <w:tcW w:w="446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Use</w:t>
            </w:r>
          </w:p>
        </w:tc>
        <w:tc>
          <w:tcPr>
            <w:tcW w:w="120" w:type="dxa"/>
            <w:vAlign w:val="bottom"/>
          </w:tcPr>
          <w:p>
            <w:pPr>
              <w:spacing w:after="0"/>
              <w:rPr>
                <w:sz w:val="24"/>
                <w:szCs w:val="24"/>
                <w:color w:val="auto"/>
              </w:rPr>
            </w:pPr>
          </w:p>
        </w:tc>
        <w:tc>
          <w:tcPr>
            <w:tcW w:w="14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 Sq. Ft.</w:t>
            </w:r>
          </w:p>
        </w:tc>
        <w:tc>
          <w:tcPr>
            <w:tcW w:w="10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(fiscal year)</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Renewals</w:t>
            </w:r>
          </w:p>
        </w:tc>
      </w:tr>
      <w:tr>
        <w:trPr>
          <w:trHeight w:val="498"/>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Norwood, MA</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w w:val="96"/>
              </w:rPr>
              <w:t>Corporate headquarters, engineering, components testing,</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130,000 sq. ft.</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7"/>
              </w:rPr>
              <w:t>2, five-yr.</w:t>
            </w: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sales and marketing offices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periods</w:t>
            </w:r>
          </w:p>
        </w:tc>
      </w:tr>
      <w:tr>
        <w:trPr>
          <w:trHeight w:val="256"/>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Bangalore, India</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Engineering</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75,000 sq. ft.</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7"/>
              </w:rPr>
              <w:t>1, five-yr.</w:t>
            </w: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period</w:t>
            </w:r>
          </w:p>
        </w:tc>
      </w:tr>
      <w:tr>
        <w:trPr>
          <w:trHeight w:val="256"/>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Greensboro, NC</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Engineering and administrative offices</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51,000 sq. ft.</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 three-yr.</w:t>
            </w: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periods</w:t>
            </w:r>
          </w:p>
        </w:tc>
      </w:tr>
      <w:tr>
        <w:trPr>
          <w:trHeight w:val="256"/>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Shanghai, China</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Engineering</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59,000 sq. ft.</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2, 1 two-yr.</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period, 1 three-yr.</w:t>
            </w: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period</w:t>
            </w:r>
          </w:p>
        </w:tc>
      </w:tr>
      <w:tr>
        <w:trPr>
          <w:trHeight w:val="256"/>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Tokyo, Japan</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Engineering</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36,400 sq. ft.</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 two-yr.</w:t>
            </w: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period</w:t>
            </w:r>
          </w:p>
        </w:tc>
      </w:tr>
      <w:tr>
        <w:trPr>
          <w:trHeight w:val="256"/>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Beijing, China</w:t>
            </w:r>
          </w:p>
        </w:tc>
        <w:tc>
          <w:tcPr>
            <w:tcW w:w="4580" w:type="dxa"/>
            <w:vAlign w:val="bottom"/>
            <w:gridSpan w:val="2"/>
          </w:tcPr>
          <w:p>
            <w:pPr>
              <w:ind w:left="40"/>
              <w:spacing w:after="0"/>
              <w:rPr>
                <w:sz w:val="20"/>
                <w:szCs w:val="20"/>
                <w:color w:val="auto"/>
              </w:rPr>
            </w:pPr>
            <w:r>
              <w:rPr>
                <w:rFonts w:ascii="Arial" w:cs="Arial" w:eastAsia="Arial" w:hAnsi="Arial"/>
                <w:sz w:val="18"/>
                <w:szCs w:val="18"/>
                <w:color w:val="auto"/>
              </w:rPr>
              <w:t>Engineering</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33,000 sq. ft.</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 two-yr.</w:t>
            </w: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period</w:t>
            </w:r>
          </w:p>
        </w:tc>
      </w:tr>
    </w:tbl>
    <w:p>
      <w:pPr>
        <w:spacing w:after="0" w:line="13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In addition to the principal leased properties listed in the above table, we also lease sales offices and other premises at 18 locations in the United States and 48 locations internationally under operating lease agreements. These leases expire at various dates through the year 2020. We do not anticipate experiencing significant difficulty in retaining occupancy of any of our manufacturing, office or sales facilities through lease renewals prior to expiration or through month-to-month occupancy, or in replacing them with equivalent facilities. For information concerning our obligations under all operating leases see Note 11 in the Notes to Consolidated Financial Statements contained in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20" w:name="page21"/>
    <w:bookmarkEnd w:id="20"/>
    <w:p>
      <w:pPr>
        <w:ind w:left="80"/>
        <w:spacing w:after="0"/>
        <w:rPr>
          <w:sz w:val="20"/>
          <w:szCs w:val="20"/>
          <w:color w:val="auto"/>
        </w:rPr>
      </w:pPr>
      <w:r>
        <w:rPr>
          <w:rFonts w:ascii="Arial" w:cs="Arial" w:eastAsia="Arial" w:hAnsi="Arial"/>
          <w:sz w:val="18"/>
          <w:szCs w:val="18"/>
          <w:b w:val="1"/>
          <w:bCs w:val="1"/>
          <w:color w:val="auto"/>
        </w:rPr>
        <w:t>ITEM 3. LEGAL PROCEEDINGS</w:t>
      </w:r>
    </w:p>
    <w:p>
      <w:pPr>
        <w:spacing w:after="0" w:line="13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From time to time in the ordinary course of our business, various claims, charges and litigation are asserted or commenced against us arising from, or related to, contractual matters, patents, trademarks, personal injury, environmental matters, product liability, insurance coverage and personnel and employment disputes. As to such claims and litigation, we can give no assurance that we will prevail. We do not believe that any current legal matters will have a material adverse effect on our financial position, results of operations or cash flows.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580" w:right="4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EXECUTIVE OFFICERS OF THE COMPANY</w:t>
      </w:r>
    </w:p>
    <w:p>
      <w:pPr>
        <w:spacing w:after="0" w:line="13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sets forth (i) the name, age and position of each of our executive officers and (ii) the business experience of each person named in the table during at least the past five years. There is no family relationship among any of our executive officers.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Officer</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Age</w:t>
            </w:r>
          </w:p>
        </w:tc>
        <w:tc>
          <w:tcPr>
            <w:tcW w:w="12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Position(s)</w:t>
            </w:r>
          </w:p>
        </w:tc>
        <w:tc>
          <w:tcPr>
            <w:tcW w:w="100" w:type="dxa"/>
            <w:vAlign w:val="bottom"/>
            <w:tcBorders>
              <w:bottom w:val="single" w:sz="8" w:color="CCEEFF"/>
            </w:tcBorders>
          </w:tcPr>
          <w:p>
            <w:pPr>
              <w:spacing w:after="0"/>
              <w:rPr>
                <w:sz w:val="16"/>
                <w:szCs w:val="16"/>
                <w:color w:val="auto"/>
              </w:rPr>
            </w:pPr>
          </w:p>
        </w:tc>
        <w:tc>
          <w:tcPr>
            <w:tcW w:w="478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Business Experience</w:t>
            </w:r>
          </w:p>
        </w:tc>
      </w:tr>
      <w:tr>
        <w:trPr>
          <w:trHeight w:val="228"/>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Vincent Roche</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53   President and Chief Executive Officer</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 since May 2013; President since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November 2012; Vice President, Strategic Segments Group and</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Sales from October 2009 to November 2012; Vice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President, Worldwide Sales from March 2001 to October 2009;</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Vice President and General Manager, Silicon Valley Business</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Units and Computer &amp; Networking from 1999 to March 2001;</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Product Line Director from 1995 to 1999; Product Marketing</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Manager from 1988 to 1995.</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David A. Zinsner</w:t>
            </w: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rPr>
              <w:t>44   Vice President, Finance and Chief</w:t>
            </w:r>
          </w:p>
        </w:tc>
        <w:tc>
          <w:tcPr>
            <w:tcW w:w="4780" w:type="dxa"/>
            <w:vAlign w:val="bottom"/>
          </w:tcPr>
          <w:p>
            <w:pPr>
              <w:ind w:left="20"/>
              <w:spacing w:after="0"/>
              <w:rPr>
                <w:sz w:val="20"/>
                <w:szCs w:val="20"/>
                <w:color w:val="auto"/>
              </w:rPr>
            </w:pPr>
            <w:r>
              <w:rPr>
                <w:rFonts w:ascii="Arial" w:cs="Arial" w:eastAsia="Arial" w:hAnsi="Arial"/>
                <w:sz w:val="18"/>
                <w:szCs w:val="18"/>
                <w:color w:val="auto"/>
              </w:rPr>
              <w:t>Vice President, Finance and Chief Financial Officer since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Financial Officer</w:t>
            </w:r>
          </w:p>
        </w:tc>
        <w:tc>
          <w:tcPr>
            <w:tcW w:w="4780" w:type="dxa"/>
            <w:vAlign w:val="bottom"/>
          </w:tcPr>
          <w:p>
            <w:pPr>
              <w:ind w:left="20"/>
              <w:spacing w:after="0"/>
              <w:rPr>
                <w:sz w:val="20"/>
                <w:szCs w:val="20"/>
                <w:color w:val="auto"/>
              </w:rPr>
            </w:pPr>
            <w:r>
              <w:rPr>
                <w:rFonts w:ascii="Arial" w:cs="Arial" w:eastAsia="Arial" w:hAnsi="Arial"/>
                <w:sz w:val="18"/>
                <w:szCs w:val="18"/>
                <w:color w:val="auto"/>
                <w:w w:val="93"/>
              </w:rPr>
              <w:t>January 2009; Senior Vice President and Chief Financial Officer</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8"/>
              </w:rPr>
              <w:t>Intersil Corporation from 2005 to December 2008; Corporate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3"/>
              </w:rPr>
              <w:t>Controller and Treasurer Intersil Corporation from 2000 to 2005.</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9"/>
              </w:rPr>
              <w:t>Corporate Treasurer Intersil Corporation from 1999 to 2000.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Samuel H. Fuller</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67   Vice President, Research and</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Vice President, Research and Development since March 1998;</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Development and Chief Technology</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Chief Technology Officer since March 2006; Vice President of</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Officer</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Research and Chief Scientist of Digital Equipment Corp. from</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1983 to 1998 and Engineering Manager of the VAX Architecture</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Group of Digital Equipment Corp. from 1978 to 1983.</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Robert R. Marshall</w:t>
            </w:r>
          </w:p>
        </w:tc>
        <w:tc>
          <w:tcPr>
            <w:tcW w:w="580" w:type="dxa"/>
            <w:vAlign w:val="bottom"/>
          </w:tcPr>
          <w:p>
            <w:pPr>
              <w:ind w:left="28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Vice President, Worldwide</w:t>
            </w:r>
          </w:p>
        </w:tc>
        <w:tc>
          <w:tcPr>
            <w:tcW w:w="4780" w:type="dxa"/>
            <w:vAlign w:val="bottom"/>
          </w:tcPr>
          <w:p>
            <w:pPr>
              <w:ind w:left="20"/>
              <w:spacing w:after="0"/>
              <w:rPr>
                <w:sz w:val="20"/>
                <w:szCs w:val="20"/>
                <w:color w:val="auto"/>
              </w:rPr>
            </w:pPr>
            <w:r>
              <w:rPr>
                <w:rFonts w:ascii="Arial" w:cs="Arial" w:eastAsia="Arial" w:hAnsi="Arial"/>
                <w:sz w:val="18"/>
                <w:szCs w:val="18"/>
                <w:color w:val="auto"/>
                <w:w w:val="94"/>
              </w:rPr>
              <w:t>Vice President, Worldwide Manufacturing since February 1994;</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4780" w:type="dxa"/>
            <w:vAlign w:val="bottom"/>
          </w:tcPr>
          <w:p>
            <w:pPr>
              <w:ind w:left="20"/>
              <w:spacing w:after="0"/>
              <w:rPr>
                <w:sz w:val="20"/>
                <w:szCs w:val="20"/>
                <w:color w:val="auto"/>
              </w:rPr>
            </w:pPr>
            <w:r>
              <w:rPr>
                <w:rFonts w:ascii="Arial" w:cs="Arial" w:eastAsia="Arial" w:hAnsi="Arial"/>
                <w:sz w:val="18"/>
                <w:szCs w:val="18"/>
                <w:color w:val="auto"/>
                <w:w w:val="96"/>
              </w:rPr>
              <w:t>Vice President, Manufacturing, Limerick Site, Analog Devices,</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4"/>
              </w:rPr>
              <w:t>B.V. - Limerick, Ireland from November 1991 to February 1994;</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7"/>
              </w:rPr>
              <w:t>Plant Manager, Analog Devices, B.V. - Limerick, Ireland from</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January 1991 to November 1991.</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William Matson</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54   Vice President, Human Resources</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Vice President, Human Resources since November 2006; Chief</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Human Resource Officer of Lenovo from January 2005 to June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2006; General Manager of IBM Business Transformation</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Outsourcing from September 2003 to April 2005; Vice President,</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Human Resources of IBM Asia Pacific Region from December</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1999 to September 2003.</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Robert McAdam</w:t>
            </w: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rPr>
              <w:t>62   Executive Vice President, Strategic</w:t>
            </w:r>
          </w:p>
        </w:tc>
        <w:tc>
          <w:tcPr>
            <w:tcW w:w="4780" w:type="dxa"/>
            <w:vAlign w:val="bottom"/>
          </w:tcPr>
          <w:p>
            <w:pPr>
              <w:ind w:left="20"/>
              <w:spacing w:after="0"/>
              <w:rPr>
                <w:sz w:val="20"/>
                <w:szCs w:val="20"/>
                <w:color w:val="auto"/>
              </w:rPr>
            </w:pPr>
            <w:r>
              <w:rPr>
                <w:rFonts w:ascii="Arial" w:cs="Arial" w:eastAsia="Arial" w:hAnsi="Arial"/>
                <w:sz w:val="18"/>
                <w:szCs w:val="18"/>
                <w:color w:val="auto"/>
                <w:w w:val="94"/>
              </w:rPr>
              <w:t>Executive Vice President, Strategic Business Segments Group</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Business Segments Group</w:t>
            </w:r>
          </w:p>
        </w:tc>
        <w:tc>
          <w:tcPr>
            <w:tcW w:w="4780" w:type="dxa"/>
            <w:vAlign w:val="bottom"/>
          </w:tcPr>
          <w:p>
            <w:pPr>
              <w:ind w:left="20"/>
              <w:spacing w:after="0"/>
              <w:rPr>
                <w:sz w:val="20"/>
                <w:szCs w:val="20"/>
                <w:color w:val="auto"/>
              </w:rPr>
            </w:pPr>
            <w:r>
              <w:rPr>
                <w:rFonts w:ascii="Arial" w:cs="Arial" w:eastAsia="Arial" w:hAnsi="Arial"/>
                <w:sz w:val="18"/>
                <w:szCs w:val="18"/>
                <w:color w:val="auto"/>
              </w:rPr>
              <w:t>since November 2012; Vice President, Core Products and</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1"/>
              </w:rPr>
              <w:t>Technologies Group from October 2009 to November 2012; Vice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President and General Manager, Analog Semiconductor</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Components from February 1994 to September 2009; Vice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President and General Manager, Analog Devices, B.V. -</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Limerick, Ireland from January 1991 to February 1994;</w:t>
            </w:r>
          </w:p>
        </w:tc>
      </w:tr>
    </w:tbl>
    <w:p>
      <w:pPr>
        <w:ind w:left="6660"/>
        <w:spacing w:after="0"/>
        <w:rPr>
          <w:sz w:val="20"/>
          <w:szCs w:val="20"/>
          <w:color w:val="auto"/>
        </w:rPr>
      </w:pPr>
      <w:r>
        <w:rPr>
          <w:rFonts w:ascii="Arial" w:cs="Arial" w:eastAsia="Arial" w:hAnsi="Arial"/>
          <w:sz w:val="16"/>
          <w:szCs w:val="16"/>
          <w:color w:val="auto"/>
        </w:rPr>
        <w:t>Product Line Manager, Analog Devices, B.V. - Limerick, Ireland</w:t>
      </w:r>
    </w:p>
    <w:p>
      <w:pPr>
        <w:spacing w:after="0" w:line="3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from October 1988 to January 1991.</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96"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Officer</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Age</w:t>
            </w:r>
          </w:p>
        </w:tc>
        <w:tc>
          <w:tcPr>
            <w:tcW w:w="12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Position(s)</w:t>
            </w:r>
          </w:p>
        </w:tc>
        <w:tc>
          <w:tcPr>
            <w:tcW w:w="100" w:type="dxa"/>
            <w:vAlign w:val="bottom"/>
            <w:tcBorders>
              <w:bottom w:val="single" w:sz="8" w:color="CCEEFF"/>
            </w:tcBorders>
          </w:tcPr>
          <w:p>
            <w:pPr>
              <w:spacing w:after="0"/>
              <w:rPr>
                <w:sz w:val="16"/>
                <w:szCs w:val="16"/>
                <w:color w:val="auto"/>
              </w:rPr>
            </w:pPr>
          </w:p>
        </w:tc>
        <w:tc>
          <w:tcPr>
            <w:tcW w:w="478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Business Experience</w:t>
            </w:r>
          </w:p>
        </w:tc>
      </w:tr>
      <w:tr>
        <w:trPr>
          <w:trHeight w:val="228"/>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Richard Meaney</w:t>
            </w:r>
          </w:p>
        </w:tc>
        <w:tc>
          <w:tcPr>
            <w:tcW w:w="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Vice President,</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President, Products and Technologies Group since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Products and Technologies Group</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November 2012; Vice President, Converters from August 2009</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to November 2012; Vice President, Precision Signal Processing</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from October 1999 to August 2009; Product Line Director from</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August 1991 to September 1999; Engineering Manager from</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August 1988 to July 1991; Design Engineer Analog Devices B.V.</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Limerick, Ireland from August 1979 to July 1988.</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Margaret K. Seif</w:t>
            </w: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rPr>
              <w:t>52   Vice President, General Counsel and</w:t>
            </w:r>
          </w:p>
        </w:tc>
        <w:tc>
          <w:tcPr>
            <w:tcW w:w="4780" w:type="dxa"/>
            <w:vAlign w:val="bottom"/>
          </w:tcPr>
          <w:p>
            <w:pPr>
              <w:ind w:left="20"/>
              <w:spacing w:after="0"/>
              <w:rPr>
                <w:sz w:val="20"/>
                <w:szCs w:val="20"/>
                <w:color w:val="auto"/>
              </w:rPr>
            </w:pPr>
            <w:r>
              <w:rPr>
                <w:rFonts w:ascii="Arial" w:cs="Arial" w:eastAsia="Arial" w:hAnsi="Arial"/>
                <w:sz w:val="18"/>
                <w:szCs w:val="18"/>
                <w:color w:val="auto"/>
                <w:w w:val="95"/>
              </w:rPr>
              <w:t>Vice President, General Counsel and Secretary since January</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Secretary</w:t>
            </w:r>
          </w:p>
        </w:tc>
        <w:tc>
          <w:tcPr>
            <w:tcW w:w="4780" w:type="dxa"/>
            <w:vAlign w:val="bottom"/>
          </w:tcPr>
          <w:p>
            <w:pPr>
              <w:ind w:left="20"/>
              <w:spacing w:after="0"/>
              <w:rPr>
                <w:sz w:val="20"/>
                <w:szCs w:val="20"/>
                <w:color w:val="auto"/>
              </w:rPr>
            </w:pPr>
            <w:r>
              <w:rPr>
                <w:rFonts w:ascii="Arial" w:cs="Arial" w:eastAsia="Arial" w:hAnsi="Arial"/>
                <w:sz w:val="18"/>
                <w:szCs w:val="18"/>
                <w:color w:val="auto"/>
                <w:w w:val="93"/>
              </w:rPr>
              <w:t>2006; Senior Vice President, General Counsel and Secretary of</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5"/>
              </w:rPr>
              <w:t>RSA Security Inc. from January 2000 to November 2005; Vice</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3"/>
              </w:rPr>
              <w:t>President, General Counsel and Secretary of RSA Security Inc.</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from June 1998 to January 2000.</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Wessel</w:t>
            </w:r>
          </w:p>
        </w:tc>
        <w:tc>
          <w:tcPr>
            <w:tcW w:w="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Vice President,</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President, Worldwide Sales since March 2012; Vice</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Worldwide Sales</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Worldwide Automotive Segment from November</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2009 to March 2012; Vice President, European Sales and</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from June 2008 to November 2009; Managing</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Director, European Sales and Marketing from June 2005 to June</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2008.</w:t>
            </w:r>
          </w:p>
        </w:tc>
      </w:tr>
      <w:tr>
        <w:trPr>
          <w:trHeight w:val="229"/>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Eileen Wynne</w:t>
            </w: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w w:val="99"/>
              </w:rPr>
              <w:t>47   Vice President, Corporate Controller and</w:t>
            </w:r>
          </w:p>
        </w:tc>
        <w:tc>
          <w:tcPr>
            <w:tcW w:w="4780" w:type="dxa"/>
            <w:vAlign w:val="bottom"/>
          </w:tcPr>
          <w:p>
            <w:pPr>
              <w:ind w:left="20"/>
              <w:spacing w:after="0"/>
              <w:rPr>
                <w:sz w:val="20"/>
                <w:szCs w:val="20"/>
                <w:color w:val="auto"/>
              </w:rPr>
            </w:pPr>
            <w:r>
              <w:rPr>
                <w:rFonts w:ascii="Arial" w:cs="Arial" w:eastAsia="Arial" w:hAnsi="Arial"/>
                <w:sz w:val="18"/>
                <w:szCs w:val="18"/>
                <w:color w:val="auto"/>
                <w:w w:val="97"/>
              </w:rPr>
              <w:t>Vice President and Chief Accounting Officer since May 2013;</w:t>
            </w: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c>
          <w:tcPr>
            <w:tcW w:w="4780" w:type="dxa"/>
            <w:vAlign w:val="bottom"/>
          </w:tcPr>
          <w:p>
            <w:pPr>
              <w:ind w:left="20"/>
              <w:spacing w:after="0"/>
              <w:rPr>
                <w:sz w:val="20"/>
                <w:szCs w:val="20"/>
                <w:color w:val="auto"/>
              </w:rPr>
            </w:pPr>
            <w:r>
              <w:rPr>
                <w:rFonts w:ascii="Arial" w:cs="Arial" w:eastAsia="Arial" w:hAnsi="Arial"/>
                <w:sz w:val="18"/>
                <w:szCs w:val="18"/>
                <w:color w:val="auto"/>
              </w:rPr>
              <w:t>Corporate Controller since April 2011; Assistant Corporate</w:t>
            </w:r>
          </w:p>
        </w:tc>
      </w:t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Controller from February 2004 to April 2011.</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Robert Yung</w:t>
            </w:r>
          </w:p>
        </w:tc>
        <w:tc>
          <w:tcPr>
            <w:tcW w:w="38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51   Vice President, Corporate Development</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President, Corporate Development and Chief Strategy</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Chief Strategy Officer</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Officer since December 2011; Executive Vice President and</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Chief Technology Officer, Tessera Technologies, Inc. from May</w:t>
            </w:r>
          </w:p>
        </w:tc>
      </w:tr>
      <w:tr>
        <w:trPr>
          <w:trHeight w:val="216"/>
        </w:trPr>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2009 to May 2011; Vice President and Chief Technology Officer</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PMC-Sierra Inc., from September 2005 to May 2009.</w:t>
            </w:r>
          </w:p>
        </w:tc>
      </w:tr>
      <w:tr>
        <w:trPr>
          <w:trHeight w:val="459"/>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ind w:left="21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806"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60" w:right="180" w:hanging="1052"/>
        <w:spacing w:after="0" w:line="282" w:lineRule="auto"/>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7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common stock is listed on The NASDAQ Global Select Market under the symbol ADI. Prior to April 2, 2012, our common stock was listed on the New York Stock Exchange. The tables below set forth the high and low sales prices per share of our common stock on the applicable exchange and the dividends declared for each quarterly period within our two most recent fiscal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and Low Sales Prices of Common Stock</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Fiscal 2013</w:t>
            </w:r>
          </w:p>
        </w:tc>
        <w:tc>
          <w:tcPr>
            <w:tcW w:w="10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w w:val="93"/>
              </w:rPr>
              <w:t>Fiscal 2012</w:t>
            </w:r>
          </w:p>
        </w:tc>
        <w:tc>
          <w:tcPr>
            <w:tcW w:w="112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High</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Low</w:t>
            </w:r>
          </w:p>
        </w:tc>
        <w:tc>
          <w:tcPr>
            <w:tcW w:w="120" w:type="dxa"/>
            <w:vAlign w:val="bottom"/>
            <w:tcBorders>
              <w:bottom w:val="single" w:sz="8" w:color="CCEEFF"/>
            </w:tcBorders>
            <w:gridSpan w:val="2"/>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High</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$32.18</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$47.27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$40.83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$36.95</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$34.25</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$49.79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$37.82</w:t>
            </w:r>
          </w:p>
        </w:tc>
      </w:tr>
      <w:tr>
        <w:trPr>
          <w:trHeight w:val="47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w w:val="97"/>
              </w:rPr>
              <w:t>Dividends Declared Per Outstanding Share of Common Stock</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7220" w:type="dxa"/>
            <w:vAlign w:val="bottom"/>
            <w:gridSpan w:val="5"/>
          </w:tcPr>
          <w:p>
            <w:pPr>
              <w:ind w:left="440"/>
              <w:spacing w:after="0"/>
              <w:rPr>
                <w:sz w:val="20"/>
                <w:szCs w:val="20"/>
                <w:color w:val="auto"/>
              </w:rPr>
            </w:pPr>
            <w:r>
              <w:rPr>
                <w:rFonts w:ascii="Arial" w:cs="Arial" w:eastAsia="Arial" w:hAnsi="Arial"/>
                <w:sz w:val="18"/>
                <w:szCs w:val="18"/>
                <w:color w:val="auto"/>
              </w:rPr>
              <w:t>In fiscal 2013 and fiscal 2012, we paid a cash dividend in each quarter as follows:</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9"/>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Fiscal 2013</w:t>
            </w:r>
          </w:p>
        </w:tc>
        <w:tc>
          <w:tcPr>
            <w:tcW w:w="1120" w:type="dxa"/>
            <w:vAlign w:val="bottom"/>
          </w:tcPr>
          <w:p>
            <w:pPr>
              <w:jc w:val="right"/>
              <w:ind w:right="294"/>
              <w:spacing w:after="0"/>
              <w:rPr>
                <w:sz w:val="20"/>
                <w:szCs w:val="20"/>
                <w:color w:val="auto"/>
              </w:rPr>
            </w:pPr>
            <w:r>
              <w:rPr>
                <w:rFonts w:ascii="Arial" w:cs="Arial" w:eastAsia="Arial" w:hAnsi="Arial"/>
                <w:sz w:val="14"/>
                <w:szCs w:val="14"/>
                <w:b w:val="1"/>
                <w:bCs w:val="1"/>
                <w:color w:val="auto"/>
                <w:w w:val="96"/>
              </w:rPr>
              <w:t>Fiscal 2012</w:t>
            </w:r>
          </w:p>
        </w:tc>
      </w:tr>
      <w:tr>
        <w:trPr>
          <w:trHeight w:val="250"/>
        </w:trPr>
        <w:tc>
          <w:tcPr>
            <w:tcW w:w="516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$0.25</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$0.30</w:t>
            </w:r>
          </w:p>
        </w:tc>
      </w:tr>
      <w:tr>
        <w:trPr>
          <w:trHeight w:val="27"/>
        </w:trPr>
        <w:tc>
          <w:tcPr>
            <w:tcW w:w="516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$0.30</w:t>
            </w:r>
          </w:p>
        </w:tc>
      </w:tr>
    </w:tbl>
    <w:p>
      <w:pPr>
        <w:spacing w:after="0" w:line="13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During the first quarter of fiscal 2014, on November 25, 2013, our Board of Directors declared a cash dividend of $0.34 per outstanding share of common stock. The dividend will be paid on December 17, 2013 to all shareholders of record at the close of business on December 6, 2013. The payment of future dividends, if any, will be based on several factors including our financial performance, outlook and liquidity.</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our equity compensation plans and the securities authorized for issuance thereunder is set forth in Item 12 below.</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Average Price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Purchased(a)</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Per Share(b)</w:t>
            </w:r>
          </w:p>
        </w:tc>
        <w:tc>
          <w:tcPr>
            <w:tcW w:w="10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Programs(c)</w:t>
            </w:r>
          </w:p>
        </w:tc>
        <w:tc>
          <w:tcPr>
            <w:tcW w:w="100" w:type="dxa"/>
            <w:vAlign w:val="bottom"/>
          </w:tcPr>
          <w:p>
            <w:pPr>
              <w:spacing w:after="0"/>
              <w:rPr>
                <w:sz w:val="16"/>
                <w:szCs w:val="16"/>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4, 2013 through August 31, 2013</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576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48.31</w:t>
            </w:r>
          </w:p>
        </w:tc>
        <w:tc>
          <w:tcPr>
            <w:tcW w:w="100" w:type="dxa"/>
            <w:vAlign w:val="bottom"/>
          </w:tcPr>
          <w:p>
            <w:pPr>
              <w:spacing w:after="0"/>
              <w:rPr>
                <w:sz w:val="21"/>
                <w:szCs w:val="21"/>
                <w:color w:val="auto"/>
              </w:rPr>
            </w:pPr>
          </w:p>
        </w:tc>
        <w:tc>
          <w:tcPr>
            <w:tcW w:w="20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560,974,387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1, 2013 through September 28, 2013</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86,773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47.34</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84,500</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556,976,413</w:t>
            </w:r>
          </w:p>
        </w:tc>
        <w:tc>
          <w:tcPr>
            <w:tcW w:w="0" w:type="dxa"/>
            <w:vAlign w:val="bottom"/>
          </w:tcPr>
          <w:p>
            <w:pPr>
              <w:spacing w:after="0"/>
              <w:rPr>
                <w:sz w:val="1"/>
                <w:szCs w:val="1"/>
                <w:color w:val="auto"/>
              </w:rPr>
            </w:pP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September 29, 2013 through November 2, 2013</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829,172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46.64</w:t>
            </w:r>
          </w:p>
        </w:tc>
        <w:tc>
          <w:tcPr>
            <w:tcW w:w="100" w:type="dxa"/>
            <w:vAlign w:val="bottom"/>
          </w:tcPr>
          <w:p>
            <w:pPr>
              <w:spacing w:after="0"/>
              <w:rPr>
                <w:sz w:val="21"/>
                <w:szCs w:val="21"/>
                <w:color w:val="auto"/>
              </w:rPr>
            </w:pPr>
          </w:p>
        </w:tc>
        <w:tc>
          <w:tcPr>
            <w:tcW w:w="2040" w:type="dxa"/>
            <w:vAlign w:val="bottom"/>
          </w:tcPr>
          <w:p>
            <w:pPr>
              <w:jc w:val="right"/>
              <w:ind w:right="19"/>
              <w:spacing w:after="0"/>
              <w:rPr>
                <w:sz w:val="20"/>
                <w:szCs w:val="20"/>
                <w:color w:val="auto"/>
              </w:rPr>
            </w:pPr>
            <w:r>
              <w:rPr>
                <w:rFonts w:ascii="Arial" w:cs="Arial" w:eastAsia="Arial" w:hAnsi="Arial"/>
                <w:sz w:val="18"/>
                <w:szCs w:val="18"/>
                <w:color w:val="auto"/>
              </w:rPr>
              <w:t>828,100</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518,353,105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916,521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46.71</w:t>
            </w:r>
          </w:p>
        </w:tc>
        <w:tc>
          <w:tcPr>
            <w:tcW w:w="100" w:type="dxa"/>
            <w:vAlign w:val="bottom"/>
          </w:tcPr>
          <w:p>
            <w:pPr>
              <w:spacing w:after="0"/>
              <w:rPr>
                <w:sz w:val="20"/>
                <w:szCs w:val="20"/>
                <w:color w:val="auto"/>
              </w:rPr>
            </w:pPr>
          </w:p>
        </w:tc>
        <w:tc>
          <w:tcPr>
            <w:tcW w:w="2040" w:type="dxa"/>
            <w:vAlign w:val="bottom"/>
          </w:tcPr>
          <w:p>
            <w:pPr>
              <w:jc w:val="right"/>
              <w:ind w:right="19"/>
              <w:spacing w:after="0"/>
              <w:rPr>
                <w:sz w:val="20"/>
                <w:szCs w:val="20"/>
                <w:color w:val="auto"/>
              </w:rPr>
            </w:pPr>
            <w:r>
              <w:rPr>
                <w:rFonts w:ascii="Arial" w:cs="Arial" w:eastAsia="Arial" w:hAnsi="Arial"/>
                <w:sz w:val="18"/>
                <w:szCs w:val="18"/>
                <w:color w:val="auto"/>
              </w:rPr>
              <w:t>912,600</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518,353,105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w:t>
      </w:r>
    </w:p>
    <w:p>
      <w:pPr>
        <w:spacing w:after="0" w:line="59" w:lineRule="exact"/>
        <w:rPr>
          <w:sz w:val="20"/>
          <w:szCs w:val="20"/>
          <w:color w:val="auto"/>
        </w:rPr>
      </w:pPr>
    </w:p>
    <w:p>
      <w:pPr>
        <w:ind w:left="460" w:right="78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3,921 shares withheld by us from employees to satisfy employee tax obligations upon vesting of restricted stock units granted to our employees under our equity compensation plans.</w:t>
      </w:r>
    </w:p>
    <w:p>
      <w:pPr>
        <w:spacing w:after="0" w:line="8" w:lineRule="exact"/>
        <w:rPr>
          <w:rFonts w:ascii="Arial" w:cs="Arial" w:eastAsia="Arial" w:hAnsi="Arial"/>
          <w:sz w:val="18"/>
          <w:szCs w:val="18"/>
          <w:color w:val="auto"/>
        </w:rPr>
      </w:pPr>
    </w:p>
    <w:p>
      <w:pPr>
        <w:jc w:val="both"/>
        <w:ind w:left="460" w:right="18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average price paid per share of stock repurchased under the stock repurchase program includes the commissions paid to the brokers. The average price paid for shares in connection with vesting of restricted stock are averages of the closing stock price at the vesting date which is used to calculate the number of shares to be withheld.</w:t>
      </w:r>
    </w:p>
    <w:p>
      <w:pPr>
        <w:spacing w:after="0" w:line="19" w:lineRule="exact"/>
        <w:rPr>
          <w:rFonts w:ascii="Arial" w:cs="Arial" w:eastAsia="Arial" w:hAnsi="Arial"/>
          <w:sz w:val="18"/>
          <w:szCs w:val="18"/>
          <w:color w:val="auto"/>
        </w:rPr>
      </w:pPr>
    </w:p>
    <w:p>
      <w:pPr>
        <w:ind w:left="460" w:right="24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repurchased pursuant to the stock repurchase program publicly announced on August 12, 2004. In the aggregate, our Board of Directors has authorized us to repurchase $5.0 billion of our common stock. Under the repurchase program, we may repurchase outstanding shares of our common stock from time to time in the open market and through privately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4" w:name="page25"/>
    <w:bookmarkEnd w:id="24"/>
    <w:p>
      <w:pPr>
        <w:ind w:left="460" w:right="860"/>
        <w:spacing w:after="0" w:line="324" w:lineRule="auto"/>
        <w:rPr>
          <w:sz w:val="20"/>
          <w:szCs w:val="20"/>
          <w:color w:val="auto"/>
        </w:rPr>
      </w:pPr>
      <w:r>
        <w:rPr>
          <w:rFonts w:ascii="Arial" w:cs="Arial" w:eastAsia="Arial" w:hAnsi="Arial"/>
          <w:sz w:val="18"/>
          <w:szCs w:val="18"/>
          <w:color w:val="auto"/>
        </w:rPr>
        <w:t>negotiated transactions. Unless terminated earlier by resolution of our Board of Directors, the repurchase program will expire when we have repurchased all shares authorized for repurchase under the repurchase program.</w:t>
      </w:r>
    </w:p>
    <w:p>
      <w:pPr>
        <w:spacing w:after="0" w:line="4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The number of holders of record of our common stock at November 25, 2013 was 2,373. This number does not include shareholders for whom shares are held in a “nominee” or “street” name. On November 1, 2013, the last reported sales price of our common stock on The NASDAQ Global Select Market was $49.68 per share.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3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following graph compares cumulative total shareholder return on our common stock since November 1, 2008 with the cumulative total return of the Standard &amp; Poor’s (S&amp;P) 500 Index and the S&amp;P Semiconductors Index. This graph assumes the investment of $100 on November 1, 2008 in our common stock, the S&amp;P 500 Index and the S&amp;P Semiconductors Index and assumes all dividends are reinvested. Measurement points are the last trading day for each respective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67945</wp:posOffset>
            </wp:positionV>
            <wp:extent cx="5848985" cy="3207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320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includes selected financial data for each of our last five fiscal years.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 except per share amounts)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2009</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Statement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Total revenue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2,633,689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2,701,142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2,993,320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2,761,503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2,014,908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673,487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651,236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860,894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711,225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247,408</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Total income from discontinued operations, net of tax</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673,487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651,236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867,394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712,084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247,772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per share from continuing operations, net of tax:</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0.85</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0.85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0.85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0.80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6,381,750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5,620,347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5,277,635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4,328,831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3,369,407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872,241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821,598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886,376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400,635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379,626</w:t>
            </w:r>
          </w:p>
        </w:tc>
      </w:tr>
      <w:tr>
        <w:trPr>
          <w:trHeight w:val="675"/>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6" w:name="page27"/>
    <w:bookmarkEnd w:id="26"/>
    <w:p>
      <w:pPr>
        <w:ind w:left="900" w:right="300" w:hanging="890"/>
        <w:spacing w:after="0" w:line="282" w:lineRule="auto"/>
        <w:tabs>
          <w:tab w:leader="none" w:pos="88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 (all tabular amounts in thousands except per share amounts)</w:t>
      </w:r>
    </w:p>
    <w:p>
      <w:pPr>
        <w:spacing w:after="0" w:line="71"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During the first quarter of fiscal 2008, we sold our baseband chipset business and related support operations, which we refer to as the Baseband Chipset Business, to MediaTek Inc. The financial results of this business is presented as discontinued operations in the consolidated statements of income for all periods presented. Unless otherwise noted, this Management’s Discussion and Analysis relates only to financial results from continuing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Overview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b w:val="1"/>
                <w:bCs w:val="1"/>
                <w:color w:val="auto"/>
              </w:rPr>
              <w:t>2013 over 2012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2012 over 2011</w:t>
            </w:r>
          </w:p>
        </w:tc>
      </w:tr>
      <w:tr>
        <w:trPr>
          <w:trHeight w:val="264"/>
        </w:trPr>
        <w:tc>
          <w:tcPr>
            <w:tcW w:w="2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43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4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22"/>
                <w:szCs w:val="22"/>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900" w:type="dxa"/>
            <w:vAlign w:val="bottom"/>
          </w:tcPr>
          <w:p>
            <w:pPr>
              <w:jc w:val="right"/>
              <w:ind w:right="3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2,633,689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2,701,142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2,993,320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from Continuing</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673,487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651,236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860,894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22,251</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(209,658)</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2700" w:type="dxa"/>
            <w:vAlign w:val="bottom"/>
          </w:tcPr>
          <w:p>
            <w:pPr>
              <w:ind w:left="40"/>
              <w:spacing w:after="0"/>
              <w:rPr>
                <w:sz w:val="20"/>
                <w:szCs w:val="20"/>
                <w:color w:val="auto"/>
              </w:rPr>
            </w:pPr>
            <w:r>
              <w:rPr>
                <w:rFonts w:ascii="Arial" w:cs="Arial" w:eastAsia="Arial" w:hAnsi="Arial"/>
                <w:sz w:val="18"/>
                <w:szCs w:val="18"/>
                <w:color w:val="auto"/>
              </w:rPr>
              <w:t>Net income from Continuing</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700" w:type="dxa"/>
            <w:vAlign w:val="bottom"/>
          </w:tcPr>
          <w:p>
            <w:pPr>
              <w:ind w:left="40"/>
              <w:spacing w:after="0"/>
              <w:rPr>
                <w:sz w:val="20"/>
                <w:szCs w:val="20"/>
                <w:color w:val="auto"/>
              </w:rPr>
            </w:pPr>
            <w:r>
              <w:rPr>
                <w:rFonts w:ascii="Arial" w:cs="Arial" w:eastAsia="Arial" w:hAnsi="Arial"/>
                <w:sz w:val="18"/>
                <w:szCs w:val="18"/>
                <w:color w:val="auto"/>
              </w:rPr>
              <w:t>Operations as a % of Revenue</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 from Continuing</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17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Fiscal 2013 and fiscal 2011 were 52-week years. Fiscal 2012 was a 53-week year. The additional week in fiscal 2012 was included in the first quarter ended February 4, 2012.</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 xml:space="preserve">The year-to-year revenue changes by end market and product category are more fully outlined below under </w:t>
      </w:r>
      <w:r>
        <w:rPr>
          <w:rFonts w:ascii="Arial" w:cs="Arial" w:eastAsia="Arial" w:hAnsi="Arial"/>
          <w:sz w:val="18"/>
          <w:szCs w:val="18"/>
          <w:i w:val="1"/>
          <w:iCs w:val="1"/>
          <w:color w:val="auto"/>
        </w:rPr>
        <w:t>Revenue Trends by End Market</w:t>
      </w:r>
      <w:r>
        <w:rPr>
          <w:rFonts w:ascii="Arial" w:cs="Arial" w:eastAsia="Arial" w:hAnsi="Arial"/>
          <w:sz w:val="18"/>
          <w:szCs w:val="18"/>
          <w:color w:val="auto"/>
        </w:rPr>
        <w:t xml:space="preserve"> and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Trends by Product Type</w:t>
      </w:r>
      <w:r>
        <w:rPr>
          <w:rFonts w:ascii="Arial" w:cs="Arial" w:eastAsia="Arial" w:hAnsi="Arial"/>
          <w:sz w:val="18"/>
          <w:szCs w:val="18"/>
          <w:color w:val="auto"/>
        </w:rPr>
        <w:t>.</w:t>
      </w:r>
    </w:p>
    <w:p>
      <w:pPr>
        <w:spacing w:after="0" w:line="116"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During fiscal 2013, our revenue decreased 2% compared to fiscal 2012. Our diluted earnings per share from continuing operations increased to $2.14 in fiscal 2013 from $2.13 in fiscal 2012. Cash flow from operations in fiscal 2013 was $912.3 million, or 34.6% of revenue. The year-to-year decrease in revenue was primarily attributable to one less week of operations in fiscal 2013 as compared to fiscal 2012 and continued weakness in the global economic environment. We believe that our variable cost structure and continued efforts to manage production, inventory levels and expenses helped to mitigate the effect of the lower sales level on our earnings.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02" w:right="239" w:bottom="1440" w:gutter="0" w:footer="0" w:header="0"/>
        </w:sectPr>
      </w:pPr>
    </w:p>
    <w:bookmarkStart w:id="27" w:name="page28"/>
    <w:bookmarkEnd w:id="27"/>
    <w:p>
      <w:pPr>
        <w:ind w:left="220"/>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Product</w:t>
            </w:r>
          </w:p>
        </w:tc>
        <w:tc>
          <w:tcPr>
            <w:tcW w:w="120" w:type="dxa"/>
            <w:vAlign w:val="bottom"/>
          </w:tcPr>
          <w:p>
            <w:pPr>
              <w:spacing w:after="0"/>
              <w:rPr>
                <w:sz w:val="12"/>
                <w:szCs w:val="12"/>
                <w:color w:val="auto"/>
              </w:rPr>
            </w:pPr>
          </w:p>
        </w:tc>
        <w:tc>
          <w:tcPr>
            <w:tcW w:w="8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Y/Y%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Product</w:t>
            </w:r>
          </w:p>
        </w:tc>
        <w:tc>
          <w:tcPr>
            <w:tcW w:w="240" w:type="dxa"/>
            <w:vAlign w:val="bottom"/>
          </w:tcPr>
          <w:p>
            <w:pPr>
              <w:spacing w:after="0"/>
              <w:rPr>
                <w:sz w:val="12"/>
                <w:szCs w:val="12"/>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Product</w:t>
            </w:r>
          </w:p>
        </w:tc>
        <w:tc>
          <w:tcPr>
            <w:tcW w:w="0" w:type="dxa"/>
            <w:vAlign w:val="bottom"/>
          </w:tcPr>
          <w:p>
            <w:pPr>
              <w:spacing w:after="0"/>
              <w:rPr>
                <w:sz w:val="1"/>
                <w:szCs w:val="1"/>
                <w:color w:val="auto"/>
              </w:rPr>
            </w:pPr>
          </w:p>
        </w:tc>
      </w:tr>
      <w:tr>
        <w:trPr>
          <w:trHeight w:val="192"/>
        </w:trPr>
        <w:tc>
          <w:tcPr>
            <w:tcW w:w="30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1,219,798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1,246,380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1,416,686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481,803</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463,927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418,419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403,649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464,103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556,056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528,439</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526,732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602,159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2,633,689</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2,701,142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2,993,320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260"/>
        <w:spacing w:after="0"/>
        <w:tabs>
          <w:tab w:leader="none" w:pos="1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sum of the individual percentages do not equal the total due to rounding.</w:t>
      </w:r>
    </w:p>
    <w:p>
      <w:pPr>
        <w:spacing w:after="0" w:line="19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year-to-year decrease in revenue in the industrial and consumer end markets in fiscal 2013 was primarily the result of a weak global economic environment and one less week of operations in fiscal 2013 as compared to fiscal 2012. Automotive end market revenue increased in fiscal 2013 primarily as a result of increasing electronic content in vehicles.</w:t>
      </w:r>
    </w:p>
    <w:p>
      <w:pPr>
        <w:spacing w:after="0" w:line="8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year-to-year decrease in revenue in the industrial, consumer and communications end markets in fiscal 2012 was primarily the result of a broad-based decrease in demand in these end markets. Automotive end market revenue increased in fiscal 2012 primarily as a result of increasing electronic content in vehicles.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14" w:right="239" w:bottom="1440" w:gutter="0" w:footer="0" w:header="0"/>
        </w:sectPr>
      </w:pPr>
    </w:p>
    <w:bookmarkStart w:id="28" w:name="page29"/>
    <w:bookmarkEnd w:id="28"/>
    <w:p>
      <w:pPr>
        <w:ind w:left="220"/>
        <w:spacing w:after="0"/>
        <w:rPr>
          <w:sz w:val="20"/>
          <w:szCs w:val="20"/>
          <w:color w:val="auto"/>
        </w:rPr>
      </w:pPr>
      <w:r>
        <w:rPr>
          <w:rFonts w:ascii="Arial" w:cs="Arial" w:eastAsia="Arial" w:hAnsi="Arial"/>
          <w:sz w:val="18"/>
          <w:szCs w:val="18"/>
          <w:i w:val="1"/>
          <w:iCs w:val="1"/>
          <w:color w:val="auto"/>
        </w:rPr>
        <w:t>Revenue Trends by Product Type</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Product</w:t>
            </w:r>
          </w:p>
        </w:tc>
        <w:tc>
          <w:tcPr>
            <w:tcW w:w="100" w:type="dxa"/>
            <w:vAlign w:val="bottom"/>
          </w:tcPr>
          <w:p>
            <w:pPr>
              <w:spacing w:after="0"/>
              <w:rPr>
                <w:sz w:val="12"/>
                <w:szCs w:val="12"/>
                <w:color w:val="auto"/>
              </w:rPr>
            </w:pPr>
          </w:p>
        </w:tc>
        <w:tc>
          <w:tcPr>
            <w:tcW w:w="9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Product</w:t>
            </w:r>
          </w:p>
        </w:tc>
        <w:tc>
          <w:tcPr>
            <w:tcW w:w="240" w:type="dxa"/>
            <w:vAlign w:val="bottom"/>
          </w:tcPr>
          <w:p>
            <w:pPr>
              <w:spacing w:after="0"/>
              <w:rPr>
                <w:sz w:val="12"/>
                <w:szCs w:val="12"/>
                <w:color w:val="auto"/>
              </w:rPr>
            </w:pPr>
          </w:p>
        </w:tc>
        <w:tc>
          <w:tcPr>
            <w:tcW w:w="10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1,180,072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1,192,064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1,343,487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Amplifiers/Radio frequency</w:t>
            </w: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682,759</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697,687</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788,299</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analog</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372,281</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397,376</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410,323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3240" w:type="dxa"/>
            <w:vAlign w:val="bottom"/>
          </w:tcPr>
          <w:p>
            <w:pPr>
              <w:ind w:left="40"/>
              <w:spacing w:after="0"/>
              <w:rPr>
                <w:sz w:val="20"/>
                <w:szCs w:val="20"/>
                <w:color w:val="auto"/>
              </w:rPr>
            </w:pPr>
            <w:r>
              <w:rPr>
                <w:rFonts w:ascii="Arial" w:cs="Arial" w:eastAsia="Arial" w:hAnsi="Arial"/>
                <w:sz w:val="18"/>
                <w:szCs w:val="18"/>
                <w:color w:val="auto"/>
              </w:rPr>
              <w:t>Subtotal analog signal processing</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2,235,112</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2,287,127</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2,542,109</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management &amp; reference</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172,920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182,134</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217,615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Total analog products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2,408,032</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2,469,261</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2,759,724</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Digital signal processing</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225,657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231,881</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233,596</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2,633,689</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2,701,142</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2,993,320</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80" w:hanging="345"/>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sum of the individual percentages do not equal the total due to rounding.</w:t>
      </w:r>
    </w:p>
    <w:p>
      <w:pPr>
        <w:spacing w:after="0" w:line="1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year-to-year decrease in total revenue in fiscal 2013 as compared to fiscal 2012 was the result of one less week of operations in fiscal 2013 as compared to fiscal 2012 and a broad-based decrease in demand across most product type categories.</w:t>
      </w:r>
    </w:p>
    <w:p>
      <w:pPr>
        <w:spacing w:after="0" w:line="11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year-to-year decrease in total revenue in fiscal 2012 as compared to fiscal 2011 was the result of a broad-based demand shift across all product categories.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Trends by Geographic Region</w:t>
      </w:r>
    </w:p>
    <w:p>
      <w:pPr>
        <w:spacing w:after="0" w:line="13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Revenue by geographic region, based upon the primary location of our customers' design activity for its products, for fiscal 2013, 2012 and 2011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33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2013 over 2012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2012 over 2011</w:t>
            </w:r>
          </w:p>
        </w:tc>
      </w:tr>
      <w:tr>
        <w:trPr>
          <w:trHeight w:val="264"/>
        </w:trPr>
        <w:tc>
          <w:tcPr>
            <w:tcW w:w="33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821,269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818,653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866,142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(47,489)</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Rest of North and South America</w:t>
            </w: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99,215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114,133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144,585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(30,452)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840,585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852,668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967,417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(12,083)</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(114,749)</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Japan</w:t>
            </w: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292,804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333,558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398,587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(40,754)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(65,029)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349,575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341,196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360,594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8,379</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(19,398)</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Rest of Asia</w:t>
            </w: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230,241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240,934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255,995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(10,693)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(15,061)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257"/>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2,633,689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2,701,142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2,993,320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(67,453)</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(292,178)</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3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In fiscal years 2013, 2012 and 2011, the predominant countries comprising “Rest of North and South America” are Canada and Mexico; the predominant countries comprising “Europe” are Germany, Sweden, France and the United Kingdom; and the predominant countries comprising “Rest of Asia” are Taiwan and South Korea.</w:t>
      </w:r>
    </w:p>
    <w:p>
      <w:pPr>
        <w:spacing w:after="0" w:line="87"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On a regional basis, the year-over-year sales declines in Japan and Rest of Asia for fiscal 2013 were primarily the result of lower demand for products used in consumer applications. The year-over-year sales increase in China for fiscal 2013 was primarily the result of an increase in demand in the industrial end market.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14" w:right="23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t>Sales decreased in all regions in fiscal 2012 as compared to fiscal 2011 as a result of a broad-based decrease in demand.</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12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2013 over 2012</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2012 over 2011</w:t>
            </w:r>
          </w:p>
        </w:tc>
      </w:tr>
      <w:tr>
        <w:trPr>
          <w:trHeight w:val="264"/>
        </w:trPr>
        <w:tc>
          <w:tcPr>
            <w:tcW w:w="23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1,692,411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1,741,001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   1,986,541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(48,590)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(245,540)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175" w:lineRule="exact"/>
        <w:rPr>
          <w:sz w:val="20"/>
          <w:szCs w:val="20"/>
          <w:color w:val="auto"/>
        </w:rPr>
      </w:pPr>
    </w:p>
    <w:p>
      <w:pPr>
        <w:jc w:val="both"/>
        <w:ind w:right="320" w:firstLine="432"/>
        <w:spacing w:after="0" w:line="277" w:lineRule="auto"/>
        <w:rPr>
          <w:sz w:val="20"/>
          <w:szCs w:val="20"/>
          <w:color w:val="auto"/>
        </w:rPr>
      </w:pPr>
      <w:r>
        <w:rPr>
          <w:rFonts w:ascii="Arial" w:cs="Arial" w:eastAsia="Arial" w:hAnsi="Arial"/>
          <w:sz w:val="18"/>
          <w:szCs w:val="18"/>
          <w:color w:val="auto"/>
        </w:rPr>
        <w:t>Gross margin percentage in fiscal 2013 decreased 20 basis points compared to fiscal 2012 primarily as a result of a slight mix shift in favor of lower margin products being sold.</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Gross margin percentage in fiscal 2012 decreased 190 basis points compared to fiscal 2011 primarily as a result of decreased operating levels in our manufacturing facilities as well as a reduced percentage of sales of our products sold into the industrial automation and instrumentation sectors of the industrial end market and the wireless base station sector of the communications end market, which earn higher margins as compared to products sold into our other end market sectors.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 (R&amp;D)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7"/>
              </w:rPr>
              <w:t>Change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2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2013 over 2012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2012 over 2011</w:t>
            </w:r>
          </w:p>
        </w:tc>
      </w:tr>
      <w:tr>
        <w:trPr>
          <w:trHeight w:val="264"/>
        </w:trPr>
        <w:tc>
          <w:tcPr>
            <w:tcW w:w="23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R&amp;D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513,255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512,003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505,570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1,252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6,433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380" w:type="dxa"/>
            <w:vAlign w:val="bottom"/>
          </w:tcPr>
          <w:p>
            <w:pPr>
              <w:ind w:left="40"/>
              <w:spacing w:after="0"/>
              <w:rPr>
                <w:sz w:val="20"/>
                <w:szCs w:val="20"/>
                <w:color w:val="auto"/>
              </w:rPr>
            </w:pPr>
            <w:r>
              <w:rPr>
                <w:rFonts w:ascii="Arial" w:cs="Arial" w:eastAsia="Arial" w:hAnsi="Arial"/>
                <w:sz w:val="18"/>
                <w:szCs w:val="18"/>
                <w:color w:val="auto"/>
              </w:rPr>
              <w:t>R&amp;D Expenses as a % of</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38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R&amp;D expenses remained flat in fiscal 2013 as compared to fiscal 2012 as increases in R&amp;D employee salary and benefit expenses and other operational spending were offset by lower variable compensation expense linked to our overall profitability and revenue growth.</w:t>
      </w:r>
    </w:p>
    <w:p>
      <w:pPr>
        <w:spacing w:after="0" w:line="11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R&amp;D expenses increased in fiscal 2012 as compared to fiscal 2011 as a result of annual salary increases that became effective during the second quarter of fiscal 2012 and a general increase in spending, partially offset by lower variable compensation expense linked to our overall profitability and revenue growth.</w:t>
      </w:r>
    </w:p>
    <w:p>
      <w:pPr>
        <w:spacing w:after="0" w:line="8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R&amp;D expenses as a percentage of revenue will fluctuate from year-to-year depending on the amount of revenue and the success of new product development efforts, which we view as critical to our future growth. We have hundreds of R&amp;D projects underway, none of which we believe are material on an individual basis. We expect to continue the development of innovative technologies and processes for new products. We believe that a continued commitment to R&amp;D is essential to maintain product leadership with our existing products as well as to provide innovative new product offerings, and therefore, we expect to continue to make significant R&amp;D investments in the future.</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7"/>
              </w:rPr>
              <w:t>Change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3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2013 over 2012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2012 over 2011</w:t>
            </w:r>
          </w:p>
        </w:tc>
      </w:tr>
      <w:tr>
        <w:trPr>
          <w:trHeight w:val="264"/>
        </w:trPr>
        <w:tc>
          <w:tcPr>
            <w:tcW w:w="2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SMG&amp;A Expenses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396,233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396,519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406,707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 %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2380" w:type="dxa"/>
            <w:vAlign w:val="bottom"/>
          </w:tcPr>
          <w:p>
            <w:pPr>
              <w:ind w:left="40"/>
              <w:spacing w:after="0"/>
              <w:rPr>
                <w:sz w:val="20"/>
                <w:szCs w:val="20"/>
                <w:color w:val="auto"/>
              </w:rPr>
            </w:pPr>
            <w:r>
              <w:rPr>
                <w:rFonts w:ascii="Arial" w:cs="Arial" w:eastAsia="Arial" w:hAnsi="Arial"/>
                <w:sz w:val="18"/>
                <w:szCs w:val="18"/>
                <w:color w:val="auto"/>
              </w:rPr>
              <w:t>SMG&amp;A Expenses as a % of</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38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75"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SMG&amp;A expenses remained flat in fiscal 2013 as compared to fiscal 2012 as decreases in SMG&amp;A employee salary and benefit expenses and variable compensation expense linked to our overall profitability and revenue growth were partially offset by increases in other operational spending. In addition, fiscal 2013 also included $6.3 million of stock-based compensation expense following the death of our CEO in the second quarter of fiscal 2013 due to the accelerated vesting of restricted stock units in accordance with the terms of his restricted stock unit agreement.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0" w:name="page31"/>
    <w:bookmarkEnd w:id="30"/>
    <w:p>
      <w:pPr>
        <w:ind w:right="140" w:firstLine="432"/>
        <w:spacing w:after="0" w:line="342" w:lineRule="auto"/>
        <w:rPr>
          <w:sz w:val="20"/>
          <w:szCs w:val="20"/>
          <w:color w:val="auto"/>
        </w:rPr>
      </w:pPr>
      <w:r>
        <w:rPr>
          <w:rFonts w:ascii="Arial" w:cs="Arial" w:eastAsia="Arial" w:hAnsi="Arial"/>
          <w:sz w:val="16"/>
          <w:szCs w:val="16"/>
          <w:color w:val="auto"/>
        </w:rPr>
        <w:t>SMG&amp;A expenses decreased in fiscal 2012 as compared to fiscal 2011 as lower variable compensation expense, which is a variable expense linked to our overall profitability and revenue growth, was partially offset by annual salary increases that became effective during the second quarter of fiscal 2012.</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 Charges</w:t>
      </w:r>
    </w:p>
    <w:p>
      <w:pPr>
        <w:spacing w:after="0" w:line="9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We monitor global macroeconomic conditions on an ongoing basis, and continue to assess opportunities for improved operational effectiveness and efficiency and better alignment of expenses with revenues. As a result of these assessments, we have undertaken various restructuring actions over the past several years. The expense reductions relating to ongoing actions are described below.</w:t>
      </w:r>
    </w:p>
    <w:p>
      <w:pPr>
        <w:spacing w:after="0" w:line="46"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During fiscal 2008 through fiscal 2010, we recorded special charges of approximately $43.3 million. These special charges included: $39.1 million for severance and fringe benefit costs in accordance with our ongoing benefit plan or statutory requirements at foreign locations for 245 manufacturing employees and 470 engineering and SMG&amp;A employees; $2.1 million for lease obligation costs for facilities that we ceased using during the first quarter of fiscal 2009; $0.8 million for the write-off of property, plant and equipment; $0.5 million for contract termination costs and $0.3 million for clean-up and closure costs that were expensed as incurred; and $0.5 million related to the impairment of intellectual property. This action resulted in annual cost savings of approximately $52.0 million per year. We have terminated the employment of all employees associated with these actions.</w:t>
      </w:r>
    </w:p>
    <w:p>
      <w:pPr>
        <w:spacing w:after="0" w:line="12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During fiscal 2011, we recorded a special charge of approximately $2.2 million for severance and fringe benefit costs in accordance with our ongoing benefit plan or statutory requirements at foreign locations for 25 engineering and SMG&amp;A employees. This action was completed in the fourth quarter of fiscal 2012. This action resulted in annual cost savings of approximately $4.0 million.</w:t>
      </w:r>
    </w:p>
    <w:p>
      <w:pPr>
        <w:spacing w:after="0" w:line="127"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During fiscal 2012, we recorded special charges of approximately $8.4 million. The special charge included $7.9 million for severance and fringe benefit costs in accordance with our ongoing benefit plan or statutory requirements at foreign locations for 95 manufacturing, engineering and SMG&amp;A employees; $0.1 million for contract termination costs; $0.2 million for lease obligation costs for facilities that we ceased using during the third quarter of fiscal 2012 and $0.2 million for the write-off of property, plant and equipment. This action resulted in annual savings in SMG&amp;A expenses of approximately $12.0 million per year. We have terminated the employment of all employees associated with this action.</w:t>
      </w:r>
    </w:p>
    <w:p>
      <w:pPr>
        <w:spacing w:after="0" w:line="11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During fiscal 2013, we recorded special charges of approximately $29.8 million for severance and fringe benefit costs in accordance with our ongoing benefit plan or statutory requirements at foreign locations for 235 engineering and SMG&amp;A employees. As of November 2, 2013, we employed 98 of the 235 employees included in this cost reduction action. These employees must continue to be employed by us until their employment is involuntarily terminated in order to receive the severance benefit. We estimate these actions will result in annual cost savings of approximately $32.6 million, once fully implemented, which will be used to make additional investments in products that we expect will drive revenue growth in the future.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Income from Continuing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2013 over 2012</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2012 over 2011</w:t>
            </w:r>
          </w:p>
        </w:tc>
      </w:tr>
      <w:tr>
        <w:trPr>
          <w:trHeight w:val="264"/>
        </w:trPr>
        <w:tc>
          <w:tcPr>
            <w:tcW w:w="2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41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3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 Change</w:t>
            </w: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980" w:type="dxa"/>
            <w:vAlign w:val="bottom"/>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15"/>
        </w:trPr>
        <w:tc>
          <w:tcPr>
            <w:tcW w:w="2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from</w:t>
            </w: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7"/>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753,075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824,048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1,072,025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(70,973)</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(247,977)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2340" w:type="dxa"/>
            <w:vAlign w:val="bottom"/>
          </w:tcPr>
          <w:p>
            <w:pPr>
              <w:ind w:left="40"/>
              <w:spacing w:after="0"/>
              <w:rPr>
                <w:sz w:val="20"/>
                <w:szCs w:val="20"/>
                <w:color w:val="auto"/>
              </w:rPr>
            </w:pPr>
            <w:r>
              <w:rPr>
                <w:rFonts w:ascii="Arial" w:cs="Arial" w:eastAsia="Arial" w:hAnsi="Arial"/>
                <w:sz w:val="18"/>
                <w:szCs w:val="18"/>
                <w:color w:val="auto"/>
              </w:rPr>
              <w:t>Operating income from</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2340" w:type="dxa"/>
            <w:vAlign w:val="bottom"/>
          </w:tcPr>
          <w:p>
            <w:pPr>
              <w:ind w:left="40"/>
              <w:spacing w:after="0"/>
              <w:rPr>
                <w:sz w:val="20"/>
                <w:szCs w:val="20"/>
                <w:color w:val="auto"/>
              </w:rPr>
            </w:pPr>
            <w:r>
              <w:rPr>
                <w:rFonts w:ascii="Arial" w:cs="Arial" w:eastAsia="Arial" w:hAnsi="Arial"/>
                <w:sz w:val="18"/>
                <w:szCs w:val="18"/>
                <w:color w:val="auto"/>
                <w:w w:val="95"/>
              </w:rPr>
              <w:t>Continuing Operations as a %</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340" w:type="dxa"/>
            <w:vAlign w:val="bottom"/>
          </w:tcPr>
          <w:p>
            <w:pPr>
              <w:ind w:left="40"/>
              <w:spacing w:after="0"/>
              <w:rPr>
                <w:sz w:val="20"/>
                <w:szCs w:val="20"/>
                <w:color w:val="auto"/>
              </w:rPr>
            </w:pPr>
            <w:r>
              <w:rPr>
                <w:rFonts w:ascii="Arial" w:cs="Arial" w:eastAsia="Arial" w:hAnsi="Arial"/>
                <w:sz w:val="18"/>
                <w:szCs w:val="18"/>
                <w:color w:val="auto"/>
              </w:rPr>
              <w:t>of Revenue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7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 xml:space="preserve">The year-over-year decrease in operating income from continuing operations in fiscal 2013 as compared to fiscal 2012 was primarily the result of a decrease in revenue of $67.5 million, a 20 basis point decrease in gross margin percentage, and an increase of $21.4 million in special charges as more fully described above under the heading </w:t>
      </w:r>
      <w:r>
        <w:rPr>
          <w:rFonts w:ascii="Arial" w:cs="Arial" w:eastAsia="Arial" w:hAnsi="Arial"/>
          <w:sz w:val="18"/>
          <w:szCs w:val="18"/>
          <w:i w:val="1"/>
          <w:iCs w:val="1"/>
          <w:color w:val="auto"/>
        </w:rPr>
        <w:t>Special Charges.</w:t>
      </w:r>
    </w:p>
    <w:p>
      <w:pPr>
        <w:spacing w:after="0" w:line="12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year-over-year decrease in operating income from continuing operations in fiscal 2012 as compared to fiscal 2011 was primarily the result of a decrease in revenue of $292.2 million and a 190 basis point decrease in gross margin percentage.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746" w:right="279" w:bottom="1440" w:gutter="0" w:footer="0" w:header="0"/>
        </w:sectPr>
      </w:pPr>
    </w:p>
    <w:bookmarkStart w:id="31" w:name="page32"/>
    <w:bookmarkEnd w:id="31"/>
    <w:p>
      <w:pPr>
        <w:ind w:left="220"/>
        <w:spacing w:after="0"/>
        <w:rPr>
          <w:sz w:val="20"/>
          <w:szCs w:val="20"/>
          <w:color w:val="auto"/>
        </w:rPr>
      </w:pPr>
      <w:r>
        <w:rPr>
          <w:rFonts w:ascii="Arial" w:cs="Arial" w:eastAsia="Arial" w:hAnsi="Arial"/>
          <w:sz w:val="18"/>
          <w:szCs w:val="18"/>
          <w:i w:val="1"/>
          <w:iCs w:val="1"/>
          <w:color w:val="auto"/>
        </w:rPr>
        <w:t>Nonoperating (Income)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1036"/>
              <w:spacing w:after="0"/>
              <w:rPr>
                <w:sz w:val="20"/>
                <w:szCs w:val="20"/>
                <w:color w:val="auto"/>
              </w:rPr>
            </w:pPr>
            <w:r>
              <w:rPr>
                <w:rFonts w:ascii="Arial" w:cs="Arial" w:eastAsia="Arial" w:hAnsi="Arial"/>
                <w:sz w:val="14"/>
                <w:szCs w:val="14"/>
                <w:b w:val="1"/>
                <w:bCs w:val="1"/>
                <w:color w:val="auto"/>
              </w:rPr>
              <w:t>Change</w:t>
            </w:r>
          </w:p>
        </w:tc>
      </w:tr>
      <w:tr>
        <w:trPr>
          <w:trHeight w:val="264"/>
        </w:trPr>
        <w:tc>
          <w:tcPr>
            <w:tcW w:w="36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2"/>
              </w:rPr>
              <w:t>2013 over 2012</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4"/>
              </w:rPr>
              <w:t>2012 over 2011</w:t>
            </w:r>
          </w:p>
        </w:tc>
      </w:tr>
      <w:tr>
        <w:trPr>
          <w:trHeight w:val="264"/>
        </w:trPr>
        <w:tc>
          <w:tcPr>
            <w:tcW w:w="3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 Change</w:t>
            </w:r>
          </w:p>
        </w:tc>
        <w:tc>
          <w:tcPr>
            <w:tcW w:w="160" w:type="dxa"/>
            <w:vAlign w:val="bottom"/>
          </w:tcPr>
          <w:p>
            <w:pPr>
              <w:spacing w:after="0"/>
              <w:rPr>
                <w:sz w:val="22"/>
                <w:szCs w:val="22"/>
                <w:color w:val="auto"/>
              </w:rPr>
            </w:pPr>
          </w:p>
        </w:tc>
        <w:tc>
          <w:tcPr>
            <w:tcW w:w="1200" w:type="dxa"/>
            <w:vAlign w:val="bottom"/>
          </w:tcPr>
          <w:p>
            <w:pPr>
              <w:jc w:val="right"/>
              <w:ind w:right="316"/>
              <w:spacing w:after="0"/>
              <w:rPr>
                <w:sz w:val="20"/>
                <w:szCs w:val="20"/>
                <w:color w:val="auto"/>
              </w:rPr>
            </w:pPr>
            <w:r>
              <w:rPr>
                <w:rFonts w:ascii="Arial" w:cs="Arial" w:eastAsia="Arial" w:hAnsi="Arial"/>
                <w:sz w:val="14"/>
                <w:szCs w:val="14"/>
                <w:b w:val="1"/>
                <w:bCs w:val="1"/>
                <w:color w:val="auto"/>
              </w:rPr>
              <w:t>$ Change</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27,102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26,422</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19,146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7,276</w:t>
            </w:r>
          </w:p>
        </w:tc>
      </w:tr>
      <w:tr>
        <w:trPr>
          <w:trHeight w:val="27"/>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(5,388)</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(76,597)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(75,138)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(1,951)</w:t>
            </w:r>
          </w:p>
        </w:tc>
      </w:tr>
      <w:tr>
        <w:trPr>
          <w:trHeight w:val="27"/>
        </w:trPr>
        <w:tc>
          <w:tcPr>
            <w:tcW w:w="3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nonoperating (income)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10,515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3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 xml:space="preserve">The year-over-year increase in nonoperating income in fiscal 2013 as compared to fiscal 2012 was primarily the result of recognizing a gain of $85.4 million from the sale of a product line, as more fully described below under the heading </w:t>
      </w:r>
      <w:r>
        <w:rPr>
          <w:rFonts w:ascii="Arial" w:cs="Arial" w:eastAsia="Arial" w:hAnsi="Arial"/>
          <w:sz w:val="18"/>
          <w:szCs w:val="18"/>
          <w:i w:val="1"/>
          <w:iCs w:val="1"/>
          <w:color w:val="auto"/>
        </w:rPr>
        <w:t>Divestitures</w:t>
      </w:r>
      <w:r>
        <w:rPr>
          <w:rFonts w:ascii="Arial" w:cs="Arial" w:eastAsia="Arial" w:hAnsi="Arial"/>
          <w:sz w:val="18"/>
          <w:szCs w:val="18"/>
          <w:color w:val="auto"/>
        </w:rPr>
        <w:t xml:space="preserve">, partially offset by the net loss on extinguishment of debt of approximately $10.2 million in conjunction with the redemption of our $375 million aggregate principal amount of 5.0% senior unsecured notes in fiscal 2013 as more fully described below under the heading </w:t>
      </w:r>
      <w:r>
        <w:rPr>
          <w:rFonts w:ascii="Arial" w:cs="Arial" w:eastAsia="Arial" w:hAnsi="Arial"/>
          <w:sz w:val="18"/>
          <w:szCs w:val="18"/>
          <w:i w:val="1"/>
          <w:iCs w:val="1"/>
          <w:color w:val="auto"/>
        </w:rPr>
        <w:t>Liquidity and Capital Resources.</w:t>
      </w:r>
    </w:p>
    <w:p>
      <w:pPr>
        <w:spacing w:after="0" w:line="133"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 xml:space="preserve">The year-over-year increase in nonoperating interest expense in fiscal 2012 as compared to fiscal 2011 was primarily a result of our issuance of $375.0 million aggregate principal amount of 3.0% senior unsecured notes on April 4, 2011 which was partially offset by the impact of the termination of our interest rate swap agreement more fully described below under the heading </w:t>
      </w:r>
      <w:r>
        <w:rPr>
          <w:rFonts w:ascii="Arial" w:cs="Arial" w:eastAsia="Arial" w:hAnsi="Arial"/>
          <w:sz w:val="16"/>
          <w:szCs w:val="16"/>
          <w:i w:val="1"/>
          <w:iCs w:val="1"/>
          <w:color w:val="auto"/>
        </w:rPr>
        <w:t>Debt</w:t>
      </w:r>
      <w:r>
        <w:rPr>
          <w:rFonts w:ascii="Arial" w:cs="Arial" w:eastAsia="Arial" w:hAnsi="Arial"/>
          <w:sz w:val="16"/>
          <w:szCs w:val="16"/>
          <w:color w:val="auto"/>
        </w:rPr>
        <w:t>. The increases were partially offset by an increase in nonoperating interest income due to higher interest rates earned on our investments and the investment of higher cash balances in fiscal 2012 as compared to fiscal 2011, and an increase in nonoperating other income as a result of the gain from the sale of other investments in the second quarter of fiscal 2012.</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2013 over 2012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2012 over 2011</w:t>
            </w:r>
          </w:p>
        </w:tc>
      </w:tr>
      <w:tr>
        <w:trPr>
          <w:trHeight w:val="264"/>
        </w:trPr>
        <w:tc>
          <w:tcPr>
            <w:tcW w:w="2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141,836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162,297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200,553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(38,256)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w:t>
      </w:r>
    </w:p>
    <w:p>
      <w:pPr>
        <w:spacing w:after="0" w:line="13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decrease in our effective tax rate for fiscal 2013 compared to fiscal 2012 was primarily due to income earned in lower tax rate jurisdictions as a result of an international tax restructuring effective January 1, 2013. In addition, our effective tax rate for fiscal 2013 was lower by approximately 3% as a result of various discrete items including the reinstatement of the U.S. federal research and development tax credit and the reversal of certain prior period tax liabilities. These decreases in our effective tax rate were partially offset by the recording of a tax reserve of $36.5 million related to one open tax matter related to Section 965 of the Internal Revenue Code which increased our effective tax rate by approximately 5% and the tax effect of the gain on the sale of a product line in fiscal 2013 which increased our effective tax rate by approximately 3%.</w:t>
      </w:r>
    </w:p>
    <w:p>
      <w:pPr>
        <w:spacing w:after="0" w:line="84"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increase in our effective tax rate for fiscal 2012 compared to fiscal 2011 was primarily due to the expiration of the U.S. federal research and development tax credit in December 2011.</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814" w:right="259" w:bottom="1440" w:gutter="0" w:footer="0" w:header="0"/>
        </w:sectPr>
      </w:pPr>
    </w:p>
    <w:bookmarkStart w:id="32" w:name="page33"/>
    <w:bookmarkEnd w:id="32"/>
    <w:p>
      <w:pPr>
        <w:ind w:left="220"/>
        <w:spacing w:after="0"/>
        <w:rPr>
          <w:sz w:val="20"/>
          <w:szCs w:val="20"/>
          <w:color w:val="auto"/>
        </w:rPr>
      </w:pPr>
      <w:r>
        <w:rPr>
          <w:rFonts w:ascii="Arial" w:cs="Arial" w:eastAsia="Arial" w:hAnsi="Arial"/>
          <w:sz w:val="18"/>
          <w:szCs w:val="18"/>
          <w:i w:val="1"/>
          <w:iCs w:val="1"/>
          <w:color w:val="auto"/>
        </w:rPr>
        <w:t>Income from Continuing Operations, Net of Tax</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3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2013 over 2012</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2012 over 2011</w:t>
            </w:r>
          </w:p>
        </w:tc>
      </w:tr>
      <w:tr>
        <w:trPr>
          <w:trHeight w:val="264"/>
        </w:trPr>
        <w:tc>
          <w:tcPr>
            <w:tcW w:w="2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22"/>
                <w:szCs w:val="22"/>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980" w:type="dxa"/>
            <w:vAlign w:val="bottom"/>
          </w:tcPr>
          <w:p>
            <w:pPr>
              <w:jc w:val="right"/>
              <w:ind w:right="76"/>
              <w:spacing w:after="0"/>
              <w:rPr>
                <w:sz w:val="20"/>
                <w:szCs w:val="20"/>
                <w:color w:val="auto"/>
              </w:rPr>
            </w:pPr>
            <w:r>
              <w:rPr>
                <w:rFonts w:ascii="Arial" w:cs="Arial" w:eastAsia="Arial" w:hAnsi="Arial"/>
                <w:sz w:val="14"/>
                <w:szCs w:val="14"/>
                <w:b w:val="1"/>
                <w:bCs w:val="1"/>
                <w:color w:val="auto"/>
              </w:rPr>
              <w:t>% Change</w:t>
            </w:r>
          </w:p>
        </w:tc>
      </w:tr>
      <w:tr>
        <w:trPr>
          <w:trHeight w:val="215"/>
        </w:trPr>
        <w:tc>
          <w:tcPr>
            <w:tcW w:w="2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7"/>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 net of tax</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673,487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651,236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860,894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22,251</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(209,658)</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2380" w:type="dxa"/>
            <w:vAlign w:val="bottom"/>
          </w:tcPr>
          <w:p>
            <w:pPr>
              <w:ind w:left="40"/>
              <w:spacing w:after="0"/>
              <w:rPr>
                <w:sz w:val="20"/>
                <w:szCs w:val="20"/>
                <w:color w:val="auto"/>
              </w:rPr>
            </w:pPr>
            <w:r>
              <w:rPr>
                <w:rFonts w:ascii="Arial" w:cs="Arial" w:eastAsia="Arial" w:hAnsi="Arial"/>
                <w:sz w:val="18"/>
                <w:szCs w:val="18"/>
                <w:color w:val="auto"/>
              </w:rPr>
              <w:t>Income from Continuing</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2380" w:type="dxa"/>
            <w:vAlign w:val="bottom"/>
          </w:tcPr>
          <w:p>
            <w:pPr>
              <w:ind w:left="40"/>
              <w:spacing w:after="0"/>
              <w:rPr>
                <w:sz w:val="20"/>
                <w:szCs w:val="20"/>
                <w:color w:val="auto"/>
              </w:rPr>
            </w:pPr>
            <w:r>
              <w:rPr>
                <w:rFonts w:ascii="Arial" w:cs="Arial" w:eastAsia="Arial" w:hAnsi="Arial"/>
                <w:sz w:val="18"/>
                <w:szCs w:val="18"/>
                <w:color w:val="auto"/>
                <w:w w:val="91"/>
              </w:rPr>
              <w:t>Operations, net of tax as a % of</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38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2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 from Continuing</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23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year-over-year increase in net income from continuing operations in fiscal 2013 from fiscal 2012 was primarily a result of the lower provision for income taxes and the $72.8 million increase in nonoperating income, partially offset by the $71.0 million decrease in operating income from continuing operations.</w:t>
      </w:r>
    </w:p>
    <w:p>
      <w:pPr>
        <w:spacing w:after="0" w:line="127"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The year-over-year decrease in net income from continuing operations in fiscal 2012 from fiscal 2011 was primarily a result of the $248.0 million decrease in operating income from continuing operations partially offset by a lower provision for income taxes in fiscal 2012.</w:t>
      </w:r>
    </w:p>
    <w:p>
      <w:pPr>
        <w:spacing w:after="0" w:line="52"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impact of inflation and foreign currency exchange rate movement on our results of operations during the past three fiscal years has not been significant.</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Discontinued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91"/>
              </w:rPr>
              <w:t>Fiscal Year</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2011</w:t>
            </w:r>
          </w:p>
        </w:tc>
      </w:tr>
      <w:tr>
        <w:trPr>
          <w:trHeight w:val="26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from Discontinued Operations, net of tax</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6,500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Diluted earnings per share from Discontinued Operations</w:t>
            </w:r>
          </w:p>
        </w:tc>
        <w:tc>
          <w:tcPr>
            <w:tcW w:w="86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6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0.02</w:t>
            </w:r>
          </w:p>
        </w:tc>
      </w:tr>
    </w:tbl>
    <w:p>
      <w:pPr>
        <w:spacing w:after="0" w:line="134"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We sold our Baseband Chipset Business to MediaTek Inc. during the first quarter of fiscal 2008. Accordingly, the results of the operations of this business has been presented as discontinued operations within the consolidated financial statements. In fiscal 2011, additional proceeds of $10.0 million were released from escrow and $6.5 million net of tax was recorded as additional gain from the sale of discontinued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Divestitures</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On October 31, 2013, we completed the sale of the assets and intellectual property related to our microphone product line to InvenSense, Inc. (InvenSense). We received $100.0 million in cash for the assets and intellectual property and after providing for the write-off of inventory, fixed assets and other costs incurred to complete the transaction, recorded a net gain of $85.4 million in nonoperating income during fiscal 2013. We have agreed to provide InvenSense with various transition services subsequent to the closing. We may receive additional cash payments, not to exceed $70.0 million, based on the achievement of certain revenue milestones through the first anniversary of the closing date. The sale of the assets and intellectual property related to the microphone product line did not qualify as a discontinued operation as it did not meet the requirement to be considered a component of an entity.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14" w:right="239" w:bottom="1440" w:gutter="0" w:footer="0" w:header="0"/>
        </w:sectPr>
      </w:pPr>
    </w:p>
    <w:bookmarkStart w:id="33" w:name="page34"/>
    <w:bookmarkEnd w:id="33"/>
    <w:p>
      <w:pPr>
        <w:ind w:left="220"/>
        <w:spacing w:after="0"/>
        <w:rPr>
          <w:sz w:val="20"/>
          <w:szCs w:val="20"/>
          <w:color w:val="auto"/>
        </w:rPr>
      </w:pPr>
      <w:r>
        <w:rPr>
          <w:rFonts w:ascii="Arial" w:cs="Arial" w:eastAsia="Arial" w:hAnsi="Arial"/>
          <w:sz w:val="18"/>
          <w:szCs w:val="18"/>
          <w:i w:val="1"/>
          <w:iCs w:val="1"/>
          <w:color w:val="auto"/>
        </w:rPr>
        <w:t>Acquisitions</w:t>
      </w:r>
    </w:p>
    <w:p>
      <w:pPr>
        <w:spacing w:after="0" w:line="9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In fiscal 2012, we acquired privately-held Multigig, Inc. (Multigig) of San Jose, California. The acquisition of Multigig is expected to enhance our clocking capabilities in stand-alone and embedded applications and strengthen our high speed signal processing solutions. The acquisition-date fair value of the consideration transferred totaled $26.8 million, which consisted of $24.2 million in initial cash payments at closing and an additional $2.6 million subject to an indemnification holdback that was payable within 15 months of the transaction date. During the third quarter of fiscal 2012, we reduced this holdback amount by $0.1 million as a result of indemnification claims. During the third quarter of fiscal 2013, we paid the remaining $2.5 million due under the holdback. Our assessment of fair value of the tangible and intangible assets acquired and liabilities assumed was based on their estimated fair values at the date of acquisition, resulting in the recognition of $15.6 million of in-process research and development (IPR&amp;D), $1.1 million of developed technology, $7.0 million of goodwill and $3.1 million of net deferred tax assets. The goodwill recognized is attributable to future technologies that have yet to be determined as well as the assembled workforce of Multigig. Future technologies do not meet the criteria for recognition separately from goodwill because they are a part of future development and growth of the business. None of the goodwill is expected to be deductible for tax purposes. During the fourth quarter of fiscal 2012, we finalized our purchase accounting for Multigig which resulted in adjustments of $0.4 million to deferred taxes and goodwill. In addition, we will be obligated to pay royalties to the Multigig employees on revenue recognized from the sale of certain Multigig products through the earlier of 5 years or the aggregate maximum payment of $1.0 million. Royalty payments to Multigig employees require post-acquisition services to be rendered and, as such, we will record these amounts as compensation expense in the related periods. As of November 2, 2013, no royalty payments have been made. We recognized $0.5 million of acquisition-related costs that were expensed in fiscal 2012, which were included in operating expenses in the consolidated statement of income.</w:t>
      </w:r>
    </w:p>
    <w:p>
      <w:pPr>
        <w:spacing w:after="0" w:line="74"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In fiscal 2011, we acquired privately-held Lyric Semiconductor, Inc. (Lyric) of Cambridge, Massachusetts. The acquisition of Lyric gives us the potential to achieve significant improvement in power efficiency in mixed signal processing. The acquisition-date fair value of the consideration transferred totaled $27.8 million, which consisted of $14.0 million in initial cash payments at closing and contingent consideration of up to $13.8 million. The contingent consideration arrangement requires additional cash payments to the former equity holders of Lyric upon the achievement of certain technological and product development milestones payable during the period from June 2011 through June 2016. We estimated the fair value of the contingent consideration arrangement utilizing the income approach. Changes in the fair value of the contingent consideration subsequent to the acquisition date primarily driven by assumptions pertaining to the achievement of the defined milestones will be recognized in operating income in the period of the estimated fair value change. As of November 2, 2013, the Company had paid $8.0 million in contingent consideration. These payments are reflected in the statements of cash flows as cash used in financing activities related to the liability recognized at fair value as of the acquisition date and cash provided by operating activities related to the fair value adjustments previously recognized in earnings. The fair value of the tangible and intangible assets acquired and liabilities assumed was based on their estimated fair values at the date of acquisition, resulting in the recognition of $12.2 million of IPR&amp;D, $18.9 million of goodwill and $3.3 million of net deferred tax liabilities. The goodwill recognized is attributable to future technologies that have yet to be determined as well as the assembled workforce of Lyric. Future technologies do not meet the criteria for recognition separately from goodwill because they are a part of future development and growth of the business. None of the goodwill is expected to be deductible for tax purposes. The fair value of the remaining contingent consideration was approximately $6.5 million as of November 2, 2013, of which $3.8 million is included in accrued liabilities and $2.7 million is included in other non-current liabilities in our consolidated balance sheet. In addition, we will be obligated to pay royalties to the former equity holders of Lyric on revenue recognized from the sale of Lyric products and licenses through the earlier of 20 years or the accrual of a maximum of $25.0 million. Royalty payments to Lyric employees require post-acquisition services to be rendered and, as such, we will record these amounts as compensation expense in the related periods. As of November 2, 2013, no royalty payments have been made. We recognized $0.2 million of acquisition related costs that were expensed in fiscal 2011. These costs are included in operating expenses in the consolidated statement of income.</w:t>
      </w:r>
    </w:p>
    <w:p>
      <w:pPr>
        <w:spacing w:after="0" w:line="29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have not provided pro forma results of operations for Multigig and Lyric herein as these acquisitions were not considered material to us on either an individual or an aggregate basis. We included the results of operations of each acquisition in our consolidated statement of income from the date of each acquisition.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At November 2, 2013, our principal source of liquidity was $4,682.9 million of cash and cash equivalents and short-term investments, of which approximately $1,318.9 million was held in the United States. The balance of our cash and cash equivalents and short-term investments was held outside the United States in various foreign subsidiaries. As we intend to</w:t>
      </w:r>
    </w:p>
    <w:p>
      <w:pPr>
        <w:ind w:right="60"/>
        <w:spacing w:after="0" w:line="255" w:lineRule="auto"/>
        <w:rPr>
          <w:sz w:val="20"/>
          <w:szCs w:val="20"/>
          <w:color w:val="auto"/>
        </w:rPr>
      </w:pPr>
      <w:r>
        <w:rPr>
          <w:rFonts w:ascii="Arial" w:cs="Arial" w:eastAsia="Arial" w:hAnsi="Arial"/>
          <w:sz w:val="18"/>
          <w:szCs w:val="18"/>
          <w:color w:val="auto"/>
        </w:rPr>
        <w:t>reinvest our foreign earnings indefinitely, this cash held outside the United States is not available to meet certain aspects of our cash requirements in the United States, including cash dividends and common stock repurchases. Our cash and cash equivalents consist of highly liquid investments with maturities of three months or less at the time of acquisition, including money market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14" w:right="239" w:bottom="1440" w:gutter="0" w:footer="0" w:header="0"/>
        </w:sectPr>
      </w:pPr>
    </w:p>
    <w:bookmarkStart w:id="34" w:name="page35"/>
    <w:bookmarkEnd w:id="34"/>
    <w:p>
      <w:pPr>
        <w:ind w:right="400"/>
        <w:spacing w:after="0" w:line="264" w:lineRule="auto"/>
        <w:rPr>
          <w:sz w:val="20"/>
          <w:szCs w:val="20"/>
          <w:color w:val="auto"/>
        </w:rPr>
      </w:pPr>
      <w:r>
        <w:rPr>
          <w:rFonts w:ascii="Arial" w:cs="Arial" w:eastAsia="Arial" w:hAnsi="Arial"/>
          <w:sz w:val="18"/>
          <w:szCs w:val="18"/>
          <w:color w:val="auto"/>
        </w:rPr>
        <w:t>funds, and our short-term investments consist primarily of corporate obligations, such as commercial paper and floating rate notes, bonds and bank time deposits. We maintain these balances with high credit quality counterparties, continually monitor the amount of credit exposure to any one issuer and diversify our investments in order to minimize our credit risk.</w:t>
      </w:r>
    </w:p>
    <w:p>
      <w:pPr>
        <w:spacing w:after="0" w:line="127"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repurchases of our stock (if any) under our stock repurchase program in the immediate future and for at least the next twelve months.</w:t>
      </w:r>
    </w:p>
    <w:p>
      <w:pPr>
        <w:spacing w:after="0" w:line="200" w:lineRule="exact"/>
        <w:rPr>
          <w:sz w:val="20"/>
          <w:szCs w:val="20"/>
          <w:color w:val="auto"/>
        </w:rPr>
      </w:pPr>
    </w:p>
    <w:p>
      <w:pPr>
        <w:spacing w:after="0" w:line="276" w:lineRule="exact"/>
        <w:rPr>
          <w:sz w:val="20"/>
          <w:szCs w:val="20"/>
          <w:color w:val="auto"/>
        </w:rPr>
      </w:pPr>
    </w:p>
    <w:tbl>
      <w:tblPr>
        <w:tblLayout w:type="fixed"/>
        <w:tblInd w:w="118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64"/>
        </w:trPr>
        <w:tc>
          <w:tcPr>
            <w:tcW w:w="44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912,345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814,542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900,529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Net Cash Provided by Operations as a % of Revenue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r>
      <w:tr>
        <w:trPr>
          <w:trHeight w:val="27"/>
        </w:trPr>
        <w:tc>
          <w:tcPr>
            <w:tcW w:w="4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(949,926)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(1,339,690)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(703,738)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Net Cash (Used for) Provided by Financing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(100,557)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(349,627)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138,612</w:t>
            </w:r>
          </w:p>
        </w:tc>
        <w:tc>
          <w:tcPr>
            <w:tcW w:w="100" w:type="dxa"/>
            <w:vAlign w:val="bottom"/>
          </w:tcPr>
          <w:p>
            <w:pPr>
              <w:spacing w:after="0"/>
              <w:rPr>
                <w:sz w:val="21"/>
                <w:szCs w:val="21"/>
                <w:color w:val="auto"/>
              </w:rPr>
            </w:pPr>
          </w:p>
        </w:tc>
      </w:tr>
    </w:tbl>
    <w:p>
      <w:pPr>
        <w:spacing w:after="0" w:line="175"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At November 2, 2013, cash and cash equivalents totaled $392.1 million. The following changes contributed to the net decrease in cash and cash equivalents of $136.7 million in fiscal 2013.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fiscal 2013, we generated cash from operating activities of $912.3 million, an increase of $97.8 million compared to the $814.5 million generated in fiscal 2012. The increase in cash flow from operating activities was related to higher net income adjusted for non-cash items and the gain on the sale of the product line coupled with net cash inflows from working capital changes.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fiscal 2013, cash used for investing activities included $918.7 million for the net purchases of available-for-sale short term investments, $123.1 million for property, plant and equipment additions and $100.0 million in proceeds from the sale of a product line.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fiscal 2013, cash used for financing activities included net proceeds of $493.9 million from the issuance of $500.0 million aggregate principal amount of 2.875% senior unsecured notes on June 3, 2013, proceeds of $306.3 million from employee stock options and proceeds of $11.0 million from the settlement of derivative instruments. We paid $392.8 million related to the redemption of the $375.0 million aggregate principal amount of 5.0% senior unsecured notes, distributed $406.0 million to our shareholders in dividend payments, paid $60.5 million for the repurchase of 1.4 million shares of our common stock and repaid the remaining outstanding principal balance on our $145 million term loan facility of $60.1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59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89"/>
              </w:rPr>
              <w:t>Change</w:t>
            </w:r>
          </w:p>
        </w:tc>
        <w:tc>
          <w:tcPr>
            <w:tcW w:w="10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325,144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2"/>
              </w:rPr>
              <w:t>339,881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8"/>
              </w:rPr>
              <w:t>(14,737)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Days Sales Outstanding*</w:t>
            </w:r>
          </w:p>
        </w:tc>
        <w:tc>
          <w:tcPr>
            <w:tcW w:w="24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283,337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2"/>
              </w:rPr>
              <w:t>313,723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8"/>
              </w:rPr>
              <w:t>(30,386)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Days Cost of Sales in Inventory*</w:t>
            </w:r>
          </w:p>
        </w:tc>
        <w:tc>
          <w:tcPr>
            <w:tcW w:w="24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8"/>
        </w:trPr>
        <w:tc>
          <w:tcPr>
            <w:tcW w:w="5920" w:type="dxa"/>
            <w:vAlign w:val="bottom"/>
          </w:tcPr>
          <w:p>
            <w:pPr>
              <w:spacing w:after="0"/>
              <w:rPr>
                <w:sz w:val="20"/>
                <w:szCs w:val="20"/>
                <w:color w:val="auto"/>
              </w:rPr>
            </w:pPr>
            <w:r>
              <w:rPr>
                <w:rFonts w:ascii="Arial" w:cs="Arial" w:eastAsia="Arial" w:hAnsi="Arial"/>
                <w:sz w:val="14"/>
                <w:szCs w:val="14"/>
                <w:color w:val="auto"/>
              </w:rPr>
              <w:t>_______________________________________</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173" w:lineRule="exact"/>
        <w:rPr>
          <w:sz w:val="20"/>
          <w:szCs w:val="20"/>
          <w:color w:val="auto"/>
        </w:rPr>
      </w:pPr>
    </w:p>
    <w:p>
      <w:pPr>
        <w:ind w:left="380" w:right="480" w:hanging="345"/>
        <w:spacing w:after="0" w:line="277"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use the annualized fourth quarter revenue in our calculation of days sales outstanding and we use the annualized fourth quarter cost of sales in our calculation of days cost of sales in inventory.</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584" w:right="299" w:bottom="1440" w:gutter="0" w:footer="0" w:header="0"/>
        </w:sectPr>
      </w:pPr>
    </w:p>
    <w:bookmarkStart w:id="35" w:name="page36"/>
    <w:bookmarkEnd w:id="35"/>
    <w:p>
      <w:pPr>
        <w:ind w:right="220" w:firstLine="432"/>
        <w:spacing w:after="0" w:line="264" w:lineRule="auto"/>
        <w:rPr>
          <w:sz w:val="20"/>
          <w:szCs w:val="20"/>
          <w:color w:val="auto"/>
        </w:rPr>
      </w:pPr>
      <w:r>
        <w:rPr>
          <w:rFonts w:ascii="Arial" w:cs="Arial" w:eastAsia="Arial" w:hAnsi="Arial"/>
          <w:sz w:val="18"/>
          <w:szCs w:val="18"/>
          <w:color w:val="auto"/>
        </w:rPr>
        <w:t>The decrease in accounts receivable was primarily the result of lower revenue in the fourth quarter of fiscal 2013 compared to the fourth quarter of fiscal 2012. Days sales outstanding decreased as a result of lower product shipments in the final month of the fourth quarter of fiscal 2013 compared to the final month of the fourth quarter of fiscal 2012.</w:t>
      </w:r>
    </w:p>
    <w:p>
      <w:pPr>
        <w:spacing w:after="0" w:line="127"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Inventory as of November 2, 2013 decreased as compared to the end of the fourth quarter of fiscal 2012 as a result of our continued efforts to balance manufacturing production, demand and inventory levels. Days cost of sales in inventory decreased from 114 days at the end of fiscal 2012 to 111 days at the end of fiscal 2013 primarily as a result of cost of sales decreasing 7% while inventory decreased by 10% for the same period.</w:t>
      </w:r>
    </w:p>
    <w:p>
      <w:pPr>
        <w:spacing w:after="0" w:line="11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Current liabilities increased to $570.5 million at November 2, 2013 from $525.1 million recorded at the end of fiscal 2012, as increases in income taxes payable, accrued liabilities and deferred income on shipments to distributors, more fully described below, were partially offset by a decrease in the current portion of long term debt.</w:t>
      </w:r>
    </w:p>
    <w:p>
      <w:pPr>
        <w:spacing w:after="0" w:line="12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of November 2, 2013 and November 3, 2012, we had gross deferred revenue of $309.2 million and $299.0 million, respectively, and gross deferred cost of sales of $61.8 million and $60.5 million, respectively. Deferred income on shipments to distributors increased in fiscal 2013 primarily as a result of a mix shift in favor of higher margin products sold into the channel. Sales to distributors are made under agreements that allow distributors to receive price-adjustment credits and to return qualifying products for credit, as determined by us, in order to reduce the amounts of slow-moving, discontinued or obsolete product from their inventory. Given the uncertainties associated with the levels of price-adjustment credits to be granted to distributors, the sales price to the distributors is not fixed or determinable until the distributors resell the products to their customers. Therefore, we defer revenue recognition from sales to distributors until the distributors have sold the products to their customers. The amount of price-adjustments is dependent on future overall market conditions, and therefore the levels of these adjustments could fluctuate significantly from period to period. To the extent that we experience a significant increase in the amount of credits we issue to our distributors, there could be a material impact on the ultimate revenue and gross margin recognized relating to these transactions.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November 2, 2013, we had $872.2 million in principal outstanding on our long term debt. Our debt obligations consist of the following:</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$375.0 million aggregate principal amount of 3.0% senior unsecured notes</w:t>
      </w:r>
    </w:p>
    <w:p>
      <w:pPr>
        <w:spacing w:after="0" w:line="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On April 4, 2011, we issued $375.0 million aggregate principal amount of 3.0% senior unsecured notes due April 15, 2016 (the 2016 Notes) with semi-annual fixed interest payments due on April 15 and October 15 of each year, commencing October 15, 2011.</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$500.0 million aggregate principal amount of 2.875% senior unsecured notes</w:t>
      </w:r>
    </w:p>
    <w:p>
      <w:pPr>
        <w:spacing w:after="0" w:line="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On June 3, 2013, we issued $500.0 million aggregate principal amount of 2.875% senior unsecured notes due June 1, 2023 (the 2023 Notes) with semi-annual fixed interest payments due on June 1 and December 1 of each year, commencing December 1, 2013.</w:t>
      </w:r>
    </w:p>
    <w:p>
      <w:pPr>
        <w:spacing w:after="0" w:line="116"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indentures governing the 2016 Notes and the 2023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November 2, 2013, we were compliant with these covenants. See Note 16 in the Notes to Consolidated Financial Statements contained in Item 8 of this Annual Report on Form 10-K for further information on our outstanding debt.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Revolving Credit Facility</w:t>
      </w:r>
    </w:p>
    <w:p>
      <w:pPr>
        <w:spacing w:after="0" w:line="171"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During December 2012, we terminated our $165.0 million unsecured revolving credit facility with certain institutional lenders entered into in May 2008. On December 19, 2012, we entered into a five-year, $500.0 million senior unsecured revolving credit facility with certain institutional lenders. To date, we have not borrowed under this credit facility but we may borrow in the future and use the proceeds for repayment of existing indebtedness, stock repurchases, acquisitions, capital expenditures, working capital and other lawful corporate purposes. The terms of the facility impose restrictions on our ability to undertake certain transactions, to create certain liens on assets and to incur certain subsidiary indebtedness. In addition, the credit agreement contains a consolidated leverage ratio covenant of total consolidated funded debt to consolidated EBITDA (earnings before interest, taxes, depreciation, and amortization) of not greater than 3.0 to 1.0. As of November 2, 2013, we were compliant with these covenants.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746" w:right="279" w:bottom="1440" w:gutter="0" w:footer="0" w:header="0"/>
        </w:sectPr>
      </w:pPr>
    </w:p>
    <w:bookmarkStart w:id="36" w:name="page37"/>
    <w:bookmarkEnd w:id="36"/>
    <w:p>
      <w:pPr>
        <w:ind w:left="440"/>
        <w:spacing w:after="0"/>
        <w:rPr>
          <w:sz w:val="20"/>
          <w:szCs w:val="20"/>
          <w:color w:val="auto"/>
        </w:rPr>
      </w:pPr>
      <w:r>
        <w:rPr>
          <w:rFonts w:ascii="Arial" w:cs="Arial" w:eastAsia="Arial" w:hAnsi="Arial"/>
          <w:sz w:val="18"/>
          <w:szCs w:val="18"/>
          <w:i w:val="1"/>
          <w:iCs w:val="1"/>
          <w:color w:val="auto"/>
        </w:rPr>
        <w:t>$145.0 million term loan facility</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On December 22, 2010, Analog Devices Holdings B.V., our wholly owned subsidiary, entered into a credit agreement with Bank of America, N.A., London Branch as administrative agent. The borrower's obligations were guaranteed by us. The credit agreement provided for a $145.0 million term loan facility, which was set to mature on December 22, 2013. During the first quarter of fiscal 2013, we repaid the remaining outstanding principal balance on the loan of $60.1 million and the credit agreement was terminated.</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$375.0 million aggregate principal amount of 5.0% senior unsecured notes</w:t>
      </w:r>
    </w:p>
    <w:p>
      <w:pPr>
        <w:spacing w:after="0" w:line="9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During the third quarter of fiscal 2013, we redeemed our outstanding 5.0% senior unsecured notes which were due on July 1, 2014 (the 2014 Notes). The redemption price was 104.744% of the principal amount of the 2014 Notes. We recognized a net loss on the debt extinguishment of approximately $10.2 million recorded in other, net expense within non-operating (income) expense. The loss was comprised of the make-whole premium of $17.8 million paid to bondholders on the 2014 Notes in accordance with the terms of the 2014 Notes, the recognition of the remaining $8.6 million of unamortized proceeds received from the termination of the interest rate swap associated with the debt, and the write-off of approximately $1.0 million of debt issuance and discount costs that remained to be amortized. The write-off of the remaining unamortized portion of debt issuance costs, discount and swap proceeds are reflected in our condensed consolidated statements of cash flows within operating activities, and the make-whole premium is reflected within financing activities.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Repurchase Program</w:t>
      </w:r>
    </w:p>
    <w:p>
      <w:pPr>
        <w:spacing w:after="0" w:line="266"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Our common stock repurchase program has been in place since August 2004. In the aggregate, our Board of Directors has authorized us to repurchase $5.0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November 2, 2013, we had repurchased a total of approximately 130.1 million shares of our common stock for approximately $4,481.6 million under this program. As of November 2, 2013, an additional $518.4 million worth of shares remains available for repurchase under the current authorized program. The repurchased shares are held as authorized but unissued shares of common stock. We also from time to time repurchase shares in settlement of employee tax withholding obligations due upon the vesting of restricted stock units or the exercise of stock options. Any future common stock repurchases will be based on several factors, including our financial performance, outlook, liquidity and the amount of cash we have available in the United States.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Net additions to property, plant and equipment were $123.1 million in fiscal 2013 and were funded with a combination of cash on hand and cash generated from operations. We expect capital expenditures for fiscal 2014 to be approximately $150 million, of which about two-thirds relates to ongoing capital spending, and about one-third relates to capital spending for a new building we are constructing on our campus in Ireland. These capital expenditures will be funded with a combination of cash on hand and cash generated from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On November 25, 2013, our Board of Directors declared a cash dividend of $0.34 per outstanding share of common stock. The dividend will be paid on December 17, 2013 to all shareholders of record at the close of business on December 6, 2013 and is expected to total approximately $105.8 million. We currently expect quarterly dividends to continue at $0.34 per share, although they remain subject to determination and declaration by our Board of Directors. The payment of future dividends, if any, will be based on several factors, including our financial performance, outlook and liquidity.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746"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Contractual Obligations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summarizes our contractual obligations and the amounts we owe under these contracts in specified periods as of November 2, 2013: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Payment due by period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54"/>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27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1-3 Years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3-5 Years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Operating leases (</w:t>
            </w:r>
            <w:r>
              <w:rPr>
                <w:rFonts w:ascii="Arial" w:cs="Arial" w:eastAsia="Arial" w:hAnsi="Arial"/>
                <w:sz w:val="16"/>
                <w:szCs w:val="16"/>
                <w:color w:val="auto"/>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69,071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28,045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27,766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11,507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875,000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Interest payments associated with long-term debt obligations</w:t>
            </w:r>
          </w:p>
        </w:tc>
        <w:tc>
          <w:tcPr>
            <w:tcW w:w="22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171,795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25,545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45,625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28,750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71,875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16"/>
                <w:szCs w:val="16"/>
                <w:color w:val="auto"/>
              </w:rPr>
              <w:t>(b)</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17,431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17,364</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 xml:space="preserve">Pension funding </w:t>
            </w:r>
            <w:r>
              <w:rPr>
                <w:rFonts w:ascii="Arial" w:cs="Arial" w:eastAsia="Arial" w:hAnsi="Arial"/>
                <w:sz w:val="16"/>
                <w:szCs w:val="16"/>
                <w:color w:val="auto"/>
              </w:rPr>
              <w:t>(c)</w:t>
            </w:r>
          </w:p>
        </w:tc>
        <w:tc>
          <w:tcPr>
            <w:tcW w:w="22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3,511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3,511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1,136,808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57,168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448,391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40,257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590,992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1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of our operating lease obligations include escalation clauses. These escalating payment requirements are reflected in the table.</w:t>
      </w:r>
    </w:p>
    <w:p>
      <w:pPr>
        <w:spacing w:after="0" w:line="63" w:lineRule="exact"/>
        <w:rPr>
          <w:rFonts w:ascii="Arial" w:cs="Arial" w:eastAsia="Arial" w:hAnsi="Arial"/>
          <w:sz w:val="18"/>
          <w:szCs w:val="18"/>
          <w:color w:val="auto"/>
        </w:rPr>
      </w:pPr>
    </w:p>
    <w:p>
      <w:pPr>
        <w:ind w:left="460" w:right="220" w:hanging="452"/>
        <w:spacing w:after="0" w:line="295"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These payments relate to obligations under our deferred compensation plan. The deferred compensation plan allows certain members of management and other highly-compensated employees and non-employee directors to defer receipt of all or any portion of their compensation. The amount in the “More than 5 Years” column of the table represents the remaining total balance under the deferred compensation plan to be paid to participants who have not terminated employment. Since we cannot reasonably estimate the timing of withdrawals for participants who have not yet terminated employment, we have included the future obligation to these participants in the “More than 5 Years” column of the table.</w:t>
      </w:r>
    </w:p>
    <w:p>
      <w:pPr>
        <w:spacing w:after="0" w:line="3"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funding policy for our foreign defined benefit plans is consistent with the local requirements of each country. The payment obligations in the table are estimates of our expected contributions to these plans for fiscal year 2014. The actual future payments may differ from the amounts presented in the table and reasonable estimates of payments beyond one year are not practical because of potential future changes in variables, such as plan asset performance, interest rates and the rate of increase in compensation levels.</w:t>
      </w:r>
    </w:p>
    <w:p>
      <w:pPr>
        <w:spacing w:after="0" w:line="92"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Purchase orders for the purchase of raw materials and other goods and services are not included in the table above. We are not able to determine the total amount of these purchase orders that represent contractual obligations, as purchase orders may represent authorizations to purchase rather than binding agreements. In addition, our purchase orders generally allow for cancellation without significant penalties. We do not have significant agreements for the purchase of raw materials or other goods specifying minimum quantities or set prices that exceed our expected short-term requirements.</w:t>
      </w:r>
    </w:p>
    <w:p>
      <w:pPr>
        <w:spacing w:after="0" w:line="6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2011 acquisition of Lyric Semiconductor involves the potential payment of contingent consideration. The table above does not reflect any such obligations, as the timing and amounts are uncertain. See Note 6 in the Notes to Consolidated Financial Statements contained in Item 8 of this Annual Report on Form 10-K for more information regarding our acquisitions.</w:t>
      </w:r>
    </w:p>
    <w:p>
      <w:pPr>
        <w:spacing w:after="0" w:line="87" w:lineRule="exact"/>
        <w:rPr>
          <w:sz w:val="20"/>
          <w:szCs w:val="20"/>
          <w:color w:val="auto"/>
        </w:rPr>
      </w:pPr>
    </w:p>
    <w:p>
      <w:pPr>
        <w:ind w:right="560" w:firstLine="432"/>
        <w:spacing w:after="0" w:line="302" w:lineRule="auto"/>
        <w:rPr>
          <w:sz w:val="20"/>
          <w:szCs w:val="20"/>
          <w:color w:val="auto"/>
        </w:rPr>
      </w:pPr>
      <w:r>
        <w:rPr>
          <w:rFonts w:ascii="Arial" w:cs="Arial" w:eastAsia="Arial" w:hAnsi="Arial"/>
          <w:sz w:val="16"/>
          <w:szCs w:val="16"/>
          <w:color w:val="auto"/>
        </w:rPr>
        <w:t>As of November 2, 2013, our total liabilities associated with uncertain tax positions was $71.3 million, which are included in “Other non-current liabilities” in our consolidated balance sheet contained in Item 8 of this Annual Report on Form 10-K. Due to the complexity associated with our tax uncertainties, we cannot make a reasonably reliable estimate of the period in which we expect to settle the non-current liabilities associated with these uncertain tax positions. Therefore, we have not included these uncertain tax positions in the above contractual obligations table.</w:t>
      </w:r>
    </w:p>
    <w:p>
      <w:pPr>
        <w:spacing w:after="0" w:line="60"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 expected timing of payments and the amounts of the obligations discussed above are estimated based on current information available as of November 2, 2013.</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Off-balance Sheet Financing</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November 2, 2013, we had no off-balance sheet financing arrangements.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2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Outlook</w:t>
      </w:r>
    </w:p>
    <w:p>
      <w:pPr>
        <w:spacing w:after="0" w:line="135"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The following statements are based on current expectations. These statements are forward-looking, and actual results may differ materially as a result of, among other things, the important factors contained in Part I, Item 1A. "Risk Factors" and elsewhere in this Annual Report on Form 10-K.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w:t>
      </w:r>
    </w:p>
    <w:p>
      <w:pPr>
        <w:spacing w:after="0" w:line="6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are planning for revenue in the first quarter of fiscal 2014 to be down approximately 5% to down approximately 10% from the fourth quarter of fiscal 2013. Our plan is for gross margin percentage for the first quarter of fiscal 2014 to be approximately 64% to 65%. We are planning for operating expenses in the first quarter of fiscal 2014 to be approximately $226 million and our tax rate to be approximately 13%. As a result, our plan is for Diluted EPS to be approximately $0.44 to $0.52 in the first quarter of fiscal 2014.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that are adopted by us as of the specified effective date. Unless otherwise discussed, management believes that the impact of recently issued standards will not have a material impact on our future financial condition and results of operations. See Note 2t, New Accounting Pronouncements</w:t>
      </w:r>
      <w:r>
        <w:rPr>
          <w:rFonts w:ascii="Arial" w:cs="Arial" w:eastAsia="Arial" w:hAnsi="Arial"/>
          <w:sz w:val="18"/>
          <w:szCs w:val="18"/>
          <w:i w:val="1"/>
          <w:iCs w:val="1"/>
          <w:color w:val="auto"/>
        </w:rPr>
        <w:t>,</w:t>
      </w:r>
      <w:r>
        <w:rPr>
          <w:rFonts w:ascii="Arial" w:cs="Arial" w:eastAsia="Arial" w:hAnsi="Arial"/>
          <w:sz w:val="18"/>
          <w:szCs w:val="18"/>
          <w:color w:val="auto"/>
        </w:rPr>
        <w:t xml:space="preserve"> of the Notes to Consolidated Financial Statements contained in Item 8 of this Annual Report on Form 10-K for a description of recently issued and adopted accounting pronouncements, including the dates of adoption and impact on our historical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Management’s discussion and analysis of the financial condition and results of operations is based upon the consolidated financial statements, which have been prepared in accordance with U.S. generally accepted accounting principles. The preparation of these financial statements requires us to make estimates and judgments that affect the reported amounts of assets, liabilities, revenue and expenses, and related disclosure of contingent assets and liabilities. We base our estimates and judgments on historical experience, knowledge of current conditions and beliefs of what could occur in the future based on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such as our policy for revenue recognition, including the deferral of revenue on sales to distributors until the products are sold to the end user; however, the application of these policies does not require us to make significant estimates or judgments that are difficult or subjective.</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Inventory Valuation</w:t>
      </w:r>
    </w:p>
    <w:p>
      <w:pPr>
        <w:spacing w:after="0" w:line="131"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We value inventories at the lower of cost (first-in, first-out method) or market. Because of the cyclical nature of the semiconductor industry, changes in inventory levels, obsolescence of technology, and product life cycles, we write down inventories to net realizable value. We employ a variety of methodologies to determine the net realizable value of inventory. While a portion of the calculation is determined via reference to the age of inventory and lower of cost or market calculations, an element of the calculation is subject to significant judgments made by us about future demand for our inventory. If actual demand for our products is less than our estimates, additional adjustments to existing inventories may need to be recorded in future periods. To date, our actual results have not been materially different than our estimates, and we do not expect them to be materially different in the future.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Allowance for Doubtful Accounts</w:t>
      </w:r>
    </w:p>
    <w:p>
      <w:pPr>
        <w:spacing w:after="0" w:line="131"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We maintain allowances for doubtful accounts, when appropriate, for estimated losses resulting from the inability of our customers to make required payments. If the financial condition of our customers were to deteriorate, our actual losses may exceed our estimates, and additional allowances would be required. To date, our actual results have not been materially different than our estimates, and we do not expect them to be materially different in the future.</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Long-Lived Assets</w:t>
      </w:r>
    </w:p>
    <w:p>
      <w:pPr>
        <w:spacing w:after="0" w:line="13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review property, plant, and equipment and finite lived intangible assets for impairment whenever events or changes in circumstances indicate that the carrying value of assets may not be recoverable. Recoverability of these assets is measured by comparison of their carrying value to future undiscounted cash flows that the assets are expected to generate over their remaining economic lives. If such assets are considered to be impaired, the impairment to be recognized in earnings equals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10" w:right="239" w:bottom="1440" w:gutter="0" w:footer="0" w:header="0"/>
        </w:sectPr>
      </w:pPr>
    </w:p>
    <w:bookmarkStart w:id="39" w:name="page40"/>
    <w:bookmarkEnd w:id="39"/>
    <w:p>
      <w:pPr>
        <w:spacing w:after="0" w:line="288" w:lineRule="auto"/>
        <w:rPr>
          <w:sz w:val="20"/>
          <w:szCs w:val="20"/>
          <w:color w:val="auto"/>
        </w:rPr>
      </w:pPr>
      <w:r>
        <w:rPr>
          <w:rFonts w:ascii="Arial" w:cs="Arial" w:eastAsia="Arial" w:hAnsi="Arial"/>
          <w:sz w:val="16"/>
          <w:szCs w:val="16"/>
          <w:color w:val="auto"/>
        </w:rPr>
        <w:t>amount by which the carrying value of the assets exceeds their fair value determined by either a quoted market price, if any, or a value determined by utilizing a discounted cash flow technique. Although we have recognized no material impairment adjustments related to our property, plant, and equipment and identified intangible assets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 In addition, in certain instances, assets may not be impaired but their estimated useful lives may have decreased. In these situations, we amortize the remaining net book values over the revised useful lives. We review indefinite-lived intangible assets for impairment annually, on the first day of the fourth quarter (on or about August 1) or more frequently if indicators of impairment exist. The impairment test involves the comparison of the fair value of the intangible asset with its carrying amount.</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Goodwill is subject to annual impairment tests or more frequently if indicators of potential impairment exist and suggest that the carrying value of goodwill may not be recoverable from estimated discounted future cash flows. We test goodwill for impairment at the reporting unit level (operating segment or one level below an operating segment) on an annual basis in the fourth quarter (on or about August 1) or more frequently if we believe indicators of impairment exist. For our latest annual impairment assessment that occurred on August 4, 2013, we identified our reporting units to be our five operating segments, which meet the aggregation criteria for one reportable segment. The performance of the test involves a two-step process. The first step of the impairment test involves comparing the fair values of the applicable reporting units with their aggregate carrying values, including goodwill. We generally determine the fair value of our reporting units using the income approach methodology of valuation that includes the discounted cash flow method as well as other generally accepted valuation methodologies, which requires significant judgment by management. If the carrying amount of a reporting unit exceeds the reporting unit’s fair value, we perform the second step of the goodwill impairment test to determine the amount of impairment loss. The second step of the goodwill impairment test involves comparing the implied fair value of the affected reporting unit’s goodwill with the carrying value of that goodwill. These impairment tests may result in impairment losses that could have a material adverse impact on our results of operations.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Value of Contingent Consideration related to Business Combination</w:t>
      </w:r>
    </w:p>
    <w:p>
      <w:pPr>
        <w:spacing w:after="0" w:line="131"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record contingent consideration resulting from a business combination at its fair value on the acquisition date. We generally determine the fair value of the contingent consideration using the income approach methodology of valuation. Each reporting period thereafter, we revalue these obligations and record increases or decreases in their fair value as an adjustment to operating expenses within the consolidated statement of income. Changes in the fair value of the contingent consideration can result from changes in assumed discount periods and rates, and from changes pertaining to the achievement of the defined milestones.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expense we record in any given period.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for Income Taxes</w:t>
      </w:r>
    </w:p>
    <w:p>
      <w:pPr>
        <w:spacing w:after="0" w:line="131"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must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the recognition of revenue and expense for tax and financial statement purposes, as well as the interest and penalties relating to these uncertain tax positions. We assessed the likelihood of the realization of deferred tax assets and concluded that a valuation allowance is needed to reserve the amount of the deferred tax assets that may not be realized due to the uncertainty of the timing and amount of the realization of certain state credit carryovers. In reaching our conclusion, we evaluated certain relevant criteria including the existence of deferred tax liabilities that can be used to absorb deferred tax assets, the taxable income in prior carryback years in the impacted state jurisdictions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 which in turn, may result in an increase or decrease to our tax provision in a subsequent period.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06" w:right="239" w:bottom="1440" w:gutter="0" w:footer="0" w:header="0"/>
        </w:sectPr>
      </w:pPr>
    </w:p>
    <w:bookmarkStart w:id="40" w:name="page41"/>
    <w:bookmarkEnd w:id="40"/>
    <w:p>
      <w:pPr>
        <w:ind w:right="20" w:firstLine="432"/>
        <w:spacing w:after="0" w:line="271" w:lineRule="auto"/>
        <w:rPr>
          <w:sz w:val="20"/>
          <w:szCs w:val="20"/>
          <w:color w:val="auto"/>
        </w:rPr>
      </w:pPr>
      <w:r>
        <w:rPr>
          <w:rFonts w:ascii="Arial" w:cs="Arial" w:eastAsia="Arial" w:hAnsi="Arial"/>
          <w:sz w:val="17"/>
          <w:szCs w:val="17"/>
          <w:color w:val="auto"/>
        </w:rPr>
        <w:t>We account for uncertain tax positions by determining if it is “more likely than not” that a tax position will be sustained by the appropriate taxing authorities prior to recording any benefit in the financial statements. An uncertain income tax position is not recognized if it has less than a 50% likelihood of being sustained.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We reevaluate these uncertain tax positions on a quarterly basis. This evaluation is based on factors including, but not limited to, changes in known facts or circumstances, changes in tax law, effectively settled issues under audit, and new audit activity. A change in these factors would result in the recognition of a tax benefit or an additional charge to the tax provision.</w:t>
      </w:r>
    </w:p>
    <w:p>
      <w:pPr>
        <w:spacing w:after="0" w:line="84"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accruals. In the event our assumptions are incorrect, the differences could have a material impact on our income tax provision and operating results in the period in which such determination is made. In addition to the factors described above, our current and expected effective tax rate is based on then-current tax law. Significant changes during the year in enacted tax law could affect these estimates.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131" w:lineRule="exact"/>
        <w:rPr>
          <w:sz w:val="20"/>
          <w:szCs w:val="20"/>
          <w:color w:val="auto"/>
        </w:rPr>
      </w:pPr>
    </w:p>
    <w:p>
      <w:pPr>
        <w:jc w:val="both"/>
        <w:ind w:right="60" w:firstLine="432"/>
        <w:spacing w:after="0" w:line="312" w:lineRule="auto"/>
        <w:rPr>
          <w:sz w:val="20"/>
          <w:szCs w:val="20"/>
          <w:color w:val="auto"/>
        </w:rPr>
      </w:pPr>
      <w:r>
        <w:rPr>
          <w:rFonts w:ascii="Arial" w:cs="Arial" w:eastAsia="Arial" w:hAnsi="Arial"/>
          <w:sz w:val="16"/>
          <w:szCs w:val="16"/>
          <w:color w:val="auto"/>
        </w:rPr>
        <w:t>Stock-based compensation expense associated with stock options and related awards is recognized in the statement of income. Determining the amount of stock-based compensation to be recorded requires us to develop estimates to be used in calculating the grant-date fair value of stock options. We calculate the grant-date fair values using the Black-Scholes valuation model. The use of valuation models requires us to make estimates of the following items:</w:t>
      </w:r>
    </w:p>
    <w:p>
      <w:pPr>
        <w:spacing w:after="0" w:line="52"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We are responsible for estimating volatility and have considered a number of factors, including third-party estimates, when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volatility. We currently believe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we concluded that: (1) options in our common stock are actively traded with sufficient volume on several exchanges; (2) the market prices of both the traded options and the underlying shares are measured at a similar point in time to each other and on a date close to the grant date of the employee share options;</w:t>
      </w:r>
    </w:p>
    <w:p>
      <w:pPr>
        <w:spacing w:after="0" w:line="2" w:lineRule="exact"/>
        <w:rPr>
          <w:sz w:val="20"/>
          <w:szCs w:val="20"/>
          <w:color w:val="auto"/>
        </w:rPr>
      </w:pPr>
    </w:p>
    <w:p>
      <w:pPr>
        <w:ind w:right="160" w:firstLine="8"/>
        <w:spacing w:after="0" w:line="261"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traded options have exercise prices that are both near-the-money and close to the exercise price of the employee share options; and (4) the remaining maturities of the traded options used to estimate volatility are at least one year.</w:t>
      </w:r>
    </w:p>
    <w:p>
      <w:pPr>
        <w:spacing w:after="0" w:line="8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We use historical employee exercise and option expiration data to estimate the expected term assumption for the Black-Scholes grant-date valuation. We believe that this historical data is currently the best estimate of the expected term of a new option, and that generally, all of our employees exhibit similar exercise behavior. In general, the longer the expected term used in the Black-Scholes valuation model, the higher the grant-date fair value of the option.</w:t>
      </w:r>
    </w:p>
    <w:p>
      <w:pPr>
        <w:spacing w:after="0" w:line="9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w:t>
      </w:r>
      <w:r>
        <w:rPr>
          <w:rFonts w:ascii="Arial" w:cs="Arial" w:eastAsia="Arial" w:hAnsi="Arial"/>
          <w:sz w:val="18"/>
          <w:szCs w:val="18"/>
          <w:i w:val="1"/>
          <w:iCs w:val="1"/>
          <w:color w:val="auto"/>
        </w:rPr>
        <w:t xml:space="preserve"> </w:t>
      </w:r>
      <w:r>
        <w:rPr>
          <w:rFonts w:ascii="Arial" w:cs="Arial" w:eastAsia="Arial" w:hAnsi="Arial"/>
          <w:sz w:val="18"/>
          <w:szCs w:val="18"/>
          <w:color w:val="auto"/>
        </w:rPr>
        <w:t>used as the risk-free interest rate.</w:t>
      </w:r>
    </w:p>
    <w:p>
      <w:pPr>
        <w:spacing w:after="0" w:line="7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our Board of Directors for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and dividing that result by the closing stock price on the date of grant of the option. Until such time as our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92"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The amount of stock-based compensation expense recognized during a period is based on the value of the portion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option. Based on an analysis of our historical forfeitures, we have applied an annual forfeiture rate of 4.4% to all unvested stock-based awards as of November 2, 2013. The rate of 4.4% represents the portion that is expected to be forfeited each year over the vesting period. This analysis is re-evaluated quarterly and the forfeiture rate is adjusted as necessary. Ultimately, the actual expense recognized over the vesting period will only be for those awards that vest.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706" w:right="259" w:bottom="1440" w:gutter="0" w:footer="0" w:header="0"/>
        </w:sectPr>
      </w:pPr>
    </w:p>
    <w:bookmarkStart w:id="41" w:name="page42"/>
    <w:bookmarkEnd w:id="41"/>
    <w:p>
      <w:pPr>
        <w:ind w:left="220"/>
        <w:spacing w:after="0"/>
        <w:rPr>
          <w:sz w:val="20"/>
          <w:szCs w:val="20"/>
          <w:color w:val="auto"/>
        </w:rPr>
      </w:pPr>
      <w:r>
        <w:rPr>
          <w:rFonts w:ascii="Arial" w:cs="Arial" w:eastAsia="Arial" w:hAnsi="Arial"/>
          <w:sz w:val="18"/>
          <w:szCs w:val="18"/>
          <w:i w:val="1"/>
          <w:iCs w:val="1"/>
          <w:color w:val="auto"/>
        </w:rPr>
        <w:t>Contingencies</w:t>
      </w:r>
    </w:p>
    <w:p>
      <w:pPr>
        <w:spacing w:after="0" w:line="131"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From time to time, we receive demands from third parties alleging that our products or manufacturing processes infringe the patent or intellectual property rights of these parties. We periodically assess each matter to determine if a contingent liability should be recorded.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If a loss is probable and reasonably estimable, we record a contingent loss. In determining the amount of a contingent loss, we consider advice received from experts in the specific matter, current status of legal proceedings, settlement negotiations that may be ongoing, prior case history and other factors. If the judgments and estimates made by us are incorrect, we may need to record additional contingent losses that could materially adversely impact our results of operations.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Post-Retirement Benefits</w:t>
      </w:r>
    </w:p>
    <w:p>
      <w:pPr>
        <w:spacing w:after="0" w:line="128" w:lineRule="exact"/>
        <w:rPr>
          <w:sz w:val="20"/>
          <w:szCs w:val="20"/>
          <w:color w:val="auto"/>
        </w:rPr>
      </w:pPr>
    </w:p>
    <w:p>
      <w:pPr>
        <w:ind w:right="20" w:firstLine="432"/>
        <w:spacing w:after="0" w:line="303"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6"/>
          <w:szCs w:val="16"/>
          <w:color w:val="auto"/>
        </w:rPr>
        <w:t>have significant pension costs and liabilities related to our foreign defined benefit pension plans that are developed from actuarial valuations</w:t>
      </w:r>
      <w:r>
        <w:rPr>
          <w:rFonts w:ascii="Arial" w:cs="Arial" w:eastAsia="Arial" w:hAnsi="Arial"/>
          <w:sz w:val="18"/>
          <w:szCs w:val="18"/>
          <w:color w:val="auto"/>
        </w:rPr>
        <w:t xml:space="preserve"> </w:t>
      </w:r>
      <w:r>
        <w:rPr>
          <w:rFonts w:ascii="Arial" w:cs="Arial" w:eastAsia="Arial" w:hAnsi="Arial"/>
          <w:sz w:val="16"/>
          <w:szCs w:val="16"/>
          <w:color w:val="auto"/>
        </w:rPr>
        <w:t>specific to each country. Inherent in these valuations are key assumptions including discount rates, expected return on plan assets, mortality rates, merit and promotion increases. We are required to consider current market conditions, including changes in interest rates, in making our assumptions. Changes in the related pension costs or liabilities may occur in the future due to changes in our assumptions. Our assumptions as to the expected long-term rates of return on plan assets are based upon the composition of plan assets, historical long-term rates of return on similar assets and current and expected market conditions. The discount rate used for non-U.S. plans reflects the market rate for high-quality fixed-income investments on our annual measurement date (November 2) and is subject to change each year. The discount rates used for plans outside the U.S. are based on a combination of relevant indices regarding corporate and government securities, the duration of the liability and appropriate judgment. Changes in pension income/costs or assets/liabilities may occur in the future due to changes in the assumptions and changes in asset values. If the actual results and events of our pension plan differ from our current assumptions, our benefit obligations may be over-or under-valued. See the disclosures about pension obligations, the composition of plan assets, assumptions and other matters in Note 13 of the Notes to Consolidated Financial Statements contained in Item 8 of this Annual Report on Form 10-K.</w:t>
      </w:r>
    </w:p>
    <w:p>
      <w:pPr>
        <w:spacing w:after="0" w:line="16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performed a sensitivity analysis on the discount rate and long-term rate of return on assets, which are key assumptions in determining our net periodic post-retirement benefit cost. The table below illustrates the impact of an increase(decrease) of 25 basis points in these assumptions for the year ended November 2, 2013.</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60" w:type="dxa"/>
            <w:vAlign w:val="bottom"/>
            <w:gridSpan w:val="3"/>
          </w:tcPr>
          <w:p>
            <w:pPr>
              <w:jc w:val="right"/>
              <w:ind w:right="910"/>
              <w:spacing w:after="0"/>
              <w:rPr>
                <w:sz w:val="20"/>
                <w:szCs w:val="20"/>
                <w:color w:val="auto"/>
              </w:rPr>
            </w:pPr>
            <w:r>
              <w:rPr>
                <w:rFonts w:ascii="Arial" w:cs="Arial" w:eastAsia="Arial" w:hAnsi="Arial"/>
                <w:sz w:val="18"/>
                <w:szCs w:val="18"/>
                <w:color w:val="auto"/>
              </w:rPr>
              <w:t>Increase (Decrease) in Pension Expense</w:t>
            </w:r>
          </w:p>
        </w:tc>
      </w:tr>
      <w:tr>
        <w:trPr>
          <w:trHeight w:val="27"/>
        </w:trPr>
        <w:tc>
          <w:tcPr>
            <w:tcW w:w="6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tcPr>
          <w:p>
            <w:pPr>
              <w:jc w:val="right"/>
              <w:ind w:right="310"/>
              <w:spacing w:after="0"/>
              <w:rPr>
                <w:sz w:val="20"/>
                <w:szCs w:val="20"/>
                <w:color w:val="auto"/>
              </w:rPr>
            </w:pPr>
            <w:r>
              <w:rPr>
                <w:rFonts w:ascii="Arial" w:cs="Arial" w:eastAsia="Arial" w:hAnsi="Arial"/>
                <w:sz w:val="18"/>
                <w:szCs w:val="18"/>
                <w:color w:val="auto"/>
                <w:w w:val="94"/>
              </w:rPr>
              <w:t>25 Basis Point Increase</w:t>
            </w:r>
          </w:p>
        </w:tc>
        <w:tc>
          <w:tcPr>
            <w:tcW w:w="280" w:type="dxa"/>
            <w:vAlign w:val="bottom"/>
          </w:tcPr>
          <w:p>
            <w:pPr>
              <w:spacing w:after="0"/>
              <w:rPr>
                <w:sz w:val="20"/>
                <w:szCs w:val="20"/>
                <w:color w:val="auto"/>
              </w:rPr>
            </w:pPr>
          </w:p>
        </w:tc>
        <w:tc>
          <w:tcPr>
            <w:tcW w:w="2180" w:type="dxa"/>
            <w:vAlign w:val="bottom"/>
          </w:tcPr>
          <w:p>
            <w:pPr>
              <w:jc w:val="right"/>
              <w:ind w:right="230"/>
              <w:spacing w:after="0"/>
              <w:rPr>
                <w:sz w:val="20"/>
                <w:szCs w:val="20"/>
                <w:color w:val="auto"/>
              </w:rPr>
            </w:pPr>
            <w:r>
              <w:rPr>
                <w:rFonts w:ascii="Arial" w:cs="Arial" w:eastAsia="Arial" w:hAnsi="Arial"/>
                <w:sz w:val="18"/>
                <w:szCs w:val="18"/>
                <w:color w:val="auto"/>
                <w:w w:val="93"/>
              </w:rPr>
              <w:t>25 Basis Point Decrease</w:t>
            </w:r>
          </w:p>
        </w:tc>
      </w:tr>
      <w:tr>
        <w:trPr>
          <w:trHeight w:val="27"/>
        </w:trPr>
        <w:tc>
          <w:tcPr>
            <w:tcW w:w="6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rate of return on assets used to determine net periodic benefit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Discount rate used to determine net periodic benefit cost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1.9</w:t>
            </w: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Exposure</w:t>
      </w:r>
    </w:p>
    <w:p>
      <w:pPr>
        <w:spacing w:after="0" w:line="13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interest income and expense are sensitive to changes in the general level of interest rates. In this regard, changes in interest rates affect the interest earned on our marketable securities and short term investments, as well as the fair value of our investments and debt.</w:t>
      </w:r>
    </w:p>
    <w:p>
      <w:pPr>
        <w:spacing w:after="0" w:line="76"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Based on our marketable securities and short-term investments outstanding as of November 2, 2013 and November 3, 2012, our annual interest income would change by approximately $46 million and $41 million, respectively, for each 100 basis point increase in interest rates.</w:t>
      </w:r>
    </w:p>
    <w:p>
      <w:pPr>
        <w:spacing w:after="0" w:line="7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To provide a meaningful assessment of the interest rate risk associated with our investment portfolio, we performed a sensitivity analysis to determine the impact a change in interest rates would have on the value of our investment portfolio assuming a 100 basis point parallel shift in the yield curve. Based on investment positions as of November 2, 2013 and November 3, 2012, a hypothetical 100 basis point increase in interest rates across all maturities would result in a $15 million and $10 million decline, respectively in the fair market value of the portfolio. Such losses would only be realized if we sold the investments prior to maturity.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14" w:right="239" w:bottom="1440" w:gutter="0" w:footer="0" w:header="0"/>
        </w:sectPr>
      </w:pPr>
    </w:p>
    <w:bookmarkStart w:id="42" w:name="page43"/>
    <w:bookmarkEnd w:id="42"/>
    <w:p>
      <w:pPr>
        <w:ind w:right="160" w:firstLine="432"/>
        <w:spacing w:after="0" w:line="302" w:lineRule="auto"/>
        <w:rPr>
          <w:sz w:val="20"/>
          <w:szCs w:val="20"/>
          <w:color w:val="auto"/>
        </w:rPr>
      </w:pPr>
      <w:r>
        <w:rPr>
          <w:rFonts w:ascii="Arial" w:cs="Arial" w:eastAsia="Arial" w:hAnsi="Arial"/>
          <w:sz w:val="16"/>
          <w:szCs w:val="16"/>
          <w:color w:val="auto"/>
        </w:rPr>
        <w:t>As of November 2, 2013, we had $875 million in principal amount of senior unsecured notes outstanding, which consisted of $375 million 3% senior unsecured notes (the 2016 Notes), due April 15, 2016 and $500 million 2.875% senior unsecured notes (the 2023 Notes), due June 1, 2023. As of November 2, 2013, a hypothetical 100 basis point increase in market interest rates would reduce the fair value of our 2016 Notes outstanding by approximately $9 million. As of November 2, 2013, a similar increase in market interest rates would reduce the fair value of our 2023 Notes by $41 million.</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Foreign Currency Exposure</w:t>
      </w:r>
    </w:p>
    <w:p>
      <w:pPr>
        <w:spacing w:after="0" w:line="13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As more fully described in Note 2i in the Notes to Consolidated Financial Statements contained in Item 8 of this Annual Report on Form 10-K, we regularly hedge our non-U.S. dollar-based exposures by entering into forward foreign currency exchange contracts. The terms of these contracts are for periods matching the duration of the underlying exposure and generally range from one month to twelve months. Currently, our largest foreign currency exposure is the Euro, primarily because our European operations have the highest proportion of our local currency denominated expenses. Relative to foreign currency exposures existing at November 2, 2013 and November 3, 2012, a 10% unfavorable movement in foreign currency exchange rates over the course of the year would expose us to approximately $2 million and $1 million, respectively, in losses in earnings or cash flows.</w:t>
      </w:r>
    </w:p>
    <w:p>
      <w:pPr>
        <w:spacing w:after="0" w:line="84"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The market risk associated with our derivative instruments results from currency exchange rates that are expected to offset the market risk of the underlying transactions, assets and liabilities being hedged. The counterparties to the agreements relating to our foreign exchange instruments consist of a number of major international financial institutions with high credit ratings. Based on the credit ratings of our counterparties as of November 2, 2013, we do not believe that there is significant risk of nonperformance by them. While the contract or notional amounts of derivative financial instruments provide one measure of the volume of these transactions, they do not represent the amount of our exposure to credit risk. The amounts potentially subject to credit risk (arising from the possible inability of counterparties to meet the terms of their contracts) are generally limited to the amounts, if any, by which the counterparties’ obligations under the contracts exceed our obligations to the counterparties.</w:t>
      </w:r>
    </w:p>
    <w:p>
      <w:pPr>
        <w:spacing w:after="0" w:line="83"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illustrates the effect that a 10% unfavorable or favorable movement in foreign currency exchange rates, relative to the U.S. dollar, would have on the fair value of our forward exchange contracts as of November 2, 2013 and November 3, 2012: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2, 2013</w:t>
            </w:r>
          </w:p>
        </w:tc>
        <w:tc>
          <w:tcPr>
            <w:tcW w:w="160" w:type="dxa"/>
            <w:vAlign w:val="bottom"/>
          </w:tcPr>
          <w:p>
            <w:pPr>
              <w:spacing w:after="0"/>
              <w:rPr>
                <w:sz w:val="16"/>
                <w:szCs w:val="16"/>
                <w:color w:val="auto"/>
              </w:rPr>
            </w:pPr>
          </w:p>
        </w:tc>
        <w:tc>
          <w:tcPr>
            <w:tcW w:w="132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November 3, 2012</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forward exchange contracts asset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1,061</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2"/>
              </w:rPr>
              <w:t>Fair value of forward exchange contracts after a 10% unfavorable movement in foreign currency exchange rates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asset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22,763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16,800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Fair value of forward exchange contracts after a 10% favorable movement in foreign currency exchange rates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(13,885)</w:t>
            </w:r>
          </w:p>
        </w:tc>
      </w:tr>
      <w:tr>
        <w:trPr>
          <w:trHeight w:val="27"/>
        </w:trPr>
        <w:tc>
          <w:tcPr>
            <w:tcW w:w="8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calculation assumes that each exchange rate would change in the same direction relative to the U.S. dollar. In addition to the direct effects of changes in exchange rates, such changes typically affect the volume of sales or the foreign currency sales price as competitors’ products become more or less attractive. Our sensitivity analysis of the effects of changes in foreign currency exchange rates does not factor in a potential change in sales levels or local currency selling prices.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06" w:right="239" w:bottom="1440" w:gutter="0" w:footer="0" w:header="0"/>
        </w:sectPr>
      </w:pPr>
    </w:p>
    <w:bookmarkStart w:id="43" w:name="page44"/>
    <w:bookmarkEnd w:id="43"/>
    <w:p>
      <w:pPr>
        <w:spacing w:after="0"/>
        <w:tabs>
          <w:tab w:leader="none" w:pos="10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0" w:lineRule="exact"/>
        <w:rPr>
          <w:sz w:val="20"/>
          <w:szCs w:val="20"/>
          <w:color w:val="auto"/>
        </w:rPr>
      </w:pPr>
    </w:p>
    <w:p>
      <w:pPr>
        <w:spacing w:after="0" w:line="36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November 2, 2013, November 3, 2012 and October 29, 2011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 except per share amounts)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2011</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2,633,689</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2,701,142</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2,993,320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Cost of sales(1)</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941,278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960,141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1,006,779</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margin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1,692,411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1,741,001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1,986,541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513,255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512,003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505,570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Selling, marketing, general and administrative(1)</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396,233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396,519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406,707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Special charges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29,848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2,239</w:t>
            </w:r>
          </w:p>
        </w:tc>
      </w:tr>
      <w:tr>
        <w:trPr>
          <w:trHeight w:val="217"/>
        </w:trPr>
        <w:tc>
          <w:tcPr>
            <w:tcW w:w="67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939,336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916,953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914,516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753,075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824,048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1,072,025</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Nonoperating (income) expenses: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19,146</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(12,753)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(9,060)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(76,597)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w:t>
            </w:r>
          </w:p>
        </w:tc>
      </w:tr>
      <w:tr>
        <w:trPr>
          <w:trHeight w:val="217"/>
        </w:trPr>
        <w:tc>
          <w:tcPr>
            <w:tcW w:w="67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(62,248)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10,515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10,578</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Income from continuing operations before income taxes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815,323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813,533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1,061,447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Payable currently</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159,535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172,098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198,849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(17,699)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1,704</w:t>
            </w:r>
          </w:p>
        </w:tc>
      </w:tr>
      <w:tr>
        <w:trPr>
          <w:trHeight w:val="217"/>
        </w:trPr>
        <w:tc>
          <w:tcPr>
            <w:tcW w:w="67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141,836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162,297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200,553</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continuing operations,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673,487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651,236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860,894</w:t>
            </w:r>
          </w:p>
        </w:tc>
      </w:tr>
      <w:tr>
        <w:trPr>
          <w:trHeight w:val="217"/>
        </w:trPr>
        <w:tc>
          <w:tcPr>
            <w:tcW w:w="6740" w:type="dxa"/>
            <w:vAlign w:val="bottom"/>
          </w:tcPr>
          <w:p>
            <w:pPr>
              <w:ind w:left="180"/>
              <w:spacing w:after="0"/>
              <w:rPr>
                <w:sz w:val="20"/>
                <w:szCs w:val="20"/>
                <w:color w:val="auto"/>
              </w:rPr>
            </w:pPr>
            <w:r>
              <w:rPr>
                <w:rFonts w:ascii="Arial" w:cs="Arial" w:eastAsia="Arial" w:hAnsi="Arial"/>
                <w:sz w:val="16"/>
                <w:szCs w:val="16"/>
                <w:color w:val="auto"/>
              </w:rPr>
              <w:t>Gain on sale of discontinued operations, net of tax</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6,500</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673,487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651,236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867,394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1"/>
        </w:trPr>
        <w:tc>
          <w:tcPr>
            <w:tcW w:w="6740" w:type="dxa"/>
            <w:vAlign w:val="bottom"/>
          </w:tcPr>
          <w:p>
            <w:pPr>
              <w:ind w:left="180"/>
              <w:spacing w:after="0"/>
              <w:rPr>
                <w:sz w:val="20"/>
                <w:szCs w:val="20"/>
                <w:color w:val="auto"/>
              </w:rPr>
            </w:pPr>
            <w:r>
              <w:rPr>
                <w:rFonts w:ascii="Arial" w:cs="Arial" w:eastAsia="Arial" w:hAnsi="Arial"/>
                <w:sz w:val="16"/>
                <w:szCs w:val="16"/>
                <w:color w:val="auto"/>
              </w:rPr>
              <w:t>Shares used to compute earnings per share — Basic</w:t>
            </w:r>
          </w:p>
        </w:tc>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307,763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298,761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299,417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 used to compute earnings per share — Diluted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314,041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306,191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308,236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Earnings per share — Basic</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continuing operations, net of tax</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 — Diluted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Income from continuing operations, net of tax</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Dividends declared and paid per share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0.94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 Includes stock-based compensation expense as follows: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Cost of sales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6,593</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7,254</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7,294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23,289</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Selling, marketing, general and administrative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28,392</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23,077</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21,775</w:t>
            </w: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580" w:right="239" w:bottom="1440" w:gutter="0" w:footer="0" w:header="0"/>
          <w:type w:val="continuous"/>
        </w:sectPr>
      </w:pPr>
    </w:p>
    <w:bookmarkStart w:id="44" w:name="page45"/>
    <w:bookmarkEnd w:id="44"/>
    <w:p>
      <w:pPr>
        <w:ind w:left="628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November 2, 2013, November 3, 2012 and October 29, 2011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651,236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860,894</w:t>
            </w: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w w:val="91"/>
              </w:rPr>
              <w:t>Foreign currency translation adjustment (net of taxes of $1,404 in 2013, $3,612 in 2012 and</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$1,667 in 2011)</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gains (losses) on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w w:val="90"/>
              </w:rPr>
              <w:t>Net unrealized holding gains (losses) (net of taxes of $67 in 2013, $115 in 2012 and $67 in</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2011) on available-for-sale securities classified as short-term investments</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holding losses (net of taxes of $0 in 2013, $129 in 2012 and $64 in</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2011) on securities classified as other investments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w w:val="96"/>
              </w:rPr>
              <w:t>Net realized holding gain (net of taxes of $0 in 2013, $430 in 2012 and $0 in 2011) on</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securities classified as other investments reclassified into earnings</w:t>
            </w:r>
          </w:p>
        </w:tc>
        <w:tc>
          <w:tcPr>
            <w:tcW w:w="3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gains (losses) on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Derivative instruments designated as cash flow hedges: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Changes in fair value of derivatives (net of taxes of $4,242 in 2013, $1,233 in 2012 and</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$539 in 2011)</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3,347</w:t>
            </w: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w w:val="96"/>
              </w:rPr>
              <w:t>Realized (gain) loss reclassification (net of taxes of $354 in 2013, $1,160 in 2012 and</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$1,171 in 2011)</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(7,793)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derivative instruments designated as cash flow hedges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Accumulated other comprehensive (loss) income — pension plans: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Transition asset (net of taxes of $4 in 2013, $1 in 2012 and $1 in 2011)</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w w:val="93"/>
              </w:rPr>
              <w:t>Net actuarial (loss) gain (net of taxes of $4,146 in 2013, $7,243 in 2012 and $1,770 in</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(44,784)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13,084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Net prior service (cost) income (net of taxes of $3 in 2013, $584 in 2012 and $0 in</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2011)</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9"/>
        </w:trPr>
        <w:tc>
          <w:tcPr>
            <w:tcW w:w="6740" w:type="dxa"/>
            <w:vAlign w:val="bottom"/>
          </w:tcPr>
          <w:p>
            <w:pPr>
              <w:ind w:left="40"/>
              <w:spacing w:after="0"/>
              <w:rPr>
                <w:sz w:val="20"/>
                <w:szCs w:val="20"/>
                <w:color w:val="auto"/>
              </w:rPr>
            </w:pPr>
            <w:r>
              <w:rPr>
                <w:rFonts w:ascii="Arial" w:cs="Arial" w:eastAsia="Arial" w:hAnsi="Arial"/>
                <w:sz w:val="18"/>
                <w:szCs w:val="18"/>
                <w:color w:val="auto"/>
                <w:w w:val="95"/>
              </w:rPr>
              <w:t>Net change in accumulated other comprehensive (loss) income — pension plans (net of</w:t>
            </w:r>
          </w:p>
        </w:tc>
        <w:tc>
          <w:tcPr>
            <w:tcW w:w="3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taxes of $4,145 in 2013, $6,658 in 2012 and $1,771 in 2011)</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13,096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from continuing operations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657,335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613,011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868,320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discontinued operations, net of tax</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657,335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613,011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874,820</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5" w:name="page46"/>
    <w:bookmarkEnd w:id="45"/>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2, 2013 and November 3, 2012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 except per share amounts)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Current Assets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392,089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528,833</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Short-term investments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4,290,823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3,371,545</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 less allowances of $2,593 ($2,721 in 2012)</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325,144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339,881</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Inventories(1)</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283,337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313,723</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136,299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90,335</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Prepaid income tax</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2,391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8,624</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42,342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43,244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current assets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5,472,425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4,696,185</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Property, Plant and Equipment, at Cost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Land and buildings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458,853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447,818</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Machinery and equipment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1,733,850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1,681,661</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Office equipment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49,321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50,042</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Leasehold improvements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50,870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48,630</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2,292,894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2,228,151</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accumulated depreciation and amortization</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1,784,723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1,727,284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property, plant and equipment</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508,171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500,867</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compensation plan investments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17,364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28,426</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investments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3,816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1,816</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Goodwill</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284,112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283,833</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Intangible assets,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28,552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28,772</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tax assets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26,226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43,531</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assets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41,084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36,917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other assets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401,154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423,295</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6,381,750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5,620,347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SHAREHOLDERS’ EQUITY</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119,994</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117,034</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on shipments to distributors,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247,428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238,541</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45,490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6,097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portion of long-term debt</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14,500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Accrued liabilities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157,600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148,907</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current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570,512</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525,079</w:t>
            </w:r>
          </w:p>
        </w:tc>
        <w:tc>
          <w:tcPr>
            <w:tcW w:w="0" w:type="dxa"/>
            <w:vAlign w:val="bottom"/>
          </w:tcPr>
          <w:p>
            <w:pPr>
              <w:spacing w:after="0"/>
              <w:rPr>
                <w:sz w:val="1"/>
                <w:szCs w:val="1"/>
                <w:color w:val="auto"/>
              </w:rPr>
            </w:pPr>
          </w:p>
        </w:tc>
      </w:tr>
      <w:tr>
        <w:trPr>
          <w:trHeight w:val="24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Non-current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Long-term debt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872,241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807,098</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6,037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1,130</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compensation plan liability</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17,364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28,426</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non-current liabilities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176,020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93,255</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non-current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1,071,662</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929,909</w:t>
            </w:r>
          </w:p>
        </w:tc>
        <w:tc>
          <w:tcPr>
            <w:tcW w:w="0" w:type="dxa"/>
            <w:vAlign w:val="bottom"/>
          </w:tcPr>
          <w:p>
            <w:pPr>
              <w:spacing w:after="0"/>
              <w:rPr>
                <w:sz w:val="1"/>
                <w:szCs w:val="1"/>
                <w:color w:val="auto"/>
              </w:rPr>
            </w:pPr>
          </w:p>
        </w:tc>
      </w:tr>
      <w:tr>
        <w:trPr>
          <w:trHeight w:val="244"/>
        </w:trPr>
        <w:tc>
          <w:tcPr>
            <w:tcW w:w="8340" w:type="dxa"/>
            <w:vAlign w:val="bottom"/>
          </w:tcPr>
          <w:p>
            <w:pPr>
              <w:ind w:left="180"/>
              <w:spacing w:after="0"/>
              <w:rPr>
                <w:sz w:val="20"/>
                <w:szCs w:val="20"/>
                <w:color w:val="auto"/>
              </w:rPr>
            </w:pPr>
            <w:r>
              <w:rPr>
                <w:rFonts w:ascii="Arial" w:cs="Arial" w:eastAsia="Arial" w:hAnsi="Arial"/>
                <w:sz w:val="14"/>
                <w:szCs w:val="14"/>
                <w:color w:val="auto"/>
              </w:rPr>
              <w:t>Commitments and contingencies (Note 12)</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Shareholders’ Equity</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Preferred stock, $1.00 par value, 471,934 shares authorized, none outstanding</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2"/>
              </w:rPr>
              <w:t>Common stock, $0.16</w:t>
            </w:r>
            <w:r>
              <w:rPr>
                <w:rFonts w:ascii="Arial" w:cs="Arial" w:eastAsia="Arial" w:hAnsi="Arial"/>
                <w:sz w:val="8"/>
                <w:szCs w:val="8"/>
                <w:color w:val="auto"/>
                <w:w w:val="92"/>
              </w:rPr>
              <w:t>2</w:t>
            </w:r>
            <w:r>
              <w:rPr>
                <w:rFonts w:ascii="Arial" w:cs="Arial" w:eastAsia="Arial" w:hAnsi="Arial"/>
                <w:sz w:val="14"/>
                <w:szCs w:val="14"/>
                <w:color w:val="auto"/>
                <w:w w:val="92"/>
              </w:rPr>
              <w:t>/3 par value, 1,200,000,000 shares authorized, 311,045,084 shares issued and outstanding (301,389,176 on November</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3, 2012)</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51,842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50,233</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Capital in excess of par value</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711,879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390,651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Retained earnings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4,056,401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3,788,869</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other comprehensive loss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(80,546)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(64,394)</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4,739,576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4,165,359</w:t>
            </w:r>
          </w:p>
        </w:tc>
        <w:tc>
          <w:tcPr>
            <w:tcW w:w="0" w:type="dxa"/>
            <w:vAlign w:val="bottom"/>
          </w:tcPr>
          <w:p>
            <w:pPr>
              <w:spacing w:after="0"/>
              <w:rPr>
                <w:sz w:val="1"/>
                <w:szCs w:val="1"/>
                <w:color w:val="auto"/>
              </w:rPr>
            </w:pPr>
          </w:p>
        </w:tc>
      </w:tr>
      <w:tr>
        <w:trPr>
          <w:trHeight w:val="236"/>
        </w:trPr>
        <w:tc>
          <w:tcPr>
            <w:tcW w:w="834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6,381,750</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5,620,347</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3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780" w:right="2160" w:hanging="4745"/>
        <w:spacing w:after="0" w:line="356" w:lineRule="auto"/>
        <w:tabs>
          <w:tab w:leader="none" w:pos="3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$2,273 and $2,517 related to stock-based compensation at November 2, 2013 and November 3, 2012, respectively. See accompanying Notes.</w:t>
      </w:r>
    </w:p>
    <w:p>
      <w:pPr>
        <w:sectPr>
          <w:pgSz w:w="11900" w:h="16838" w:orient="portrait"/>
          <w:cols w:equalWidth="0" w:num="1">
            <w:col w:w="11420"/>
          </w:cols>
          <w:pgMar w:left="240" w:top="580" w:right="239" w:bottom="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580" w:right="239" w:bottom="0" w:gutter="0" w:footer="0" w:header="0"/>
          <w:type w:val="continuous"/>
        </w:sectPr>
      </w:pPr>
    </w:p>
    <w:bookmarkStart w:id="46" w:name="page47"/>
    <w:bookmarkEnd w:id="46"/>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November 2, 2013, November 3, 2012 and October 29, 2011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Capital in</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4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Excess of</w:t>
            </w:r>
          </w:p>
        </w:tc>
        <w:tc>
          <w:tcPr>
            <w:tcW w:w="24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24"/>
                <w:szCs w:val="24"/>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(thousands)</w:t>
            </w:r>
          </w:p>
        </w:tc>
        <w:tc>
          <w:tcPr>
            <w:tcW w:w="128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2"/>
                <w:szCs w:val="22"/>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22"/>
                <w:szCs w:val="2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Par Value</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22"/>
                <w:szCs w:val="22"/>
                <w:color w:val="auto"/>
              </w:rPr>
            </w:pPr>
          </w:p>
        </w:tc>
        <w:tc>
          <w:tcPr>
            <w:tcW w:w="1280" w:type="dxa"/>
            <w:vAlign w:val="bottom"/>
          </w:tcPr>
          <w:p>
            <w:pPr>
              <w:jc w:val="center"/>
              <w:ind w:right="97"/>
              <w:spacing w:after="0"/>
              <w:rPr>
                <w:sz w:val="20"/>
                <w:szCs w:val="20"/>
                <w:color w:val="auto"/>
              </w:rPr>
            </w:pPr>
            <w:r>
              <w:rPr>
                <w:rFonts w:ascii="Arial" w:cs="Arial" w:eastAsia="Arial" w:hAnsi="Arial"/>
                <w:sz w:val="14"/>
                <w:szCs w:val="14"/>
                <w:b w:val="1"/>
                <w:bCs w:val="1"/>
                <w:color w:val="auto"/>
                <w:w w:val="90"/>
              </w:rPr>
              <w:t>(Loss) Income</w:t>
            </w:r>
          </w:p>
        </w:tc>
        <w:tc>
          <w:tcPr>
            <w:tcW w:w="0" w:type="dxa"/>
            <w:vAlign w:val="bottom"/>
          </w:tcPr>
          <w:p>
            <w:pPr>
              <w:spacing w:after="0"/>
              <w:rPr>
                <w:sz w:val="1"/>
                <w:szCs w:val="1"/>
                <w:color w:val="auto"/>
              </w:rPr>
            </w:pPr>
          </w:p>
        </w:tc>
      </w:tr>
      <w:tr>
        <w:trPr>
          <w:trHeight w:val="27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OCTOBER 30, 2010</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298,653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49,777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286,969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2,896,566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(33,595)</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Activity in Fiscal 2011</w:t>
            </w: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2011</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867,394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Dividends declared and paid</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(281,626)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Tax benefit — stock options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63,236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7,426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(328,986)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BALANCE, OCTOBER 29, 2011</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297,961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49,661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289,587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3,482,334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(26,169)</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Activity in Fiscal 2012</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 — 2012</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651,236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and paid</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(344,701)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7,662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190,453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 stock options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53,500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160" w:type="dxa"/>
            <w:vAlign w:val="bottom"/>
          </w:tcPr>
          <w:p>
            <w:pPr>
              <w:jc w:val="right"/>
              <w:spacing w:after="0"/>
              <w:rPr>
                <w:sz w:val="20"/>
                <w:szCs w:val="20"/>
                <w:color w:val="auto"/>
              </w:rPr>
            </w:pPr>
            <w:r>
              <w:rPr>
                <w:rFonts w:ascii="Arial" w:cs="Arial" w:eastAsia="Arial" w:hAnsi="Arial"/>
                <w:sz w:val="18"/>
                <w:szCs w:val="18"/>
                <w:color w:val="auto"/>
              </w:rPr>
              <w:t>(4,234)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(160,341)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NOVEMBER 3, 2012</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301,389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390,651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3,788,869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(64,394)</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Activity in Fiscal 2013</w:t>
            </w: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2013</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673,487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Dividends declared and paid</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(405,955)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stock under stock plans and other</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304,431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Tax benefit — stock options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20,203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56,886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(16,152)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BALANCE, NOVEMBER 2, 2013</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311,045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51,842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711,879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4,056,401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(80,546)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November 2, 2013, November 3, 2012 and October 29, 2011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2011</w:t>
            </w: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Operations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673,487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651,236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867,394</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109,705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116,873</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Amortization of intangibles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1,346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52,358</w:t>
            </w:r>
          </w:p>
        </w:tc>
      </w:tr>
      <w:tr>
        <w:trPr>
          <w:trHeight w:val="243"/>
        </w:trPr>
        <w:tc>
          <w:tcPr>
            <w:tcW w:w="7440" w:type="dxa"/>
            <w:vAlign w:val="bottom"/>
          </w:tcPr>
          <w:p>
            <w:pPr>
              <w:ind w:left="380"/>
              <w:spacing w:after="0"/>
              <w:rPr>
                <w:sz w:val="20"/>
                <w:szCs w:val="20"/>
                <w:color w:val="auto"/>
              </w:rPr>
            </w:pPr>
            <w:r>
              <w:rPr>
                <w:rFonts w:ascii="Arial" w:cs="Arial" w:eastAsia="Arial" w:hAnsi="Arial"/>
                <w:sz w:val="16"/>
                <w:szCs w:val="16"/>
                <w:color w:val="auto"/>
              </w:rPr>
              <w:t>Gain on sale of business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(6,500)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on sale of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Gain on sale of product line</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(85,444)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Non-cash portion of special charges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non-cash activity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833</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Excess tax benefit — stock options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(16,171)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(44,936)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1,704</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Change in operating assets and liabilities: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40,025</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28,527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(18,592)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(17,603)</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822</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Deferred compensation plan investments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11,116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(2,070)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(17,720)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(16,681)</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Accounts payable, deferred income and accrued liabilities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17,487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(90,323)</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compensation plan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17,738</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50,705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25,930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893</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(5,694)</w:t>
            </w: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Total adjustments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238,858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163,306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33,135</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912,345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814,542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900,529</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Purchases of short-term available-for-sale investments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(8,540,335)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(8,165,043)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(4,289,304)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Maturities of short-term available-for-sale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6,970,885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6,543,795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3,436,284</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Sales of short-term available-for-sale investments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650,730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437,748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282,861</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Additions to 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(123,074)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(132,176)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(122,996)</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Net proceeds related to sale of businesses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10,000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related to sale of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Proceeds related to sale of product line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for acquisitions, net of cash acquired</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(13,988)</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Increase in other assets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(6,595)</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for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(949,926)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(1,339,690)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(703,738)</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Proceeds from long-term debt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493,880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515,507</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of senior unsecured notes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(392,790)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Early termination of swap agreements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18,520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Term loan repayments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(60,108)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(56,500)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(28,392)</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 payments to shareholders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(405,955)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(344,701)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(281,626)</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Repurchase of common stock</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(60,529)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(161,046)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(330,489)</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employee stock plans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191,730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217,397</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Contingent consideration payment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(1,991)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increase in other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1,279</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Excess tax benefit — stock options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16,171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12,230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44,936</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for) provided by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(349,627)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138,612</w:t>
            </w: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1,394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(303)</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(decrease) increase in cash and cash equivalents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(876,267)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335,100</w:t>
            </w:r>
          </w:p>
        </w:tc>
      </w:tr>
      <w:tr>
        <w:trPr>
          <w:trHeight w:val="33"/>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0" w:right="239"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36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528,833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1,405,100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1,070,000</w:t>
            </w:r>
          </w:p>
        </w:tc>
      </w:tr>
      <w:tr>
        <w:trPr>
          <w:trHeight w:val="47"/>
        </w:trPr>
        <w:tc>
          <w:tcPr>
            <w:tcW w:w="74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392,089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528,833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1,405,100</w:t>
            </w: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9" w:name="page50"/>
    <w:bookmarkEnd w:id="49"/>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November 2, 2013, November 3, 2012 and October 29,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(all tabular amounts in thousands except per share amounts)</w:t>
      </w:r>
    </w:p>
    <w:p>
      <w:pPr>
        <w:spacing w:after="0" w:line="20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3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Analog Devices, Inc. (“Analog Devices” or the “Company”) is a world leader in the design, manufacture and marketing of a broad portfolio of high-performance analog, mixed-signal and digital signal processing integrated circuits (ICs) used in virtually all types of electronic equipment. Since the Company’s inception in 1965, it has focused on solving the engineering challenges associated with signal processing in electronic equipment. The Company’s signal processing products play a fundamental role in converting, conditioning, and processing real-world phenomena such as temperature, pressure, sound, light, speed and motion into electrical signals to be used in a wide array of electronic devices. As new generations of digital applications evolve, new needs for high-performance analog signal processing and digital signal processing (DSP) technology are generated. As a result, the Company produces a wide range of innovative products — including data converters, amplifiers and linear products, radio frequency (RF) ICs, power management products, sensors based on micro-electro mechanical systems (MEMS) technology and other sensors, and processing products, including DSP and other processors — that are designed to meet the needs of a broad base of customers.</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products are embedded inside many types of electronic equipment including:</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  Industrial process control systems</w:t>
            </w:r>
          </w:p>
        </w:tc>
        <w:tc>
          <w:tcPr>
            <w:tcW w:w="1000" w:type="dxa"/>
            <w:vAlign w:val="bottom"/>
          </w:tcPr>
          <w:p>
            <w:pPr>
              <w:ind w:left="88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Medical imaging equipment</w:t>
            </w:r>
          </w:p>
        </w:tc>
      </w:tr>
      <w:tr>
        <w:trPr>
          <w:trHeight w:val="27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20" w:type="dxa"/>
            <w:vAlign w:val="bottom"/>
          </w:tcPr>
          <w:p>
            <w:pPr>
              <w:ind w:left="80"/>
              <w:spacing w:after="0"/>
              <w:rPr>
                <w:sz w:val="20"/>
                <w:szCs w:val="20"/>
                <w:color w:val="auto"/>
              </w:rPr>
            </w:pPr>
            <w:r>
              <w:rPr>
                <w:rFonts w:ascii="Arial" w:cs="Arial" w:eastAsia="Arial" w:hAnsi="Arial"/>
                <w:sz w:val="18"/>
                <w:szCs w:val="18"/>
                <w:color w:val="auto"/>
              </w:rPr>
              <w:t>Factory automation systems</w:t>
            </w:r>
          </w:p>
        </w:tc>
        <w:tc>
          <w:tcPr>
            <w:tcW w:w="1000" w:type="dxa"/>
            <w:vAlign w:val="bottom"/>
          </w:tcPr>
          <w:p>
            <w:pPr>
              <w:ind w:left="88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Patient monitoring devices</w:t>
            </w:r>
          </w:p>
        </w:tc>
      </w:tr>
      <w:tr>
        <w:trPr>
          <w:trHeight w:val="270"/>
        </w:trPr>
        <w:tc>
          <w:tcPr>
            <w:tcW w:w="4140" w:type="dxa"/>
            <w:vAlign w:val="bottom"/>
            <w:gridSpan w:val="2"/>
          </w:tcPr>
          <w:p>
            <w:pPr>
              <w:spacing w:after="0"/>
              <w:rPr>
                <w:sz w:val="20"/>
                <w:szCs w:val="20"/>
                <w:color w:val="auto"/>
              </w:rPr>
            </w:pPr>
            <w:r>
              <w:rPr>
                <w:rFonts w:ascii="Arial" w:cs="Arial" w:eastAsia="Arial" w:hAnsi="Arial"/>
                <w:sz w:val="18"/>
                <w:szCs w:val="18"/>
                <w:color w:val="auto"/>
              </w:rPr>
              <w:t>•  Instrumentation and measurement systems</w:t>
            </w:r>
          </w:p>
        </w:tc>
        <w:tc>
          <w:tcPr>
            <w:tcW w:w="1000" w:type="dxa"/>
            <w:vAlign w:val="bottom"/>
          </w:tcPr>
          <w:p>
            <w:pPr>
              <w:ind w:left="88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w w:val="90"/>
              </w:rPr>
              <w:t>Wireless infrastructure equipment</w:t>
            </w:r>
          </w:p>
        </w:tc>
      </w:tr>
      <w:tr>
        <w:trPr>
          <w:trHeight w:val="27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20" w:type="dxa"/>
            <w:vAlign w:val="bottom"/>
          </w:tcPr>
          <w:p>
            <w:pPr>
              <w:ind w:left="80"/>
              <w:spacing w:after="0"/>
              <w:rPr>
                <w:sz w:val="20"/>
                <w:szCs w:val="20"/>
                <w:color w:val="auto"/>
              </w:rPr>
            </w:pPr>
            <w:r>
              <w:rPr>
                <w:rFonts w:ascii="Arial" w:cs="Arial" w:eastAsia="Arial" w:hAnsi="Arial"/>
                <w:sz w:val="18"/>
                <w:szCs w:val="18"/>
                <w:color w:val="auto"/>
              </w:rPr>
              <w:t>Energy management systems</w:t>
            </w:r>
          </w:p>
        </w:tc>
        <w:tc>
          <w:tcPr>
            <w:tcW w:w="1000" w:type="dxa"/>
            <w:vAlign w:val="bottom"/>
          </w:tcPr>
          <w:p>
            <w:pPr>
              <w:ind w:left="88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Networking equipment</w:t>
            </w:r>
          </w:p>
        </w:tc>
      </w:tr>
      <w:tr>
        <w:trPr>
          <w:trHeight w:val="270"/>
        </w:trPr>
        <w:tc>
          <w:tcPr>
            <w:tcW w:w="4140" w:type="dxa"/>
            <w:vAlign w:val="bottom"/>
            <w:gridSpan w:val="2"/>
          </w:tcPr>
          <w:p>
            <w:pPr>
              <w:spacing w:after="0"/>
              <w:rPr>
                <w:sz w:val="20"/>
                <w:szCs w:val="20"/>
                <w:color w:val="auto"/>
              </w:rPr>
            </w:pPr>
            <w:r>
              <w:rPr>
                <w:rFonts w:ascii="Arial" w:cs="Arial" w:eastAsia="Arial" w:hAnsi="Arial"/>
                <w:sz w:val="18"/>
                <w:szCs w:val="18"/>
                <w:color w:val="auto"/>
              </w:rPr>
              <w:t>•  Aerospace and defense electronics</w:t>
            </w:r>
          </w:p>
        </w:tc>
        <w:tc>
          <w:tcPr>
            <w:tcW w:w="1000" w:type="dxa"/>
            <w:vAlign w:val="bottom"/>
          </w:tcPr>
          <w:p>
            <w:pPr>
              <w:ind w:left="88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Optical systems</w:t>
            </w:r>
          </w:p>
        </w:tc>
      </w:tr>
      <w:tr>
        <w:trPr>
          <w:trHeight w:val="27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20" w:type="dxa"/>
            <w:vAlign w:val="bottom"/>
          </w:tcPr>
          <w:p>
            <w:pPr>
              <w:ind w:left="60"/>
              <w:spacing w:after="0"/>
              <w:rPr>
                <w:sz w:val="20"/>
                <w:szCs w:val="20"/>
                <w:color w:val="auto"/>
              </w:rPr>
            </w:pPr>
            <w:r>
              <w:rPr>
                <w:rFonts w:ascii="Arial" w:cs="Arial" w:eastAsia="Arial" w:hAnsi="Arial"/>
                <w:sz w:val="18"/>
                <w:szCs w:val="18"/>
                <w:color w:val="auto"/>
              </w:rPr>
              <w:t>Automobiles</w:t>
            </w:r>
          </w:p>
        </w:tc>
        <w:tc>
          <w:tcPr>
            <w:tcW w:w="1000" w:type="dxa"/>
            <w:vAlign w:val="bottom"/>
          </w:tcPr>
          <w:p>
            <w:pPr>
              <w:ind w:left="88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Digital cameras</w:t>
            </w:r>
          </w:p>
        </w:tc>
      </w:tr>
      <w:tr>
        <w:trPr>
          <w:trHeight w:val="27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20" w:type="dxa"/>
            <w:vAlign w:val="bottom"/>
          </w:tcPr>
          <w:p>
            <w:pPr>
              <w:ind w:left="80"/>
              <w:spacing w:after="0"/>
              <w:rPr>
                <w:sz w:val="20"/>
                <w:szCs w:val="20"/>
                <w:color w:val="auto"/>
              </w:rPr>
            </w:pPr>
            <w:r>
              <w:rPr>
                <w:rFonts w:ascii="Arial" w:cs="Arial" w:eastAsia="Arial" w:hAnsi="Arial"/>
                <w:sz w:val="18"/>
                <w:szCs w:val="18"/>
                <w:color w:val="auto"/>
              </w:rPr>
              <w:t>Digital televisions</w:t>
            </w:r>
          </w:p>
        </w:tc>
        <w:tc>
          <w:tcPr>
            <w:tcW w:w="1000" w:type="dxa"/>
            <w:vAlign w:val="bottom"/>
          </w:tcPr>
          <w:p>
            <w:pPr>
              <w:ind w:left="88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Portable electronic devices</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ind w:left="800" w:hanging="468"/>
        <w:spacing w:after="0"/>
        <w:tabs>
          <w:tab w:leader="none" w:pos="80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14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consolidated financial statements include the accounts of the Company and all of its subsidiaries. Upon consolidation, all intercompany accounts and transactions are eliminated. Certain amounts reported in previous years have been reclassified to conform to the fiscal 2013 presentation. Such reclassified amounts were immaterial. The Company’s fiscal year is the 52-week or 53-week period ending on the Saturday closest to the last day in October. Fiscal year 2013 and 2011 were 52-week periods. Fiscal year 2012 was a 53-week period. The additional week in fiscal 2012 was included in the first quarter ended February 4, 2012.</w:t>
      </w:r>
    </w:p>
    <w:p>
      <w:pPr>
        <w:spacing w:after="0" w:line="94"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Company sold its baseband chipset business and related support operations (Baseband Chipset Business) to MediaTek Inc. during the first quarter of fiscal 2008. The Company has reflected the financial results of this business as discontinued operations in the consolidated statements of income for all periods presented. The historical results of operations of this business has been segregated from the Company’s consolidated financial statements and are included in income from discontinued operations, net of tax, in the consolidated statements of income.</w:t>
      </w:r>
    </w:p>
    <w:p>
      <w:pPr>
        <w:spacing w:after="0" w:line="7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Cash Equivalents and Short-term Investments</w:t>
      </w:r>
    </w:p>
    <w:p>
      <w:pPr>
        <w:spacing w:after="0" w:line="131" w:lineRule="exact"/>
        <w:rPr>
          <w:sz w:val="20"/>
          <w:szCs w:val="20"/>
          <w:color w:val="auto"/>
        </w:rPr>
      </w:pPr>
    </w:p>
    <w:p>
      <w:pPr>
        <w:ind w:right="660" w:firstLine="432"/>
        <w:spacing w:after="0" w:line="264" w:lineRule="auto"/>
        <w:rPr>
          <w:sz w:val="20"/>
          <w:szCs w:val="20"/>
          <w:color w:val="auto"/>
        </w:rPr>
      </w:pPr>
      <w:r>
        <w:rPr>
          <w:rFonts w:ascii="Arial" w:cs="Arial" w:eastAsia="Arial" w:hAnsi="Arial"/>
          <w:sz w:val="18"/>
          <w:szCs w:val="18"/>
          <w:color w:val="auto"/>
        </w:rPr>
        <w:t>Cash and cash equivalents are highly liquid investments with insignificant interest rate risk and maturities of three months or less at the time of acquisition. Cash, cash equivalents and short-term investments consist primarily of institutional money market funds, corporate obligations such as commercial paper and floating rate notes, bonds and bank time deposits.</w:t>
      </w:r>
    </w:p>
    <w:p>
      <w:pPr>
        <w:spacing w:after="0" w:line="8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Company classifies its investments in readily marketable debt and equity securities as “held-to-maturity,” “available-for-sale” or “trading” at the time of purchase. There were no transfers between investment classifications in any of the fiscal years presented. Held-to-maturity securities, which are carried at amortized cost, include only those securities the Company has the positive intent and ability to hold to maturity. Securities such as bank time deposits, which by their nature are typically held to maturity, are classified as such. The Company’s other readily marketable cash equivalents and short-term investments are classified as available-for-sale. Available-for-sale securities are carried at fair value with unrealized gains and losses, net of related tax, reported in accumulated other comprehensive (loss) income.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80" w:right="2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The Company’s deferred compensation plan investments are classified as trading. See Note 7 for additional information on the Company’s deferred compensation plan investments. There were no cash equivalents or short-term investments classified as trading at November 2, 2013 or November 3, 2012.</w:t>
      </w:r>
    </w:p>
    <w:p>
      <w:pPr>
        <w:spacing w:after="0" w:line="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Company periodically evaluates its investments for impairment. There were no other-than-temporary impairments of short-term investments in any of the fiscal years presented.</w:t>
      </w:r>
    </w:p>
    <w:p>
      <w:pPr>
        <w:spacing w:after="0" w:line="76"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Realized gains or losses recognized in non-operating income from the sales of available-for-sale securities were not material during any of the fiscal years presented.</w:t>
      </w:r>
    </w:p>
    <w:p>
      <w:pPr>
        <w:spacing w:after="0" w:line="76"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Unrealized gains and losses on available-for-sale securities classified as short-term investments at November 2, 2013 and November 3, 2012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on securities classified as short-term investments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Unrealized losses on securities classified as short-term investments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7"/>
        </w:trPr>
        <w:tc>
          <w:tcPr>
            <w:tcW w:w="8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gains on securities classified as short-term investments</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r>
      <w:tr>
        <w:trPr>
          <w:trHeight w:val="20"/>
        </w:trPr>
        <w:tc>
          <w:tcPr>
            <w:tcW w:w="8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Unrealized gains and losses in fiscal years 2013 and 2012 relate to corporate obligations.</w:t>
      </w:r>
    </w:p>
    <w:p>
      <w:pPr>
        <w:spacing w:after="0" w:line="131"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components of the Company’s cash and cash equivalents and short-term investments as of November 2, 2013 and November 3, 2012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Cash</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45,637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35,413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346,452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490,904</w:t>
            </w: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Held-to-maturity</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cash and cash equivalents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392,089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528,833</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4,290,823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3,370,551</w:t>
            </w: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Held-to-maturity (less than one year to maturity)</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short-term investments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4,290,823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3,371,545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2j for additional information on the Company’s cash equivalents and short-term investments.</w:t>
      </w:r>
    </w:p>
    <w:p>
      <w:pPr>
        <w:spacing w:after="0" w:line="13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Supplemental Cash Flow Statement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fiscal year for: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36,863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143,899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223,716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29,354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29,177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16,492</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13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Inventories are valued at the lower of cost (first-in, first-out method) or market. The valuation of inventory requires the Company to estimate obsolete or excess inventory as well as inventory that is not of saleable quality. The Company employs a variety of methodologies to determine the net realizable value of its inventory. While a portion of the calculation to record inventory at its net realizable value is based on the age of the inventory and lower of cost or market calculations, a key factor in estimating obsolete or excess inventory requires the Company to estimate the future demand for its products. If actual demand is less than the Company’s estimates, impairment charges, which are recorded to cost of sales, may need to be recorded in future periods. Inventory in excess of saleable amounts is not valued, and the remaining inventory is valued at the lower of cost or market.</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at November 2, 2013 and November 3, 2012 were as follows: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28,111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175,155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185,773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88,541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99,839</w:t>
            </w:r>
          </w:p>
        </w:tc>
      </w:tr>
      <w:tr>
        <w:trPr>
          <w:trHeight w:val="257"/>
        </w:trPr>
        <w:tc>
          <w:tcPr>
            <w:tcW w:w="832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283,337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313,723</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Plant and Equipment</w:t>
      </w:r>
    </w:p>
    <w:p>
      <w:pPr>
        <w:spacing w:after="0" w:line="13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Property, plant and equipment is recorded at cost less allowances for depreciation. The straight-line method of depreciation is used for all classes of assets for financial statement purposes while both straight-line and accelerated methods are used for income tax purposes. Leasehold improvements are amortized based upon the lesser of the term of the lease or the useful life of the asset. Repairs and maintenance charges are expensed as incurred. Depreciation and amortization are based on the following useful lives: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 &amp; building equipment</w:t>
            </w:r>
          </w:p>
        </w:tc>
        <w:tc>
          <w:tcPr>
            <w:tcW w:w="536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Up to 25 years</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Machinery &amp; equipment</w:t>
            </w:r>
          </w:p>
        </w:tc>
        <w:tc>
          <w:tcPr>
            <w:tcW w:w="5360" w:type="dxa"/>
            <w:vAlign w:val="bottom"/>
          </w:tcPr>
          <w:p>
            <w:pPr>
              <w:ind w:left="3680"/>
              <w:spacing w:after="0"/>
              <w:rPr>
                <w:sz w:val="20"/>
                <w:szCs w:val="20"/>
                <w:color w:val="auto"/>
              </w:rPr>
            </w:pPr>
            <w:r>
              <w:rPr>
                <w:rFonts w:ascii="Arial" w:cs="Arial" w:eastAsia="Arial" w:hAnsi="Arial"/>
                <w:sz w:val="18"/>
                <w:szCs w:val="18"/>
                <w:color w:val="auto"/>
              </w:rPr>
              <w:t>3-8 years</w:t>
            </w:r>
          </w:p>
        </w:tc>
      </w:tr>
      <w:tr>
        <w:trPr>
          <w:trHeight w:val="27"/>
        </w:trPr>
        <w:tc>
          <w:tcPr>
            <w:tcW w:w="60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43"/>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Office equipment</w:t>
            </w:r>
          </w:p>
        </w:tc>
        <w:tc>
          <w:tcPr>
            <w:tcW w:w="536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3-8 years</w:t>
            </w:r>
          </w:p>
        </w:tc>
      </w:tr>
      <w:tr>
        <w:trPr>
          <w:trHeight w:val="27"/>
        </w:trPr>
        <w:tc>
          <w:tcPr>
            <w:tcW w:w="6040" w:type="dxa"/>
            <w:vAlign w:val="bottom"/>
            <w:shd w:val="clear" w:color="auto" w:fill="CCEEFF"/>
          </w:tcPr>
          <w:p>
            <w:pPr>
              <w:spacing w:after="0"/>
              <w:rPr>
                <w:sz w:val="2"/>
                <w:szCs w:val="2"/>
                <w:color w:val="auto"/>
              </w:rPr>
            </w:pPr>
          </w:p>
        </w:tc>
        <w:tc>
          <w:tcPr>
            <w:tcW w:w="536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Depreciation expense for property, plant and equipment was $110.2 million, $109.7 million and $116.9 million in fiscal 2013, 2012 and 2011, respectively.</w:t>
      </w:r>
    </w:p>
    <w:p>
      <w:pPr>
        <w:spacing w:after="0" w:line="7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 reviews property, plant and equipment for impairment whenever events or changes in circumstances indicate that the carrying amount of assets may not be recoverable. Recoverability of these assets is measured by comparison of their carrying amount to the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If such assets are not impaired, but their useful lives have decreased, the remaining net book value is amortized over the revised useful life.</w:t>
      </w:r>
    </w:p>
    <w:p>
      <w:pPr>
        <w:spacing w:after="0" w:line="9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The Company evaluates goodwill for impairment annually as well as whenever events or changes in circumstances suggest that the carrying value of goodwill may not be recoverable. The Company tests goodwill for impairment at the reporting unit level (operating segment or one level below an operating segment) on an annual basis on the first day of the fourth quarter (on or about August 1) or more frequently if indicators of impairment exist. For the Company’s latest annual impairment assessment that occurred on August 4, 2013, the Company identified its reporting units to be its five operating segments, which meet the aggregation criteria for one reportable segment. The performance of the test involves a two-step process. The first step of the impairment test involves comparing the fair values of the applicable reporting units with their aggregate carrying values, including goodwill. The Company determines the fair value of its reporting units using the income approach methodology of valuation that includes the discounted cash flow method, as well as other generally accepted valuation methodologies. If the carrying amount of a reporting unit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goodwill. No impairment of goodwill resulted in any of the fiscal years presented. Upon the sale of the assets and intellectual property related to the Company's microphone product line in the fourth quarter of fiscal 2013, as more fully described in Note 17, the Company assessed the goodwill of the remaining reporting unit for impairment. The Company’s next annual impairment assessment will be performed as of the first day of the fourth quarter of fiscal 2014 unless indicators arise that would require the Company to reevaluate at an earlier date. The following table presents the changes in goodwill during fiscal 2013 and fiscal 2012: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283,833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275,087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Acquisition of Multigig, Inc. (Note 6)</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7,298</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allocated to sale of product line (Note 17)</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1,448</w:t>
            </w:r>
          </w:p>
        </w:tc>
      </w:tr>
      <w:tr>
        <w:trPr>
          <w:trHeight w:val="27"/>
        </w:trPr>
        <w:tc>
          <w:tcPr>
            <w:tcW w:w="8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284,112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283,833</w:t>
            </w:r>
          </w:p>
        </w:tc>
      </w:tr>
      <w:tr>
        <w:trPr>
          <w:trHeight w:val="20"/>
        </w:trPr>
        <w:tc>
          <w:tcPr>
            <w:tcW w:w="8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Company reviews finite-lived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As of November 2, 2013 and November 3, 2012, the Company’s finite-lived intangible assets consisted of the following which related to the acquisition of Multigig, Inc. See Note 6 below for further information related to the acquisition of Multigig, Inc.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November 2, 2013</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November 3, 2012</w:t>
            </w:r>
          </w:p>
        </w:tc>
        <w:tc>
          <w:tcPr>
            <w:tcW w:w="140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520" w:type="dxa"/>
            <w:vAlign w:val="bottom"/>
          </w:tcPr>
          <w:p>
            <w:pPr>
              <w:spacing w:after="0"/>
              <w:rPr>
                <w:sz w:val="13"/>
                <w:szCs w:val="13"/>
                <w:color w:val="auto"/>
              </w:rPr>
            </w:pPr>
          </w:p>
        </w:tc>
        <w:tc>
          <w:tcPr>
            <w:tcW w:w="15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3"/>
                <w:szCs w:val="13"/>
                <w:color w:val="auto"/>
              </w:rPr>
            </w:pPr>
          </w:p>
        </w:tc>
        <w:tc>
          <w:tcPr>
            <w:tcW w:w="17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540" w:type="dxa"/>
            <w:vAlign w:val="bottom"/>
          </w:tcPr>
          <w:p>
            <w:pPr>
              <w:spacing w:after="0"/>
              <w:rPr>
                <w:sz w:val="13"/>
                <w:szCs w:val="13"/>
                <w:color w:val="auto"/>
              </w:rPr>
            </w:pPr>
          </w:p>
        </w:tc>
        <w:tc>
          <w:tcPr>
            <w:tcW w:w="140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r>
      <w:tr>
        <w:trPr>
          <w:trHeight w:val="192"/>
        </w:trPr>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5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6"/>
                <w:szCs w:val="16"/>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spacing w:after="0"/>
              <w:rPr>
                <w:sz w:val="16"/>
                <w:szCs w:val="16"/>
                <w:color w:val="auto"/>
              </w:rPr>
            </w:pPr>
          </w:p>
        </w:tc>
        <w:tc>
          <w:tcPr>
            <w:tcW w:w="1400" w:type="dxa"/>
            <w:vAlign w:val="bottom"/>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243"/>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Technology-based</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1,100</w:t>
            </w:r>
          </w:p>
        </w:tc>
        <w:tc>
          <w:tcPr>
            <w:tcW w:w="1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348</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1,100</w:t>
            </w:r>
          </w:p>
        </w:tc>
        <w:tc>
          <w:tcPr>
            <w:tcW w:w="1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128</w:t>
            </w:r>
          </w:p>
        </w:tc>
      </w:tr>
      <w:tr>
        <w:trPr>
          <w:trHeight w:val="27"/>
        </w:trPr>
        <w:tc>
          <w:tcPr>
            <w:tcW w:w="3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Amortization expense related to finite-lived intangible assets was $0.2 million, $0.1 million and $1.3 million in fiscal 2013, 2012 and 2011,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remaining amortization expense will be recognized over a period of approximately 3.5 years.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expects annual amortization expense for intangible assets to be:</w:t>
      </w: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936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4"/>
                <w:szCs w:val="14"/>
                <w:color w:val="auto"/>
              </w:rPr>
            </w:pPr>
          </w:p>
        </w:tc>
        <w:tc>
          <w:tcPr>
            <w:tcW w:w="1720" w:type="dxa"/>
            <w:vAlign w:val="bottom"/>
          </w:tcPr>
          <w:p>
            <w:pPr>
              <w:jc w:val="right"/>
              <w:ind w:right="174"/>
              <w:spacing w:after="0"/>
              <w:rPr>
                <w:sz w:val="20"/>
                <w:szCs w:val="20"/>
                <w:color w:val="auto"/>
              </w:rPr>
            </w:pPr>
            <w:r>
              <w:rPr>
                <w:rFonts w:ascii="Arial" w:cs="Arial" w:eastAsia="Arial" w:hAnsi="Arial"/>
                <w:sz w:val="14"/>
                <w:szCs w:val="14"/>
                <w:b w:val="1"/>
                <w:bCs w:val="1"/>
                <w:color w:val="auto"/>
                <w:w w:val="97"/>
              </w:rPr>
              <w:t>Amortization Expense</w:t>
            </w:r>
          </w:p>
        </w:tc>
      </w:tr>
      <w:tr>
        <w:trPr>
          <w:trHeight w:val="21"/>
        </w:trPr>
        <w:tc>
          <w:tcPr>
            <w:tcW w:w="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37"/>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2014</w:t>
            </w:r>
          </w:p>
        </w:tc>
        <w:tc>
          <w:tcPr>
            <w:tcW w:w="86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220</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8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w:t>
            </w: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86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220</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86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r>
      <w:tr>
        <w:trPr>
          <w:trHeight w:val="27"/>
        </w:trPr>
        <w:tc>
          <w:tcPr>
            <w:tcW w:w="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Indefinite-lived intangible assets are tested for impairment on an annual basis on the first day of the fourth quarter (on or about August 1) or more frequently if indicators of impairment exist. The impairment test involves the comparison of the fair values of the intangible assets with their carrying amount. No impairment of intangible assets resulted from the impairment tests in any of the fiscal years presented.</w:t>
      </w:r>
    </w:p>
    <w:p>
      <w:pPr>
        <w:spacing w:after="0" w:line="18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Intangible assets, excluding in-process research and development (IPR&amp;D), are amortized on a straight-line basis over their estimated useful lives or on an accelerated method of amortization that is expected to reflect the estimated pattern of economic use. IPR&amp;D assets are considered indefinite-lived intangible assets until completion or abandonment of the associated R&amp;D efforts. Upon completion of the projects, the IPR&amp;D assets will be amortized over their estimated useful lives.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Indefinite-lived intangible assets consisted of $27.8 million of IPR&amp;D as of November 2, 2013 and November 3, 2012, respectively.</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Grant Accounting</w:t>
      </w:r>
    </w:p>
    <w:p>
      <w:pPr>
        <w:spacing w:after="0" w:line="13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Certain of the Company’s foreign subsidiaries have received grants from governmental agencies. These grants include capital, employment and research and development grants. Capital grants for the acquisition of property and equipment are netted against the related capital expenditures and amortized as a credit to depreciation expense over the useful life of the related asset. Employment grants, which relate to employee hiring and training, and research and development grants are recognized in earnings in the period in which the related expenditures are incurred by the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5"/>
          <w:szCs w:val="15"/>
          <w:b w:val="1"/>
          <w:bCs w:val="1"/>
          <w:i w:val="1"/>
          <w:iCs w:val="1"/>
          <w:color w:val="auto"/>
        </w:rPr>
        <w:t>Translation of Foreign Currencies</w:t>
      </w:r>
    </w:p>
    <w:p>
      <w:pPr>
        <w:spacing w:after="0" w:line="13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functional currency for the Company’s foreign sales and research and development operations is the applicable local currency. Gains and losses resulting from translation of these foreign currencies into U.S. dollars are recorded in accumulated other comprehensive (loss) income. Transaction gains and losses and re-measurement of foreign currency denominated assets and liabilities are included in income currently, including those at the Company’s principal foreign manufacturing operations where the functional currency is the U.S. dollar. Foreign currency transaction gains or losses included in other expenses, net, were not material in fiscal 2013, 2012 or 2011.</w:t>
      </w:r>
    </w:p>
    <w:p>
      <w:pPr>
        <w:spacing w:after="0" w:line="9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 Instruments and Hedging Agreements</w:t>
      </w:r>
    </w:p>
    <w:p>
      <w:pPr>
        <w:spacing w:after="0" w:line="90"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i w:val="1"/>
          <w:iCs w:val="1"/>
          <w:color w:val="auto"/>
        </w:rPr>
        <w:t xml:space="preserve">Foreign Exchange Exposure Management </w:t>
      </w:r>
      <w:r>
        <w:rPr>
          <w:rFonts w:ascii="Arial" w:cs="Arial" w:eastAsia="Arial" w:hAnsi="Arial"/>
          <w:sz w:val="18"/>
          <w:szCs w:val="18"/>
          <w:color w:val="auto"/>
        </w:rPr>
        <w:t>— The Company enters into forward foreign currency exchange contracts to offset certain operational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exposures from the impact of changes in foreign currency exchange rates. Such exposures result from the portion of the Company’s operations, assets and liabilities that are denominated in currencies other</w:t>
      </w:r>
    </w:p>
    <w:p>
      <w:pPr>
        <w:ind w:right="40"/>
        <w:spacing w:after="0" w:line="285" w:lineRule="auto"/>
        <w:rPr>
          <w:sz w:val="20"/>
          <w:szCs w:val="20"/>
          <w:color w:val="auto"/>
        </w:rPr>
      </w:pPr>
      <w:r>
        <w:rPr>
          <w:rFonts w:ascii="Arial" w:cs="Arial" w:eastAsia="Arial" w:hAnsi="Arial"/>
          <w:sz w:val="16"/>
          <w:szCs w:val="16"/>
          <w:color w:val="auto"/>
        </w:rPr>
        <w:t>than the U.S. dollar, primarily the Euro; other significant exposures include the Philippine Peso, the Japanese Yen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accumulated other comprehensive (loss) income (OCI) in shareholders’ equity and reclassified into earnings in the same period during which the hedged transaction affects earnings. Any residual change in fair value of the instruments, or ineffectiveness, is recognized immediately in other (income) expense. 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November 2, 2013 and November 3, 2012, the total notional amount of these undesignated hedges was $33.4 million and $31.5 million, respectively. The fair value of these hedging instruments in the Company’s consolidated balance sheets as of November 2, 2013 and November 3, 2012 was immaterial.</w:t>
      </w:r>
    </w:p>
    <w:p>
      <w:pPr>
        <w:spacing w:after="0" w:line="114"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i w:val="1"/>
          <w:iCs w:val="1"/>
          <w:color w:val="auto"/>
        </w:rPr>
        <w:t xml:space="preserve">Interest Rate Exposure Management </w:t>
      </w:r>
      <w:r>
        <w:rPr>
          <w:rFonts w:ascii="Arial" w:cs="Arial" w:eastAsia="Arial" w:hAnsi="Arial"/>
          <w:sz w:val="16"/>
          <w:szCs w:val="16"/>
          <w:color w:val="auto"/>
        </w:rPr>
        <w:t>— The Company's current and future debt may be subject to interest rate risk. The Company utilizes interest rate</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derivatives to alter interest rate exposure in an attempt to reduce the effects of these changes. On April 24, 2013, the Company entered into a treasury rate lock agreement with Bank of America. This agreement allowed the Company to lock a 10-year US Treasury rate of 1.7845% through June 14, 2013 for its anticipated issuance of the 2023 Notes. The Company designated this agreement as a cash flow hedge. On June 3, 2013, the Company terminated the treasury rate lock simultaneously with the issuance of the 2023 Notes which resulted in a gain of approximately $11.0 million. This gain is being amortized into interest expense over the 10-year term of the 2023 Notes. During fiscal 2013 approximately $0.5 million was amortized from OCI into interest expense and approximately $1.1 million will be amortized from OCI into interest expense within the next 12 months.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June 30, 2009, the Company entered into interest rate swap transactions related to its outstanding $375.0 million aggregate principal amount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 senior unsecured notes (the 2014 Notes) where the Company swapped the notional amount of its $375.0 million of fixed rate debt at 5.0% into floating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debt through July 1, 2014. The Company designated these swaps as fair value hedges. The fair value of the swaps at inception was zero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subsequent changes in the fair value of the interest rate swaps were reflected in the carrying value of the interest rate swaps on the balance sheet. The carrying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the debt on the balance sheet was adjusted by an equal and offsetting amount. The gain or loss on the hedged item (that is, the fixed-rate borrowings)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the hedged benchmark interest rate risk and the offsetting gain or loss on the related interest rate swaps for fiscal year 2012 and fiscal year 2011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7"/>
              </w:rPr>
              <w:t>November 3, 2012</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October 29, 2011</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29"/>
        </w:trPr>
        <w:tc>
          <w:tcPr>
            <w:tcW w:w="288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Statement of income classification</w:t>
            </w:r>
          </w:p>
        </w:tc>
        <w:tc>
          <w:tcPr>
            <w:tcW w:w="140" w:type="dxa"/>
            <w:vAlign w:val="bottom"/>
          </w:tcPr>
          <w:p>
            <w:pPr>
              <w:spacing w:after="0"/>
              <w:rPr>
                <w:sz w:val="19"/>
                <w:szCs w:val="19"/>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Loss on Swaps</w:t>
            </w:r>
          </w:p>
        </w:tc>
        <w:tc>
          <w:tcPr>
            <w:tcW w:w="14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Gain on Note</w:t>
            </w:r>
          </w:p>
        </w:tc>
        <w:tc>
          <w:tcPr>
            <w:tcW w:w="140" w:type="dxa"/>
            <w:vAlign w:val="bottom"/>
          </w:tcPr>
          <w:p>
            <w:pPr>
              <w:spacing w:after="0"/>
              <w:rPr>
                <w:sz w:val="19"/>
                <w:szCs w:val="19"/>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Income Effect</w:t>
            </w: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 on Swaps</w:t>
            </w:r>
          </w:p>
        </w:tc>
        <w:tc>
          <w:tcPr>
            <w:tcW w:w="180" w:type="dxa"/>
            <w:vAlign w:val="bottom"/>
          </w:tcPr>
          <w:p>
            <w:pPr>
              <w:spacing w:after="0"/>
              <w:rPr>
                <w:sz w:val="19"/>
                <w:szCs w:val="19"/>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 on Note</w:t>
            </w:r>
          </w:p>
        </w:tc>
        <w:tc>
          <w:tcPr>
            <w:tcW w:w="160" w:type="dxa"/>
            <w:vAlign w:val="bottom"/>
          </w:tcPr>
          <w:p>
            <w:pPr>
              <w:spacing w:after="0"/>
              <w:rPr>
                <w:sz w:val="19"/>
                <w:szCs w:val="19"/>
                <w:color w:val="auto"/>
              </w:rPr>
            </w:pPr>
          </w:p>
        </w:tc>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Net Income Effect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4,614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amounts earned and owed under the swap agreements were accrued each period and were reported in interest expense. There was no ineffectiveness recognized in any of the periods presented. In the second quarter of fiscal 2012, the Company terminated the interest rate swap agreement. The Company received $19.8 million in cash proceeds from the swap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termination, which included $1.3 million in accrued interest. The proceeds, net of interest received, are disclosed in cash flows from financing activities in the consolidated statements of cash flows. As a result of the termination, the carrying value of the 2014 Notes was adjusted for the change in the fair value of the interest component of the debt up to the date of the termination of the swap in an amount equal to the fair value of the swap, to be amortized to earnings as a reduction of interest expense over the remaining life of the debt. During fiscal year 2013 and 2012, $4.6 million and $5.3 million, respectively, were amortized into earnings as a reduction of interest expense related to the swap termination. This amortization is reflected in the consolidated statements of cash flows within operating activities. During the third quarter of fiscal 2013, in conjunction with the redemption of the 2014 Notes, the Company recognized the remaining $8.6 million in unamortized proceeds received from the termination of the interest rate swap as other, net expense.</w:t>
      </w:r>
    </w:p>
    <w:p>
      <w:pPr>
        <w:spacing w:after="0" w:line="113"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November 2, 2013, nonperformance is not perceived to be a significant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6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Company records the fair value of its derivative financial instruments in its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are reported in earnings as they occur.</w:t>
      </w:r>
    </w:p>
    <w:p>
      <w:pPr>
        <w:spacing w:after="0" w:line="13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total notional amounts of forward foreign currency derivative instruments designated as hedging instruments of cash flow hedges denominated in Euros, British Pounds, Philippine Pesos and Japanese Yen as of November 2, 2013 and November 3, 2012 was $196.9 million and $151.8 million, respectively. The fair values of these hedging instruments in the Company’s consolidated balance sheets as of November 2, 2013 and November 3, 2012 were as follows: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1139"/>
              <w:spacing w:after="0"/>
              <w:rPr>
                <w:sz w:val="20"/>
                <w:szCs w:val="20"/>
                <w:color w:val="auto"/>
              </w:rPr>
            </w:pPr>
            <w:r>
              <w:rPr>
                <w:rFonts w:ascii="Arial" w:cs="Arial" w:eastAsia="Arial" w:hAnsi="Arial"/>
                <w:sz w:val="14"/>
                <w:szCs w:val="14"/>
                <w:b w:val="1"/>
                <w:bCs w:val="1"/>
                <w:color w:val="auto"/>
              </w:rPr>
              <w:t>Fair Value At</w:t>
            </w:r>
          </w:p>
        </w:tc>
      </w:tr>
      <w:tr>
        <w:trPr>
          <w:trHeight w:val="263"/>
        </w:trPr>
        <w:tc>
          <w:tcPr>
            <w:tcW w:w="4540" w:type="dxa"/>
            <w:vAlign w:val="bottom"/>
          </w:tcPr>
          <w:p>
            <w:pPr>
              <w:spacing w:after="0"/>
              <w:rPr>
                <w:sz w:val="22"/>
                <w:szCs w:val="22"/>
                <w:color w:val="auto"/>
              </w:rPr>
            </w:pPr>
          </w:p>
        </w:tc>
        <w:tc>
          <w:tcPr>
            <w:tcW w:w="344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7"/>
              </w:rPr>
              <w:t>November 2, 2013</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7"/>
              </w:rPr>
              <w:t>November 3, 2012</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Forward foreign currency exchange contracts</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2"/>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1,161</w:t>
            </w:r>
          </w:p>
        </w:tc>
      </w:tr>
    </w:tbl>
    <w:p>
      <w:pPr>
        <w:spacing w:after="0" w:line="17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effect of forward foreign currency derivative instruments designated as cash-flow hedges on the consolidated statements of income and OCI for fiscal 2013 and 2012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2, 2013</w:t>
            </w:r>
          </w:p>
        </w:tc>
        <w:tc>
          <w:tcPr>
            <w:tcW w:w="180" w:type="dxa"/>
            <w:vAlign w:val="bottom"/>
          </w:tcPr>
          <w:p>
            <w:pPr>
              <w:spacing w:after="0"/>
              <w:rPr>
                <w:sz w:val="16"/>
                <w:szCs w:val="16"/>
                <w:color w:val="auto"/>
              </w:rPr>
            </w:pPr>
          </w:p>
        </w:tc>
        <w:tc>
          <w:tcPr>
            <w:tcW w:w="1420" w:type="dxa"/>
            <w:vAlign w:val="bottom"/>
          </w:tcPr>
          <w:p>
            <w:pPr>
              <w:jc w:val="right"/>
              <w:ind w:right="156"/>
              <w:spacing w:after="0"/>
              <w:rPr>
                <w:sz w:val="20"/>
                <w:szCs w:val="20"/>
                <w:color w:val="auto"/>
              </w:rPr>
            </w:pPr>
            <w:r>
              <w:rPr>
                <w:rFonts w:ascii="Arial" w:cs="Arial" w:eastAsia="Arial" w:hAnsi="Arial"/>
                <w:sz w:val="14"/>
                <w:szCs w:val="14"/>
                <w:b w:val="1"/>
                <w:bCs w:val="1"/>
                <w:color w:val="auto"/>
                <w:w w:val="97"/>
              </w:rPr>
              <w:t>November 3,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recognized in OCI on derivatives (net of tax of $409 in 2013 and $1,233 in 2012)</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Amounts reclassified from OCI into income (net of tax of $195 in 2013 and $1,160 in 2012)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7,401</w:t>
            </w:r>
          </w:p>
        </w:tc>
      </w:tr>
    </w:tbl>
    <w:p>
      <w:pPr>
        <w:spacing w:after="0" w:line="202"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The amounts reclassified into earnings before tax related to forward foreign currency derivative instruments, are recognized in cost of sales and operating expenses for fiscal 2013 and fiscal 2012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5"/>
              </w:rPr>
              <w:t>November 2, 2013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7"/>
              </w:rPr>
              <w:t>November 3, 2012</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3,096</w:t>
            </w:r>
          </w:p>
        </w:tc>
      </w:tr>
      <w:tr>
        <w:trPr>
          <w:trHeight w:val="27"/>
        </w:trPr>
        <w:tc>
          <w:tcPr>
            <w:tcW w:w="4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2,344</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Selling, marketing, general and administrative</w:t>
            </w:r>
          </w:p>
        </w:tc>
        <w:tc>
          <w:tcPr>
            <w:tcW w:w="3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3,121</w:t>
            </w:r>
          </w:p>
        </w:tc>
      </w:tr>
      <w:tr>
        <w:trPr>
          <w:trHeight w:val="675"/>
        </w:trPr>
        <w:tc>
          <w:tcPr>
            <w:tcW w:w="4500" w:type="dxa"/>
            <w:vAlign w:val="bottom"/>
          </w:tcPr>
          <w:p>
            <w:pPr>
              <w:spacing w:after="0"/>
              <w:rPr>
                <w:sz w:val="24"/>
                <w:szCs w:val="24"/>
                <w:color w:val="auto"/>
              </w:rPr>
            </w:pPr>
          </w:p>
        </w:tc>
        <w:tc>
          <w:tcPr>
            <w:tcW w:w="3620" w:type="dxa"/>
            <w:vAlign w:val="bottom"/>
          </w:tcPr>
          <w:p>
            <w:pPr>
              <w:jc w:val="right"/>
              <w:ind w:right="223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Company estimates that $1.0 million of forward foreign currency derivative instruments included in OCI will be reclassified into earnings within the next 12 months. There was no ineffectiveness during fiscal years ended November 2, 2013 and November 3,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Derivative Gains or Losses</w:t>
      </w:r>
    </w:p>
    <w:p>
      <w:pPr>
        <w:spacing w:after="0" w:line="1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summarizes activity in accumulated other comprehensive (loss) income related to derivatives classified as cash flow hedges held by the Company during the period from October 30, 2011 through November 2,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 net of tax</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Changes in fair value of derivatives — gain (loss), net of tax</w:t>
            </w:r>
          </w:p>
        </w:tc>
        <w:tc>
          <w:tcPr>
            <w:tcW w:w="9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9,708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(7,923)</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reclassified into earnings from other comprehensive income (loss), net of tax</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(1,776)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7,401</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Balance at end of year, net of tax</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9,097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1,165</w:t>
            </w: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w:t>
      </w:r>
    </w:p>
    <w:p>
      <w:pPr>
        <w:spacing w:after="0" w:line="9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3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16"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16"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The tables below, set forth by level, the Company’s financial assets and liabilities, excluding accrued interest components, that were accounted for at fair value on a recurring basis as of November 2, 2013 and November 3, 2012. The tables exclude cash on hand and assets and liabilities that are measured at historical cost or any basis other than fair value. As of November 2, 2013 and November 3, 2012, the Company held $45.6 million and $38.9 million, respectively, of cash and held-to-maturity investments that were excluded from the tables below.</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1" w:right="25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0"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November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23495</wp:posOffset>
            </wp:positionV>
            <wp:extent cx="3970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5"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13335</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for</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14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Institutional 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186,896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186,896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159,556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159,556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Short - term investments: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Securities with one year or less to maturity:</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3,764,213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3,764,213</w:t>
            </w:r>
          </w:p>
        </w:tc>
        <w:tc>
          <w:tcPr>
            <w:tcW w:w="0" w:type="dxa"/>
            <w:vAlign w:val="bottom"/>
          </w:tcPr>
          <w:p>
            <w:pPr>
              <w:spacing w:after="0"/>
              <w:rPr>
                <w:sz w:val="1"/>
                <w:szCs w:val="1"/>
                <w:color w:val="auto"/>
              </w:rPr>
            </w:pPr>
          </w:p>
        </w:tc>
      </w:tr>
      <w:tr>
        <w:trPr>
          <w:trHeight w:val="243"/>
        </w:trPr>
        <w:tc>
          <w:tcPr>
            <w:tcW w:w="5140" w:type="dxa"/>
            <w:vAlign w:val="bottom"/>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207,521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207,521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113,886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113,886</w:t>
            </w:r>
          </w:p>
        </w:tc>
        <w:tc>
          <w:tcPr>
            <w:tcW w:w="0" w:type="dxa"/>
            <w:vAlign w:val="bottom"/>
          </w:tcPr>
          <w:p>
            <w:pPr>
              <w:spacing w:after="0"/>
              <w:rPr>
                <w:sz w:val="1"/>
                <w:szCs w:val="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Securities with greater than one year to maturity:</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205,203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205,203</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Deferred compensation investments</w:t>
            </w:r>
          </w:p>
        </w:tc>
        <w:tc>
          <w:tcPr>
            <w:tcW w:w="30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17,431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17,431</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204,327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4,452,646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4,656,973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6,479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hanging="331"/>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November 2, 2013 was $3,824.0 million.</w:t>
      </w:r>
    </w:p>
    <w:p>
      <w:pPr>
        <w:spacing w:after="0" w:line="23" w:lineRule="exact"/>
        <w:rPr>
          <w:rFonts w:ascii="Arial" w:cs="Arial" w:eastAsia="Arial" w:hAnsi="Arial"/>
          <w:sz w:val="18"/>
          <w:szCs w:val="18"/>
          <w:color w:val="auto"/>
        </w:rPr>
      </w:pPr>
    </w:p>
    <w:p>
      <w:pPr>
        <w:ind w:left="420" w:right="260" w:hanging="331"/>
        <w:spacing w:after="0" w:line="261"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has a master netting arrangement by counterparty with respect to derivative contracts. As of November 2, 2013, contracts in a liability position of $2.0 million were netted against contracts in an asset position in the consolidated balance sheet.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1" w:right="2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0"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November 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23495</wp:posOffset>
            </wp:positionV>
            <wp:extent cx="3970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5"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13335</wp:posOffset>
            </wp:positionV>
            <wp:extent cx="29673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for</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14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Institutional 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143,876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143,876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347,028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347,028</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Short - term investments: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Securities with one year or less to maturity:</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2,818,798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2,818,798</w:t>
            </w:r>
          </w:p>
        </w:tc>
        <w:tc>
          <w:tcPr>
            <w:tcW w:w="0" w:type="dxa"/>
            <w:vAlign w:val="bottom"/>
          </w:tcPr>
          <w:p>
            <w:pPr>
              <w:spacing w:after="0"/>
              <w:rPr>
                <w:sz w:val="1"/>
                <w:szCs w:val="1"/>
                <w:color w:val="auto"/>
              </w:rPr>
            </w:pPr>
          </w:p>
        </w:tc>
      </w:tr>
      <w:tr>
        <w:trPr>
          <w:trHeight w:val="243"/>
        </w:trPr>
        <w:tc>
          <w:tcPr>
            <w:tcW w:w="5140" w:type="dxa"/>
            <w:vAlign w:val="bottom"/>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280,065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280,065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234,280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234,280</w:t>
            </w:r>
          </w:p>
        </w:tc>
        <w:tc>
          <w:tcPr>
            <w:tcW w:w="0" w:type="dxa"/>
            <w:vAlign w:val="bottom"/>
          </w:tcPr>
          <w:p>
            <w:pPr>
              <w:spacing w:after="0"/>
              <w:rPr>
                <w:sz w:val="1"/>
                <w:szCs w:val="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Securities with greater than one year to maturity:</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37,408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37,408</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Deferred compensation investments</w:t>
            </w:r>
          </w:p>
        </w:tc>
        <w:tc>
          <w:tcPr>
            <w:tcW w:w="30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28,480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28,480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172,356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3,718,640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3,890,996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12,219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12,219</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12,219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12,219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November 3, 2012 was $3,327.5 million.</w:t>
      </w:r>
    </w:p>
    <w:p>
      <w:pPr>
        <w:spacing w:after="0" w:line="23" w:lineRule="exact"/>
        <w:rPr>
          <w:rFonts w:ascii="Arial" w:cs="Arial" w:eastAsia="Arial" w:hAnsi="Arial"/>
          <w:sz w:val="18"/>
          <w:szCs w:val="18"/>
          <w:color w:val="auto"/>
        </w:rPr>
      </w:pPr>
    </w:p>
    <w:p>
      <w:pPr>
        <w:ind w:left="340" w:right="340" w:hanging="332"/>
        <w:spacing w:after="0" w:line="261"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has a master netting arrangement by counterparty with respect to derivative contracts. As of November 3, 2012, contracts in a liability position of $1.9 million were netted against contracts in an asset position in the consolidated balance sheet.</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7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and short-term investments </w:t>
      </w:r>
      <w:r>
        <w:rPr>
          <w:rFonts w:ascii="Arial" w:cs="Arial" w:eastAsia="Arial" w:hAnsi="Arial"/>
          <w:sz w:val="18"/>
          <w:szCs w:val="18"/>
          <w:color w:val="auto"/>
        </w:rPr>
        <w:t>— These investments are adjusted to fair value based on quoted market prices or are determined using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curve model based on current market rates.</w:t>
      </w:r>
    </w:p>
    <w:p>
      <w:pPr>
        <w:spacing w:after="0" w:line="116"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w:t>
      </w:r>
      <w:r>
        <w:rPr>
          <w:rFonts w:ascii="Arial" w:cs="Arial" w:eastAsia="Arial" w:hAnsi="Arial"/>
          <w:sz w:val="18"/>
          <w:szCs w:val="18"/>
          <w:color w:val="auto"/>
        </w:rPr>
        <w:t>— The fair value of these mutual fund, money market fund and equity investments are based on quoted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prices.</w:t>
      </w:r>
    </w:p>
    <w:p>
      <w:pPr>
        <w:spacing w:after="0" w:line="11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w:t>
      </w:r>
    </w:p>
    <w:p>
      <w:pPr>
        <w:spacing w:after="0" w:line="13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b w:val="1"/>
          <w:bCs w:val="1"/>
          <w:i w:val="1"/>
          <w:iCs w:val="1"/>
          <w:color w:val="auto"/>
        </w:rPr>
        <w:t xml:space="preserve">Contingent consideration </w:t>
      </w:r>
      <w:r>
        <w:rPr>
          <w:rFonts w:ascii="Arial" w:cs="Arial" w:eastAsia="Arial" w:hAnsi="Arial"/>
          <w:sz w:val="18"/>
          <w:szCs w:val="18"/>
          <w:color w:val="auto"/>
        </w:rPr>
        <w:t>— The fair value of the contingent consideration was estimated utilizing the income approach and is based upon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inputs not observable in the market. The income approach is based on two steps. The first step involves a projection of the cash flows that is based on the Company’s estimates of the timing and probability of achieving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1" w:right="2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defined milestones. The second step involves converting the cash flows into a present value equivalent through discounting. The discount rate reflects the Baa costs of debt plus the relevant risk associated with the asset and the time value of money.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 of the contingent consideration encompasses the following significant unobservable inputs: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Unobservable Inputs</w:t>
            </w:r>
          </w:p>
        </w:tc>
        <w:tc>
          <w:tcPr>
            <w:tcW w:w="86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21"/>
        </w:trPr>
        <w:tc>
          <w:tcPr>
            <w:tcW w:w="9880" w:type="dxa"/>
            <w:vAlign w:val="bottom"/>
            <w:gridSpan w:val="2"/>
            <w:vMerge w:val="restart"/>
          </w:tcPr>
          <w:p>
            <w:pPr>
              <w:spacing w:after="0"/>
              <w:rPr>
                <w:sz w:val="20"/>
                <w:szCs w:val="20"/>
                <w:color w:val="auto"/>
              </w:rPr>
            </w:pPr>
            <w:r>
              <w:rPr>
                <w:rFonts w:ascii="Arial" w:cs="Arial" w:eastAsia="Arial" w:hAnsi="Arial"/>
                <w:sz w:val="18"/>
                <w:szCs w:val="18"/>
                <w:color w:val="auto"/>
              </w:rPr>
              <w:t>Estimated contingent consideration payments</w:t>
            </w: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880" w:type="dxa"/>
            <w:vAlign w:val="bottom"/>
            <w:gridSpan w:val="2"/>
            <w:vMerge w:val="continue"/>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$7,000</w:t>
            </w:r>
          </w:p>
        </w:tc>
        <w:tc>
          <w:tcPr>
            <w:tcW w:w="0" w:type="dxa"/>
            <w:vAlign w:val="bottom"/>
          </w:tcPr>
          <w:p>
            <w:pPr>
              <w:spacing w:after="0"/>
              <w:rPr>
                <w:sz w:val="1"/>
                <w:szCs w:val="1"/>
                <w:color w:val="auto"/>
              </w:rPr>
            </w:pPr>
          </w:p>
        </w:tc>
      </w:tr>
      <w:tr>
        <w:trPr>
          <w:trHeight w:val="270"/>
        </w:trPr>
        <w:tc>
          <w:tcPr>
            <w:tcW w:w="988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8% - 10%</w:t>
            </w:r>
          </w:p>
        </w:tc>
        <w:tc>
          <w:tcPr>
            <w:tcW w:w="0" w:type="dxa"/>
            <w:vAlign w:val="bottom"/>
          </w:tcPr>
          <w:p>
            <w:pPr>
              <w:spacing w:after="0"/>
              <w:rPr>
                <w:sz w:val="1"/>
                <w:szCs w:val="1"/>
                <w:color w:val="auto"/>
              </w:rPr>
            </w:pPr>
          </w:p>
        </w:tc>
      </w:tr>
      <w:tr>
        <w:trPr>
          <w:trHeight w:val="270"/>
        </w:trPr>
        <w:tc>
          <w:tcPr>
            <w:tcW w:w="9880" w:type="dxa"/>
            <w:vAlign w:val="bottom"/>
            <w:gridSpan w:val="2"/>
          </w:tcPr>
          <w:p>
            <w:pPr>
              <w:spacing w:after="0"/>
              <w:rPr>
                <w:sz w:val="20"/>
                <w:szCs w:val="20"/>
                <w:color w:val="auto"/>
              </w:rPr>
            </w:pPr>
            <w:r>
              <w:rPr>
                <w:rFonts w:ascii="Arial" w:cs="Arial" w:eastAsia="Arial" w:hAnsi="Arial"/>
                <w:sz w:val="18"/>
                <w:szCs w:val="18"/>
                <w:color w:val="auto"/>
              </w:rPr>
              <w:t>Timing of cash flows</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1 - 23 months</w:t>
            </w:r>
          </w:p>
        </w:tc>
        <w:tc>
          <w:tcPr>
            <w:tcW w:w="0" w:type="dxa"/>
            <w:vAlign w:val="bottom"/>
          </w:tcPr>
          <w:p>
            <w:pPr>
              <w:spacing w:after="0"/>
              <w:rPr>
                <w:sz w:val="1"/>
                <w:szCs w:val="1"/>
                <w:color w:val="auto"/>
              </w:rPr>
            </w:pPr>
          </w:p>
        </w:tc>
      </w:tr>
      <w:tr>
        <w:trPr>
          <w:trHeight w:val="270"/>
        </w:trPr>
        <w:tc>
          <w:tcPr>
            <w:tcW w:w="9880" w:type="dxa"/>
            <w:vAlign w:val="bottom"/>
            <w:gridSpan w:val="2"/>
          </w:tcPr>
          <w:p>
            <w:pPr>
              <w:spacing w:after="0"/>
              <w:rPr>
                <w:sz w:val="20"/>
                <w:szCs w:val="20"/>
                <w:color w:val="auto"/>
              </w:rPr>
            </w:pPr>
            <w:r>
              <w:rPr>
                <w:rFonts w:ascii="Arial" w:cs="Arial" w:eastAsia="Arial" w:hAnsi="Arial"/>
                <w:sz w:val="18"/>
                <w:szCs w:val="18"/>
                <w:color w:val="auto"/>
              </w:rPr>
              <w:t>Probability of achievement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Changes in the fair value of the contingent consideration subsequent to the acquisition date that are primarily driven by assumptions pertaining to the achievement of the defined milestones will be recognized in operating income in the period of the estimated fair value change. Significant increases or decreases in any of the inputs in isolation may result in a fluctuation in the fair value measurement.</w:t>
      </w:r>
    </w:p>
    <w:p>
      <w:pPr>
        <w:spacing w:after="0" w:line="12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summarizes the change in the fair value of the contingent consideration measured using significant unobservable inputs (Level 3) as of November 3, 2012 and November 2, 2013:</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313"/>
              <w:spacing w:after="0"/>
              <w:rPr>
                <w:sz w:val="20"/>
                <w:szCs w:val="20"/>
                <w:color w:val="auto"/>
              </w:rPr>
            </w:pPr>
            <w:r>
              <w:rPr>
                <w:rFonts w:ascii="Arial" w:cs="Arial" w:eastAsia="Arial" w:hAnsi="Arial"/>
                <w:sz w:val="14"/>
                <w:szCs w:val="14"/>
                <w:b w:val="1"/>
                <w:bCs w:val="1"/>
                <w:color w:val="auto"/>
              </w:rPr>
              <w:t>Contingent</w:t>
            </w:r>
          </w:p>
        </w:tc>
      </w:tr>
      <w:tr>
        <w:trPr>
          <w:trHeight w:val="192"/>
        </w:trPr>
        <w:tc>
          <w:tcPr>
            <w:tcW w:w="9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Consideration</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b w:val="1"/>
                <w:bCs w:val="1"/>
                <w:color w:val="auto"/>
              </w:rPr>
              <w:t>Balance as of October 30, 2010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9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liability recorded</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13,790</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Fair value adjustment (2)</w:t>
            </w:r>
          </w:p>
        </w:tc>
        <w:tc>
          <w:tcPr>
            <w:tcW w:w="20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183</w:t>
            </w:r>
          </w:p>
        </w:tc>
      </w:tr>
      <w:tr>
        <w:trPr>
          <w:trHeight w:val="27"/>
        </w:trPr>
        <w:tc>
          <w:tcPr>
            <w:tcW w:w="9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October 29, 2011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13,973</w:t>
            </w:r>
          </w:p>
        </w:tc>
      </w:tr>
      <w:tr>
        <w:trPr>
          <w:trHeight w:val="237"/>
        </w:trPr>
        <w:tc>
          <w:tcPr>
            <w:tcW w:w="9920" w:type="dxa"/>
            <w:vAlign w:val="bottom"/>
          </w:tcPr>
          <w:p>
            <w:pPr>
              <w:ind w:left="40"/>
              <w:spacing w:after="0"/>
              <w:rPr>
                <w:sz w:val="20"/>
                <w:szCs w:val="20"/>
                <w:color w:val="auto"/>
              </w:rPr>
            </w:pPr>
            <w:r>
              <w:rPr>
                <w:rFonts w:ascii="Arial" w:cs="Arial" w:eastAsia="Arial" w:hAnsi="Arial"/>
                <w:sz w:val="18"/>
                <w:szCs w:val="18"/>
                <w:color w:val="auto"/>
              </w:rPr>
              <w:t>Payment made (1)</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9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adjustment (2)</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w:t>
            </w:r>
          </w:p>
        </w:tc>
      </w:tr>
      <w:tr>
        <w:trPr>
          <w:trHeight w:val="237"/>
        </w:trPr>
        <w:tc>
          <w:tcPr>
            <w:tcW w:w="9920" w:type="dxa"/>
            <w:vAlign w:val="bottom"/>
          </w:tcPr>
          <w:p>
            <w:pPr>
              <w:ind w:left="40"/>
              <w:spacing w:after="0"/>
              <w:rPr>
                <w:sz w:val="20"/>
                <w:szCs w:val="20"/>
                <w:color w:val="auto"/>
              </w:rPr>
            </w:pPr>
            <w:r>
              <w:rPr>
                <w:rFonts w:ascii="Arial" w:cs="Arial" w:eastAsia="Arial" w:hAnsi="Arial"/>
                <w:sz w:val="18"/>
                <w:szCs w:val="18"/>
                <w:b w:val="1"/>
                <w:bCs w:val="1"/>
                <w:color w:val="auto"/>
              </w:rPr>
              <w:t>Balance as of November 3, 2012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12,219</w:t>
            </w:r>
          </w:p>
        </w:tc>
      </w:tr>
      <w:tr>
        <w:trPr>
          <w:trHeight w:val="27"/>
        </w:trPr>
        <w:tc>
          <w:tcPr>
            <w:tcW w:w="9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made (1)</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Fair value adjustment (2)</w:t>
            </w:r>
          </w:p>
        </w:tc>
        <w:tc>
          <w:tcPr>
            <w:tcW w:w="20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260</w:t>
            </w:r>
          </w:p>
        </w:tc>
      </w:tr>
      <w:tr>
        <w:trPr>
          <w:trHeight w:val="27"/>
        </w:trPr>
        <w:tc>
          <w:tcPr>
            <w:tcW w:w="9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November 2,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6,479</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520" w:hanging="332"/>
        <w:spacing w:after="0" w:line="274"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payment is reflected in the statements of cash flows as cash used in financing activities related to the liability recognized at fair value as of the acquisition date and as cash provided by operating activities related to the fair value adjustments previously recognized in earnings.</w:t>
      </w: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Recorded in research and development expense in the consolidated statements of income.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90"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On June 30, 2009, the Company issued the 2014 Notes with semi-annual fixed interest payments due on January 1 and July 1 of each year, commencing January 1, 2010. On June 6, 2013, the Company redeemed the 2014 Notes. Based on quotes received from third-party banks, the fair value of the 2014 Notes as of November 3, 2012 was $402.5 million and is classified as a Level 1 measurement according to the fair value hierarchy.</w:t>
      </w:r>
    </w:p>
    <w:p>
      <w:pPr>
        <w:spacing w:after="0" w:line="11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 April 4, 2011, the Company issued $375.0 million aggregate principal amount of 3.0% senior unsecured notes due April 15, 2016 (the 2016 Notes) with semi-annual fixed interest payments due on April 15 and October 15 of each year, commencing October 15, 2011. Based on quotes received from third-party banks, the fair value of the 2016 Notes as of November 2, 2013 and November 3, 2012 was $392.8 million and $402.3 million, respectively and is classified as a Level 1 measurement according to the fair value hierarchy.</w:t>
      </w:r>
    </w:p>
    <w:p>
      <w:pPr>
        <w:spacing w:after="0" w:line="5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On June 3, 2013, the Company issued $500.0 million aggregate principal amount of 2.875% senior unsecured notes due June 1, 2023 (the 2023 Notes) with semi-annual fixed interest payments due on June 1 and December 1 of each year, commencing December 1, 2013. Based on quotes received from third-party banks, the fair value of the 2023 Notes as of November 2, 2013 was $466.0 million and is classified as a Level 1 measurement according to the fair value hierarchy.</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contingencies at the date of the financial statements and the reported amounts of revenue and expenses during the reporting period. Such estimates relate to the useful lives of fixed assets and identified intangible assets, allowances for doubtful accounts and customer returns, the net realizable value of inventory, potential reserves relating to litigation matters, accrued liabilities, accrued taxes, deferred tax valuation allowances, assumptions pertaining to share-based payments and other reserves. Actual results could differ from those estimates and such differences may be material to the financial statements.</w:t>
      </w:r>
    </w:p>
    <w:p>
      <w:pPr>
        <w:spacing w:after="0" w:line="8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13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investments and trade accounts receivable.</w:t>
      </w:r>
    </w:p>
    <w:p>
      <w:pPr>
        <w:spacing w:after="0" w:line="7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maintains cash, cash equivalents and short-term and long-term investments with high credit quality counterparties, continuously monitors the amount of credit exposure to any one issuer and diversifies its investments in order to minimize its credit risk.</w:t>
      </w:r>
    </w:p>
    <w:p>
      <w:pPr>
        <w:spacing w:after="0" w:line="76"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The Company sells its products to distributors and original equipment manufacturers involved in a variety of industries including industrial process automation, instrumentation, defense/aerospace, automotive, communications, computers and computer peripherals and consumer electronics. The Company has adopted credit policies and standards to accommodate growth in these markets. The Company performs continuing credit evaluations of its customers’ financial condition and although the Company generally does not require collateral, the Company may require letters of credit from customers in certain circumstances. The Company provides reserves for estimated amounts of accounts receivable that may not be collected.</w:t>
      </w:r>
    </w:p>
    <w:p>
      <w:pPr>
        <w:spacing w:after="0" w:line="6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m.</w:t>
      </w:r>
      <w:r>
        <w:rPr>
          <w:sz w:val="20"/>
          <w:szCs w:val="20"/>
          <w:color w:val="auto"/>
        </w:rPr>
        <w:tab/>
      </w:r>
      <w:r>
        <w:rPr>
          <w:rFonts w:ascii="Arial" w:cs="Arial" w:eastAsia="Arial" w:hAnsi="Arial"/>
          <w:sz w:val="15"/>
          <w:szCs w:val="15"/>
          <w:b w:val="1"/>
          <w:bCs w:val="1"/>
          <w:i w:val="1"/>
          <w:iCs w:val="1"/>
          <w:color w:val="auto"/>
        </w:rPr>
        <w:t>Concentration of Other Risks</w:t>
      </w:r>
    </w:p>
    <w:p>
      <w:pPr>
        <w:spacing w:after="0" w:line="131"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In addition, the semiconductor market has historically been cyclical and subject to significant economic downturns at various times. The Company is exposed to the risk of obsolescence of its inventory depending on the mix of future business. Additionally, a large portion of the Company’s purchases of external wafer and foundry services are from a limited number of suppliers, primarily Taiwan Semiconductor Manufacturing Company (TSMC). If TSMC or any of the Company’s other key suppliers are unable or unwilling to manufacture and deliver sufficient quantities of components, on the time schedule and of the quality that the Company requires, the Company may be forced to engage additional or replacement suppliers, which could result in significant expenses and disruptions or delays in manufacturing, product development and shipment of product to the Company’s customers. Although the Company has experienced shortages of components, materials and external foundry services from time to time, these items have generally been available to the Company as needed.</w:t>
      </w:r>
    </w:p>
    <w:p>
      <w:pPr>
        <w:spacing w:after="0" w:line="7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n.</w:t>
      </w:r>
      <w:r>
        <w:rPr>
          <w:sz w:val="20"/>
          <w:szCs w:val="20"/>
          <w:color w:val="auto"/>
        </w:rPr>
        <w:tab/>
      </w:r>
      <w:r>
        <w:rPr>
          <w:rFonts w:ascii="Arial" w:cs="Arial" w:eastAsia="Arial" w:hAnsi="Arial"/>
          <w:sz w:val="15"/>
          <w:szCs w:val="15"/>
          <w:b w:val="1"/>
          <w:bCs w:val="1"/>
          <w:i w:val="1"/>
          <w:iCs w:val="1"/>
          <w:color w:val="auto"/>
        </w:rPr>
        <w:t>Revenue Recognition</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Revenue from product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12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all regions of the world, the Company defers revenue and the related cost of sales on shipments to distributors until the distributors resell the products to their customers. As a result, the Company’s revenue fully reflects end customer purchases and is not impacted by distributor inventory levels. Sales to distributors are made under agreements that allow distributors to receive price-adjustment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12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Distributors are granted price-adjustment credits for sales to their customers when the distributor’s standard cost (i.e., the Company’s sales price to the distributor) does not provide the distributor with an appropriate margin on its sales to its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customers. As distributors negotiate selling prices with their customers, the final sales price agreed upon with the customer will be influenced by many factors, including the particular product being sold, the quantity ordered, the particular customer, the geographic location of the distributor and the competitive landscape. As a result, the distributor may request and receive a price-adjustment credit from the Company to allow the distributor to earn an appropriate margin on the transaction.</w:t>
      </w:r>
    </w:p>
    <w:p>
      <w:pPr>
        <w:spacing w:after="0" w:line="133"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Distributors are also granted price-adjustment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the specific product in the distributor’s inventory at the time of the price decrease.</w:t>
      </w:r>
    </w:p>
    <w:p>
      <w:pPr>
        <w:spacing w:after="0" w:line="9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Given the uncertainties associated with the levels of price-adjustment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127"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 Shipping costs are charged to cost of sales as incurred.</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price-adjustment credits granted to distributors historically have not exceeded the margins the Company earns on sales of its products. The Company continuously monitors the level and nature of product returns and is in frequent contact with the distributors to ensure reserves are established for all known material issues.</w:t>
      </w:r>
    </w:p>
    <w:p>
      <w:pPr>
        <w:spacing w:after="0" w:line="13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As of November 2, 2013 and November 3, 2012, the Company had gross deferred revenue of $309.2 million and $299.0 million, respectively, and gross deferred cost of sales of $61.8 million and $60.5 million, respectively. Deferred income on shipments to distributors increased in fiscal 2013 primarily as a result of a mix shift in favor of higher margin products sold into the channel.</w:t>
      </w:r>
    </w:p>
    <w:p>
      <w:pPr>
        <w:spacing w:after="0" w:line="127"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The Company generally offers a twelve-month warranty for its products. The Company’s warranty policy provides for replacement of defective products. Specific accruals are recorded for known product warranty issues. Product warranty expenses during fiscal 2013, 2012 and 2011 were not material.</w:t>
      </w:r>
    </w:p>
    <w:p>
      <w:pPr>
        <w:spacing w:after="0" w:line="7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Accumulated Other Comprehensive (Loss) Income</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Other comprehensive (loss) income includes certain transactions that have generally been reported in the consolidated statement of shareholders’ equity.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at November 2, 2013 and November 3, 2012 consisted of the following, net of tax: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Unrealized gains on available-for-sale securities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on available-for-sale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Unrealized gains on derivative instruments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9,097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1,165</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Prior service cost</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4,076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4,079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Transition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Net actuarial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(94,638)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(70,539)</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accumulated other comprehensive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(64,394)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of November 2, 2013, the Company held 137 investment securities, 31 of which were in an unrealized loss position with gross unrealized losses of $0.5 million and an aggregate fair value of $972.2 million. As of November 3, 2012, the Company held 88 investment securities, 29 of which were in an unrealized loss position with gross unrealized losses of $0.5 million and an aggregate fair value of $1,214.1 million. These unrealized losses were primarily related to corporate obligations that earn lower interest rates than current market rates. None of these investments have been in a loss position for more than twelve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1" w:right="2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months. As the Company does not intend to sell these investments and it is unlikely that the Company will be required to sell the investments before recovery of their amortized basis, which will be at maturity, the Company does not consider those investments to be other-than-temporarily impaired at November 2, 2013 and November 3, 2012.</w:t>
      </w:r>
    </w:p>
    <w:p>
      <w:pPr>
        <w:spacing w:after="0" w:line="12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Advertising Expense</w:t>
      </w:r>
    </w:p>
    <w:p>
      <w:pPr>
        <w:spacing w:after="0" w:line="13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Advertising costs are expensed as incurred. Advertising expense was approximately $3.3 million in fiscal 2013, $3.9 million in fiscal 2012 and $4.2 million in fiscal 2011.</w:t>
      </w:r>
    </w:p>
    <w:p>
      <w:pPr>
        <w:spacing w:after="0" w:line="7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Deferred tax assets and liabilities are determined based on the differences between financial reporting and tax basis of assets and liabilities and are measured using the enacted income tax rates and laws that are expected to be in effect when the temporary differences are expected to reverse. Additionally, deferred tax assets and liabilities are separated into current and non-current amounts based on the classification of the related assets and liabilities for financial reporting purposes.</w:t>
      </w:r>
    </w:p>
    <w:p>
      <w:pPr>
        <w:spacing w:after="0" w:line="9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 of Common Stock</w:t>
      </w:r>
    </w:p>
    <w:p>
      <w:pPr>
        <w:spacing w:after="0" w:line="90"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in-the-money stock options. Potential shares related to certain of the Company’s outstanding stock options were excluded because they were anti-dilutive. Those potential shares, determined based on the weighted average exercise prices during the respective years, related to the Company’s outstanding stock options could be dilutive in the future.</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Borders>
              <w:bottom w:val="single" w:sz="8" w:color="CCEEFF"/>
            </w:tcBorders>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17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673,487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651,236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860,894</w:t>
            </w:r>
          </w:p>
        </w:tc>
        <w:tc>
          <w:tcPr>
            <w:tcW w:w="0" w:type="dxa"/>
            <w:vAlign w:val="bottom"/>
          </w:tcPr>
          <w:p>
            <w:pPr>
              <w:spacing w:after="0"/>
              <w:rPr>
                <w:sz w:val="1"/>
                <w:szCs w:val="1"/>
                <w:color w:val="auto"/>
              </w:rPr>
            </w:pP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color w:val="auto"/>
              </w:rPr>
              <w:t>Gain on sale of discontinued operations, net of tax</w:t>
            </w:r>
          </w:p>
        </w:tc>
        <w:tc>
          <w:tcPr>
            <w:tcW w:w="17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673,487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651,236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867,394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Basic shares:</w:t>
            </w:r>
          </w:p>
        </w:tc>
        <w:tc>
          <w:tcPr>
            <w:tcW w:w="1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vMerge w:val="continue"/>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w:t>
            </w:r>
          </w:p>
        </w:tc>
        <w:tc>
          <w:tcPr>
            <w:tcW w:w="17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307,763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298,761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299,417</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Earnings per share-basic:</w:t>
            </w:r>
          </w:p>
        </w:tc>
        <w:tc>
          <w:tcPr>
            <w:tcW w:w="1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vMerge w:val="continue"/>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net of tax</w:t>
            </w:r>
          </w:p>
        </w:tc>
        <w:tc>
          <w:tcPr>
            <w:tcW w:w="17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7"/>
        </w:trPr>
        <w:tc>
          <w:tcPr>
            <w:tcW w:w="5020" w:type="dxa"/>
            <w:vAlign w:val="bottom"/>
          </w:tcPr>
          <w:p>
            <w:pPr>
              <w:ind w:left="180"/>
              <w:spacing w:after="0"/>
              <w:rPr>
                <w:sz w:val="20"/>
                <w:szCs w:val="20"/>
                <w:color w:val="auto"/>
              </w:rPr>
            </w:pPr>
            <w:r>
              <w:rPr>
                <w:rFonts w:ascii="Arial" w:cs="Arial" w:eastAsia="Arial" w:hAnsi="Arial"/>
                <w:sz w:val="18"/>
                <w:szCs w:val="18"/>
                <w:color w:val="auto"/>
              </w:rPr>
              <w:t>Total income from discontinued operations, net of tax</w:t>
            </w:r>
          </w:p>
        </w:tc>
        <w:tc>
          <w:tcPr>
            <w:tcW w:w="17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0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Diluted shares:</w:t>
            </w:r>
          </w:p>
        </w:tc>
        <w:tc>
          <w:tcPr>
            <w:tcW w:w="1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vMerge w:val="continue"/>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w:t>
            </w:r>
          </w:p>
        </w:tc>
        <w:tc>
          <w:tcPr>
            <w:tcW w:w="1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307,763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298,761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299,417</w:t>
            </w: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Assumed exercise of common stock equivalents</w:t>
            </w:r>
          </w:p>
        </w:tc>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8,819</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and common equivalent shares</w:t>
            </w:r>
          </w:p>
        </w:tc>
        <w:tc>
          <w:tcPr>
            <w:tcW w:w="17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314,041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306,191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308,236</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Earnings per share-diluted:</w:t>
            </w:r>
          </w:p>
        </w:tc>
        <w:tc>
          <w:tcPr>
            <w:tcW w:w="1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vMerge w:val="continue"/>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net of tax</w:t>
            </w:r>
          </w:p>
        </w:tc>
        <w:tc>
          <w:tcPr>
            <w:tcW w:w="17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7"/>
        </w:trPr>
        <w:tc>
          <w:tcPr>
            <w:tcW w:w="5020" w:type="dxa"/>
            <w:vAlign w:val="bottom"/>
          </w:tcPr>
          <w:p>
            <w:pPr>
              <w:ind w:left="180"/>
              <w:spacing w:after="0"/>
              <w:rPr>
                <w:sz w:val="20"/>
                <w:szCs w:val="20"/>
                <w:color w:val="auto"/>
              </w:rPr>
            </w:pPr>
            <w:r>
              <w:rPr>
                <w:rFonts w:ascii="Arial" w:cs="Arial" w:eastAsia="Arial" w:hAnsi="Arial"/>
                <w:sz w:val="18"/>
                <w:szCs w:val="18"/>
                <w:color w:val="auto"/>
              </w:rPr>
              <w:t>Total income from discontinued operations, net of tax</w:t>
            </w:r>
          </w:p>
        </w:tc>
        <w:tc>
          <w:tcPr>
            <w:tcW w:w="17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0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Anti-dilutive shares related to:</w:t>
            </w:r>
          </w:p>
        </w:tc>
        <w:tc>
          <w:tcPr>
            <w:tcW w:w="1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vMerge w:val="continue"/>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stock options</w:t>
            </w:r>
          </w:p>
        </w:tc>
        <w:tc>
          <w:tcPr>
            <w:tcW w:w="1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9,526</w:t>
            </w:r>
          </w:p>
        </w:tc>
        <w:tc>
          <w:tcPr>
            <w:tcW w:w="0" w:type="dxa"/>
            <w:vAlign w:val="bottom"/>
          </w:tcPr>
          <w:p>
            <w:pPr>
              <w:spacing w:after="0"/>
              <w:rPr>
                <w:sz w:val="1"/>
                <w:szCs w:val="1"/>
                <w:color w:val="auto"/>
              </w:rPr>
            </w:pPr>
          </w:p>
        </w:tc>
      </w:tr>
      <w:tr>
        <w:trPr>
          <w:trHeight w:val="675"/>
        </w:trPr>
        <w:tc>
          <w:tcPr>
            <w:tcW w:w="5020" w:type="dxa"/>
            <w:vAlign w:val="bottom"/>
          </w:tcPr>
          <w:p>
            <w:pPr>
              <w:spacing w:after="0"/>
              <w:rPr>
                <w:sz w:val="24"/>
                <w:szCs w:val="24"/>
                <w:color w:val="auto"/>
              </w:rPr>
            </w:pPr>
          </w:p>
        </w:tc>
        <w:tc>
          <w:tcPr>
            <w:tcW w:w="1720" w:type="dxa"/>
            <w:vAlign w:val="bottom"/>
          </w:tcPr>
          <w:p>
            <w:pPr>
              <w:jc w:val="right"/>
              <w:ind w:right="850"/>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Stock-based compensation is measured at the grant date based on the grant-date fair value of the awards ultimately expected to vest, and is recognized as an expense on a straight-line basis over the vesting period, which is generally five years for stock options and three years for restricted stock units. Determining the amount of stock-based compensation to be recorded requires the Company to develop estimates used in calculating the grant-date fair value of stock options. The Company calculates the grant-date fair value of stock options using the Black-Scholes valuation model. The use of valuation models requires the Company to make estimates and assumptions such as expected volatility, expected term, risk-free interest rate, expected dividend yield and forfeiture rates. The grant-date fair value of restricted stock units represents the value of the Company's common stock on the date of grant, reduced by the present value of dividends expected to be paid on the Company's common stock prior to vesting.</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3 for additional information relating to stock-based compensation.</w:t>
      </w:r>
    </w:p>
    <w:p>
      <w:pPr>
        <w:spacing w:after="0" w:line="131" w:lineRule="exact"/>
        <w:rPr>
          <w:sz w:val="20"/>
          <w:szCs w:val="20"/>
          <w:color w:val="auto"/>
        </w:rPr>
      </w:pPr>
    </w:p>
    <w:p>
      <w:pPr>
        <w:ind w:right="8200" w:firstLine="332"/>
        <w:spacing w:after="0" w:line="387" w:lineRule="auto"/>
        <w:tabs>
          <w:tab w:leader="none" w:pos="648" w:val="left"/>
        </w:tabs>
        <w:numPr>
          <w:ilvl w:val="0"/>
          <w:numId w:val="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New Accounting Pronouncements </w:t>
      </w:r>
      <w:r>
        <w:rPr>
          <w:rFonts w:ascii="Arial" w:cs="Arial" w:eastAsia="Arial" w:hAnsi="Arial"/>
          <w:sz w:val="16"/>
          <w:szCs w:val="16"/>
          <w:i w:val="1"/>
          <w:iCs w:val="1"/>
          <w:color w:val="auto"/>
        </w:rPr>
        <w:t>Standards Implemented</w:t>
      </w:r>
    </w:p>
    <w:p>
      <w:pPr>
        <w:ind w:left="440"/>
        <w:spacing w:after="0"/>
        <w:rPr>
          <w:rFonts w:ascii="Arial" w:cs="Arial" w:eastAsia="Arial" w:hAnsi="Arial"/>
          <w:sz w:val="16"/>
          <w:szCs w:val="16"/>
          <w:b w:val="1"/>
          <w:bCs w:val="1"/>
          <w:i w:val="1"/>
          <w:iCs w:val="1"/>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 xml:space="preserve">In June 2011, the Financial Accounting Standards Board (FASB) issued Accounting Standards Update (ASU) No. 2011-05, </w:t>
      </w:r>
      <w:r>
        <w:rPr>
          <w:rFonts w:ascii="Arial" w:cs="Arial" w:eastAsia="Arial" w:hAnsi="Arial"/>
          <w:sz w:val="16"/>
          <w:szCs w:val="16"/>
          <w:i w:val="1"/>
          <w:iCs w:val="1"/>
          <w:color w:val="auto"/>
        </w:rPr>
        <w:t>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(ASU No. 2011-05). ASU No. 2011-05 amended Accounting Standards Codification (ASC) 220,</w:t>
      </w:r>
      <w:r>
        <w:rPr>
          <w:rFonts w:ascii="Arial" w:cs="Arial" w:eastAsia="Arial" w:hAnsi="Arial"/>
          <w:sz w:val="16"/>
          <w:szCs w:val="16"/>
          <w:i w:val="1"/>
          <w:iCs w:val="1"/>
          <w:color w:val="auto"/>
        </w:rPr>
        <w:t xml:space="preserve"> Comprehensive Income, </w:t>
      </w:r>
      <w:r>
        <w:rPr>
          <w:rFonts w:ascii="Arial" w:cs="Arial" w:eastAsia="Arial" w:hAnsi="Arial"/>
          <w:sz w:val="16"/>
          <w:szCs w:val="16"/>
          <w:color w:val="auto"/>
        </w:rPr>
        <w:t>to converge</w:t>
      </w:r>
      <w:r>
        <w:rPr>
          <w:rFonts w:ascii="Arial" w:cs="Arial" w:eastAsia="Arial" w:hAnsi="Arial"/>
          <w:sz w:val="16"/>
          <w:szCs w:val="16"/>
          <w:i w:val="1"/>
          <w:iCs w:val="1"/>
          <w:color w:val="auto"/>
        </w:rPr>
        <w:t xml:space="preserve"> </w:t>
      </w:r>
      <w:r>
        <w:rPr>
          <w:rFonts w:ascii="Arial" w:cs="Arial" w:eastAsia="Arial" w:hAnsi="Arial"/>
          <w:sz w:val="16"/>
          <w:szCs w:val="16"/>
          <w:color w:val="auto"/>
        </w:rPr>
        <w:t>the presentation of comprehensive income between U.S. GAAP and IFRS. ASU No. 2011-05 requires that all non-owner changes in stockholders’ equity be presented in either a single continuous statement of comprehensive income or in two separate but consecutive statements and requires reclassification adjustments for items that are reclassified from other comprehensive income to net income in the statements where the components of net income and the components of other comprehensive income are presented. ASU No. 2011-05 eliminates the option to present the components of other comprehensive income as part of the statement in changes of stockholders' equity. ASU No. 2011-05 was effective for fiscal years, and interim periods within those years, beginning after December 15, 2011, which was the Company’s first quarter of fiscal year 2013. The adoption of ASU No. 2011-05 in the first quarter of fiscal 2013 affected the presentation of comprehensive income but did not impact the Company’s financial condition or results of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to be Implemented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Balance Sheet</w:t>
      </w:r>
    </w:p>
    <w:p>
      <w:pPr>
        <w:spacing w:after="0" w:line="90"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 xml:space="preserve">In December 2011, the FASB issued ASU No. 2011-11, </w:t>
      </w:r>
      <w:r>
        <w:rPr>
          <w:rFonts w:ascii="Arial" w:cs="Arial" w:eastAsia="Arial" w:hAnsi="Arial"/>
          <w:sz w:val="17"/>
          <w:szCs w:val="17"/>
          <w:i w:val="1"/>
          <w:iCs w:val="1"/>
          <w:color w:val="auto"/>
        </w:rPr>
        <w:t>Disclosures about Offsetting Assets and Liabilities</w:t>
      </w:r>
      <w:r>
        <w:rPr>
          <w:rFonts w:ascii="Arial" w:cs="Arial" w:eastAsia="Arial" w:hAnsi="Arial"/>
          <w:sz w:val="17"/>
          <w:szCs w:val="17"/>
          <w:color w:val="auto"/>
        </w:rPr>
        <w:t xml:space="preserve"> (ASU No. 2011-11). ASU No. 2011-11 amended ASC 210, </w:t>
      </w:r>
      <w:r>
        <w:rPr>
          <w:rFonts w:ascii="Arial" w:cs="Arial" w:eastAsia="Arial" w:hAnsi="Arial"/>
          <w:sz w:val="17"/>
          <w:szCs w:val="17"/>
          <w:i w:val="1"/>
          <w:iCs w:val="1"/>
          <w:color w:val="auto"/>
        </w:rPr>
        <w:t>Balance Sheet,</w:t>
      </w:r>
      <w:r>
        <w:rPr>
          <w:rFonts w:ascii="Arial" w:cs="Arial" w:eastAsia="Arial" w:hAnsi="Arial"/>
          <w:sz w:val="17"/>
          <w:szCs w:val="17"/>
          <w:color w:val="auto"/>
        </w:rPr>
        <w:t xml:space="preserve"> to converge the presentation of offsetting assets and liabilities between U.S. GAAP and IFRS. ASU No. 2011-11 requires that entities disclose both gross information and net information about both instruments and transactions eligible for offset in the statement of financial position and instruments and transactions subject to an agreement similar to a master netting arrangement. ASU No. 2011-11 is effective for fiscal years, and interim periods within those years, beginning after January 1, 2013, which is the Company’s fiscal year 2014. Subsequently, in January 2013, the FASB issued ASU No. 2013-01, </w:t>
      </w:r>
      <w:r>
        <w:rPr>
          <w:rFonts w:ascii="Arial" w:cs="Arial" w:eastAsia="Arial" w:hAnsi="Arial"/>
          <w:sz w:val="17"/>
          <w:szCs w:val="17"/>
          <w:i w:val="1"/>
          <w:iCs w:val="1"/>
          <w:color w:val="auto"/>
        </w:rPr>
        <w:t>Clarifying the Scope of Disclosures about offsetting Assets and Liabilities</w:t>
      </w:r>
      <w:r>
        <w:rPr>
          <w:rFonts w:ascii="Arial" w:cs="Arial" w:eastAsia="Arial" w:hAnsi="Arial"/>
          <w:sz w:val="17"/>
          <w:szCs w:val="17"/>
          <w:color w:val="auto"/>
        </w:rPr>
        <w:t>, which clarifies that the scope of ASU No. 2011-11 applies to derivatives accounted for in accordance with Topic 815, Derivatives and Hedging, including bifurcated embedded derivatives, repurchase agreements and reverse repurchase agreements, and securities borrowing and securities lending transactions that are either offset in accordance with Section 210-20-45 or Section 815-10-45 or subject to an enforceable master netting arrangement or similar agreement. The adoption of ASU No. 2011-11 and ASU No. 2013-01 in the first quarter of fiscal 2014 will require additional disclosures related to offsetting assets and liabilities but will not impact the Company's financial condition or results of operations.</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 xml:space="preserve">In January 2013, the FASB issued ASU No. 2013-02, </w:t>
      </w:r>
      <w:r>
        <w:rPr>
          <w:rFonts w:ascii="Arial" w:cs="Arial" w:eastAsia="Arial" w:hAnsi="Arial"/>
          <w:sz w:val="16"/>
          <w:szCs w:val="16"/>
          <w:i w:val="1"/>
          <w:iCs w:val="1"/>
          <w:color w:val="auto"/>
        </w:rPr>
        <w:t>Reporting of Amounts Reclassified out of Accumulated Other Comprehensive Income</w:t>
      </w:r>
      <w:r>
        <w:rPr>
          <w:rFonts w:ascii="Arial" w:cs="Arial" w:eastAsia="Arial" w:hAnsi="Arial"/>
          <w:sz w:val="16"/>
          <w:szCs w:val="16"/>
          <w:color w:val="auto"/>
        </w:rPr>
        <w:t xml:space="preserve"> (ASU No. 2013-02), which seeks to improve the reporting of reclassifications out of accumulated other comprehensive income by requiring an entity to report the effect of significant reclassifications out of accumulated other comprehensive income on the respective line items in net income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The amendments in ASU No. 2013-02 supersede the presentation requirements for reclassifications out of accumulated other comprehensive income in ASU No.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xml:space="preserve">, and ASU No. 2011-12, </w:t>
      </w:r>
      <w:r>
        <w:rPr>
          <w:rFonts w:ascii="Arial" w:cs="Arial" w:eastAsia="Arial" w:hAnsi="Arial"/>
          <w:sz w:val="16"/>
          <w:szCs w:val="16"/>
          <w:i w:val="1"/>
          <w:iCs w:val="1"/>
          <w:color w:val="auto"/>
        </w:rPr>
        <w:t>Deferral of the Effective Date for</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Amendments to the Presentation of Reclassifications of Items Out of Accumulated Other Comprehensive Income in Accounting Standards Update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1" w:right="2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No. 2011-05</w:t>
      </w:r>
      <w:r>
        <w:rPr>
          <w:rFonts w:ascii="Arial" w:cs="Arial" w:eastAsia="Arial" w:hAnsi="Arial"/>
          <w:sz w:val="18"/>
          <w:szCs w:val="18"/>
          <w:color w:val="auto"/>
        </w:rPr>
        <w:t>. ASU No. 2013-02 is effective for fiscal years, and interim periods within those years, beginning after December 15, 2012, which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first quarter of fiscal year 2014. The adoption of ASU No. 2013-02 in the first quarter of fiscal 2014 will affect the presentation of comprehensive income but will not impact the Company's financial condition or results of operations.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 xml:space="preserve">In July 2013, the FASB issued ASU No. 2013-11, </w:t>
      </w:r>
      <w:r>
        <w:rPr>
          <w:rFonts w:ascii="Arial" w:cs="Arial" w:eastAsia="Arial" w:hAnsi="Arial"/>
          <w:sz w:val="17"/>
          <w:szCs w:val="17"/>
          <w:i w:val="1"/>
          <w:iCs w:val="1"/>
          <w:color w:val="auto"/>
        </w:rPr>
        <w:t>Presentation of an Unrecognized Tax Benefit When a Net Operating Loss Carryforward, a Similar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 Loss, or a Tax Credit Carryforward Exists </w:t>
      </w:r>
      <w:r>
        <w:rPr>
          <w:rFonts w:ascii="Arial" w:cs="Arial" w:eastAsia="Arial" w:hAnsi="Arial"/>
          <w:sz w:val="17"/>
          <w:szCs w:val="17"/>
          <w:color w:val="auto"/>
        </w:rPr>
        <w:t>(ASU No. 2013-11). ASU No. 2013-11 requires that an unrecognized tax benefit, or a portion of an</w:t>
      </w:r>
      <w:r>
        <w:rPr>
          <w:rFonts w:ascii="Arial" w:cs="Arial" w:eastAsia="Arial" w:hAnsi="Arial"/>
          <w:sz w:val="17"/>
          <w:szCs w:val="17"/>
          <w:i w:val="1"/>
          <w:iCs w:val="1"/>
          <w:color w:val="auto"/>
        </w:rPr>
        <w:t xml:space="preserve"> </w:t>
      </w:r>
      <w:r>
        <w:rPr>
          <w:rFonts w:ascii="Arial" w:cs="Arial" w:eastAsia="Arial" w:hAnsi="Arial"/>
          <w:sz w:val="17"/>
          <w:szCs w:val="17"/>
          <w:color w:val="auto"/>
        </w:rPr>
        <w:t>unrecognized tax benefit, should be presented as a reduction to a deferred tax asset for a net operating loss carryforward, a similar tax loss or a tax credit carryforward, with certain exceptions. ASU No. 2013-11 is effective for fiscal years, and interim periods within those years, beginning after December 15, 2013, which is the Company's first quarter of fiscal year 2015. The adoption of ASU No. 2013-11 in the first quarter of fiscal 2015 will affect the presentation of our unrecognized tax benefits but will not impact the Company's financial condition or results of operations.</w:t>
      </w:r>
    </w:p>
    <w:p>
      <w:pPr>
        <w:spacing w:after="0" w:line="8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u.</w:t>
      </w:r>
      <w:r>
        <w:rPr>
          <w:sz w:val="20"/>
          <w:szCs w:val="20"/>
          <w:color w:val="auto"/>
        </w:rPr>
        <w:tab/>
      </w:r>
      <w:r>
        <w:rPr>
          <w:rFonts w:ascii="Arial" w:cs="Arial" w:eastAsia="Arial" w:hAnsi="Arial"/>
          <w:sz w:val="15"/>
          <w:szCs w:val="15"/>
          <w:b w:val="1"/>
          <w:bCs w:val="1"/>
          <w:i w:val="1"/>
          <w:iCs w:val="1"/>
          <w:color w:val="auto"/>
        </w:rPr>
        <w:t>Discontinued Operations</w:t>
      </w:r>
    </w:p>
    <w:p>
      <w:pPr>
        <w:spacing w:after="0" w:line="131"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In September 2007, the Company entered into a definitive agreement to sell its Baseband Chipset Business to MediaTek Inc. The decision to sell the Baseband Chipset Business was due to the Company’s decision to focus its resources in areas where its signal processing expertise can provide unique capabilities and earn superior returns. During fiscal 2008, the Company completed the sale of its Baseband Chipset Business for net cash proceeds of $269 million. The Company made cash payments of $1.7 million during fiscal 2009 related to retention payments for employees who transferred to MediaTek Inc. and for the reimbursement of intellectual property license fees incurred by MediaTek. During fiscal 2010, the Company received cash proceeds of $62 million as a result of the receipt of a refundable withholding tax and also recorded an additional gain on sale of $0.3 million, or $0.2 million net of tax, due to the settlement of certain items at less than the amounts accrued. In fiscal 2011, additional proceeds of $10 million were released from escrow and $6.5 million net of tax was recorded as additional gain from the sale of discontinued operations. The Company does not expect any additional proceeds from this sale.</w:t>
      </w:r>
    </w:p>
    <w:p>
      <w:pPr>
        <w:spacing w:after="0" w:line="72"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following amounts related to the Baseband Chipset Business have been segregated from continuing operations and reported as discontinued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discontinued operations before income taxes</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8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3,500</w:t>
            </w:r>
          </w:p>
        </w:tc>
      </w:tr>
      <w:tr>
        <w:trPr>
          <w:trHeight w:val="27"/>
        </w:trPr>
        <w:tc>
          <w:tcPr>
            <w:tcW w:w="7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sale of discontinued operations, net of tax</w:t>
            </w: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20" w:right="7100" w:hanging="212"/>
        <w:spacing w:after="0" w:line="393" w:lineRule="auto"/>
        <w:tabs>
          <w:tab w:leader="none" w:pos="184"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and Shareholders’ Equity </w:t>
      </w:r>
      <w:r>
        <w:rPr>
          <w:rFonts w:ascii="Arial" w:cs="Arial" w:eastAsia="Arial" w:hAnsi="Arial"/>
          <w:sz w:val="18"/>
          <w:szCs w:val="18"/>
          <w:i w:val="1"/>
          <w:iCs w:val="1"/>
          <w:u w:val="single" w:color="auto"/>
          <w:color w:val="auto"/>
        </w:rPr>
        <w:t>Equity Compensation Plans</w:t>
      </w:r>
    </w:p>
    <w:p>
      <w:pPr>
        <w:spacing w:after="0" w:line="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Company grants, or has granted, stock options and other stock and stock-based awards under The 2006 Stock Incentive Plan (2006 Plan). The 2006 Plan was approved by the Company’s Board of Directors on January 23, 2006 and was approved by shareholders on March 14, 2006 and subsequently amended in March 2006, June 2009, September 2009, December 2009, December 2010 and June 2011. The 2006 Plan provides for the grant of up to 15 million shares of the Company’s common stock, plus such number of additional shares that were subject to outstanding options under the Company’s previous plans that are not issued because the applicable option award subsequently terminates or expires without being exercised. The 2006 Plan provides for the grant of incentive stock options intended to qualify under Section 422 of the Internal Revenue Code of 1986, as amended, non-statutory stock options, stock appreciation rights, restricted stock, restricted stock units and other stock-based awards. Employees, officers, directors, consultants and advisors of the Company and its subsidiaries are eligible to be granted awards under the 2006 Plan. No award may be made under the 2006 Plan after March 13, 2016, but awards previously granted may extend beyond that date. The Company will not grant further options under any previous plans.</w:t>
      </w:r>
    </w:p>
    <w:p>
      <w:pPr>
        <w:spacing w:after="0" w:line="72"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While the Company may grant to employees options that become exercisable at different times or within different periods, the Company has generally granted to employees options that vest over five years and become exercisable in annual installments of 20% on each of the first, second, third, fourth and fifth anniversaries of the date of grant; 33.3% on each of the third, fourth, and fifth anniversaries of the date of grant; or in annual installments of 25% on each of the second, third, fourth and fifth anniversaries of the date of grant. The maximum contractual term of all options is ten years. In addition, the Company has granted to employees restricted stock units that generally vest in one installment on the third anniversary of the grant 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8"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 of November 2, 2013, a total of 3,353,057 common shares were available for future grant under the 2006 Plan and 24,837,852 common shares were reserved for issuance under the 2006 Plan and the Company's previous plans.</w:t>
      </w:r>
    </w:p>
    <w:p>
      <w:pPr>
        <w:spacing w:after="0" w:line="170"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Stock-based compensation is measured at the grant date based on the grant-date fair value of the awards ultimately expected to vest, and is recognized as an expense on a straight-line basis over the vesting period, which is generally five years for stock options and three years for restricted stock units. Determining the amount of stock-based compensation to be recorded requires the Company to develop estimates used in calculating the grant-date fair value of stock options.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Grant-Date Fair Value</w:t>
      </w:r>
    </w:p>
    <w:p>
      <w:pPr>
        <w:spacing w:after="0" w:line="225"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Information pertaining to the Company’s stock option awards and the related estimated weighted-average assumptions to calculate the fair value of stock options granted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 Options</w:t>
            </w:r>
          </w:p>
        </w:tc>
        <w:tc>
          <w:tcPr>
            <w:tcW w:w="1540" w:type="dxa"/>
            <w:vAlign w:val="bottom"/>
          </w:tcPr>
          <w:p>
            <w:pPr>
              <w:jc w:val="right"/>
              <w:ind w:right="53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620" w:type="dxa"/>
            <w:vAlign w:val="bottom"/>
            <w:gridSpan w:val="3"/>
            <w:vMerge w:val="restart"/>
          </w:tcPr>
          <w:p>
            <w:pPr>
              <w:ind w:left="40"/>
              <w:spacing w:after="0"/>
              <w:rPr>
                <w:sz w:val="20"/>
                <w:szCs w:val="20"/>
                <w:color w:val="auto"/>
              </w:rPr>
            </w:pPr>
            <w:r>
              <w:rPr>
                <w:rFonts w:ascii="Arial" w:cs="Arial" w:eastAsia="Arial" w:hAnsi="Arial"/>
                <w:sz w:val="18"/>
                <w:szCs w:val="18"/>
                <w:color w:val="auto"/>
              </w:rPr>
              <w:t>Options granted (in thousands)</w:t>
            </w: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620" w:type="dxa"/>
            <w:vAlign w:val="bottom"/>
            <w:gridSpan w:val="3"/>
            <w:vMerge w:val="continue"/>
          </w:tcPr>
          <w:p>
            <w:pPr>
              <w:spacing w:after="0"/>
              <w:rPr>
                <w:sz w:val="20"/>
                <w:szCs w:val="20"/>
                <w:color w:val="auto"/>
              </w:rPr>
            </w:pP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20"/>
                <w:szCs w:val="20"/>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2,456</w:t>
            </w:r>
          </w:p>
        </w:tc>
        <w:tc>
          <w:tcPr>
            <w:tcW w:w="120" w:type="dxa"/>
            <w:vAlign w:val="bottom"/>
          </w:tcPr>
          <w:p>
            <w:pPr>
              <w:spacing w:after="0"/>
              <w:rPr>
                <w:sz w:val="20"/>
                <w:szCs w:val="20"/>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exercise price</w:t>
            </w:r>
          </w:p>
        </w:tc>
        <w:tc>
          <w:tcPr>
            <w:tcW w:w="15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$39.58</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Weighted-average grant-date fair value</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Assumptions:</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volatility</w:t>
            </w:r>
          </w:p>
        </w:tc>
        <w:tc>
          <w:tcPr>
            <w:tcW w:w="15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expected term (in years)</w:t>
            </w:r>
          </w:p>
        </w:tc>
        <w:tc>
          <w:tcPr>
            <w:tcW w:w="15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Weighted-average risk-free interest rate</w:t>
            </w: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expected dividend yield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 (2) 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(4) the remaining maturities of the traded options used to estimate volatility are at least one year.</w:t>
      </w:r>
    </w:p>
    <w:p>
      <w:pPr>
        <w:spacing w:after="0" w:line="21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its employees exhibit similar exercise behavior.</w:t>
      </w:r>
    </w:p>
    <w:p>
      <w:pPr>
        <w:spacing w:after="0" w:line="12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w:t>
      </w:r>
      <w:r>
        <w:rPr>
          <w:rFonts w:ascii="Arial" w:cs="Arial" w:eastAsia="Arial" w:hAnsi="Arial"/>
          <w:sz w:val="18"/>
          <w:szCs w:val="18"/>
          <w:i w:val="1"/>
          <w:iCs w:val="1"/>
          <w:color w:val="auto"/>
        </w:rPr>
        <w:t xml:space="preserve"> </w:t>
      </w:r>
      <w:r>
        <w:rPr>
          <w:rFonts w:ascii="Arial" w:cs="Arial" w:eastAsia="Arial" w:hAnsi="Arial"/>
          <w:sz w:val="18"/>
          <w:szCs w:val="18"/>
          <w:color w:val="auto"/>
        </w:rPr>
        <w:t>used as the risk-free interest rate.</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 Expense</w:t>
      </w:r>
    </w:p>
    <w:p>
      <w:pPr>
        <w:spacing w:after="0" w:line="171"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4.4% to all unvested stock-based awards as of November 2, 2013. The rate of 4.4% represents the portion that is expected to be forfeited each year over the vesting period. This analysis will be re-evaluated quarterly and the forfeiture rate will be adjusted as necessary. Ultimately, the actual expense recognized over the vesting period will only be for those options that vest.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Additional paid-in-capital (APIC) Pool</w:t>
      </w:r>
    </w:p>
    <w:p>
      <w:pPr>
        <w:spacing w:after="0" w:line="90"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The APIC pool represents the excess tax benefits related to share-based compensation that are available to absorb future tax deficiencies. If the amount of future tax deficiencies is greater than the available APIC pool, the Company records the excess as income tax expense in its consolidated statements of income. For fiscal year 2013, the Company had a sufficient APIC pool to cover any tax deficiencies recorded and as a result, these deficiencies did not affect its results of operations. During fiscal years 2012 and 2011, the Company recognized an immaterial amount of income tax expense resulting from tax shortfalls related to share-based compensation in its consolidated statements of income.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 Activity</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 summary of the activity under the Company’s stock option plans as of November 2, 2013 and changes during the fiscal year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4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November 3, 2012</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26,453</w:t>
            </w:r>
          </w:p>
        </w:tc>
        <w:tc>
          <w:tcPr>
            <w:tcW w:w="1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$31.73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2,407</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(9,649)</w:t>
            </w:r>
          </w:p>
        </w:tc>
        <w:tc>
          <w:tcPr>
            <w:tcW w:w="1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$31.73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Options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(185)</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$40.89</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Options outstanding at November 2, 2013</w:t>
            </w:r>
          </w:p>
        </w:tc>
        <w:tc>
          <w:tcPr>
            <w:tcW w:w="15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18,992</w:t>
            </w:r>
          </w:p>
        </w:tc>
        <w:tc>
          <w:tcPr>
            <w:tcW w:w="160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8"/>
                <w:szCs w:val="18"/>
                <w:color w:val="auto"/>
              </w:rPr>
              <w:t>$33.56</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$306,077</w:t>
            </w:r>
          </w:p>
        </w:tc>
        <w:tc>
          <w:tcPr>
            <w:tcW w:w="0" w:type="dxa"/>
            <w:vAlign w:val="bottom"/>
          </w:tcPr>
          <w:p>
            <w:pPr>
              <w:spacing w:after="0"/>
              <w:rPr>
                <w:sz w:val="1"/>
                <w:szCs w:val="1"/>
                <w:color w:val="auto"/>
              </w:rPr>
            </w:pPr>
          </w:p>
        </w:tc>
      </w:tr>
      <w:tr>
        <w:trPr>
          <w:trHeight w:val="251"/>
        </w:trPr>
        <w:tc>
          <w:tcPr>
            <w:tcW w:w="55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Options exercisable at November 2, 2013</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12,100</w:t>
            </w:r>
          </w:p>
        </w:tc>
        <w:tc>
          <w:tcPr>
            <w:tcW w:w="1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$30.93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$226,893</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Options vested or expected to vest at November 2, 2013 (1)</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vMerge w:val="continue"/>
          </w:tcPr>
          <w:p>
            <w:pPr>
              <w:spacing w:after="0"/>
              <w:rPr>
                <w:sz w:val="21"/>
                <w:szCs w:val="21"/>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18,531</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40" w:type="dxa"/>
            <w:vAlign w:val="bottom"/>
          </w:tcPr>
          <w:p>
            <w:pPr>
              <w:ind w:left="460"/>
              <w:spacing w:after="0"/>
              <w:rPr>
                <w:sz w:val="20"/>
                <w:szCs w:val="20"/>
                <w:color w:val="auto"/>
              </w:rPr>
            </w:pPr>
            <w:r>
              <w:rPr>
                <w:rFonts w:ascii="Arial" w:cs="Arial" w:eastAsia="Arial" w:hAnsi="Arial"/>
                <w:sz w:val="18"/>
                <w:szCs w:val="18"/>
                <w:color w:val="auto"/>
              </w:rPr>
              <w:t>$302,569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116" w:lineRule="exact"/>
        <w:rPr>
          <w:sz w:val="20"/>
          <w:szCs w:val="20"/>
          <w:color w:val="auto"/>
        </w:rPr>
      </w:pPr>
    </w:p>
    <w:p>
      <w:pPr>
        <w:jc w:val="both"/>
        <w:ind w:right="100" w:firstLine="432"/>
        <w:spacing w:after="0" w:line="312" w:lineRule="auto"/>
        <w:rPr>
          <w:sz w:val="20"/>
          <w:szCs w:val="20"/>
          <w:color w:val="auto"/>
        </w:rPr>
      </w:pPr>
      <w:r>
        <w:rPr>
          <w:rFonts w:ascii="Arial" w:cs="Arial" w:eastAsia="Arial" w:hAnsi="Arial"/>
          <w:sz w:val="16"/>
          <w:szCs w:val="16"/>
          <w:color w:val="auto"/>
        </w:rPr>
        <w:t>The total intrinsic value of options exercised (i.e. the difference between the market price at exercise and the price paid by the employee to exercise the options) during fiscal 2013, 2012 and 2011 was $128.4 million, $105.4 million and $96.5 million, respectively, and the total amount of proceeds received by the Company from exercise of these options during fiscal 2013, 2012 and 2011 was $306.3 million, $191.8 million and $217.4 million, respectively.</w:t>
      </w:r>
    </w:p>
    <w:p>
      <w:pPr>
        <w:spacing w:after="0" w:line="9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 summary of the Company’s restricted stock unit award activity as of November 2, 2013 and changes during the fiscal year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r>
      <w:tr>
        <w:trPr>
          <w:trHeight w:val="149"/>
        </w:trPr>
        <w:tc>
          <w:tcPr>
            <w:tcW w:w="83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Stock Units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r>
      <w:tr>
        <w:trPr>
          <w:trHeight w:val="149"/>
        </w:trPr>
        <w:tc>
          <w:tcPr>
            <w:tcW w:w="83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Date Fair Value</w:t>
            </w:r>
          </w:p>
        </w:tc>
      </w:tr>
      <w:tr>
        <w:trPr>
          <w:trHeight w:val="192"/>
        </w:trPr>
        <w:tc>
          <w:tcPr>
            <w:tcW w:w="83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November 3, 2012</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3,060</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$33.01</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Units granted</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810</w:t>
            </w:r>
          </w:p>
        </w:tc>
        <w:tc>
          <w:tcPr>
            <w:tcW w:w="1580" w:type="dxa"/>
            <w:vAlign w:val="bottom"/>
            <w:gridSpan w:val="2"/>
          </w:tcPr>
          <w:p>
            <w:pPr>
              <w:jc w:val="right"/>
              <w:ind w:right="48"/>
              <w:spacing w:after="0"/>
              <w:rPr>
                <w:sz w:val="20"/>
                <w:szCs w:val="20"/>
                <w:color w:val="auto"/>
              </w:rPr>
            </w:pPr>
            <w:r>
              <w:rPr>
                <w:rFonts w:ascii="Arial" w:cs="Arial" w:eastAsia="Arial" w:hAnsi="Arial"/>
                <w:sz w:val="18"/>
                <w:szCs w:val="18"/>
                <w:color w:val="auto"/>
              </w:rPr>
              <w:t>$42.37</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Restrictions lapsed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$29.93</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(64)</w:t>
            </w:r>
          </w:p>
        </w:tc>
        <w:tc>
          <w:tcPr>
            <w:tcW w:w="1580" w:type="dxa"/>
            <w:vAlign w:val="bottom"/>
            <w:gridSpan w:val="2"/>
          </w:tcPr>
          <w:p>
            <w:pPr>
              <w:jc w:val="right"/>
              <w:ind w:right="48"/>
              <w:spacing w:after="0"/>
              <w:rPr>
                <w:sz w:val="20"/>
                <w:szCs w:val="20"/>
                <w:color w:val="auto"/>
              </w:rPr>
            </w:pPr>
            <w:r>
              <w:rPr>
                <w:rFonts w:ascii="Arial" w:cs="Arial" w:eastAsia="Arial" w:hAnsi="Arial"/>
                <w:sz w:val="18"/>
                <w:szCs w:val="18"/>
                <w:color w:val="auto"/>
              </w:rPr>
              <w:t>$35.39</w:t>
            </w: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November 2, 2013</w:t>
            </w:r>
          </w:p>
        </w:tc>
        <w:tc>
          <w:tcPr>
            <w:tcW w:w="15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2,493</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$37.62</w:t>
            </w:r>
          </w:p>
        </w:tc>
      </w:tr>
      <w:tr>
        <w:trPr>
          <w:trHeight w:val="20"/>
        </w:trPr>
        <w:tc>
          <w:tcPr>
            <w:tcW w:w="8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As of November 2, 2013, there was $82.5 million of total unrecognized compensation cost related to unvested share-based awards comprised of stock options and restricted stock units. That cost is expected to be recognized over a weighted-average period of 1.4 years. The total grant-date fair value of shares that vested during fiscal 2013, 2012 and 2011 was approximately $63.9 million, $48.6 million and $49.6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Repurchase Program</w:t>
      </w:r>
    </w:p>
    <w:p>
      <w:pPr>
        <w:spacing w:after="0" w:line="90"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The Company’s common stock repurchase program has been in place since August 2004. In the aggregate, the Board of Directors has authorized the Company to repurchase $5.0 billion of the Company’s common stock under the program. Under the program, the Company may repurchase outstanding shares of its common stock from time to time in the open market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through privately negotiated transactions. Unless terminated earlier by resolution of the Company’s Board of Directors, the repurchase program will expire when the Company has repurchased all shares authorized under the program. As of November 2, 2013, the Company had repurchased a total of approximately 130.1 million shares of its common stock for approximately $4,481.6 million under this program. An additional $518.4 million remains available for repurchase of shares under the current authorized program. The repurchased shares are held as authorized but unissued shares of common stock. The Company also, from time to time, repurchases shares in settlement of employee tax withholding obligations due upon the vesting of restricted stock units or the exercise of stock options. The withholding amount is based on the Company's minimum statutory withholding requirement. Any future common stock repurchases will be dependent upon several factors, including the Company's financial performance, outlook, liquidity and the amount of cash the Company has available in the United States.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71" w:lineRule="exact"/>
        <w:rPr>
          <w:sz w:val="20"/>
          <w:szCs w:val="20"/>
          <w:color w:val="auto"/>
        </w:rPr>
      </w:pPr>
    </w:p>
    <w:p>
      <w:pPr>
        <w:ind w:left="80"/>
        <w:spacing w:after="0" w:line="277" w:lineRule="auto"/>
        <w:rPr>
          <w:sz w:val="20"/>
          <w:szCs w:val="20"/>
          <w:color w:val="auto"/>
        </w:rPr>
      </w:pPr>
      <w:r>
        <w:rPr>
          <w:rFonts w:ascii="Arial" w:cs="Arial" w:eastAsia="Arial" w:hAnsi="Arial"/>
          <w:sz w:val="18"/>
          <w:szCs w:val="18"/>
          <w:color w:val="auto"/>
        </w:rPr>
        <w:t>The Company has 471,934 authorized shares of $1.00 par value preferred stock, none of which is issued or outstanding. The Board of Directors is authorized to fix designations, relative rights, preferences and limitations on the preferred stock at the time of issuance.</w:t>
      </w:r>
    </w:p>
    <w:p>
      <w:pPr>
        <w:spacing w:after="0" w:line="200" w:lineRule="exact"/>
        <w:rPr>
          <w:sz w:val="20"/>
          <w:szCs w:val="20"/>
          <w:color w:val="auto"/>
        </w:rPr>
      </w:pPr>
    </w:p>
    <w:p>
      <w:pPr>
        <w:spacing w:after="0" w:line="210"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Industry, Segment and Geographic Information</w:t>
      </w:r>
    </w:p>
    <w:p>
      <w:pPr>
        <w:spacing w:after="0" w:line="94"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The Company operates and tracks its results in one reportable segment based on the aggregation of five operating segments. The Company designs, develops, manufactures and markets a broad range of integrated circuits (ICs). The Chief Executive Officer has been identified as the Chief Operating Decision Maker.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Product</w:t>
            </w:r>
          </w:p>
        </w:tc>
        <w:tc>
          <w:tcPr>
            <w:tcW w:w="120" w:type="dxa"/>
            <w:vAlign w:val="bottom"/>
          </w:tcPr>
          <w:p>
            <w:pPr>
              <w:spacing w:after="0"/>
              <w:rPr>
                <w:sz w:val="12"/>
                <w:szCs w:val="12"/>
                <w:color w:val="auto"/>
              </w:rPr>
            </w:pPr>
          </w:p>
        </w:tc>
        <w:tc>
          <w:tcPr>
            <w:tcW w:w="8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Y/Y%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Product</w:t>
            </w:r>
          </w:p>
        </w:tc>
        <w:tc>
          <w:tcPr>
            <w:tcW w:w="220" w:type="dxa"/>
            <w:vAlign w:val="bottom"/>
          </w:tcPr>
          <w:p>
            <w:pPr>
              <w:spacing w:after="0"/>
              <w:rPr>
                <w:sz w:val="12"/>
                <w:szCs w:val="12"/>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Revenue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1,219,798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1,246,380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1,416,686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481,803</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463,927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418,419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403,649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464,103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556,056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528,439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526,732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602,159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2,633,689</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2,701,142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2,993,320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sum of the individual percentages do not equal the total due to rounding.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65</w:t>
      </w:r>
    </w:p>
    <w:p>
      <w:pPr>
        <w:sectPr>
          <w:pgSz w:w="11900" w:h="16838" w:orient="portrait"/>
          <w:cols w:equalWidth="0" w:num="1">
            <w:col w:w="11400"/>
          </w:cols>
          <w:pgMar w:left="240" w:top="121" w:right="2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90"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76"/>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Product</w:t>
            </w:r>
          </w:p>
        </w:tc>
        <w:tc>
          <w:tcPr>
            <w:tcW w:w="120" w:type="dxa"/>
            <w:vAlign w:val="bottom"/>
          </w:tcPr>
          <w:p>
            <w:pPr>
              <w:spacing w:after="0"/>
              <w:rPr>
                <w:sz w:val="12"/>
                <w:szCs w:val="12"/>
                <w:color w:val="auto"/>
              </w:rPr>
            </w:pPr>
          </w:p>
        </w:tc>
        <w:tc>
          <w:tcPr>
            <w:tcW w:w="8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Y/Y%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Product</w:t>
            </w:r>
          </w:p>
        </w:tc>
        <w:tc>
          <w:tcPr>
            <w:tcW w:w="220" w:type="dxa"/>
            <w:vAlign w:val="bottom"/>
          </w:tcPr>
          <w:p>
            <w:pPr>
              <w:spacing w:after="0"/>
              <w:rPr>
                <w:sz w:val="12"/>
                <w:szCs w:val="12"/>
                <w:color w:val="auto"/>
              </w:rPr>
            </w:pPr>
          </w:p>
        </w:tc>
        <w:tc>
          <w:tcPr>
            <w:tcW w:w="10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Revenue*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1,180,072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1,192,064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1,343,487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Amplifiers/Radio frequency</w:t>
            </w:r>
          </w:p>
        </w:tc>
        <w:tc>
          <w:tcPr>
            <w:tcW w:w="2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682,759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697,687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788,299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analog</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372,281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397,376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410,323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2920" w:type="dxa"/>
            <w:vAlign w:val="bottom"/>
          </w:tcPr>
          <w:p>
            <w:pPr>
              <w:ind w:left="40"/>
              <w:spacing w:after="0"/>
              <w:rPr>
                <w:sz w:val="20"/>
                <w:szCs w:val="20"/>
                <w:color w:val="auto"/>
              </w:rPr>
            </w:pPr>
            <w:r>
              <w:rPr>
                <w:rFonts w:ascii="Arial" w:cs="Arial" w:eastAsia="Arial" w:hAnsi="Arial"/>
                <w:sz w:val="18"/>
                <w:szCs w:val="18"/>
                <w:color w:val="auto"/>
              </w:rPr>
              <w:t>Subtotal analog signal processing</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2,235,112</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2,287,127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2,542,109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management &amp; reference</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172,920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182,134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217,615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2920" w:type="dxa"/>
            <w:vAlign w:val="bottom"/>
          </w:tcPr>
          <w:p>
            <w:pPr>
              <w:ind w:left="40"/>
              <w:spacing w:after="0"/>
              <w:rPr>
                <w:sz w:val="20"/>
                <w:szCs w:val="20"/>
                <w:color w:val="auto"/>
              </w:rPr>
            </w:pPr>
            <w:r>
              <w:rPr>
                <w:rFonts w:ascii="Arial" w:cs="Arial" w:eastAsia="Arial" w:hAnsi="Arial"/>
                <w:sz w:val="18"/>
                <w:szCs w:val="18"/>
                <w:b w:val="1"/>
                <w:bCs w:val="1"/>
                <w:color w:val="auto"/>
              </w:rPr>
              <w:t>Total analog products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2,408,032</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2,469,261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2,759,724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Digital signal processing</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225,657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231,881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233,596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292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2,633,689</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2,701,142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2,993,320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sum of the individual percentages do not equal the total due to rounding.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Geographic Information</w:t>
      </w:r>
    </w:p>
    <w:p>
      <w:pPr>
        <w:spacing w:after="0" w:line="131" w:lineRule="exact"/>
        <w:rPr>
          <w:sz w:val="20"/>
          <w:szCs w:val="20"/>
          <w:color w:val="auto"/>
        </w:rPr>
      </w:pPr>
    </w:p>
    <w:p>
      <w:pPr>
        <w:jc w:val="both"/>
        <w:ind w:right="300" w:firstLine="432"/>
        <w:spacing w:after="0" w:line="312" w:lineRule="auto"/>
        <w:rPr>
          <w:sz w:val="20"/>
          <w:szCs w:val="20"/>
          <w:color w:val="auto"/>
        </w:rPr>
      </w:pPr>
      <w:r>
        <w:rPr>
          <w:rFonts w:ascii="Arial" w:cs="Arial" w:eastAsia="Arial" w:hAnsi="Arial"/>
          <w:sz w:val="16"/>
          <w:szCs w:val="16"/>
          <w:color w:val="auto"/>
        </w:rPr>
        <w:t>Revenue by geographic region is based upon the primary location of the Company's customers' design activity for its products. In fiscal years 2013, 2012 and 2011, the predominant countries comprising “Rest of North and South America” are Canada and Mexico; the predominant countries comprising “Europe” are Germany, Sweden, France and the United Kingdom; and the predominant countries comprising “Rest of Asia” are Taiwan and South Korea.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821,269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818,653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866,142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 of North and South America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144,585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840,585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852,668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967,417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292,804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333,558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398,587</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China</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349,575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341,196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360,594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 of Asia</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230,241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240,934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255,995</w:t>
            </w:r>
          </w:p>
        </w:tc>
        <w:tc>
          <w:tcPr>
            <w:tcW w:w="0" w:type="dxa"/>
            <w:vAlign w:val="bottom"/>
          </w:tcPr>
          <w:p>
            <w:pPr>
              <w:spacing w:after="0"/>
              <w:rPr>
                <w:sz w:val="1"/>
                <w:szCs w:val="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8"/>
                <w:szCs w:val="18"/>
                <w:color w:val="auto"/>
              </w:rPr>
              <w:t>Subtotal all foreign countries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1,812,420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1,882,489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2,127,178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2,633,689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2,701,142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2,993,320</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Property, plant and equipment</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201,957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194,937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187,013</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Ireland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124,227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127,669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128,660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Philippines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165,815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149,098</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All other countries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16,172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13,534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14,068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Subtotal all foreign countries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306,214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305,930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291,826</w:t>
            </w:r>
          </w:p>
        </w:tc>
        <w:tc>
          <w:tcPr>
            <w:tcW w:w="0" w:type="dxa"/>
            <w:vAlign w:val="bottom"/>
          </w:tcPr>
          <w:p>
            <w:pPr>
              <w:spacing w:after="0"/>
              <w:rPr>
                <w:sz w:val="1"/>
                <w:szCs w:val="1"/>
                <w:color w:val="auto"/>
              </w:rPr>
            </w:pPr>
          </w:p>
        </w:tc>
      </w:tr>
      <w:tr>
        <w:trPr>
          <w:trHeight w:val="257"/>
        </w:trPr>
        <w:tc>
          <w:tcPr>
            <w:tcW w:w="6740" w:type="dxa"/>
            <w:vAlign w:val="bottom"/>
          </w:tcPr>
          <w:p>
            <w:pPr>
              <w:ind w:left="380"/>
              <w:spacing w:after="0"/>
              <w:rPr>
                <w:sz w:val="20"/>
                <w:szCs w:val="20"/>
                <w:color w:val="auto"/>
              </w:rPr>
            </w:pPr>
            <w:r>
              <w:rPr>
                <w:rFonts w:ascii="Arial" w:cs="Arial" w:eastAsia="Arial" w:hAnsi="Arial"/>
                <w:sz w:val="18"/>
                <w:szCs w:val="18"/>
                <w:color w:val="auto"/>
              </w:rPr>
              <w:t>Total property, plant and equipment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508,171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500,867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478,839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1" w:right="25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Special Charges</w:t>
      </w:r>
    </w:p>
    <w:p>
      <w:pPr>
        <w:spacing w:after="0" w:line="9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Company monitors global macroeconomic conditions on an ongoing basis and continues to assess opportunities for improved operational effectiveness and efficiency, as well as a better alignment of expenses with revenues. As a result of these assessments, the Company has undertaken various restructuring actions over the past several years. These actions are described below.</w:t>
      </w:r>
    </w:p>
    <w:p>
      <w:pPr>
        <w:spacing w:after="0" w:line="87"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following tables display the special charges taken for ongoing actions and a roll-forward from October 30, 2010 to November 2, 2013 of the employee separation and exit cost accruals established related to these actions.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94"/>
              <w:spacing w:after="0"/>
              <w:rPr>
                <w:sz w:val="20"/>
                <w:szCs w:val="20"/>
                <w:color w:val="auto"/>
              </w:rPr>
            </w:pPr>
            <w:r>
              <w:rPr>
                <w:rFonts w:ascii="Arial" w:cs="Arial" w:eastAsia="Arial" w:hAnsi="Arial"/>
                <w:sz w:val="14"/>
                <w:szCs w:val="14"/>
                <w:b w:val="1"/>
                <w:bCs w:val="1"/>
                <w:color w:val="auto"/>
                <w:w w:val="91"/>
              </w:rPr>
              <w:t>Reduction of</w:t>
            </w:r>
          </w:p>
        </w:tc>
        <w:tc>
          <w:tcPr>
            <w:tcW w:w="0" w:type="dxa"/>
            <w:vAlign w:val="bottom"/>
          </w:tcPr>
          <w:p>
            <w:pPr>
              <w:spacing w:after="0"/>
              <w:rPr>
                <w:sz w:val="1"/>
                <w:szCs w:val="1"/>
                <w:color w:val="auto"/>
              </w:rPr>
            </w:pPr>
          </w:p>
        </w:tc>
      </w:tr>
      <w:tr>
        <w:trPr>
          <w:trHeight w:val="149"/>
        </w:trPr>
        <w:tc>
          <w:tcPr>
            <w:tcW w:w="10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Statement of Income</w:t>
            </w:r>
          </w:p>
        </w:tc>
        <w:tc>
          <w:tcPr>
            <w:tcW w:w="180" w:type="dxa"/>
            <w:vAlign w:val="bottom"/>
          </w:tcPr>
          <w:p>
            <w:pPr>
              <w:spacing w:after="0"/>
              <w:rPr>
                <w:sz w:val="12"/>
                <w:szCs w:val="12"/>
                <w:color w:val="auto"/>
              </w:rPr>
            </w:pPr>
          </w:p>
        </w:tc>
        <w:tc>
          <w:tcPr>
            <w:tcW w:w="108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92"/>
        </w:trPr>
        <w:tc>
          <w:tcPr>
            <w:tcW w:w="101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Workforce reductions</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7"/>
        </w:trPr>
        <w:tc>
          <w:tcPr>
            <w:tcW w:w="10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Fiscal 2011 Charges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160" w:type="dxa"/>
            <w:vAlign w:val="bottom"/>
          </w:tcPr>
          <w:p>
            <w:pPr>
              <w:ind w:left="40"/>
              <w:spacing w:after="0"/>
              <w:rPr>
                <w:sz w:val="20"/>
                <w:szCs w:val="20"/>
                <w:color w:val="auto"/>
              </w:rPr>
            </w:pPr>
            <w:r>
              <w:rPr>
                <w:rFonts w:ascii="Arial" w:cs="Arial" w:eastAsia="Arial" w:hAnsi="Arial"/>
                <w:sz w:val="18"/>
                <w:szCs w:val="18"/>
                <w:color w:val="auto"/>
              </w:rPr>
              <w:t>Workforce reductions</w:t>
            </w:r>
          </w:p>
        </w:tc>
        <w:tc>
          <w:tcPr>
            <w:tcW w:w="18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7,966</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Facility closure costs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Non-cash impairment charge</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items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97"/>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Fiscal 2012 Charges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8,431</w:t>
            </w:r>
          </w:p>
        </w:tc>
        <w:tc>
          <w:tcPr>
            <w:tcW w:w="0" w:type="dxa"/>
            <w:vAlign w:val="bottom"/>
          </w:tcPr>
          <w:p>
            <w:pPr>
              <w:spacing w:after="0"/>
              <w:rPr>
                <w:sz w:val="1"/>
                <w:szCs w:val="1"/>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Workforce reductions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57"/>
        </w:trPr>
        <w:tc>
          <w:tcPr>
            <w:tcW w:w="10160" w:type="dxa"/>
            <w:vAlign w:val="bottom"/>
          </w:tcPr>
          <w:p>
            <w:pPr>
              <w:ind w:left="40"/>
              <w:spacing w:after="0"/>
              <w:rPr>
                <w:sz w:val="20"/>
                <w:szCs w:val="20"/>
                <w:color w:val="auto"/>
              </w:rPr>
            </w:pPr>
            <w:r>
              <w:rPr>
                <w:rFonts w:ascii="Arial" w:cs="Arial" w:eastAsia="Arial" w:hAnsi="Arial"/>
                <w:sz w:val="18"/>
                <w:szCs w:val="18"/>
                <w:b w:val="1"/>
                <w:bCs w:val="1"/>
                <w:color w:val="auto"/>
              </w:rPr>
              <w:t>Total Fiscal 2013 Charges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10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94"/>
              <w:spacing w:after="0"/>
              <w:rPr>
                <w:sz w:val="20"/>
                <w:szCs w:val="20"/>
                <w:color w:val="auto"/>
              </w:rPr>
            </w:pPr>
            <w:r>
              <w:rPr>
                <w:rFonts w:ascii="Arial" w:cs="Arial" w:eastAsia="Arial" w:hAnsi="Arial"/>
                <w:sz w:val="14"/>
                <w:szCs w:val="14"/>
                <w:b w:val="1"/>
                <w:bCs w:val="1"/>
                <w:color w:val="auto"/>
                <w:w w:val="91"/>
              </w:rPr>
              <w:t>Reduction of</w:t>
            </w:r>
          </w:p>
        </w:tc>
        <w:tc>
          <w:tcPr>
            <w:tcW w:w="0" w:type="dxa"/>
            <w:vAlign w:val="bottom"/>
          </w:tcPr>
          <w:p>
            <w:pPr>
              <w:spacing w:after="0"/>
              <w:rPr>
                <w:sz w:val="1"/>
                <w:szCs w:val="1"/>
                <w:color w:val="auto"/>
              </w:rPr>
            </w:pPr>
          </w:p>
        </w:tc>
      </w:tr>
      <w:tr>
        <w:trPr>
          <w:trHeight w:val="149"/>
        </w:trPr>
        <w:tc>
          <w:tcPr>
            <w:tcW w:w="10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Accrued Restructuring</w:t>
            </w:r>
          </w:p>
        </w:tc>
        <w:tc>
          <w:tcPr>
            <w:tcW w:w="180" w:type="dxa"/>
            <w:vAlign w:val="bottom"/>
          </w:tcPr>
          <w:p>
            <w:pPr>
              <w:spacing w:after="0"/>
              <w:rPr>
                <w:sz w:val="12"/>
                <w:szCs w:val="12"/>
                <w:color w:val="auto"/>
              </w:rPr>
            </w:pPr>
          </w:p>
        </w:tc>
        <w:tc>
          <w:tcPr>
            <w:tcW w:w="108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92"/>
        </w:trPr>
        <w:tc>
          <w:tcPr>
            <w:tcW w:w="101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October 30, 2010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37"/>
        </w:trPr>
        <w:tc>
          <w:tcPr>
            <w:tcW w:w="10160" w:type="dxa"/>
            <w:vAlign w:val="bottom"/>
          </w:tcPr>
          <w:p>
            <w:pPr>
              <w:ind w:left="40"/>
              <w:spacing w:after="0"/>
              <w:rPr>
                <w:sz w:val="20"/>
                <w:szCs w:val="20"/>
                <w:color w:val="auto"/>
              </w:rPr>
            </w:pPr>
            <w:r>
              <w:rPr>
                <w:rFonts w:ascii="Arial" w:cs="Arial" w:eastAsia="Arial" w:hAnsi="Arial"/>
                <w:sz w:val="18"/>
                <w:szCs w:val="18"/>
                <w:color w:val="auto"/>
              </w:rPr>
              <w:t>Fiscal 2011 special charges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 payments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9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on accrual</w:t>
            </w: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10160" w:type="dxa"/>
            <w:vAlign w:val="bottom"/>
          </w:tcPr>
          <w:p>
            <w:pPr>
              <w:ind w:left="40"/>
              <w:spacing w:after="0"/>
              <w:rPr>
                <w:sz w:val="20"/>
                <w:szCs w:val="20"/>
                <w:color w:val="auto"/>
              </w:rPr>
            </w:pPr>
            <w:r>
              <w:rPr>
                <w:rFonts w:ascii="Arial" w:cs="Arial" w:eastAsia="Arial" w:hAnsi="Arial"/>
                <w:sz w:val="18"/>
                <w:szCs w:val="18"/>
                <w:b w:val="1"/>
                <w:bCs w:val="1"/>
                <w:color w:val="auto"/>
              </w:rPr>
              <w:t>Balance at October 29, 2011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7"/>
        </w:trPr>
        <w:tc>
          <w:tcPr>
            <w:tcW w:w="10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2012 special charges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8,431</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Severance payments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(8,931)</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Facility closure costs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Non-cash impairment charge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on accrual</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10160" w:type="dxa"/>
            <w:vAlign w:val="bottom"/>
          </w:tcPr>
          <w:p>
            <w:pPr>
              <w:ind w:left="40"/>
              <w:spacing w:after="0"/>
              <w:rPr>
                <w:sz w:val="20"/>
                <w:szCs w:val="20"/>
                <w:color w:val="auto"/>
              </w:rPr>
            </w:pPr>
            <w:r>
              <w:rPr>
                <w:rFonts w:ascii="Arial" w:cs="Arial" w:eastAsia="Arial" w:hAnsi="Arial"/>
                <w:sz w:val="18"/>
                <w:szCs w:val="18"/>
                <w:b w:val="1"/>
                <w:bCs w:val="1"/>
                <w:color w:val="auto"/>
              </w:rPr>
              <w:t>Balance at November 3, 2012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7"/>
        </w:trPr>
        <w:tc>
          <w:tcPr>
            <w:tcW w:w="10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2013 special charges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Severance payments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(12,907)</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on accrual</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10160" w:type="dxa"/>
            <w:vAlign w:val="bottom"/>
          </w:tcPr>
          <w:p>
            <w:pPr>
              <w:ind w:left="40"/>
              <w:spacing w:after="0"/>
              <w:rPr>
                <w:sz w:val="20"/>
                <w:szCs w:val="20"/>
                <w:color w:val="auto"/>
              </w:rPr>
            </w:pPr>
            <w:r>
              <w:rPr>
                <w:rFonts w:ascii="Arial" w:cs="Arial" w:eastAsia="Arial" w:hAnsi="Arial"/>
                <w:sz w:val="18"/>
                <w:szCs w:val="18"/>
                <w:b w:val="1"/>
                <w:bCs w:val="1"/>
                <w:color w:val="auto"/>
              </w:rPr>
              <w:t>Balance at November 2, 2013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19,955</w:t>
            </w: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During fiscal 2008 through fiscal 2010, the Company recorded special charges of approximately $43.3 million. These special charges included: $39.1 million for severance and fringe benefit costs in accordance with its ongoing benefit plan or statutory requirements at foreign locations for 245 manufacturing employees and 470 engineering and SMG&amp;A employees; $2.1 million for lease obligation costs for facilities that the Company ceased using during the first quarter of fiscal 2009; $0.8 million for the write-off of property, plant and equipment; $0.5 million for contract termination costs and $0.3 million for clean-up and closure costs that were expensed as incurred; and $0.5 million related to the impairment of intellectual property. The Company terminated the employment of all employees associated with these actions.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During fiscal 2011, the Company recorded a special charge of approximately $2.2 million for severance and fringe benefit costs in accordance with its ongoing benefit plan or statutory requirements at foreign locations for 25 engineering and SMG&amp;A employees. The Company terminated the employment of all employees associated with these actions.</w:t>
      </w:r>
    </w:p>
    <w:p>
      <w:pPr>
        <w:spacing w:after="0" w:line="12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During fiscal 2012, the Company recorded special charges of approximately $8.4 million. The special charges included $7.9 million for severance and fringe benefit costs in accordance with its ongoing benefit plan or statutory requirements at foreign locations for 95 manufacturing, engineering and SMG&amp;A employees; $0.1 million for contract termination costs; $0.2 million for lease obligation costs for facilities that the Company ceased using during the third quarter of fiscal 2012 and $0.2 million for the write-off of property, plant and equipment. The Company terminated the employment of all employees associated with this action.</w:t>
      </w:r>
    </w:p>
    <w:p>
      <w:pPr>
        <w:spacing w:after="0" w:line="5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fiscal 2013, the Company recorded special charges of approximately $29.8 million for severance and fringe benefit costs in accordance with its ongoing benefit plan or statutory requirements at foreign locations for 235 engineering and SMG&amp;A employees. As of November 2, 2013, the Company still employed 98 of the 235 employees included in this cost reduction action. These employees must continue to be employed by the Company until their employment is involuntarily terminated in order to receive the severance benefit.</w:t>
      </w:r>
    </w:p>
    <w:p>
      <w:pPr>
        <w:spacing w:after="0" w:line="200" w:lineRule="exact"/>
        <w:rPr>
          <w:sz w:val="20"/>
          <w:szCs w:val="20"/>
          <w:color w:val="auto"/>
        </w:rPr>
      </w:pPr>
    </w:p>
    <w:p>
      <w:pPr>
        <w:spacing w:after="0" w:line="226"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94"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On March 30, 2012, the Company acquired privately-held Multigig, Inc. (Multigig) of San Jose, California. The acquisition of Multigig is expected to enhance the Company’s clocking capabilities in stand-alone and embedded applications and strengthen the Company’s high speed signal processing solutions. The acquisition-date fair value of the consideration transferred totaled $26.8 million, which consisted of $24.2 million in initial cash payments at closing and an additional $2.6 million subject to an indemnification holdback that was payable within 15 months of the transaction date. During the third quarter of fiscal 2012, the Company reduced this holdback amount by $0.1 million as a result of indemnification claims. During the third quarter of fiscal 2013, the Company paid the remaining $2.5 million due under the holdback. The Company’s assessment of fair value of the tangible and intangible assets acquired and liabilities assumed was based on their estimated fair values at the date of acquisition, resulting in the recognition of $15.6 million of IPR&amp;D, $1.1 million of developed technology, $7.0 million of goodwill and $3.1 million of net deferred tax assets. The goodwill recognized is attributable to future technologies that have yet to be determined as well as the assembled workforce of Multigig. Future technologies do not meet the criteria for recognition separately from goodwill because they are a part of future development and growth of the business. None of the goodwill is expected to be deductible for tax purposes. During the fourth quarter of fiscal 2012, the Company finalized its purchase accounting for Multigig which resulted in adjustments of $0.4 million to deferred taxes and goodwill. In addition, the Company will be obligated to pay royalties to the Multigig employees on revenue recognized from the sale of certain Multigig products through the earlier of 5 years or the aggregate maximum payment of $1.0 million. Royalty payments to Multigig employees require post-acquisition services to be rendered and, as such, the Company will record these amounts as compensation expense in the related periods. As of November 2, 2013, no royalty payments have been made. The Company recognized $0.5 million of acquisition-related costs that were expensed in fiscal 2012, which were included in operating expenses in the consolidated statement of income.</w:t>
      </w:r>
    </w:p>
    <w:p>
      <w:pPr>
        <w:spacing w:after="0" w:line="124"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On June 9, 2011, the Company acquired privately-held Lyric Semiconductor, Inc. (Lyric) of Cambridge, Massachusetts. The acquisition of Lyric gives the Company the potential to achieve significant improvement in power efficiency in mixed signal processing. The acquisition-date fair value of the consideration transferred totaled $27.8 million, which consisted of $14.0 million in initial cash payments at closing and contingent consideration of up to $13.8 million. The contingent consideration arrangement requires additional cash payments to the former equity holders of Lyric upon the achievement of certain technological and product development milestones payable during the period from June 2011 through June 2016. The Company estimated the fair value of the contingent consideration arrangement utilizing the income approach. Changes in the fair value of the contingent consideration subsequent to the acquisition date primarily driven by assumptions pertaining to the achievement of the defined milestones will be recognized in operating income in the period of the estimated fair value change. As of November 2, 2013, the Company had paid $8.0 million in contingent consideration. These payments are reflected in the statements of cash flows as cash used in financing activities related to the liability recognized at fair value as of the acquisition date and cash provided by operating activities related to the fair value adjustments previously recognized in earnings. The Company’s assessment of the fair value of the tangible and intangible assets acquired and liabilities assumed was based on their estimated fair values at the date of acquisition, resulting in the recognition of $12.2 million of IPR&amp;D, $18.9 million of goodwill and $3.3 million of net deferred tax liabilities. The goodwill recognized is attributable to future technologies that have yet to be determined as well as the assembled workforce of Lyric. Future technologies do not meet the criteria for recognition separately from goodwill because they are a part of future development and growth of the business. None of the goodwill is expected to be deductible for tax purposes. The fair value of the remaining contingent consideration was approximately $6.5 million as of November 2, 2013, of which $3.8 million is included in accrued liabilities and $2.7 million is included in other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1" w:right="25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non-current liabilities in the consolidated balance sheet. In addition, the Company will be obligated to pay royalties to the former equity holders of Lyric on revenue recognized from the sale of Lyric products and licenses through the earlier of 20 years or the accrual of a maximum of $25.0 million. Royalty payments to Lyric employees require post-acquisition services to be rendered and, as such, the Company will record these amounts as compensation expense in the related periods. As of November 2, 2013, no royalty payments have been made. The Company recognized $0.2 million of acquisition-related costs that were expensed in fiscal 2011, which were included in operating expenses in the consolidated statement of income.</w:t>
      </w:r>
    </w:p>
    <w:p>
      <w:pPr>
        <w:spacing w:after="0" w:line="11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Company has not provided pro forma results of operations for Multigig and Lyric herein as they were not material to the Company on either an individual or an aggregate basis. The Company included the results of operations of each acquisition in its consolidated statement of income from the date of each acquisition.</w:t>
      </w:r>
    </w:p>
    <w:p>
      <w:pPr>
        <w:spacing w:after="0" w:line="177"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 Plan Investments</w:t>
      </w:r>
    </w:p>
    <w:p>
      <w:pPr>
        <w:spacing w:after="0" w:line="13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Investments in The Analog Devices, Inc. Deferred Compensation Plan (the Deferred Compensation Plan) are classified as trading. The components of the investments as of November 2, 2013 and November 3, 2012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17,939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13,969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10,541</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 Compensation Plan investments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17,431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28,480</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fair values of these investments are based on published market quotes on November 2, 2013 and November 3, 2012, respectively. Adjustments to the fair value of, and income pertaining to, Deferred Compensation Plan investments are recorded in operating expenses. Gross realized and unrealized gains and losses from trading securities were not material in fiscal 2013, 2012 or 2011.</w:t>
      </w:r>
    </w:p>
    <w:p>
      <w:pPr>
        <w:spacing w:after="0" w:line="87" w:lineRule="exact"/>
        <w:rPr>
          <w:sz w:val="20"/>
          <w:szCs w:val="20"/>
          <w:color w:val="auto"/>
        </w:rPr>
      </w:pPr>
    </w:p>
    <w:p>
      <w:pPr>
        <w:ind w:right="660" w:firstLine="432"/>
        <w:spacing w:after="0" w:line="312" w:lineRule="auto"/>
        <w:rPr>
          <w:sz w:val="20"/>
          <w:szCs w:val="20"/>
          <w:color w:val="auto"/>
        </w:rPr>
      </w:pPr>
      <w:r>
        <w:rPr>
          <w:rFonts w:ascii="Arial" w:cs="Arial" w:eastAsia="Arial" w:hAnsi="Arial"/>
          <w:sz w:val="16"/>
          <w:szCs w:val="16"/>
          <w:color w:val="auto"/>
        </w:rPr>
        <w:t>The Company has recorded a corresponding liability for amounts owed to the Deferred Compensation Plan participants (see Note 10). These investments are specifically designated as available to the Company solely for the purpose of paying benefits under the Deferred Compensation Plan. However, in the event the Company became insolvent, the investments would be available to all unsecured general creditors.</w:t>
      </w:r>
    </w:p>
    <w:p>
      <w:pPr>
        <w:spacing w:after="0" w:line="143"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Other Investments</w:t>
      </w:r>
    </w:p>
    <w:p>
      <w:pPr>
        <w:spacing w:after="0" w:line="13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Other investments consist of equity securities and other long-term investments. Investments are stated at fair value, which is based on market quotes or on a cost-basis, dependent on the nature of the investment, as appropriate. Adjustments to the fair value of investments classified as available-for-sale are recorded as an increase or decrease in accumulated other comprehensive (loss) income, unless the adjustment is considered an other-than-temporary impairment, in which case the adjustment is recorded as a charge in the statement of income.</w:t>
      </w:r>
    </w:p>
    <w:p>
      <w:pPr>
        <w:spacing w:after="0" w:line="7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Realized gains or losses on investments are determined based on the specific identification basis and are recognized in nonoperating (income) expense. Gross realized gains of approximately $1.3 million and gross realized losses of approximately $0.1 million on sales of available-for-sale investments were recognized in fiscal 2012. There were no material net realized gains or losses from the sales of available-for-sale investments during fiscal 2013 and fiscal 2011.</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were no net unrealized gains or losses on securities classified as other investments as of November 2, 2013 and November 3, 2012.</w:t>
      </w:r>
    </w:p>
    <w:p>
      <w:pPr>
        <w:spacing w:after="0" w:line="354"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at November 2, 2013 and November 3, 2012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Special charges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19,955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2,993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66,551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63,887</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accrued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157,600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148,907</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 Plan Liability</w:t>
      </w:r>
    </w:p>
    <w:p>
      <w:pPr>
        <w:spacing w:after="0" w:line="13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deferred compensation plan liability relates to obligations due under the Deferred Compensation Plan. The Deferred Compensation Plan allows certain members of management and other highly-compensated employees and non-employee directors to defer receipt of all or any portion of their compensation. The balance represents Deferred Compensation Plan participant accumulated deferrals and earnings thereon since the inception of the Deferred Compensation Plan net of withdrawals. The Company’s liability under the Deferred Compensation Plan is an unsecured general obligation of the Company.</w:t>
      </w:r>
    </w:p>
    <w:p>
      <w:pPr>
        <w:spacing w:after="0" w:line="150"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135"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The Company leases certain facilities, equipment and software under various operating leases that expire at various dates through 2020. The lease agreements frequently include renewal and escalation clauses and require the Company to pay taxes, insurance and maintenance costs. Total rental expense under operating leases was approximately $49 million in fiscal 2013, $48 million in fiscal 2012 and $45 million in fiscal 2011.</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of future minimum rental payments required under long-term operating leases at November 2,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Operating</w:t>
            </w:r>
          </w:p>
        </w:tc>
      </w:tr>
      <w:tr>
        <w:trPr>
          <w:trHeight w:val="276"/>
        </w:trPr>
        <w:tc>
          <w:tcPr>
            <w:tcW w:w="994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Years</w:t>
            </w:r>
          </w:p>
        </w:tc>
        <w:tc>
          <w:tcPr>
            <w:tcW w:w="280" w:type="dxa"/>
            <w:vAlign w:val="bottom"/>
          </w:tcPr>
          <w:p>
            <w:pPr>
              <w:spacing w:after="0"/>
              <w:rPr>
                <w:sz w:val="24"/>
                <w:szCs w:val="24"/>
                <w:color w:val="auto"/>
              </w:rPr>
            </w:pPr>
          </w:p>
        </w:tc>
        <w:tc>
          <w:tcPr>
            <w:tcW w:w="1200" w:type="dxa"/>
            <w:vAlign w:val="bottom"/>
          </w:tcPr>
          <w:p>
            <w:pPr>
              <w:jc w:val="right"/>
              <w:ind w:right="454"/>
              <w:spacing w:after="0"/>
              <w:rPr>
                <w:sz w:val="20"/>
                <w:szCs w:val="20"/>
                <w:color w:val="auto"/>
              </w:rPr>
            </w:pPr>
            <w:r>
              <w:rPr>
                <w:rFonts w:ascii="Arial" w:cs="Arial" w:eastAsia="Arial" w:hAnsi="Arial"/>
                <w:sz w:val="14"/>
                <w:szCs w:val="14"/>
                <w:b w:val="1"/>
                <w:bCs w:val="1"/>
                <w:color w:val="auto"/>
              </w:rPr>
              <w:t>Leases</w:t>
            </w:r>
          </w:p>
        </w:tc>
      </w:tr>
      <w:tr>
        <w:trPr>
          <w:trHeight w:val="250"/>
        </w:trPr>
        <w:tc>
          <w:tcPr>
            <w:tcW w:w="98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28,045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17,879</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9,887</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7,016</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4,491</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Later Years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1,753</w:t>
            </w:r>
          </w:p>
        </w:tc>
      </w:tr>
      <w:tr>
        <w:trPr>
          <w:trHeight w:val="27"/>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69,071</w:t>
            </w:r>
          </w:p>
        </w:tc>
      </w:tr>
      <w:tr>
        <w:trPr>
          <w:trHeight w:val="20"/>
        </w:trPr>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right="300" w:firstLine="432"/>
        <w:spacing w:after="0" w:line="302" w:lineRule="auto"/>
        <w:rPr>
          <w:sz w:val="20"/>
          <w:szCs w:val="20"/>
          <w:color w:val="auto"/>
        </w:rPr>
      </w:pPr>
      <w:r>
        <w:rPr>
          <w:rFonts w:ascii="Arial" w:cs="Arial" w:eastAsia="Arial" w:hAnsi="Arial"/>
          <w:sz w:val="16"/>
          <w:szCs w:val="16"/>
          <w:color w:val="auto"/>
        </w:rPr>
        <w:t>From time to time, in the ordinary course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the Company can give no assurance that it will prevail. The Company does not believe that any current legal matters will have a material adverse effect on the Company’s financial position, results of operations or cash flows.</w:t>
      </w:r>
    </w:p>
    <w:p>
      <w:pPr>
        <w:spacing w:after="0" w:line="150"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135"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Company and its subsidiaries have various savings and retirement plans covering substantially all employees. The Company maintains a defined contribution plan for the benefit of its eligible U.S. employees. This plan provides for Company contributions of up to 5% of each participant’s total eligible compensation. In addition, the Company contributes an amount equal to each participant’s pre-tax contribution, if any, up to a maximum of 3% of each participant’s total eligible compensation. The total expense related to the defined contribution plan for U.S. employees was $23.1 million in fiscal 2013, $22.8 million in fiscal 2012 and $21.9 million in fiscal 2011. The Company also has various defined benefit pension and other retirement plans for certain non-U.S. employees that are consistent with local statutory requirements and practices. The total expense related to the various defined benefit pension and other retirement plans for certain non-U.S. employees was $26.5 million in fiscal 2013, $18.9 million in fiscal 2012 and $21.4 million in fiscal 2011.</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Non-U.S. Plan Disclosures</w:t>
      </w:r>
    </w:p>
    <w:p>
      <w:pPr>
        <w:spacing w:after="0" w:line="13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Company’s funding policy for its foreign defined benefit pension plans is consistent with the local requirements of each country. The plans’ assets consist primarily of U.S. and non-U.S. equity securities, bonds, property and cash. The benefit obligations and related assets under these plans have been measured at November 2, 2013 and November 3, 2012.</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Components of Net Periodic Benefit Cost</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annual periodic pension cost of non-U.S. plans is presented in the following table: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12,528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10,901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11,395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transition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Recognized actuarial loss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1,630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cost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14,864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11,277</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Benefit Obligations and Plan Assets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Obligation and asset data of the Company’s non-U.S. plans at each fiscal year end is presented in the following table: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Borders>
              <w:bottom w:val="single" w:sz="8" w:color="CCEEFF"/>
            </w:tcBorders>
          </w:tcPr>
          <w:p>
            <w:pPr>
              <w:spacing w:after="0"/>
              <w:rPr>
                <w:sz w:val="16"/>
                <w:szCs w:val="16"/>
                <w:color w:val="auto"/>
              </w:rPr>
            </w:pPr>
          </w:p>
        </w:tc>
        <w:tc>
          <w:tcPr>
            <w:tcW w:w="39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3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4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272,256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210,913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3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7,909</w:t>
            </w: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12,528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10,901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3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Plan Amendments</w:t>
            </w: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Premiums paid</w:t>
            </w:r>
          </w:p>
        </w:tc>
        <w:tc>
          <w:tcPr>
            <w:tcW w:w="3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Actuarial loss</w:t>
            </w: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41,808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63,127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3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Exchange rate adjustment</w:t>
            </w: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10,275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(14,852)</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end of year</w:t>
            </w:r>
          </w:p>
        </w:tc>
        <w:tc>
          <w:tcPr>
            <w:tcW w:w="42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347,665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272,256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3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vMerge w:val="continue"/>
          </w:tcPr>
          <w:p>
            <w:pPr>
              <w:spacing w:after="0"/>
              <w:rPr>
                <w:sz w:val="17"/>
                <w:szCs w:val="17"/>
                <w:color w:val="auto"/>
              </w:rPr>
            </w:pPr>
          </w:p>
        </w:tc>
        <w:tc>
          <w:tcPr>
            <w:tcW w:w="3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440" w:type="dxa"/>
            <w:vAlign w:val="bottom"/>
          </w:tcPr>
          <w:p>
            <w:pPr>
              <w:spacing w:after="0"/>
              <w:rPr>
                <w:sz w:val="4"/>
                <w:szCs w:val="4"/>
                <w:color w:val="auto"/>
              </w:rPr>
            </w:pPr>
          </w:p>
        </w:tc>
        <w:tc>
          <w:tcPr>
            <w:tcW w:w="3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42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184,754</w:t>
            </w: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26,480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18,391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 contributions</w:t>
            </w:r>
          </w:p>
        </w:tc>
        <w:tc>
          <w:tcPr>
            <w:tcW w:w="3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10,611</w:t>
            </w: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Participant contributions</w:t>
            </w: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Premiums paid</w:t>
            </w:r>
          </w:p>
        </w:tc>
        <w:tc>
          <w:tcPr>
            <w:tcW w:w="3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Exchange rate adjustment</w:t>
            </w:r>
          </w:p>
        </w:tc>
        <w:tc>
          <w:tcPr>
            <w:tcW w:w="39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(12,516)</w:t>
            </w: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39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249,329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200,161</w:t>
            </w:r>
          </w:p>
        </w:tc>
        <w:tc>
          <w:tcPr>
            <w:tcW w:w="0" w:type="dxa"/>
            <w:vAlign w:val="bottom"/>
          </w:tcPr>
          <w:p>
            <w:pPr>
              <w:spacing w:after="0"/>
              <w:rPr>
                <w:sz w:val="1"/>
                <w:szCs w:val="1"/>
                <w:color w:val="auto"/>
              </w:rPr>
            </w:pPr>
          </w:p>
        </w:tc>
      </w:tr>
      <w:tr>
        <w:trPr>
          <w:trHeight w:val="67"/>
        </w:trPr>
        <w:tc>
          <w:tcPr>
            <w:tcW w:w="4440" w:type="dxa"/>
            <w:vAlign w:val="bottom"/>
            <w:tcBorders>
              <w:bottom w:val="single" w:sz="8" w:color="CCEEFF"/>
            </w:tcBorders>
          </w:tcPr>
          <w:p>
            <w:pPr>
              <w:spacing w:after="0"/>
              <w:rPr>
                <w:sz w:val="5"/>
                <w:szCs w:val="5"/>
                <w:color w:val="auto"/>
              </w:rPr>
            </w:pPr>
          </w:p>
        </w:tc>
        <w:tc>
          <w:tcPr>
            <w:tcW w:w="39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Reconciliation of Funded Status</w:t>
            </w:r>
          </w:p>
        </w:tc>
        <w:tc>
          <w:tcPr>
            <w:tcW w:w="39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Funded status</w:t>
            </w:r>
          </w:p>
        </w:tc>
        <w:tc>
          <w:tcPr>
            <w:tcW w:w="4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(98,336)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(72,095)</w:t>
            </w:r>
          </w:p>
        </w:tc>
        <w:tc>
          <w:tcPr>
            <w:tcW w:w="0" w:type="dxa"/>
            <w:vAlign w:val="bottom"/>
          </w:tcPr>
          <w:p>
            <w:pPr>
              <w:spacing w:after="0"/>
              <w:rPr>
                <w:sz w:val="1"/>
                <w:szCs w:val="1"/>
                <w:color w:val="auto"/>
              </w:rPr>
            </w:pPr>
          </w:p>
        </w:tc>
      </w:tr>
      <w:tr>
        <w:trPr>
          <w:trHeight w:val="67"/>
        </w:trPr>
        <w:tc>
          <w:tcPr>
            <w:tcW w:w="4440" w:type="dxa"/>
            <w:vAlign w:val="bottom"/>
            <w:tcBorders>
              <w:bottom w:val="single" w:sz="8" w:color="CCEEFF"/>
            </w:tcBorders>
          </w:tcPr>
          <w:p>
            <w:pPr>
              <w:spacing w:after="0"/>
              <w:rPr>
                <w:sz w:val="5"/>
                <w:szCs w:val="5"/>
                <w:color w:val="auto"/>
              </w:rPr>
            </w:pPr>
          </w:p>
        </w:tc>
        <w:tc>
          <w:tcPr>
            <w:tcW w:w="39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Amounts Recognized in the Balance Sheet</w:t>
            </w:r>
          </w:p>
        </w:tc>
        <w:tc>
          <w:tcPr>
            <w:tcW w:w="39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4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(97,694)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(74,034)</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amount recognized</w:t>
            </w:r>
          </w:p>
        </w:tc>
        <w:tc>
          <w:tcPr>
            <w:tcW w:w="42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(72,095)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71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4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Amounts Recognized in the Statement of Financial Position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Initial net obligation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credit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(110,885)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(82,640)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(78,086)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contributions in excess of net periodic benefit cost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5,991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amount recognized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(98,336)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(72,095)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Changes Recognized in Other Comprehensive Income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Changes in plan assets and benefit obligations recognized in other 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Net loss arising during the year (includes curtailment gains not recognized as a component of net periodic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27,099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55,205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rates on amounts included in accumulated other comprehensive income (loss)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Amounts recognized as a component of net periodic benefit cost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settlement or curtailment recognition of net transition obligation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or curtailment recognition of prior service credit (cost)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or settlement recognition of net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recognized in other comprehensive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28,227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47,960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recognized in net periodic cost and other comprehensive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43,091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56,681</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834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w w:val="92"/>
              </w:rPr>
              <w:t>Estimated amounts that will be amortized from accumulated other comprehensive (loss) income over the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next fiscal year</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Initial net obligation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credit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accumulated benefit obligation for non-U.S. pension plans was $272.0 million and $214.5 million at November 2, 2013 and November 3, 2012, respectively.</w:t>
      </w:r>
    </w:p>
    <w:p>
      <w:pPr>
        <w:spacing w:after="0" w:line="7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Information relating to the Company’s non-U.S. plans with projected benefit obligations in excess of plan assets and accumulated benefit obligations in excess of plan assets at each fiscal year end is presented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Borders>
              <w:bottom w:val="single" w:sz="8" w:color="CCEEFF"/>
            </w:tcBorders>
          </w:tcPr>
          <w:p>
            <w:pPr>
              <w:spacing w:after="0"/>
              <w:rPr>
                <w:sz w:val="16"/>
                <w:szCs w:val="16"/>
                <w:color w:val="auto"/>
              </w:rPr>
            </w:pPr>
          </w:p>
        </w:tc>
        <w:tc>
          <w:tcPr>
            <w:tcW w:w="29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Plans with projected benefit obligations in excess of plan assets:</w:t>
            </w:r>
          </w:p>
        </w:tc>
        <w:tc>
          <w:tcPr>
            <w:tcW w:w="2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Projected benefit obligation</w:t>
            </w:r>
          </w:p>
        </w:tc>
        <w:tc>
          <w:tcPr>
            <w:tcW w:w="3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347,666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237,422</w:t>
            </w:r>
          </w:p>
        </w:tc>
      </w:tr>
      <w:tr>
        <w:trPr>
          <w:trHeight w:val="27"/>
        </w:trPr>
        <w:tc>
          <w:tcPr>
            <w:tcW w:w="5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249,330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162,731</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w w:val="91"/>
              </w:rPr>
              <w:t>Plans with accumulated benefit obligations in excess of plan assets:</w:t>
            </w:r>
          </w:p>
        </w:tc>
        <w:tc>
          <w:tcPr>
            <w:tcW w:w="2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3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280,958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219,248</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3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221,715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175,243</w:t>
            </w:r>
          </w:p>
        </w:tc>
      </w:tr>
      <w:tr>
        <w:trPr>
          <w:trHeight w:val="27"/>
        </w:trPr>
        <w:tc>
          <w:tcPr>
            <w:tcW w:w="5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185,863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146,155</w:t>
            </w:r>
          </w:p>
        </w:tc>
      </w:tr>
      <w:tr>
        <w:trPr>
          <w:trHeight w:val="459"/>
        </w:trPr>
        <w:tc>
          <w:tcPr>
            <w:tcW w:w="5400" w:type="dxa"/>
            <w:vAlign w:val="bottom"/>
          </w:tcPr>
          <w:p>
            <w:pPr>
              <w:spacing w:after="0"/>
              <w:rPr>
                <w:sz w:val="24"/>
                <w:szCs w:val="24"/>
                <w:color w:val="auto"/>
              </w:rPr>
            </w:pPr>
          </w:p>
        </w:tc>
        <w:tc>
          <w:tcPr>
            <w:tcW w:w="2940" w:type="dxa"/>
            <w:vAlign w:val="bottom"/>
          </w:tcPr>
          <w:p>
            <w:pPr>
              <w:jc w:val="right"/>
              <w:ind w:right="2450"/>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Assumptions</w:t>
      </w:r>
    </w:p>
    <w:p>
      <w:pPr>
        <w:spacing w:after="0" w:line="13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range of assumptions used for the non-U.S. defined benefit plans reflects the different economic environments within the various countries. The projected benefit obligation was determined using the following weighted-average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2012</w:t>
            </w: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2.84%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365"/>
        </w:trPr>
        <w:tc>
          <w:tcPr>
            <w:tcW w:w="9200" w:type="dxa"/>
            <w:vAlign w:val="bottom"/>
            <w:gridSpan w:val="2"/>
          </w:tcPr>
          <w:p>
            <w:pPr>
              <w:ind w:left="440"/>
              <w:spacing w:after="0"/>
              <w:rPr>
                <w:sz w:val="20"/>
                <w:szCs w:val="20"/>
                <w:color w:val="auto"/>
              </w:rPr>
            </w:pPr>
            <w:r>
              <w:rPr>
                <w:rFonts w:ascii="Arial" w:cs="Arial" w:eastAsia="Arial" w:hAnsi="Arial"/>
                <w:sz w:val="18"/>
                <w:szCs w:val="18"/>
                <w:color w:val="auto"/>
              </w:rPr>
              <w:t>Net annual periodic pension cost was determined using the following weighted average assumptions: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9"/>
        </w:trPr>
        <w:tc>
          <w:tcPr>
            <w:tcW w:w="82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2012</w:t>
            </w: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Expected long-term return on plan assets</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5.59%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7"/>
        </w:trPr>
        <w:tc>
          <w:tcPr>
            <w:tcW w:w="92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9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2.85%</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8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The expected long-term rate of return on assets is a weighted-average of the long-term rates of return selected for the various countries where the Company has funded pension plans. The expected long-term rate of return on assets assumption is selected based on the facts and circumstances that exist as of the measurement date and the specific portfolio mix of plan assets. Management, in conjunction with its actuaries, reviewed anticipated future long-term performance of individual asset categories and considered the asset allocation strategy adopted by the Company and/or the trustees of the plans. While the review considered recent fund performance and historical returns, the assumption is primarily a long-term prospective rate.</w:t>
      </w:r>
    </w:p>
    <w:p>
      <w:pPr>
        <w:spacing w:after="0" w:line="6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Company’s investment strategy is based on an expectation that equity securities will outperform debt securities over the long term. Accordingly, in order to maximize the return on assets, a majority of assets are invested in equities. Investments within each asset class are diversified to reduce the impact of losses in single investments. The use of derivative instruments is permitted where appropriate and necessary to achieve overall investment policy objectives and asset class targets.</w:t>
      </w:r>
    </w:p>
    <w:p>
      <w:pPr>
        <w:spacing w:after="0" w:line="9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Company establishes strategic asset allocation percentage targets and appropriate benchmarks for each significant asset class to obtain a prudent balance between return and risk. The interaction between plan assets and benefit obligations is periodically studied by the Company and its actuaries to assist in the establishment of strategic asset allocation targets.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of plan assets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plan assets measured at fair value on a recurring basis by investment categories as of November 2, 2013 and November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 using the same three-level hierarchy described in Note 2j:</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w w:val="95"/>
              </w:rPr>
              <w:t>November 2, 2013</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November 3, 2012</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80" w:type="dxa"/>
            <w:vAlign w:val="bottom"/>
            <w:gridSpan w:val="8"/>
          </w:tcPr>
          <w:p>
            <w:pPr>
              <w:ind w:left="12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gridSpan w:val="8"/>
          </w:tcPr>
          <w:p>
            <w:pPr>
              <w:ind w:left="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Quoted</w:t>
            </w: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Quoted</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Prices in</w:t>
            </w:r>
          </w:p>
        </w:tc>
        <w:tc>
          <w:tcPr>
            <w:tcW w:w="16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Prices in</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Active</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Unobservable</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7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7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180"/>
              <w:spacing w:after="0"/>
              <w:rPr>
                <w:sz w:val="20"/>
                <w:szCs w:val="20"/>
                <w:color w:val="auto"/>
              </w:rPr>
            </w:pPr>
            <w:r>
              <w:rPr>
                <w:rFonts w:ascii="Arial" w:cs="Arial" w:eastAsia="Arial" w:hAnsi="Arial"/>
                <w:sz w:val="16"/>
                <w:szCs w:val="16"/>
                <w:color w:val="auto"/>
              </w:rPr>
              <w:t>Unit trust funds(1)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183,062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183,062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142,556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142,556</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Equities(1)</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3,676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29,236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32,995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2,892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24,176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27,703</w:t>
            </w:r>
          </w:p>
        </w:tc>
        <w:tc>
          <w:tcPr>
            <w:tcW w:w="0" w:type="dxa"/>
            <w:vAlign w:val="bottom"/>
          </w:tcPr>
          <w:p>
            <w:pPr>
              <w:spacing w:after="0"/>
              <w:rPr>
                <w:sz w:val="1"/>
                <w:szCs w:val="1"/>
                <w:color w:val="auto"/>
              </w:rPr>
            </w:pPr>
          </w:p>
        </w:tc>
      </w:tr>
      <w:tr>
        <w:trPr>
          <w:trHeight w:val="237"/>
        </w:trPr>
        <w:tc>
          <w:tcPr>
            <w:tcW w:w="2180" w:type="dxa"/>
            <w:vAlign w:val="bottom"/>
          </w:tcPr>
          <w:p>
            <w:pPr>
              <w:ind w:left="180"/>
              <w:spacing w:after="0"/>
              <w:rPr>
                <w:sz w:val="20"/>
                <w:szCs w:val="20"/>
                <w:color w:val="auto"/>
              </w:rPr>
            </w:pPr>
            <w:r>
              <w:rPr>
                <w:rFonts w:ascii="Arial" w:cs="Arial" w:eastAsia="Arial" w:hAnsi="Arial"/>
                <w:sz w:val="16"/>
                <w:szCs w:val="16"/>
                <w:color w:val="auto"/>
              </w:rPr>
              <w:t>Fixed income securities(2)</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29,356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29,356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26,340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26,340</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Property(3)</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2,881</w:t>
            </w:r>
          </w:p>
        </w:tc>
        <w:tc>
          <w:tcPr>
            <w:tcW w:w="0" w:type="dxa"/>
            <w:vAlign w:val="bottom"/>
          </w:tcPr>
          <w:p>
            <w:pPr>
              <w:spacing w:after="0"/>
              <w:rPr>
                <w:sz w:val="1"/>
                <w:szCs w:val="1"/>
                <w:color w:val="auto"/>
              </w:rPr>
            </w:pPr>
          </w:p>
        </w:tc>
      </w:tr>
      <w:tr>
        <w:trPr>
          <w:trHeight w:val="237"/>
        </w:trPr>
        <w:tc>
          <w:tcPr>
            <w:tcW w:w="21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spacing w:after="0"/>
              <w:rPr>
                <w:sz w:val="20"/>
                <w:szCs w:val="20"/>
                <w:color w:val="auto"/>
              </w:rPr>
            </w:pPr>
          </w:p>
        </w:tc>
        <w:tc>
          <w:tcPr>
            <w:tcW w:w="780" w:type="dxa"/>
            <w:vAlign w:val="bottom"/>
          </w:tcPr>
          <w:p>
            <w:pPr>
              <w:jc w:val="right"/>
              <w:ind w:right="44"/>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6"/>
              </w:rPr>
              <w:t>Total assets measured at fair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4,446</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241,654</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3,229</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249,329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24"/>
              <w:spacing w:after="0"/>
              <w:rPr>
                <w:sz w:val="20"/>
                <w:szCs w:val="20"/>
                <w:color w:val="auto"/>
              </w:rPr>
            </w:pPr>
            <w:r>
              <w:rPr>
                <w:rFonts w:ascii="Arial" w:cs="Arial" w:eastAsia="Arial" w:hAnsi="Arial"/>
                <w:sz w:val="16"/>
                <w:szCs w:val="16"/>
                <w:color w:val="auto"/>
              </w:rPr>
              <w:t>3,573</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193,072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3,516</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200,161</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value</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-98425</wp:posOffset>
            </wp:positionV>
            <wp:extent cx="5866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39" w:lineRule="exact"/>
        <w:rPr>
          <w:sz w:val="20"/>
          <w:szCs w:val="20"/>
          <w:color w:val="auto"/>
        </w:rPr>
      </w:pPr>
    </w:p>
    <w:p>
      <w:pPr>
        <w:ind w:left="360" w:right="400" w:hanging="325"/>
        <w:spacing w:after="0" w:line="277" w:lineRule="auto"/>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majority of the assets in these categories are invested in a mix of equities, including those from North America, Europe and Asia. The funds are valued using the net asset value method in which an average of the market prices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360" w:right="140"/>
        <w:spacing w:after="0" w:line="302" w:lineRule="auto"/>
        <w:rPr>
          <w:sz w:val="20"/>
          <w:szCs w:val="20"/>
          <w:color w:val="auto"/>
        </w:rPr>
      </w:pPr>
      <w:r>
        <w:rPr>
          <w:rFonts w:ascii="Arial" w:cs="Arial" w:eastAsia="Arial" w:hAnsi="Arial"/>
          <w:sz w:val="18"/>
          <w:szCs w:val="18"/>
          <w:color w:val="auto"/>
        </w:rPr>
        <w:t>underlying investments is used to value the fund. Due to the nature of the underlying assets of these funds, changes in market conditions and the economic environment may significantly impact the net asset value of these investments and, consequently, the fair value of the investments. These investments are redeemable at net asset value to the extent provided in the documentation governing the investments. However, these redemption rights may be restricted in accordance with governing documents. Publicly traded securities are valued at the last trade or closing price reported in the active market in which the individual securities are traded. Level 3 securities are valued at book value per share based upon the financial statements of the investment.</w:t>
      </w:r>
    </w:p>
    <w:p>
      <w:pPr>
        <w:spacing w:after="0" w:line="4" w:lineRule="exact"/>
        <w:rPr>
          <w:sz w:val="20"/>
          <w:szCs w:val="20"/>
          <w:color w:val="auto"/>
        </w:rPr>
      </w:pPr>
    </w:p>
    <w:p>
      <w:pPr>
        <w:ind w:left="360" w:right="140" w:hanging="325"/>
        <w:spacing w:after="0" w:line="277" w:lineRule="auto"/>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majority of the assets in this category are invested in funds primarily concentrated in non-U.S. debt instruments. The funds are valued using the net asset value method in which an average of the market prices for underlying investments is used to value the fund.</w:t>
      </w:r>
    </w:p>
    <w:p>
      <w:pPr>
        <w:spacing w:after="0" w:line="8" w:lineRule="exact"/>
        <w:rPr>
          <w:rFonts w:ascii="Arial" w:cs="Arial" w:eastAsia="Arial" w:hAnsi="Arial"/>
          <w:sz w:val="18"/>
          <w:szCs w:val="18"/>
          <w:color w:val="auto"/>
        </w:rPr>
      </w:pPr>
    </w:p>
    <w:p>
      <w:pPr>
        <w:ind w:left="360" w:right="80" w:hanging="325"/>
        <w:spacing w:after="0" w:line="308" w:lineRule="auto"/>
        <w:tabs>
          <w:tab w:leader="none" w:pos="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majority of the assets in this category are invested in properties in Ireland, the United Kingdom, Europe and other established international markets. Investments in properties are stated at estimated fair values based upon valuations by external independent property appraisers.</w:t>
      </w:r>
    </w:p>
    <w:p>
      <w:pPr>
        <w:spacing w:after="0" w:line="52" w:lineRule="exact"/>
        <w:rPr>
          <w:sz w:val="20"/>
          <w:szCs w:val="20"/>
          <w:color w:val="auto"/>
        </w:rPr>
      </w:pPr>
    </w:p>
    <w:p>
      <w:pPr>
        <w:ind w:right="920" w:firstLine="432"/>
        <w:spacing w:after="0" w:line="277" w:lineRule="auto"/>
        <w:rPr>
          <w:sz w:val="20"/>
          <w:szCs w:val="20"/>
          <w:color w:val="auto"/>
        </w:rPr>
      </w:pPr>
      <w:r>
        <w:rPr>
          <w:rFonts w:ascii="Arial" w:cs="Arial" w:eastAsia="Arial" w:hAnsi="Arial"/>
          <w:sz w:val="18"/>
          <w:szCs w:val="18"/>
          <w:color w:val="auto"/>
        </w:rPr>
        <w:t>The table below presents a reconciliation of the plan assets measured at fair value on a recurring basis using significant unobservable inputs (Level 3) for fiscal years 2012 and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Properties</w:t>
            </w:r>
          </w:p>
        </w:tc>
        <w:tc>
          <w:tcPr>
            <w:tcW w:w="300" w:type="dxa"/>
            <w:vAlign w:val="bottom"/>
          </w:tcPr>
          <w:p>
            <w:pPr>
              <w:spacing w:after="0"/>
              <w:rPr>
                <w:sz w:val="16"/>
                <w:szCs w:val="16"/>
                <w:color w:val="auto"/>
              </w:rPr>
            </w:pPr>
          </w:p>
        </w:tc>
        <w:tc>
          <w:tcPr>
            <w:tcW w:w="1180" w:type="dxa"/>
            <w:vAlign w:val="bottom"/>
          </w:tcPr>
          <w:p>
            <w:pPr>
              <w:jc w:val="right"/>
              <w:ind w:right="391"/>
              <w:spacing w:after="0"/>
              <w:rPr>
                <w:sz w:val="20"/>
                <w:szCs w:val="20"/>
                <w:color w:val="auto"/>
              </w:rPr>
            </w:pPr>
            <w:r>
              <w:rPr>
                <w:rFonts w:ascii="Arial" w:cs="Arial" w:eastAsia="Arial" w:hAnsi="Arial"/>
                <w:sz w:val="14"/>
                <w:szCs w:val="14"/>
                <w:b w:val="1"/>
                <w:bCs w:val="1"/>
                <w:color w:val="auto"/>
              </w:rPr>
              <w:t>Equities</w:t>
            </w:r>
          </w:p>
        </w:tc>
        <w:tc>
          <w:tcPr>
            <w:tcW w:w="0" w:type="dxa"/>
            <w:vAlign w:val="bottom"/>
          </w:tcPr>
          <w:p>
            <w:pPr>
              <w:spacing w:after="0"/>
              <w:rPr>
                <w:sz w:val="1"/>
                <w:szCs w:val="1"/>
                <w:color w:val="auto"/>
              </w:rPr>
            </w:pPr>
          </w:p>
        </w:tc>
      </w:tr>
      <w:tr>
        <w:trPr>
          <w:trHeight w:val="243"/>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October 29, 2011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3,166</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return on plan assets</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Exchange rate adjustment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November 3, 2012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Purchases, sales, and settlements, net</w:t>
            </w: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Exchange rate adjustment</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November 2, 2013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Estimated future cash flows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340" w:type="dxa"/>
            <w:vAlign w:val="bottom"/>
          </w:tcPr>
          <w:p>
            <w:pPr>
              <w:ind w:left="440"/>
              <w:spacing w:after="0"/>
              <w:rPr>
                <w:sz w:val="20"/>
                <w:szCs w:val="20"/>
                <w:color w:val="auto"/>
              </w:rPr>
            </w:pPr>
            <w:r>
              <w:rPr>
                <w:rFonts w:ascii="Arial" w:cs="Arial" w:eastAsia="Arial" w:hAnsi="Arial"/>
                <w:sz w:val="18"/>
                <w:szCs w:val="18"/>
                <w:color w:val="auto"/>
              </w:rPr>
              <w:t>Expected fiscal 2014 Company contributions and estimated future benefit payments are as follows: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Expected Company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16,302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Expected Benefit Payments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 through 2023</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32,345</w:t>
            </w:r>
          </w:p>
        </w:tc>
        <w:tc>
          <w:tcPr>
            <w:tcW w:w="0" w:type="dxa"/>
            <w:vAlign w:val="bottom"/>
          </w:tcPr>
          <w:p>
            <w:pPr>
              <w:spacing w:after="0"/>
              <w:rPr>
                <w:sz w:val="1"/>
                <w:szCs w:val="1"/>
                <w:color w:val="auto"/>
              </w:rPr>
            </w:pPr>
          </w:p>
        </w:tc>
      </w:tr>
      <w:tr>
        <w:trPr>
          <w:trHeight w:val="891"/>
        </w:trPr>
        <w:tc>
          <w:tcPr>
            <w:tcW w:w="8340" w:type="dxa"/>
            <w:vAlign w:val="bottom"/>
          </w:tcPr>
          <w:p>
            <w:pPr>
              <w:ind w:left="5620"/>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income tax computed at the U.S. federal statutory rates to income tax expense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2011</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tax rate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Income tax provision reconciliation:</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at statutory rate: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285,363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284,737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371,506</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Net foreign income subject to lower tax rate</w:t>
            </w:r>
          </w:p>
        </w:tc>
        <w:tc>
          <w:tcPr>
            <w:tcW w:w="3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(162,286)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(117,679)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(144,507)</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income taxes, net of federal benefit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1,162</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3,113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3,908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(6,700)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research and development tax credits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(14,681)</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Change in uncertain tax positions</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37,226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(5,184)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(9,897)</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(6,568)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3,670</w:t>
            </w:r>
          </w:p>
        </w:tc>
      </w:tr>
      <w:tr>
        <w:trPr>
          <w:trHeight w:val="257"/>
        </w:trPr>
        <w:tc>
          <w:tcPr>
            <w:tcW w:w="6580" w:type="dxa"/>
            <w:vAlign w:val="bottom"/>
          </w:tcPr>
          <w:p>
            <w:pPr>
              <w:ind w:left="380"/>
              <w:spacing w:after="0"/>
              <w:rPr>
                <w:sz w:val="20"/>
                <w:szCs w:val="20"/>
                <w:color w:val="auto"/>
              </w:rPr>
            </w:pPr>
            <w:r>
              <w:rPr>
                <w:rFonts w:ascii="Arial" w:cs="Arial" w:eastAsia="Arial" w:hAnsi="Arial"/>
                <w:sz w:val="18"/>
                <w:szCs w:val="18"/>
                <w:color w:val="auto"/>
              </w:rPr>
              <w:t>Total income tax provision</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141,836</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162,297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200,553</w:t>
            </w:r>
          </w:p>
        </w:tc>
      </w:tr>
      <w:tr>
        <w:trPr>
          <w:trHeight w:val="20"/>
        </w:trPr>
        <w:tc>
          <w:tcPr>
            <w:tcW w:w="6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financial reporting purposes, income before income taxes includes the following components: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Pretax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Domestic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124,737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233,478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355,819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690,586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580,055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705,628</w:t>
            </w:r>
          </w:p>
        </w:tc>
        <w:tc>
          <w:tcPr>
            <w:tcW w:w="0" w:type="dxa"/>
            <w:vAlign w:val="bottom"/>
          </w:tcPr>
          <w:p>
            <w:pPr>
              <w:spacing w:after="0"/>
              <w:rPr>
                <w:sz w:val="1"/>
                <w:szCs w:val="1"/>
                <w:color w:val="auto"/>
              </w:rPr>
            </w:pPr>
          </w:p>
        </w:tc>
      </w:tr>
      <w:tr>
        <w:trPr>
          <w:trHeight w:val="257"/>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815,323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813,533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1,061,447</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40"/>
              <w:spacing w:after="0"/>
              <w:rPr>
                <w:sz w:val="20"/>
                <w:szCs w:val="20"/>
                <w:color w:val="auto"/>
              </w:rPr>
            </w:pPr>
            <w:r>
              <w:rPr>
                <w:rFonts w:ascii="Arial" w:cs="Arial" w:eastAsia="Arial" w:hAnsi="Arial"/>
                <w:sz w:val="18"/>
                <w:szCs w:val="18"/>
                <w:color w:val="auto"/>
              </w:rPr>
              <w:t>The components of the provision for income taxes are as follows:</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Federal tax</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88,431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90,303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92,103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70,656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80,825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104,959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159,535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172,098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198,849</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Deferred (prepaid):</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(5,762)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57"/>
        </w:trPr>
        <w:tc>
          <w:tcPr>
            <w:tcW w:w="6740" w:type="dxa"/>
            <w:vAlign w:val="bottom"/>
          </w:tcPr>
          <w:p>
            <w:pPr>
              <w:ind w:left="380"/>
              <w:spacing w:after="0"/>
              <w:rPr>
                <w:sz w:val="20"/>
                <w:szCs w:val="20"/>
                <w:color w:val="auto"/>
              </w:rPr>
            </w:pPr>
            <w:r>
              <w:rPr>
                <w:rFonts w:ascii="Arial" w:cs="Arial" w:eastAsia="Arial" w:hAnsi="Arial"/>
                <w:sz w:val="18"/>
                <w:szCs w:val="18"/>
                <w:color w:val="auto"/>
              </w:rPr>
              <w:t>Total (prepaid) deferred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(17,699)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The Company continues to intend to reinvest certain of its foreign earnings indefinitely. Accordingly, no U.S. income taxes have been provided for approximately $3,761.6 million of unremitted earnings of international subsidiaries. As of November 2, 2013, the amount of unrecognized deferred tax liability on these earnings was $1,018.4 million.</w:t>
      </w:r>
    </w:p>
    <w:p>
      <w:pPr>
        <w:spacing w:after="0" w:line="8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significant components of the Company’s deferred tax assets and liabilities for the fiscal years ended November 2, 2013 and November 3, 2012 are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Inventory reserves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23,238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23,496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on shipments to distributors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33,236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Reserves for compensation and benefits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32,473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26,046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carryovers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89,944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96,140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Sale of business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22,564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8,712</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gross deferred tax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281,331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236,566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(37,350)</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237,829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199,216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(40,634)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Undistributed earnings of foreign subsidiaries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(5,918)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gross deferred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(66,480)</w:t>
            </w:r>
          </w:p>
        </w:tc>
      </w:tr>
      <w:tr>
        <w:trPr>
          <w:trHeight w:val="257"/>
        </w:trPr>
        <w:tc>
          <w:tcPr>
            <w:tcW w:w="8340" w:type="dxa"/>
            <w:vAlign w:val="bottom"/>
          </w:tcPr>
          <w:p>
            <w:pPr>
              <w:ind w:left="72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156,488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132,736</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valuation allowances of $43.5 million and $37.4 million at November 2, 2013 and November 3, 2012, respectively, are valuation allowances for the Company’s state credit carryovers that began expiring in 2008.</w:t>
      </w:r>
    </w:p>
    <w:p>
      <w:pPr>
        <w:spacing w:after="0" w:line="76"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The Company has provided for potential tax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8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of November 2, 2013 and November 3, 2012, the Company had a liability of $62.3 million and $7.1 million, respectively, for unrealized tax benefits, all of which, if settled in the Company’s favor, would lower the Company’s effective tax rate in the period recorded. In addition, as of November 2, 2013 and November 3, 2012, the Company had a liability of approximately $10.1 million and $4.6 million, respectively, for interest and penalties. The Company includes interest and penalties related to unrecognized tax benefits within the provision for taxes in the consolidated statements of income. The total liability as of November 2, 2013 and November 3, 2012 of $71.3 million and $10.1 million, respectively, for uncertain tax positions is classified as non-current, and is included in other non-current liabilities, because the Company believes that the ultimate payment or settlement of these liabilities may not occur within the next twelve months. The consolidated statements of income for fiscal years 2013, 2012 and 2011 include $7.1 million, ($7.1) million and $0.9 million, respectively, of interest and penalties related to these uncertain tax positions. Over the next fiscal year, the Company anticipates the liability to be reduced by $1.3 million for the possible expiration of an income tax statute of limitations.</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changes in the total amounts of unrealized tax benefits for fiscal 2011 through fiscal 2013.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Unrealized Tax Benefits</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b w:val="1"/>
                <w:bCs w:val="1"/>
                <w:color w:val="auto"/>
              </w:rPr>
              <w:t>Balance, October 29, 2011</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Pr>
          <w:p>
            <w:pPr>
              <w:jc w:val="right"/>
              <w:ind w:right="12"/>
              <w:spacing w:after="0"/>
              <w:rPr>
                <w:sz w:val="20"/>
                <w:szCs w:val="20"/>
                <w:color w:val="auto"/>
              </w:rPr>
            </w:pPr>
            <w:r>
              <w:rPr>
                <w:rFonts w:ascii="Arial" w:cs="Arial" w:eastAsia="Arial" w:hAnsi="Arial"/>
                <w:sz w:val="18"/>
                <w:szCs w:val="18"/>
                <w:b w:val="1"/>
                <w:bCs w:val="1"/>
                <w:color w:val="auto"/>
              </w:rPr>
              <w:t>9,665</w:t>
            </w:r>
          </w:p>
        </w:tc>
      </w:tr>
      <w:tr>
        <w:trPr>
          <w:trHeight w:val="27"/>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(6,168)</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Additions for tax positions related to prior years</w:t>
            </w:r>
          </w:p>
        </w:tc>
        <w:tc>
          <w:tcPr>
            <w:tcW w:w="260" w:type="dxa"/>
            <w:vAlign w:val="bottom"/>
          </w:tcPr>
          <w:p>
            <w:pPr>
              <w:spacing w:after="0"/>
              <w:rPr>
                <w:sz w:val="21"/>
                <w:szCs w:val="21"/>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2,212</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related to current year</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1,394</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b w:val="1"/>
                <w:bCs w:val="1"/>
                <w:color w:val="auto"/>
              </w:rPr>
              <w:t>Balance, November 3, 2012</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7,103</w:t>
            </w:r>
          </w:p>
        </w:tc>
      </w:tr>
      <w:tr>
        <w:trPr>
          <w:trHeight w:val="27"/>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related to current year</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22,762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Additions for tax positions related to prior years</w:t>
            </w:r>
          </w:p>
        </w:tc>
        <w:tc>
          <w:tcPr>
            <w:tcW w:w="260" w:type="dxa"/>
            <w:vAlign w:val="bottom"/>
          </w:tcPr>
          <w:p>
            <w:pPr>
              <w:spacing w:after="0"/>
              <w:rPr>
                <w:sz w:val="21"/>
                <w:szCs w:val="21"/>
                <w:color w:val="auto"/>
              </w:rPr>
            </w:pP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41,945</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Reductions due to lapse of applicable statute of limitations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(1,495)</w:t>
            </w:r>
          </w:p>
        </w:tc>
      </w:tr>
      <w:tr>
        <w:trPr>
          <w:trHeight w:val="27"/>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November 2,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68,139</w:t>
            </w:r>
          </w:p>
        </w:tc>
      </w:tr>
      <w:tr>
        <w:trPr>
          <w:trHeight w:val="20"/>
        </w:trPr>
        <w:tc>
          <w:tcPr>
            <w:tcW w:w="9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bl>
    <w:p>
      <w:pPr>
        <w:spacing w:after="0" w:line="107"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Company has filed a petition with the U.S. Tax Court for one open matter for fiscal years 2006 and 2007 that pertains to Section 965 of the Internal Revenue Code related to the beneficial tax treatment of dividends paid from foreign owned companies under The American Jobs Creation Act. The potential liability for this adjustment is $36.5 million. On September 18, 2013, in a matter not involving the Company, the U.S. Tax Court held that accounts receivable created under Rev. Proc. 99-32 may constitute indebtedness for purposes of Section 965 (b)(3) of the Internal Revenue Code and that the IRS was not precluded from reducing the beneficial dividend received deduction because of the increase in related-party indebtedness (BMC Software Inc. v Commissioner, 141 T.C. No. 5 2013). After analyzing the Tax Court’s decision, the Company has determined that its tax position with respect to the Section 965(b)(3) no longer meets the more likely than not standard of recognition for accounting purposes. Accordingly, the Company recorded a $36.5 million reserve for this matter in the fourth quarter of 2013.</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of the Company's U.S. federal tax returns prior to fiscal year 2010 are no longer subject to examination.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of the Company's Ireland tax returns prior to fiscal year 2009 are no longer subject to examination.</w:t>
      </w:r>
    </w:p>
    <w:p>
      <w:pPr>
        <w:spacing w:after="0" w:line="221"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Credit Facility</w:t>
      </w:r>
    </w:p>
    <w:p>
      <w:pPr>
        <w:spacing w:after="0" w:line="94" w:lineRule="exact"/>
        <w:rPr>
          <w:sz w:val="20"/>
          <w:szCs w:val="20"/>
          <w:color w:val="auto"/>
        </w:rPr>
      </w:pPr>
    </w:p>
    <w:p>
      <w:pPr>
        <w:ind w:right="100" w:firstLine="432"/>
        <w:spacing w:after="0" w:line="286" w:lineRule="auto"/>
        <w:rPr>
          <w:sz w:val="20"/>
          <w:szCs w:val="20"/>
          <w:color w:val="auto"/>
        </w:rPr>
      </w:pPr>
      <w:r>
        <w:rPr>
          <w:rFonts w:ascii="Arial" w:cs="Arial" w:eastAsia="Arial" w:hAnsi="Arial"/>
          <w:sz w:val="16"/>
          <w:szCs w:val="16"/>
          <w:color w:val="auto"/>
        </w:rPr>
        <w:t>As of November 2, 2013, the Company had $4,682.9 million of cash and cash equivalents and short-term investments, of which $1,318.9 million was held in the United States. The balance of the Company’s cash and cash equivalents and short-term investments was held outside the United States in various foreign subsidiaries. As the Company intends to reinvest its foreign earnings indefinitely, this cash is not available to meet the Company's cash requirements in the United States, including cash dividends and common stock repurchases. During December 2012, the Company terminated its five-year, $165.0 million unsecured revolving credit facility with certain institutional lenders entered into in May 2008. On December 19, 2012, the Company entered into a five-year, $500.0 million senior unsecured revolving credit facility with certain institutional lenders (the Credit Agreement). To date, the Company has not borrowed under this credit facility but the Company may borrow in the future and use the proceeds for repayment of existing indebtedness, stock repurchases, acquisitions, capital expenditures, working capital and other lawful corporate purposes. Revolving loans under the Credit Agreement (other than swing line loans) bear interest, at the Company's option, at either a rate equal to (a) the Eurodollar Rate (as defined in the Credit Agreement) plus a margin based on the Company's debt rating or (b) the Base Rate (defined as the highest of (i) the Bank of America prime rate, (ii) the Federal Funds Rate (as defined in the Credit Agreement) plus .50% or (iii) one month Eurodollar Rate plus 1.00%) plus a margin based on the Company's debt rating. The terms of the facility impose restrictions on the Company’s ability to undertake certain transactions, to create certain liens on assets and to incur certain subsidiary indebtedness. In addition, the Credit Agreement contains a consolidated leverage ratio covenant of total consolidated funded debt to consolidated EBITDA (earnings before interest, taxes, depreciation, and amortization) of not greater than 3.0 to 1.0. As of November 2, 2013, the Company was compliant with these covenants.</w:t>
      </w:r>
    </w:p>
    <w:p>
      <w:pPr>
        <w:spacing w:after="0" w:line="249"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June 30, 2009, the Company issued $375.0 million aggregate principal amount of 5.0% senior unsecured notes due July 1, 2014 (the 2014 Notes) with semi-annual fixed interest payments due on January 1 and July 1 of each year, commencing January 1, 2010. The sale of the 2014 Notes was made pursuant to the terms of an underwriting agreement dated June 25, 2009 between the Company and Credit Suisse Securities (USA) LLC, as representative of the several underwriters named therein. The net proceeds of the offering were $370.4 million, after issuing at a discount and deducting expenses, underwriting discounts and commissions, which were amortized over the term of the 2014 Notes.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On June 30, 2009, the Company entered into interest rate swap transactions related to its outstanding 2014 Notes where the Company swapped the notional amount of its $375.0 million of fixed rate debt at 5.0% into floating interest rate debt through July 1, 2014. The Company designated these swaps as fair value hedges. The changes in the fair value of the interest rate swaps were reflected in the carrying value of the interest rate swaps in other assets on the balance sheet. The carrying value of the debt on the balance sheet was adjusted by an equal and offsetting amount. In fiscal 2012, the Company terminated the interest rate swap agreement. The Company received $19.8 million in cash proceeds from the swap termination, which included $1.3 million in accrued interest. The proceeds, net of interest received, are disclosed in cash flows from financing activities in the consolidated statements of cash flows. As a result of the termination, the carrying value of the 2014 Notes was adjusted for the change in the fair value of the interest component of the debt up to the date of the termination of the swap in an amount equal to the fair value of the swap, and was amortized into earnings as a reduction of interest expense over the remaining life of the debt. During fiscal year 2012, $5.3 million was amortized into earnings as a reduction of interest expense related to the swap termination. During the third quarter of fiscal 2013, in conjunction with the redemption of the 2014 Notes, the Company recognized the remaining $8.6 million in unamortized proceeds received from the termination of the interest rate swap as other, net expense, within non-operating (income) expense.</w:t>
      </w:r>
    </w:p>
    <w:p>
      <w:pPr>
        <w:spacing w:after="0" w:line="38"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 xml:space="preserve">During the third quarter of fiscal 2013, the Company redeemed its outstanding 2014 Notes. The redemption price was 104.744% of the principal amount of the 2014 Notes. The Company applied the provisions of Accounting Standards Codification (ASC) Subtopic 470-50, </w:t>
      </w:r>
      <w:r>
        <w:rPr>
          <w:rFonts w:ascii="Arial" w:cs="Arial" w:eastAsia="Arial" w:hAnsi="Arial"/>
          <w:sz w:val="17"/>
          <w:szCs w:val="17"/>
          <w:i w:val="1"/>
          <w:iCs w:val="1"/>
          <w:color w:val="auto"/>
        </w:rPr>
        <w:t>Modifications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Extinguishments </w:t>
      </w:r>
      <w:r>
        <w:rPr>
          <w:rFonts w:ascii="Arial" w:cs="Arial" w:eastAsia="Arial" w:hAnsi="Arial"/>
          <w:sz w:val="17"/>
          <w:szCs w:val="17"/>
          <w:color w:val="auto"/>
        </w:rPr>
        <w:t>(ASC 470-50) in order to determine if the terms of the debt were substantially different and, as a result, whether to apply modification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extinguishment accounting. The Company concluded that the debt transaction qualified as a debt extinguishment and as a result recognized a net loss on debt extinguishment of approximately $10.2 million recorded in other, net within non-operating (income) expense. This loss was comprised of the make-whole premium of $17.8 million paid to bondholders on the 2014 Notes in accordance with the terms of the notes, the recognition of the remaining $8.6 million of unamortized proceeds received from the termination of the interest rate swap associated with the debt, and the write-off of approximately $1.0 million of debt issuance and discount costs that remained to be amortized. The write-off of the remaining unamortized portion of debt issuance costs, discount and swap proceeds are reflected in the Company's condensed consolidated statements of cash flows within operating activities, and the make-whole premium is reflected within financing activities.</w:t>
      </w:r>
    </w:p>
    <w:p>
      <w:pPr>
        <w:spacing w:after="0" w:line="299"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On December 22, 2010, Analog Devices Holdings B.V., a wholly owned subsidiary of the Company, entered into a credit agreement with Bank of America, N.A., London Branch as administrative agent. The borrower’s obligations were guaranteed by the Company. The credit agreement provided for a term loan facility of $145.0 million, which was set to mature on December 22, 2013. During the first quarter of fiscal 2013, the Company repaid the remaining outstanding principal balance on the loan of $60.1 million and the credit agreement was terminated. The terms of the agreement provided for a three year principal amortization schedule with $3.6 million payable quarterly every March, June, September and December with the balance payable upon the maturity date. During fiscal 2011 and fiscal 2012, the Company made additional principal payments of $17.5 million and $42.0 million, respectively. The loan bore interest at a fluctuating rate for each period equal to the LIBOR rate corresponding with the tenor of the interest period plus a spread of 1.25%. The terms of this facility included limitations on subsidiary indebtedness and on liens against the assets of the Company and its subsidiaries, and also included financial covenants that required the Company to maintain a minimum interest coverage ratio and not exceed a maximum leverage ratio.</w:t>
      </w:r>
    </w:p>
    <w:p>
      <w:pPr>
        <w:spacing w:after="0" w:line="113"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On April 4, 2011, the Company issued $375.0 million aggregate principal amount of 3.0% senior unsecured notes due April 15, 2016 (the 2016 Notes) with semi-annual fixed interest payments due on April 15 and October 15 of each year, commencing October 15, 2011. The sale of the 2016 Notes was made pursuant to the terms of an underwriting agreement, dated March 30, 2011 between the Company and Credit Suisse Securities (USA) LLC and Merrill Lynch, Pierce, Fenner and Smith Incorporated, as representative of the several underwriters named therein. The net proceeds of the offering were $370.5 million, after issuing at a discount and deducting expenses, underwriting discounts and commissions, which are being amortized over the term of the 2016 Notes. The indenture governing the 2016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November 2, 2013, the Company was compliant with these covenants. The 2016 Notes are subordinated to any future secured debt and to the other liabilities of the Company’s subsidiaries.</w:t>
      </w:r>
    </w:p>
    <w:p>
      <w:pPr>
        <w:spacing w:after="0" w:line="113"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On June 3, 2013, the Company issued $500.0 million aggregate principal amount of 2.875% senior unsecured notes due June 1, 2023 (the 2023 Notes) with semi-annual fixed interest payments due on June 1 and December 1 of each year, commencing December 1, 2013. Prior to issuing the 2023 Notes, on April 24, 2013, the Company entered into a treasury rate lock agreement with Bank of America. This agreement allowed the Company to lock a 10-year US Treasury rate of 1.7845% through June 14, 2013 for its anticipated issuance of the 2023 Notes. Upon issuing the 2023 Notes, the Company simultaneously terminated the treasury rate lock agreement resulting in a gain of approximately $11.0 million. This gain is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being amortized into interest expense over the 10-year term of the 2023 Notes. The sale of the 2023 Notes was made pursuant to the terms of an underwriting agreement, dated as of May 22, 2013, among the Company and J.P. Morgan Securities LLC, Merrill Lynch, Pierce, Fenner &amp; Smith Incorporated and Credit Suisse Securities (USA) LLC, as the representatives of the several underwriters named therein. The net proceeds of the offering were $493.9 million, after discount and issuance costs. Debt discount and issuance costs are being amortized through interest expense over the term of the 2023 Notes. The indenture governing the 2023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November 2, 2013, the Company was compliant with these covenants. The notes are subordinated to any future secured debt and to the other liabilities of the Company's subsidiaries.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principal payments related to its debt obligations are as follows: $375.0 million in fiscal year 2016 and $500.0 million in fiscal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07"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Gain on Sale of Product Line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October 31, 2013, we completed the sale of the assets and intellectual property related to our microphone product line to InvenSense, Inc. (InvenSense). The Company received $100.0 million in cash for the assets and intellectual property and after providing for the write-off of inventory, fixed assets and other costs incurred to complete the transaction, recorded a net gain of $85.4 million in nonoperating income during fiscal 2013. The Company has agreed to provide InvenSense with various transition services subsequent to the closing. The Company may receive additional cash payments, not to exceed $70.0 million, based on the achievement of certain revenue milestones through the first anniversary of the closing date. The sale of the assets and intellectual property related to the microphone product line did not qualify as a discontinued operation as it did not meet the requirement to be considered a component of an entity.</w:t>
      </w:r>
    </w:p>
    <w:p>
      <w:pPr>
        <w:spacing w:after="0" w:line="185"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4" w:lineRule="exact"/>
        <w:rPr>
          <w:sz w:val="20"/>
          <w:szCs w:val="20"/>
          <w:color w:val="auto"/>
        </w:rPr>
      </w:pPr>
    </w:p>
    <w:p>
      <w:pPr>
        <w:ind w:right="620" w:firstLine="432"/>
        <w:spacing w:after="0" w:line="308" w:lineRule="auto"/>
        <w:rPr>
          <w:sz w:val="20"/>
          <w:szCs w:val="20"/>
          <w:color w:val="auto"/>
        </w:rPr>
      </w:pPr>
      <w:r>
        <w:rPr>
          <w:rFonts w:ascii="Arial" w:cs="Arial" w:eastAsia="Arial" w:hAnsi="Arial"/>
          <w:sz w:val="17"/>
          <w:szCs w:val="17"/>
          <w:color w:val="auto"/>
        </w:rPr>
        <w:t>On November 25, 2013, the Board of Directors of the Company declared a cash dividend of $0.34 per outstanding share of common stock. The dividend will be paid on December 17, 2013 to all shareholders of record at the close of business on December 6, 2013.</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121" w:right="279" w:bottom="1440" w:gutter="0" w:footer="0" w:header="0"/>
        </w:sectPr>
      </w:pPr>
    </w:p>
    <w:bookmarkStart w:id="81" w:name="page82"/>
    <w:bookmarkEnd w:id="81"/>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38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have audited the accompanying consolidated balance sheets of Analog Devices, Inc. as of November 2, 2013 and November 3, 2012, and the related consolidated statements of income, comprehensive income, shareholders’ equity, and cash flows for each of the three years in the period ended November 2, 2013. Our audits also included the financial statement schedule listed in the Index at Item 15(b). These financial statements and schedule are the responsibility of the Company’s management. Our responsibility is to express an opinion on these financial statements and schedule based on our audits.</w:t>
      </w:r>
    </w:p>
    <w:p>
      <w:pPr>
        <w:spacing w:after="0" w:line="1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Analog Devices, Inc. at November 2, 2013 and November 3, 2012, and the consolidated results of its operations and its cash flows for each of the three years in the period ended November 2, 2013,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Analog Devices, Inc.’s internal control over financial reporting as of November 2, 2013, based on criteria established in Internal Control-Integrated Framework issued by the Committee of Sponsoring Organizations of the Treadway Commission (1992 framework) and our report dated November 26, 2013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26, 2013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918" w:right="239" w:bottom="1440" w:gutter="0" w:footer="0" w:header="0"/>
        </w:sectPr>
      </w:pPr>
    </w:p>
    <w:bookmarkStart w:id="82" w:name="page83"/>
    <w:bookmarkEnd w:id="82"/>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3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SUPPLEMENTARY FINANCIAL INFORMATION</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Quarterly financial information for fiscal 2013 and fiscal 2012 (thousands, except per share amounts and as noted):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1140" w:type="dxa"/>
            <w:vAlign w:val="bottom"/>
            <w:gridSpan w:val="2"/>
          </w:tcPr>
          <w:p>
            <w:pPr>
              <w:ind w:left="360"/>
              <w:spacing w:after="0"/>
              <w:rPr>
                <w:sz w:val="20"/>
                <w:szCs w:val="20"/>
                <w:color w:val="auto"/>
              </w:rPr>
            </w:pPr>
            <w:r>
              <w:rPr>
                <w:rFonts w:ascii="Arial" w:cs="Arial" w:eastAsia="Arial" w:hAnsi="Arial"/>
                <w:sz w:val="13"/>
                <w:szCs w:val="13"/>
                <w:b w:val="1"/>
                <w:bCs w:val="1"/>
                <w:color w:val="auto"/>
              </w:rPr>
              <w:t>4Q13</w:t>
            </w:r>
          </w:p>
        </w:tc>
        <w:tc>
          <w:tcPr>
            <w:tcW w:w="1140" w:type="dxa"/>
            <w:vAlign w:val="bottom"/>
            <w:gridSpan w:val="2"/>
          </w:tcPr>
          <w:p>
            <w:pPr>
              <w:ind w:left="380"/>
              <w:spacing w:after="0"/>
              <w:rPr>
                <w:sz w:val="20"/>
                <w:szCs w:val="20"/>
                <w:color w:val="auto"/>
              </w:rPr>
            </w:pPr>
            <w:r>
              <w:rPr>
                <w:rFonts w:ascii="Arial" w:cs="Arial" w:eastAsia="Arial" w:hAnsi="Arial"/>
                <w:sz w:val="13"/>
                <w:szCs w:val="13"/>
                <w:b w:val="1"/>
                <w:bCs w:val="1"/>
                <w:color w:val="auto"/>
              </w:rPr>
              <w:t>3Q13</w:t>
            </w:r>
          </w:p>
        </w:tc>
        <w:tc>
          <w:tcPr>
            <w:tcW w:w="1160" w:type="dxa"/>
            <w:vAlign w:val="bottom"/>
            <w:gridSpan w:val="2"/>
          </w:tcPr>
          <w:p>
            <w:pPr>
              <w:ind w:left="380"/>
              <w:spacing w:after="0"/>
              <w:rPr>
                <w:sz w:val="20"/>
                <w:szCs w:val="20"/>
                <w:color w:val="auto"/>
              </w:rPr>
            </w:pPr>
            <w:r>
              <w:rPr>
                <w:rFonts w:ascii="Arial" w:cs="Arial" w:eastAsia="Arial" w:hAnsi="Arial"/>
                <w:sz w:val="13"/>
                <w:szCs w:val="13"/>
                <w:b w:val="1"/>
                <w:bCs w:val="1"/>
                <w:color w:val="auto"/>
              </w:rPr>
              <w:t>2Q13</w:t>
            </w:r>
          </w:p>
        </w:tc>
        <w:tc>
          <w:tcPr>
            <w:tcW w:w="1140" w:type="dxa"/>
            <w:vAlign w:val="bottom"/>
            <w:gridSpan w:val="2"/>
          </w:tcPr>
          <w:p>
            <w:pPr>
              <w:ind w:left="380"/>
              <w:spacing w:after="0"/>
              <w:rPr>
                <w:sz w:val="20"/>
                <w:szCs w:val="20"/>
                <w:color w:val="auto"/>
              </w:rPr>
            </w:pPr>
            <w:r>
              <w:rPr>
                <w:rFonts w:ascii="Arial" w:cs="Arial" w:eastAsia="Arial" w:hAnsi="Arial"/>
                <w:sz w:val="13"/>
                <w:szCs w:val="13"/>
                <w:b w:val="1"/>
                <w:bCs w:val="1"/>
                <w:color w:val="auto"/>
              </w:rPr>
              <w:t>1Q13</w:t>
            </w:r>
          </w:p>
        </w:tc>
        <w:tc>
          <w:tcPr>
            <w:tcW w:w="1160" w:type="dxa"/>
            <w:vAlign w:val="bottom"/>
            <w:gridSpan w:val="2"/>
          </w:tcPr>
          <w:p>
            <w:pPr>
              <w:ind w:left="380"/>
              <w:spacing w:after="0"/>
              <w:rPr>
                <w:sz w:val="20"/>
                <w:szCs w:val="20"/>
                <w:color w:val="auto"/>
              </w:rPr>
            </w:pPr>
            <w:r>
              <w:rPr>
                <w:rFonts w:ascii="Arial" w:cs="Arial" w:eastAsia="Arial" w:hAnsi="Arial"/>
                <w:sz w:val="13"/>
                <w:szCs w:val="13"/>
                <w:b w:val="1"/>
                <w:bCs w:val="1"/>
                <w:color w:val="auto"/>
              </w:rPr>
              <w:t>4Q12</w:t>
            </w:r>
          </w:p>
        </w:tc>
        <w:tc>
          <w:tcPr>
            <w:tcW w:w="1160" w:type="dxa"/>
            <w:vAlign w:val="bottom"/>
            <w:gridSpan w:val="2"/>
          </w:tcPr>
          <w:p>
            <w:pPr>
              <w:ind w:left="380"/>
              <w:spacing w:after="0"/>
              <w:rPr>
                <w:sz w:val="20"/>
                <w:szCs w:val="20"/>
                <w:color w:val="auto"/>
              </w:rPr>
            </w:pPr>
            <w:r>
              <w:rPr>
                <w:rFonts w:ascii="Arial" w:cs="Arial" w:eastAsia="Arial" w:hAnsi="Arial"/>
                <w:sz w:val="13"/>
                <w:szCs w:val="13"/>
                <w:b w:val="1"/>
                <w:bCs w:val="1"/>
                <w:color w:val="auto"/>
              </w:rPr>
              <w:t>3Q12</w:t>
            </w:r>
          </w:p>
        </w:tc>
        <w:tc>
          <w:tcPr>
            <w:tcW w:w="1160" w:type="dxa"/>
            <w:vAlign w:val="bottom"/>
            <w:gridSpan w:val="2"/>
          </w:tcPr>
          <w:p>
            <w:pPr>
              <w:ind w:left="380"/>
              <w:spacing w:after="0"/>
              <w:rPr>
                <w:sz w:val="20"/>
                <w:szCs w:val="20"/>
                <w:color w:val="auto"/>
              </w:rPr>
            </w:pPr>
            <w:r>
              <w:rPr>
                <w:rFonts w:ascii="Arial" w:cs="Arial" w:eastAsia="Arial" w:hAnsi="Arial"/>
                <w:sz w:val="13"/>
                <w:szCs w:val="13"/>
                <w:b w:val="1"/>
                <w:bCs w:val="1"/>
                <w:color w:val="auto"/>
              </w:rPr>
              <w:t>2Q12</w:t>
            </w:r>
          </w:p>
        </w:tc>
        <w:tc>
          <w:tcPr>
            <w:tcW w:w="1060" w:type="dxa"/>
            <w:vAlign w:val="bottom"/>
          </w:tcPr>
          <w:p>
            <w:pPr>
              <w:jc w:val="right"/>
              <w:ind w:right="300"/>
              <w:spacing w:after="0"/>
              <w:rPr>
                <w:sz w:val="20"/>
                <w:szCs w:val="20"/>
                <w:color w:val="auto"/>
              </w:rPr>
            </w:pPr>
            <w:r>
              <w:rPr>
                <w:rFonts w:ascii="Arial" w:cs="Arial" w:eastAsia="Arial" w:hAnsi="Arial"/>
                <w:sz w:val="13"/>
                <w:szCs w:val="13"/>
                <w:b w:val="1"/>
                <w:bCs w:val="1"/>
                <w:color w:val="auto"/>
              </w:rPr>
              <w:t>1Q12</w:t>
            </w:r>
          </w:p>
        </w:tc>
      </w:tr>
      <w:tr>
        <w:trPr>
          <w:trHeight w:val="237"/>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04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678,133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674,172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659,250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622,134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694,964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683,026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675,094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648,058</w:t>
            </w: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Cost of sales</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233,263</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239,110</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237,055</w:t>
            </w:r>
          </w:p>
        </w:tc>
        <w:tc>
          <w:tcPr>
            <w:tcW w:w="12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231,850</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251,682</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235,152</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234,639</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238,668</w:t>
            </w:r>
          </w:p>
        </w:tc>
      </w:tr>
      <w:tr>
        <w:trPr>
          <w:trHeight w:val="33"/>
        </w:trPr>
        <w:tc>
          <w:tcPr>
            <w:tcW w:w="23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444,870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435,062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422,195</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390,284</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443,282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447,874</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440,455</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409,390</w:t>
            </w:r>
          </w:p>
        </w:tc>
      </w:tr>
      <w:tr>
        <w:trPr>
          <w:trHeight w:val="237"/>
        </w:trPr>
        <w:tc>
          <w:tcPr>
            <w:tcW w:w="230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1040" w:type="dxa"/>
            <w:vAlign w:val="bottom"/>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63.2%</w:t>
            </w:r>
          </w:p>
        </w:tc>
      </w:tr>
      <w:tr>
        <w:trPr>
          <w:trHeight w:val="33"/>
        </w:trPr>
        <w:tc>
          <w:tcPr>
            <w:tcW w:w="2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131,034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128,947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128,110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125,164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130,394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129,694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127,537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124,378</w:t>
            </w:r>
          </w:p>
        </w:tc>
      </w:tr>
      <w:tr>
        <w:trPr>
          <w:trHeight w:val="220"/>
        </w:trPr>
        <w:tc>
          <w:tcPr>
            <w:tcW w:w="2300" w:type="dxa"/>
            <w:vAlign w:val="bottom"/>
          </w:tcPr>
          <w:p>
            <w:pPr>
              <w:ind w:left="180"/>
              <w:spacing w:after="0"/>
              <w:rPr>
                <w:sz w:val="20"/>
                <w:szCs w:val="20"/>
                <w:color w:val="auto"/>
              </w:rPr>
            </w:pPr>
            <w:r>
              <w:rPr>
                <w:rFonts w:ascii="Arial" w:cs="Arial" w:eastAsia="Arial" w:hAnsi="Arial"/>
                <w:sz w:val="16"/>
                <w:szCs w:val="16"/>
                <w:color w:val="auto"/>
                <w:w w:val="95"/>
              </w:rPr>
              <w:t>Selling, marketing, general and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6"/>
        </w:trPr>
        <w:tc>
          <w:tcPr>
            <w:tcW w:w="2300" w:type="dxa"/>
            <w:vAlign w:val="bottom"/>
          </w:tcPr>
          <w:p>
            <w:pPr>
              <w:ind w:left="180"/>
              <w:spacing w:after="0"/>
              <w:rPr>
                <w:sz w:val="20"/>
                <w:szCs w:val="20"/>
                <w:color w:val="auto"/>
              </w:rPr>
            </w:pPr>
            <w:r>
              <w:rPr>
                <w:rFonts w:ascii="Arial" w:cs="Arial" w:eastAsia="Arial" w:hAnsi="Arial"/>
                <w:sz w:val="16"/>
                <w:szCs w:val="16"/>
                <w:color w:val="auto"/>
              </w:rPr>
              <w:t>administrative</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98,197</w:t>
            </w:r>
          </w:p>
        </w:tc>
        <w:tc>
          <w:tcPr>
            <w:tcW w:w="100" w:type="dxa"/>
            <w:vAlign w:val="bottom"/>
          </w:tcPr>
          <w:p>
            <w:pPr>
              <w:spacing w:after="0"/>
              <w:rPr>
                <w:sz w:val="17"/>
                <w:szCs w:val="17"/>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97,773</w:t>
            </w:r>
          </w:p>
        </w:tc>
        <w:tc>
          <w:tcPr>
            <w:tcW w:w="100" w:type="dxa"/>
            <w:vAlign w:val="bottom"/>
          </w:tcPr>
          <w:p>
            <w:pPr>
              <w:spacing w:after="0"/>
              <w:rPr>
                <w:sz w:val="17"/>
                <w:szCs w:val="17"/>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102,703</w:t>
            </w:r>
          </w:p>
        </w:tc>
        <w:tc>
          <w:tcPr>
            <w:tcW w:w="120" w:type="dxa"/>
            <w:vAlign w:val="bottom"/>
          </w:tcPr>
          <w:p>
            <w:pPr>
              <w:spacing w:after="0"/>
              <w:rPr>
                <w:sz w:val="17"/>
                <w:szCs w:val="17"/>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97,560</w:t>
            </w:r>
          </w:p>
        </w:tc>
        <w:tc>
          <w:tcPr>
            <w:tcW w:w="100" w:type="dxa"/>
            <w:vAlign w:val="bottom"/>
          </w:tcPr>
          <w:p>
            <w:pPr>
              <w:spacing w:after="0"/>
              <w:rPr>
                <w:sz w:val="17"/>
                <w:szCs w:val="17"/>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97,609</w:t>
            </w:r>
          </w:p>
        </w:tc>
        <w:tc>
          <w:tcPr>
            <w:tcW w:w="100" w:type="dxa"/>
            <w:vAlign w:val="bottom"/>
          </w:tcPr>
          <w:p>
            <w:pPr>
              <w:spacing w:after="0"/>
              <w:rPr>
                <w:sz w:val="17"/>
                <w:szCs w:val="17"/>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99,873</w:t>
            </w:r>
          </w:p>
        </w:tc>
        <w:tc>
          <w:tcPr>
            <w:tcW w:w="100" w:type="dxa"/>
            <w:vAlign w:val="bottom"/>
          </w:tcPr>
          <w:p>
            <w:pPr>
              <w:spacing w:after="0"/>
              <w:rPr>
                <w:sz w:val="17"/>
                <w:szCs w:val="17"/>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99,992</w:t>
            </w:r>
          </w:p>
        </w:tc>
        <w:tc>
          <w:tcPr>
            <w:tcW w:w="100" w:type="dxa"/>
            <w:vAlign w:val="bottom"/>
          </w:tcPr>
          <w:p>
            <w:pPr>
              <w:spacing w:after="0"/>
              <w:rPr>
                <w:sz w:val="17"/>
                <w:szCs w:val="17"/>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99,045</w:t>
            </w:r>
          </w:p>
        </w:tc>
      </w:tr>
      <w:tr>
        <w:trPr>
          <w:trHeight w:val="33"/>
        </w:trPr>
        <w:tc>
          <w:tcPr>
            <w:tcW w:w="2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Special charges</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15,777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14,071</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5,836</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2,595</w:t>
            </w:r>
          </w:p>
        </w:tc>
      </w:tr>
      <w:tr>
        <w:trPr>
          <w:trHeight w:val="217"/>
        </w:trPr>
        <w:tc>
          <w:tcPr>
            <w:tcW w:w="230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104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245,008</w:t>
            </w: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226,720</w:t>
            </w: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230,813</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236,795</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228,003</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235,403</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227,529</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226,018</w:t>
            </w:r>
          </w:p>
        </w:tc>
      </w:tr>
      <w:tr>
        <w:trPr>
          <w:trHeight w:val="33"/>
        </w:trPr>
        <w:tc>
          <w:tcPr>
            <w:tcW w:w="2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199,862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208,342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191,382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153,489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215,279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212,471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212,926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183,372</w:t>
            </w:r>
          </w:p>
        </w:tc>
      </w:tr>
      <w:tr>
        <w:trPr>
          <w:trHeight w:val="237"/>
        </w:trPr>
        <w:tc>
          <w:tcPr>
            <w:tcW w:w="230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2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Nonoperating (income) expenses:</w:t>
            </w: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230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6,659</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7,672</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6,357</w:t>
            </w:r>
          </w:p>
        </w:tc>
        <w:tc>
          <w:tcPr>
            <w:tcW w:w="12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6,414</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6,391</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6,459</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6,890</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6,682</w:t>
            </w:r>
          </w:p>
        </w:tc>
      </w:tr>
      <w:tr>
        <w:trPr>
          <w:trHeight w:val="33"/>
        </w:trPr>
        <w:tc>
          <w:tcPr>
            <w:tcW w:w="2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(3,351)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(3,233)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(3,627)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(3,506)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(3,967)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(3,348)</w:t>
            </w:r>
          </w:p>
        </w:tc>
      </w:tr>
      <w:tr>
        <w:trPr>
          <w:trHeight w:val="237"/>
        </w:trPr>
        <w:tc>
          <w:tcPr>
            <w:tcW w:w="2300" w:type="dxa"/>
            <w:vAlign w:val="bottom"/>
          </w:tcPr>
          <w:p>
            <w:pPr>
              <w:ind w:left="180"/>
              <w:spacing w:after="0"/>
              <w:rPr>
                <w:sz w:val="20"/>
                <w:szCs w:val="20"/>
                <w:color w:val="auto"/>
              </w:rPr>
            </w:pPr>
            <w:r>
              <w:rPr>
                <w:rFonts w:ascii="Arial" w:cs="Arial" w:eastAsia="Arial" w:hAnsi="Arial"/>
                <w:sz w:val="16"/>
                <w:szCs w:val="16"/>
                <w:color w:val="auto"/>
              </w:rPr>
              <w:t>Other, net (a)</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(85,958)</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8,754</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(1,451)</w:t>
            </w:r>
          </w:p>
        </w:tc>
        <w:tc>
          <w:tcPr>
            <w:tcW w:w="1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(48)</w:t>
            </w:r>
          </w:p>
        </w:tc>
      </w:tr>
      <w:tr>
        <w:trPr>
          <w:trHeight w:val="33"/>
        </w:trPr>
        <w:tc>
          <w:tcPr>
            <w:tcW w:w="23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nonoperating (income)</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(82,650)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13,301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3,721</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3,380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2,755</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3,002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1,472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3,286</w:t>
            </w:r>
          </w:p>
        </w:tc>
      </w:tr>
      <w:tr>
        <w:trPr>
          <w:trHeight w:val="217"/>
        </w:trPr>
        <w:tc>
          <w:tcPr>
            <w:tcW w:w="230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04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282,512</w:t>
            </w: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195,041</w:t>
            </w: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187,661</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150,109</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212,524</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209,469</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211,454</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180,086</w:t>
            </w:r>
          </w:p>
        </w:tc>
      </w:tr>
      <w:tr>
        <w:trPr>
          <w:trHeight w:val="33"/>
        </w:trPr>
        <w:tc>
          <w:tcPr>
            <w:tcW w:w="2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 of Revenue</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Provision for income taxes (b)</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80,958</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18,802</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23,189</w:t>
            </w:r>
          </w:p>
        </w:tc>
        <w:tc>
          <w:tcPr>
            <w:tcW w:w="12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18,887</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33,337</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39,701</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48,555</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40,704</w:t>
            </w:r>
          </w:p>
        </w:tc>
      </w:tr>
      <w:tr>
        <w:trPr>
          <w:trHeight w:val="33"/>
        </w:trPr>
        <w:tc>
          <w:tcPr>
            <w:tcW w:w="23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201,554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176,239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164,472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131,222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179,187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169,768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162,899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139,382</w:t>
            </w:r>
          </w:p>
        </w:tc>
      </w:tr>
      <w:tr>
        <w:trPr>
          <w:trHeight w:val="20"/>
        </w:trPr>
        <w:tc>
          <w:tcPr>
            <w:tcW w:w="2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1"/>
        </w:trPr>
        <w:tc>
          <w:tcPr>
            <w:tcW w:w="230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2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per share — basic</w:t>
            </w: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0.47</w:t>
            </w:r>
          </w:p>
        </w:tc>
      </w:tr>
      <w:tr>
        <w:trPr>
          <w:trHeight w:val="33"/>
        </w:trPr>
        <w:tc>
          <w:tcPr>
            <w:tcW w:w="2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per share — diluted</w:t>
            </w: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0.53</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0.46</w:t>
            </w:r>
          </w:p>
        </w:tc>
      </w:tr>
      <w:tr>
        <w:trPr>
          <w:trHeight w:val="33"/>
        </w:trPr>
        <w:tc>
          <w:tcPr>
            <w:tcW w:w="2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Shares used to compute earnings</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 share (in thousands):</w:t>
            </w: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37"/>
        </w:trPr>
        <w:tc>
          <w:tcPr>
            <w:tcW w:w="2300" w:type="dxa"/>
            <w:vAlign w:val="bottom"/>
          </w:tcPr>
          <w:p>
            <w:pPr>
              <w:ind w:left="180"/>
              <w:spacing w:after="0"/>
              <w:rPr>
                <w:sz w:val="20"/>
                <w:szCs w:val="20"/>
                <w:color w:val="auto"/>
              </w:rPr>
            </w:pPr>
            <w:r>
              <w:rPr>
                <w:rFonts w:ascii="Arial" w:cs="Arial" w:eastAsia="Arial" w:hAnsi="Arial"/>
                <w:sz w:val="16"/>
                <w:szCs w:val="16"/>
                <w:color w:val="auto"/>
              </w:rPr>
              <w:t>Basic</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311,009</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309,117</w:t>
            </w:r>
          </w:p>
        </w:tc>
        <w:tc>
          <w:tcPr>
            <w:tcW w:w="1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307,444</w:t>
            </w:r>
          </w:p>
        </w:tc>
        <w:tc>
          <w:tcPr>
            <w:tcW w:w="12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303,484</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300,679</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298,445</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298,130</w:t>
            </w:r>
          </w:p>
        </w:tc>
        <w:tc>
          <w:tcPr>
            <w:tcW w:w="1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297,788</w:t>
            </w:r>
          </w:p>
        </w:tc>
      </w:tr>
      <w:tr>
        <w:trPr>
          <w:trHeight w:val="33"/>
        </w:trPr>
        <w:tc>
          <w:tcPr>
            <w:tcW w:w="2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317,216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315,307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313,368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310,275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307,954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305,359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305,921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305,531</w:t>
            </w:r>
          </w:p>
        </w:tc>
      </w:tr>
      <w:tr>
        <w:trPr>
          <w:trHeight w:val="250"/>
        </w:trPr>
        <w:tc>
          <w:tcPr>
            <w:tcW w:w="2300" w:type="dxa"/>
            <w:vAlign w:val="bottom"/>
          </w:tcPr>
          <w:p>
            <w:pPr>
              <w:ind w:left="40"/>
              <w:spacing w:after="0"/>
              <w:rPr>
                <w:sz w:val="20"/>
                <w:szCs w:val="20"/>
                <w:color w:val="auto"/>
              </w:rPr>
            </w:pPr>
            <w:r>
              <w:rPr>
                <w:rFonts w:ascii="Arial" w:cs="Arial" w:eastAsia="Arial" w:hAnsi="Arial"/>
                <w:sz w:val="16"/>
                <w:szCs w:val="16"/>
                <w:color w:val="auto"/>
              </w:rPr>
              <w:t>Dividends declared per share</w:t>
            </w:r>
          </w:p>
        </w:tc>
        <w:tc>
          <w:tcPr>
            <w:tcW w:w="10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0.25</w:t>
            </w:r>
          </w:p>
        </w:tc>
      </w:tr>
      <w:tr>
        <w:trPr>
          <w:trHeight w:val="20"/>
        </w:trPr>
        <w:tc>
          <w:tcPr>
            <w:tcW w:w="2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firstLine="8"/>
        <w:spacing w:after="0" w:line="277" w:lineRule="auto"/>
        <w:tabs>
          <w:tab w:leader="none" w:pos="185"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net in the fourth quarter of fiscal 2013 includes a gain on the sale of the assets and intellectual property related to the Company's microphone product line of $85.4 million.</w:t>
      </w:r>
    </w:p>
    <w:p>
      <w:pPr>
        <w:spacing w:after="0" w:line="170" w:lineRule="exact"/>
        <w:rPr>
          <w:rFonts w:ascii="Arial" w:cs="Arial" w:eastAsia="Arial" w:hAnsi="Arial"/>
          <w:sz w:val="18"/>
          <w:szCs w:val="18"/>
          <w:color w:val="auto"/>
        </w:rPr>
      </w:pPr>
    </w:p>
    <w:p>
      <w:pPr>
        <w:ind w:right="80" w:firstLine="8"/>
        <w:spacing w:after="0" w:line="264" w:lineRule="auto"/>
        <w:tabs>
          <w:tab w:leader="none" w:pos="1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provision for income taxes in the fourth quarter of fiscal 2013 includes (i) $36.5 million of additional tax expense recorded in connection with the Company's uncertain tax position related to the beneficial treatment of dividends paid by a foreign subsidiary and (ii) $26.7 million of income tax expense on the sale of the assets and intellectual property related to the Company's microphone product line.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80" w:right="239" w:bottom="1440" w:gutter="0" w:footer="0" w:header="0"/>
        </w:sectPr>
      </w:pPr>
    </w:p>
    <w:bookmarkStart w:id="83" w:name="page84"/>
    <w:bookmarkEnd w:id="83"/>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ind w:right="60" w:firstLine="440"/>
        <w:spacing w:after="0" w:line="269" w:lineRule="auto"/>
        <w:tabs>
          <w:tab w:leader="none" w:pos="677"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Our management, with the participation of our Chief Executive Officer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evaluated the effectiveness of Analog’s disclosure controls and procedures as of November 2, 2013.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November 2, 2013, our Chief Executive Officer and Chief Financial Officer concluded that, as of such date, our disclosure controls and procedures were effective at the reasonable assurance level.</w:t>
      </w:r>
    </w:p>
    <w:p>
      <w:pPr>
        <w:spacing w:after="0" w:line="44" w:lineRule="exact"/>
        <w:rPr>
          <w:rFonts w:ascii="Arial" w:cs="Arial" w:eastAsia="Arial" w:hAnsi="Arial"/>
          <w:sz w:val="17"/>
          <w:szCs w:val="17"/>
          <w:color w:val="auto"/>
        </w:rPr>
      </w:pPr>
    </w:p>
    <w:p>
      <w:pPr>
        <w:ind w:left="700" w:hanging="260"/>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Management’s Report on Internal Control Over Financial Reporting.</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0" w:lineRule="exact"/>
        <w:rPr>
          <w:sz w:val="20"/>
          <w:szCs w:val="20"/>
          <w:color w:val="auto"/>
        </w:rPr>
      </w:pPr>
    </w:p>
    <w:p>
      <w:pPr>
        <w:ind w:left="820" w:right="340" w:hanging="326"/>
        <w:spacing w:after="0" w:line="277" w:lineRule="auto"/>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8" w:lineRule="exact"/>
        <w:rPr>
          <w:rFonts w:ascii="Arial" w:cs="Arial" w:eastAsia="Arial" w:hAnsi="Arial"/>
          <w:sz w:val="18"/>
          <w:szCs w:val="18"/>
          <w:color w:val="auto"/>
        </w:rPr>
      </w:pPr>
    </w:p>
    <w:p>
      <w:pPr>
        <w:ind w:left="820" w:hanging="326"/>
        <w:spacing w:after="0" w:line="264" w:lineRule="auto"/>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9"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3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4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Our management assessed the effectiveness of our internal control over financial reporting as of November 2, 2013. In making this assessment, the company’s management used the criteria set forth by the Committee of Sponsoring Organizations of the Treadway Commission (COSO) in Internal Control-Integrated Framework.</w:t>
      </w:r>
    </w:p>
    <w:p>
      <w:pPr>
        <w:spacing w:after="0" w:line="46"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Based on this assessment, our management concluded that, as of November 2, 2013, our internal control over financial reporting is effective based on those criteria.</w:t>
      </w:r>
    </w:p>
    <w:p>
      <w:pPr>
        <w:spacing w:after="0" w:line="3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Our independent registered public accounting firm that audited the financial statements included in this annual report has issued an attestation report on our internal control over financial reporting. This report appears below.</w:t>
      </w:r>
    </w:p>
    <w:p>
      <w:pPr>
        <w:spacing w:after="0" w:line="35" w:lineRule="exact"/>
        <w:rPr>
          <w:sz w:val="20"/>
          <w:szCs w:val="20"/>
          <w:color w:val="auto"/>
        </w:rPr>
      </w:pPr>
    </w:p>
    <w:p>
      <w:pPr>
        <w:ind w:left="680" w:hanging="240"/>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Attestation Report of the Registered Public Accounting Firm</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715" w:right="259" w:bottom="1440" w:gutter="0" w:footer="0" w:header="0"/>
        </w:sectPr>
      </w:pPr>
    </w:p>
    <w:bookmarkStart w:id="84" w:name="page85"/>
    <w:bookmarkEnd w:id="84"/>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38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have audited Analog Devices, Inc.’s internal control over financial reporting as of November 2, 2013 based on criteria established in Internal Control-Integrated Framework issued by the Committee of Sponsoring Organizations of the Treadway Commission (1992 framework) (the COSO criteria). Analog Devices,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3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the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changes in conditions, or that the degree of compliance with the policies or procedures may deteriorate.</w:t>
      </w:r>
    </w:p>
    <w:p>
      <w:pPr>
        <w:spacing w:after="0" w:line="1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our opinion, Analog Devices, Inc. maintained, in all material respects, effective internal control over financial reporting as of November 2, 2013, based on the COSO criteria.</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balance sheets of Analog Devices, Inc. as of November 2, 2013 and November 3, 2012, and the related consolidated statements of income, comprehensive income, shareholders’ equity, and cash flows for each of the three years in the period ended November 2, 2013 of Analog Devices, Inc. and our report dated November 26, 2013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26, 2013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918" w:right="239" w:bottom="1440" w:gutter="0" w:footer="0" w:header="0"/>
        </w:sectPr>
      </w:pPr>
    </w:p>
    <w:bookmarkStart w:id="85" w:name="page86"/>
    <w:bookmarkEnd w:id="85"/>
    <w:p>
      <w:pPr>
        <w:jc w:val="both"/>
        <w:ind w:firstLine="440"/>
        <w:spacing w:after="0" w:line="264" w:lineRule="auto"/>
        <w:tabs>
          <w:tab w:leader="none" w:pos="687"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No change in our internal control over financial reporting (as defined in Rules 13a-15(f)</w:t>
      </w:r>
      <w:r>
        <w:rPr>
          <w:rFonts w:ascii="Arial" w:cs="Arial" w:eastAsia="Arial" w:hAnsi="Arial"/>
          <w:sz w:val="18"/>
          <w:szCs w:val="18"/>
          <w:i w:val="1"/>
          <w:iCs w:val="1"/>
          <w:color w:val="auto"/>
        </w:rPr>
        <w:t xml:space="preserve"> </w:t>
      </w:r>
      <w:r>
        <w:rPr>
          <w:rFonts w:ascii="Arial" w:cs="Arial" w:eastAsia="Arial" w:hAnsi="Arial"/>
          <w:sz w:val="18"/>
          <w:szCs w:val="18"/>
          <w:color w:val="auto"/>
        </w:rPr>
        <w:t>and 15d-15(f) under the Securities Exchange Act) occurred during the fiscal quarter ended November 2, 2013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60"/>
          </w:cols>
          <w:pgMar w:left="240" w:top="800" w:right="499" w:bottom="1440" w:gutter="0" w:footer="0" w:header="0"/>
        </w:sectPr>
      </w:pPr>
    </w:p>
    <w:bookmarkStart w:id="86" w:name="page87"/>
    <w:bookmarkEnd w:id="86"/>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3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Information required by this item relating to our directors and nominees is contained in our 2014 proxy statement under the caption “Proposal 1 — Election of Directors” and is incorporated herein by reference. Information required by this item relating to our executive officers is contained under the caption “EXECUTIVE OFFICERS OF THE COMPANY” in Part I of this Annual Report on Form 10-K and is incorporated herein by reference. Information required by this item relating to compliance with Section 16(a) of the Securities Exchange Act of 1934 is contained in our 2014 proxy statement under the caption “Section 16(a) Beneficial Ownership Reporting Compliance” and is incorporated herein by reference.</w:t>
      </w:r>
    </w:p>
    <w:p>
      <w:pPr>
        <w:spacing w:after="0" w:line="78"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 xml:space="preserve">We have adopted a written code of business conduct and ethics that applies to our principal executive officer, principal financial officer, principal accounting officer or controller, or persons performing similar functions and have posted it in the Corporate Governance section of our website which is located at </w:t>
      </w:r>
      <w:r>
        <w:rPr>
          <w:rFonts w:ascii="Arial" w:cs="Arial" w:eastAsia="Arial" w:hAnsi="Arial"/>
          <w:sz w:val="18"/>
          <w:szCs w:val="18"/>
          <w:u w:val="single" w:color="auto"/>
          <w:color w:val="auto"/>
        </w:rPr>
        <w:t>www.analog.com</w:t>
      </w:r>
      <w:r>
        <w:rPr>
          <w:rFonts w:ascii="Arial" w:cs="Arial" w:eastAsia="Arial" w:hAnsi="Arial"/>
          <w:sz w:val="18"/>
          <w:szCs w:val="18"/>
          <w:color w:val="auto"/>
        </w:rPr>
        <w:t xml:space="preserve">. To the extent permitted by NASDAQ and SEC regulations, we intend to satisfy any disclosure requirement under Item 5.05 of Form 8-K regarding any amendments to, or waivers from, our code of business conduct and ethics by posting such information on our website which is located at </w:t>
      </w:r>
      <w:r>
        <w:rPr>
          <w:rFonts w:ascii="Arial" w:cs="Arial" w:eastAsia="Arial" w:hAnsi="Arial"/>
          <w:sz w:val="18"/>
          <w:szCs w:val="18"/>
          <w:u w:val="single" w:color="auto"/>
          <w:color w:val="auto"/>
        </w:rPr>
        <w:t>www.analog.com.</w:t>
      </w:r>
    </w:p>
    <w:p>
      <w:pPr>
        <w:spacing w:after="0" w:line="9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During the fourth quarter of fiscal 2013, we made no material change to the procedures by which shareholders may recommend nominees to our Board of Directors, as described in our 2013 proxy statement.</w:t>
      </w:r>
    </w:p>
    <w:p>
      <w:pPr>
        <w:spacing w:after="0" w:line="76"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Information required by this item relating to the audit committee of our Board of Directors is contained in our 2014 proxy statement under the caption “Corporate Governance — Board of Directors Meetings and Committees — Audit Committee” and is incorporated herein by reference.</w:t>
      </w:r>
    </w:p>
    <w:p>
      <w:pPr>
        <w:spacing w:after="0" w:line="14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3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Information required by this item is contained in our 2014 proxy statement under the captions “Corporate Governance — Director Compensation” and “Information About Executive Compensation” and is incorporated herein by reference.</w:t>
      </w:r>
    </w:p>
    <w:p>
      <w:pPr>
        <w:spacing w:after="0" w:line="166" w:lineRule="exact"/>
        <w:rPr>
          <w:sz w:val="20"/>
          <w:szCs w:val="20"/>
          <w:color w:val="auto"/>
        </w:rPr>
      </w:pPr>
    </w:p>
    <w:p>
      <w:pPr>
        <w:ind w:left="1140" w:right="36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7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Information required by this item relating to security ownership of certain beneficial owners and management is contained in our 2014 proxy statement under the caption “Security Ownership of Certain Beneficial Owners and Management” and is incorporated herein by reference. Information required by this item relating to securities authorized for issuance under equity compensation plans is contained in our 2014 proxy statement under the caption “Information About Executive Compensation — Securities Authorized for Issuance Under Equity Compensation Plans” and is incorporated herein by reference.</w:t>
      </w:r>
    </w:p>
    <w:p>
      <w:pPr>
        <w:spacing w:after="0" w:line="15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3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Information required by this item relating to transactions with related persons is contained in our 2014 proxy statement under the caption “Corporate Governance — Certain Relationships and Related Transactions” and is incorporated herein by reference. Information required by this item relating to director independence is contained in our 2014 proxy statement under the caption “Corporate Governance — Determination of Independence” and is incorporated herein by reference.</w:t>
      </w:r>
    </w:p>
    <w:p>
      <w:pPr>
        <w:spacing w:after="0" w:line="1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3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Information required by this item is contained in our 2014 proxy statement under the caption “Corporate Governance — Independent Registered Public Accounting Firm Fees and Other Matters”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580" w:right="279" w:bottom="1440" w:gutter="0" w:footer="0" w:header="0"/>
        </w:sectPr>
      </w:pPr>
    </w:p>
    <w:bookmarkStart w:id="87" w:name="page88"/>
    <w:bookmarkEnd w:id="87"/>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35" w:lineRule="exact"/>
        <w:rPr>
          <w:sz w:val="20"/>
          <w:szCs w:val="20"/>
          <w:color w:val="auto"/>
        </w:rPr>
      </w:pPr>
    </w:p>
    <w:p>
      <w:pPr>
        <w:ind w:left="260" w:hanging="252"/>
        <w:spacing w:after="0"/>
        <w:tabs>
          <w:tab w:leader="none" w:pos="2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The following are filed as part of this Annual Report on Form 10-K:</w:t>
      </w:r>
    </w:p>
    <w:p>
      <w:pPr>
        <w:spacing w:after="0" w:line="167" w:lineRule="exact"/>
        <w:rPr>
          <w:sz w:val="20"/>
          <w:szCs w:val="20"/>
          <w:color w:val="auto"/>
        </w:rPr>
      </w:pPr>
    </w:p>
    <w:p>
      <w:pPr>
        <w:ind w:left="620" w:hanging="585"/>
        <w:spacing w:after="0"/>
        <w:tabs>
          <w:tab w:leader="none" w:pos="6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consolidated financial statements are included in Item 8 of this Annual Report on Form 10-K:</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Statements of Income for the years ended November 2, 2013, November 3, 2012 and October 29, 2011</w:t>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Balance Sheets as of November 2, 2013 and November 3, 2012</w:t>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Statements of Shareholders’ Equity for the years ended November 2, 2013, November 3, 2012 and October 29, 2011</w:t>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Statements of Comprehensive Income for the years ended November 2, 2013, November 3, 2012 and October 29, 2011</w:t>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Consolidated Statements of Cash Flows for the years ended November 2, 2013, November 3, 2012 and October 29, 2011</w:t>
      </w:r>
    </w:p>
    <w:p>
      <w:pPr>
        <w:spacing w:after="0" w:line="32"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consolidated financial statement schedule is included in Item 15(b) of this Annual Report on Form 10-K:</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Schedule II — Valuation and Qualifying Accounts</w:t>
      </w:r>
    </w:p>
    <w:p>
      <w:pPr>
        <w:spacing w:after="0" w:line="13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Exhibits</w:t>
      </w:r>
    </w:p>
    <w:p>
      <w:pPr>
        <w:spacing w:after="0" w:line="13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or furnished with or incorporated by reference in this Annual Report on Form 10-K.</w:t>
      </w:r>
    </w:p>
    <w:p>
      <w:pPr>
        <w:spacing w:after="0" w:line="1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240" w:top="580" w:right="539"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 ENDED NOVEMBER 2, 2013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ITEM 15(b)</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STATEMENT SCHEDULE</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9019"/>
          </w:cols>
          <w:pgMar w:left="1440" w:top="1440"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November 2, 2013, November 3, 2012 and October 29, 2011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Additions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19"/>
              <w:spacing w:after="0"/>
              <w:rPr>
                <w:sz w:val="20"/>
                <w:szCs w:val="20"/>
                <w:color w:val="auto"/>
              </w:rPr>
            </w:pPr>
            <w:r>
              <w:rPr>
                <w:rFonts w:ascii="Arial" w:cs="Arial" w:eastAsia="Arial" w:hAnsi="Arial"/>
                <w:sz w:val="14"/>
                <w:szCs w:val="14"/>
                <w:b w:val="1"/>
                <w:bCs w:val="1"/>
                <w:color w:val="auto"/>
              </w:rPr>
              <w:t>Balance at</w:t>
            </w:r>
          </w:p>
        </w:tc>
      </w:tr>
      <w:tr>
        <w:trPr>
          <w:trHeight w:val="186"/>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Charged to</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39"/>
              <w:spacing w:after="0"/>
              <w:rPr>
                <w:sz w:val="20"/>
                <w:szCs w:val="20"/>
                <w:color w:val="auto"/>
              </w:rPr>
            </w:pPr>
            <w:r>
              <w:rPr>
                <w:rFonts w:ascii="Arial" w:cs="Arial" w:eastAsia="Arial" w:hAnsi="Arial"/>
                <w:sz w:val="14"/>
                <w:szCs w:val="14"/>
                <w:b w:val="1"/>
                <w:bCs w:val="1"/>
                <w:color w:val="auto"/>
              </w:rPr>
              <w:t>End of</w:t>
            </w:r>
          </w:p>
        </w:tc>
      </w:tr>
      <w:tr>
        <w:trPr>
          <w:trHeight w:val="276"/>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Income Statement</w:t>
            </w:r>
          </w:p>
        </w:tc>
        <w:tc>
          <w:tcPr>
            <w:tcW w:w="20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Deductions</w:t>
            </w:r>
          </w:p>
        </w:tc>
        <w:tc>
          <w:tcPr>
            <w:tcW w:w="220" w:type="dxa"/>
            <w:vAlign w:val="bottom"/>
          </w:tcPr>
          <w:p>
            <w:pPr>
              <w:spacing w:after="0"/>
              <w:rPr>
                <w:sz w:val="24"/>
                <w:szCs w:val="24"/>
                <w:color w:val="auto"/>
              </w:rPr>
            </w:pPr>
          </w:p>
        </w:tc>
        <w:tc>
          <w:tcPr>
            <w:tcW w:w="1040" w:type="dxa"/>
            <w:vAlign w:val="bottom"/>
          </w:tcPr>
          <w:p>
            <w:pPr>
              <w:jc w:val="right"/>
              <w:ind w:right="339"/>
              <w:spacing w:after="0"/>
              <w:rPr>
                <w:sz w:val="20"/>
                <w:szCs w:val="20"/>
                <w:color w:val="auto"/>
              </w:rPr>
            </w:pPr>
            <w:r>
              <w:rPr>
                <w:rFonts w:ascii="Arial" w:cs="Arial" w:eastAsia="Arial" w:hAnsi="Arial"/>
                <w:sz w:val="14"/>
                <w:szCs w:val="14"/>
                <w:b w:val="1"/>
                <w:bCs w:val="1"/>
                <w:color w:val="auto"/>
              </w:rPr>
              <w:t>Period</w:t>
            </w:r>
          </w:p>
        </w:tc>
      </w:tr>
      <w:tr>
        <w:trPr>
          <w:trHeight w:val="250"/>
        </w:trPr>
        <w:tc>
          <w:tcPr>
            <w:tcW w:w="5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Accounts Receivable Reserves and Allowances: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30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Year ended October 29, 2011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1,465</w:t>
            </w: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November 3, 2012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1,910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2,721</w:t>
            </w: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color w:val="auto"/>
              </w:rPr>
              <w:t>Year ended November 2, 2013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9"/>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2,593</w:t>
            </w: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5620" w:type="dxa"/>
            <w:vAlign w:val="bottom"/>
          </w:tcPr>
          <w:p>
            <w:pPr>
              <w:spacing w:after="0"/>
              <w:rPr>
                <w:sz w:val="24"/>
                <w:szCs w:val="24"/>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88</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ANALOG DEVICES, INC.</w:t>
      </w:r>
    </w:p>
    <w:p>
      <w:pPr>
        <w:spacing w:after="0" w:line="185" w:lineRule="exact"/>
        <w:rPr>
          <w:sz w:val="20"/>
          <w:szCs w:val="20"/>
          <w:color w:val="auto"/>
        </w:rPr>
      </w:pPr>
    </w:p>
    <w:p>
      <w:pPr>
        <w:ind w:left="5520"/>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31750</wp:posOffset>
            </wp:positionV>
            <wp:extent cx="3439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Vincent Roche</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26, 2013</w:t>
      </w:r>
    </w:p>
    <w:p>
      <w:pPr>
        <w:spacing w:after="0" w:line="13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spacing w:after="0"/>
              <w:rPr>
                <w:sz w:val="16"/>
                <w:szCs w:val="16"/>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46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64"/>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Ray Stata</w:t>
            </w:r>
          </w:p>
        </w:tc>
        <w:tc>
          <w:tcPr>
            <w:tcW w:w="460" w:type="dxa"/>
            <w:vAlign w:val="bottom"/>
          </w:tcPr>
          <w:p>
            <w:pPr>
              <w:spacing w:after="0"/>
              <w:rPr>
                <w:sz w:val="24"/>
                <w:szCs w:val="24"/>
                <w:color w:val="auto"/>
              </w:rPr>
            </w:pPr>
          </w:p>
        </w:tc>
        <w:tc>
          <w:tcPr>
            <w:tcW w:w="42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Chairman of the Board</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26, 2013</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8"/>
              </w:rPr>
              <w:t>Ray Stata</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Vincent Roche</w:t>
            </w:r>
          </w:p>
        </w:tc>
        <w:tc>
          <w:tcPr>
            <w:tcW w:w="460" w:type="dxa"/>
            <w:vAlign w:val="bottom"/>
          </w:tcPr>
          <w:p>
            <w:pPr>
              <w:spacing w:after="0"/>
              <w:rPr>
                <w:sz w:val="24"/>
                <w:szCs w:val="24"/>
                <w:color w:val="auto"/>
              </w:rPr>
            </w:pPr>
          </w:p>
        </w:tc>
        <w:tc>
          <w:tcPr>
            <w:tcW w:w="42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President and Chief Executive Officer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26, 2013</w:t>
            </w:r>
          </w:p>
        </w:tc>
        <w:tc>
          <w:tcPr>
            <w:tcW w:w="0" w:type="dxa"/>
            <w:vAlign w:val="bottom"/>
          </w:tcPr>
          <w:p>
            <w:pPr>
              <w:spacing w:after="0"/>
              <w:rPr>
                <w:sz w:val="1"/>
                <w:szCs w:val="1"/>
                <w:color w:val="auto"/>
              </w:rPr>
            </w:pPr>
          </w:p>
        </w:tc>
      </w:tr>
      <w:tr>
        <w:trPr>
          <w:trHeight w:val="41"/>
        </w:trPr>
        <w:tc>
          <w:tcPr>
            <w:tcW w:w="4800" w:type="dxa"/>
            <w:vAlign w:val="bottom"/>
            <w:tcBorders>
              <w:bottom w:val="single" w:sz="8" w:color="auto"/>
            </w:tcBorders>
          </w:tcPr>
          <w:p>
            <w:pPr>
              <w:spacing w:after="0"/>
              <w:rPr>
                <w:sz w:val="3"/>
                <w:szCs w:val="3"/>
                <w:color w:val="auto"/>
              </w:rPr>
            </w:pPr>
          </w:p>
        </w:tc>
        <w:tc>
          <w:tcPr>
            <w:tcW w:w="460" w:type="dxa"/>
            <w:vAlign w:val="bottom"/>
            <w:vMerge w:val="restart"/>
          </w:tcPr>
          <w:p>
            <w:pPr>
              <w:spacing w:after="0"/>
              <w:rPr>
                <w:sz w:val="3"/>
                <w:szCs w:val="3"/>
                <w:color w:val="auto"/>
              </w:rPr>
            </w:pPr>
          </w:p>
        </w:tc>
        <w:tc>
          <w:tcPr>
            <w:tcW w:w="422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4"/>
              </w:rPr>
              <w:t>(Principal Executive Officer)</w:t>
            </w: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90"/>
              </w:rPr>
              <w:t>Vincent Roche</w:t>
            </w:r>
          </w:p>
        </w:tc>
        <w:tc>
          <w:tcPr>
            <w:tcW w:w="460" w:type="dxa"/>
            <w:vAlign w:val="bottom"/>
            <w:vMerge w:val="continue"/>
          </w:tcPr>
          <w:p>
            <w:pPr>
              <w:spacing w:after="0"/>
              <w:rPr>
                <w:sz w:val="14"/>
                <w:szCs w:val="14"/>
                <w:color w:val="auto"/>
              </w:rPr>
            </w:pPr>
          </w:p>
        </w:tc>
        <w:tc>
          <w:tcPr>
            <w:tcW w:w="4220" w:type="dxa"/>
            <w:vAlign w:val="bottom"/>
            <w:gridSpan w:val="2"/>
            <w:vMerge w:val="continue"/>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8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6"/>
        </w:trPr>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96"/>
              </w:rPr>
              <w:t>/s/ David A. Zinsner</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Vice President, Finance and</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26, 2013</w:t>
            </w:r>
          </w:p>
        </w:tc>
        <w:tc>
          <w:tcPr>
            <w:tcW w:w="0" w:type="dxa"/>
            <w:vAlign w:val="bottom"/>
          </w:tcPr>
          <w:p>
            <w:pPr>
              <w:spacing w:after="0"/>
              <w:rPr>
                <w:sz w:val="1"/>
                <w:szCs w:val="1"/>
                <w:color w:val="auto"/>
              </w:rPr>
            </w:pPr>
          </w:p>
        </w:tc>
      </w:tr>
      <w:tr>
        <w:trPr>
          <w:trHeight w:val="82"/>
        </w:trPr>
        <w:tc>
          <w:tcPr>
            <w:tcW w:w="48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4220" w:type="dxa"/>
            <w:vAlign w:val="bottom"/>
            <w:gridSpan w:val="2"/>
            <w:vMerge w:val="restart"/>
          </w:tcPr>
          <w:p>
            <w:pPr>
              <w:jc w:val="center"/>
              <w:ind w:right="460"/>
              <w:spacing w:after="0"/>
              <w:rPr>
                <w:sz w:val="20"/>
                <w:szCs w:val="20"/>
                <w:color w:val="auto"/>
              </w:rPr>
            </w:pPr>
            <w:r>
              <w:rPr>
                <w:rFonts w:ascii="Arial" w:cs="Arial" w:eastAsia="Arial" w:hAnsi="Arial"/>
                <w:sz w:val="18"/>
                <w:szCs w:val="18"/>
                <w:color w:val="auto"/>
                <w:w w:val="94"/>
              </w:rPr>
              <w:t>Chief Financial Officer</w:t>
            </w: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vMerge w:val="restart"/>
          </w:tcPr>
          <w:p>
            <w:pPr>
              <w:spacing w:after="0"/>
              <w:rPr>
                <w:sz w:val="2"/>
                <w:szCs w:val="2"/>
                <w:color w:val="auto"/>
              </w:rPr>
            </w:pPr>
          </w:p>
        </w:tc>
        <w:tc>
          <w:tcPr>
            <w:tcW w:w="4220" w:type="dxa"/>
            <w:vAlign w:val="bottom"/>
            <w:gridSpan w:val="2"/>
            <w:vMerge w:val="continue"/>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48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220" w:type="dxa"/>
            <w:vAlign w:val="bottom"/>
            <w:gridSpan w:val="2"/>
            <w:vMerge w:val="continue"/>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94"/>
              </w:rPr>
              <w:t>David A. Zinsner</w:t>
            </w:r>
          </w:p>
        </w:tc>
        <w:tc>
          <w:tcPr>
            <w:tcW w:w="460" w:type="dxa"/>
            <w:vAlign w:val="bottom"/>
          </w:tcPr>
          <w:p>
            <w:pPr>
              <w:spacing w:after="0"/>
              <w:rPr>
                <w:sz w:val="20"/>
                <w:szCs w:val="20"/>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(Principal Financial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800" w:type="dxa"/>
            <w:vAlign w:val="bottom"/>
            <w:vMerge w:val="restart"/>
          </w:tcPr>
          <w:p>
            <w:pPr>
              <w:jc w:val="center"/>
              <w:spacing w:after="0"/>
              <w:rPr>
                <w:sz w:val="20"/>
                <w:szCs w:val="20"/>
                <w:color w:val="auto"/>
              </w:rPr>
            </w:pPr>
            <w:r>
              <w:rPr>
                <w:rFonts w:ascii="Arial" w:cs="Arial" w:eastAsia="Arial" w:hAnsi="Arial"/>
                <w:sz w:val="18"/>
                <w:szCs w:val="18"/>
                <w:color w:val="auto"/>
                <w:w w:val="94"/>
              </w:rPr>
              <w:t>/s/ Eileen Wynne</w:t>
            </w:r>
          </w:p>
        </w:tc>
        <w:tc>
          <w:tcPr>
            <w:tcW w:w="460" w:type="dxa"/>
            <w:vAlign w:val="bottom"/>
          </w:tcPr>
          <w:p>
            <w:pPr>
              <w:spacing w:after="0"/>
              <w:rPr>
                <w:sz w:val="24"/>
                <w:szCs w:val="24"/>
                <w:color w:val="auto"/>
              </w:rPr>
            </w:pPr>
          </w:p>
        </w:tc>
        <w:tc>
          <w:tcPr>
            <w:tcW w:w="42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Vice President, Corporate Controller and Chief</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26, 2013</w:t>
            </w:r>
          </w:p>
        </w:tc>
        <w:tc>
          <w:tcPr>
            <w:tcW w:w="0" w:type="dxa"/>
            <w:vAlign w:val="bottom"/>
          </w:tcPr>
          <w:p>
            <w:pPr>
              <w:spacing w:after="0"/>
              <w:rPr>
                <w:sz w:val="1"/>
                <w:szCs w:val="1"/>
                <w:color w:val="auto"/>
              </w:rPr>
            </w:pPr>
          </w:p>
        </w:tc>
      </w:tr>
      <w:tr>
        <w:trPr>
          <w:trHeight w:val="82"/>
        </w:trPr>
        <w:tc>
          <w:tcPr>
            <w:tcW w:w="48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4220" w:type="dxa"/>
            <w:vAlign w:val="bottom"/>
            <w:gridSpan w:val="2"/>
            <w:vMerge w:val="restart"/>
          </w:tcPr>
          <w:p>
            <w:pPr>
              <w:jc w:val="center"/>
              <w:ind w:right="460"/>
              <w:spacing w:after="0"/>
              <w:rPr>
                <w:sz w:val="20"/>
                <w:szCs w:val="20"/>
                <w:color w:val="auto"/>
              </w:rPr>
            </w:pPr>
            <w:r>
              <w:rPr>
                <w:rFonts w:ascii="Arial" w:cs="Arial" w:eastAsia="Arial" w:hAnsi="Arial"/>
                <w:sz w:val="18"/>
                <w:szCs w:val="18"/>
                <w:color w:val="auto"/>
                <w:w w:val="95"/>
              </w:rPr>
              <w:t>Accounting Officer</w:t>
            </w: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vMerge w:val="restart"/>
          </w:tcPr>
          <w:p>
            <w:pPr>
              <w:spacing w:after="0"/>
              <w:rPr>
                <w:sz w:val="2"/>
                <w:szCs w:val="2"/>
                <w:color w:val="auto"/>
              </w:rPr>
            </w:pPr>
          </w:p>
        </w:tc>
        <w:tc>
          <w:tcPr>
            <w:tcW w:w="4220" w:type="dxa"/>
            <w:vAlign w:val="bottom"/>
            <w:gridSpan w:val="2"/>
            <w:vMerge w:val="continue"/>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48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220" w:type="dxa"/>
            <w:vAlign w:val="bottom"/>
            <w:gridSpan w:val="2"/>
            <w:vMerge w:val="continue"/>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91"/>
              </w:rPr>
              <w:t>Eileen Wynne</w:t>
            </w:r>
          </w:p>
        </w:tc>
        <w:tc>
          <w:tcPr>
            <w:tcW w:w="460" w:type="dxa"/>
            <w:vAlign w:val="bottom"/>
          </w:tcPr>
          <w:p>
            <w:pPr>
              <w:spacing w:after="0"/>
              <w:rPr>
                <w:sz w:val="20"/>
                <w:szCs w:val="20"/>
                <w:color w:val="auto"/>
              </w:rPr>
            </w:pPr>
          </w:p>
        </w:tc>
        <w:tc>
          <w:tcPr>
            <w:tcW w:w="422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(Principal Accounting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00" w:type="dxa"/>
            <w:vAlign w:val="bottom"/>
          </w:tcPr>
          <w:p>
            <w:pPr>
              <w:jc w:val="center"/>
              <w:spacing w:after="0"/>
              <w:rPr>
                <w:sz w:val="20"/>
                <w:szCs w:val="20"/>
                <w:color w:val="auto"/>
              </w:rPr>
            </w:pPr>
            <w:r>
              <w:rPr>
                <w:rFonts w:ascii="Arial" w:cs="Arial" w:eastAsia="Arial" w:hAnsi="Arial"/>
                <w:sz w:val="18"/>
                <w:szCs w:val="18"/>
                <w:color w:val="auto"/>
                <w:w w:val="92"/>
              </w:rPr>
              <w:t>/s/ James A. Champy</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26, 2013</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James A. Champy</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John C. Hodgson</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26, 2013</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John C. Hodgson</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Yves-Andre Istel</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26, 2013</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2"/>
              </w:rPr>
              <w:t>Yves-Andre Istel</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00" w:type="dxa"/>
            <w:vAlign w:val="bottom"/>
          </w:tcPr>
          <w:p>
            <w:pPr>
              <w:jc w:val="center"/>
              <w:spacing w:after="0"/>
              <w:rPr>
                <w:sz w:val="20"/>
                <w:szCs w:val="20"/>
                <w:color w:val="auto"/>
              </w:rPr>
            </w:pPr>
            <w:r>
              <w:rPr>
                <w:rFonts w:ascii="Arial" w:cs="Arial" w:eastAsia="Arial" w:hAnsi="Arial"/>
                <w:sz w:val="18"/>
                <w:szCs w:val="18"/>
                <w:color w:val="auto"/>
                <w:w w:val="99"/>
              </w:rPr>
              <w:t>/s/ Neil Novich</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26, 2013</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6"/>
              </w:rPr>
              <w:t>Neil Novich</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F. Grant Saviers</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26, 2013</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8"/>
              </w:rPr>
              <w:t>F. Grant Saviers</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800" w:type="dxa"/>
            <w:vAlign w:val="bottom"/>
          </w:tcPr>
          <w:p>
            <w:pPr>
              <w:spacing w:after="0"/>
              <w:rPr>
                <w:sz w:val="24"/>
                <w:szCs w:val="24"/>
                <w:color w:val="auto"/>
              </w:rPr>
            </w:pPr>
          </w:p>
        </w:tc>
        <w:tc>
          <w:tcPr>
            <w:tcW w:w="4220" w:type="dxa"/>
            <w:vAlign w:val="bottom"/>
            <w:gridSpan w:val="2"/>
          </w:tcPr>
          <w:p>
            <w:pPr>
              <w:jc w:val="right"/>
              <w:ind w:right="3131"/>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spacing w:after="0"/>
              <w:rPr>
                <w:sz w:val="16"/>
                <w:szCs w:val="16"/>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46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64"/>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Paul J. Severino</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26, 2013</w:t>
            </w: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8"/>
              </w:rPr>
              <w:t>Paul J. Severino</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40"/>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Kenton J. Sicchitano</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26, 2013</w:t>
            </w: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Kenton J. Sicchitano</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94"/>
        </w:trPr>
        <w:tc>
          <w:tcPr>
            <w:tcW w:w="4800" w:type="dxa"/>
            <w:vAlign w:val="bottom"/>
          </w:tcPr>
          <w:p>
            <w:pPr>
              <w:jc w:val="center"/>
              <w:spacing w:after="0"/>
              <w:rPr>
                <w:sz w:val="20"/>
                <w:szCs w:val="20"/>
                <w:color w:val="auto"/>
              </w:rPr>
            </w:pPr>
            <w:r>
              <w:rPr>
                <w:rFonts w:ascii="Arial" w:cs="Arial" w:eastAsia="Arial" w:hAnsi="Arial"/>
                <w:sz w:val="18"/>
                <w:szCs w:val="18"/>
                <w:color w:val="auto"/>
                <w:w w:val="95"/>
              </w:rPr>
              <w:t>/s/ Lisa T. Su</w:t>
            </w:r>
          </w:p>
        </w:tc>
        <w:tc>
          <w:tcPr>
            <w:tcW w:w="460" w:type="dxa"/>
            <w:vAlign w:val="bottom"/>
          </w:tcPr>
          <w:p>
            <w:pPr>
              <w:spacing w:after="0"/>
              <w:rPr>
                <w:sz w:val="24"/>
                <w:szCs w:val="24"/>
                <w:color w:val="auto"/>
              </w:rPr>
            </w:pPr>
          </w:p>
        </w:tc>
        <w:tc>
          <w:tcPr>
            <w:tcW w:w="42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November 26, 2013</w:t>
            </w:r>
          </w:p>
        </w:tc>
      </w:tr>
      <w:tr>
        <w:trPr>
          <w:trHeight w:val="27"/>
        </w:trPr>
        <w:tc>
          <w:tcPr>
            <w:tcW w:w="48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Lisa T. Su</w:t>
            </w:r>
          </w:p>
        </w:tc>
        <w:tc>
          <w:tcPr>
            <w:tcW w:w="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918"/>
        </w:trPr>
        <w:tc>
          <w:tcPr>
            <w:tcW w:w="4800" w:type="dxa"/>
            <w:vAlign w:val="bottom"/>
          </w:tcPr>
          <w:p>
            <w:pPr>
              <w:spacing w:after="0"/>
              <w:rPr>
                <w:sz w:val="24"/>
                <w:szCs w:val="24"/>
                <w:color w:val="auto"/>
              </w:rPr>
            </w:pPr>
          </w:p>
        </w:tc>
        <w:tc>
          <w:tcPr>
            <w:tcW w:w="4220" w:type="dxa"/>
            <w:vAlign w:val="bottom"/>
            <w:gridSpan w:val="2"/>
          </w:tcPr>
          <w:p>
            <w:pPr>
              <w:jc w:val="right"/>
              <w:ind w:right="3134"/>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318"/>
        </w:trPr>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 No.</w:t>
            </w: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1.1</w:t>
            </w:r>
          </w:p>
        </w:tc>
        <w:tc>
          <w:tcPr>
            <w:tcW w:w="100" w:type="dxa"/>
            <w:vAlign w:val="bottom"/>
          </w:tcPr>
          <w:p>
            <w:pPr>
              <w:spacing w:after="0"/>
              <w:rPr>
                <w:sz w:val="19"/>
                <w:szCs w:val="19"/>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Underwriting Agreement, dated March 30, 2011, between Analog Devices, Inc. and Credit Suisse Securities (USA) LLC and Merrill Lynch,</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Pierce, Fenner &amp; Smith Incorporated, as representatives of the several underwriters named therein, filed as exhibit 1.1 to the Company's</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Current Report on Form 8-K (File No. 1-7819) as filed with the Commission on March 31, 2011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1.2</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Underwriting Agreement, dated May 22, 2013, between Analog Devices, Inc. and J.P. Morgan Securities, LLC, Credit Suisse Securities</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(USA) LLC and Merrill Lynch, Pierce, Fenner &amp; Smith Incorporated, as representatives of the several underwriters named therein, filed as</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exhibit 1.1 to the Company's Current Report on Form 8-K (File No. 1-7819) as filed with the Commission on May 23, 2013 and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Restated Articles of Organization of Analog Devices, Inc., as amended, filed as exhibit 3.1 to the Company's Quarterly Report on Form 10-</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Q for the fiscal quarter ended May 3, 2008 (File No. 1-7819) as filed with the Commission on May 20, 2008 and incorporated herein by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Amendment to Restated Articles of Organization of Analog Devices, Inc., filed as exhibit 3.1 to the Company's Current Report on Form 8-</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K as filed with the Commission on December 8, 2008 (File No. 1-7819)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Amended and Restated By-Laws of Analog Devices, Inc., filed as exhibit 3.1 to the Company's Current Report on Form 8-K as filed with</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the Commission on January 28, 2010 (File No. 1-7819)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Indenture, by and between Analog Devices, Inc. and The Bank of New York Mellon Trust Company, N.A. as trustee dated as of June 30,</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2009, filed as exhibit 4.1 to the Company's Quarterly Report on Form 10-Q for the fiscal quarter ended August 1, 2009 (File No. 1-7819) as</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filed with the Commission on August 18, 2009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Supplemental Indenture, dated April 4, 2011, by and between Analog Devices, Inc. and The Bank of New York Mellon Trust Company,</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N.A., as trustee, filed as exhibit 4.1 to the Company's Current Report on Form 8-K (File No. 1-7819) as filed with the Commission on April</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4, 2011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Form of 3.00% Global Note due April 15, 2016, filed as exhibit 4.2 to the Company's Current Report on Form 8-K (File No. 1-7819) as</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filed with the Commission on April 4, 2011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Indenture, dated as of June 3, 2013, by and between Analog Devices, Inc. and The Bank of New York Mellon Trust Company, N.A., as</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trustee, filed as exhibit 4.1 to the Company's Current Report on Form 8-K (File No. 1-7819) as filed with the Commission on June 3, 2013</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8"/>
              </w:rPr>
              <w:t>Supplemental Indenture, dated as of June 3, 2013, by and between Analog Devices, Inc. and The Bank of New York Mellon Trust</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Company, N.A., as trustee, filed as exhibit 4.2 to the Company's Current Report on Form 8-K (File No. 1-7819) as filed with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Commission on June 3, 2013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Analog Devices, Inc. Amended and Restated Deferred Compensation Plan, filed as exhibit 10.1 to the Company's Current Report on Form</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8-K as filed with the Commission on December 8, 2008 (File No. 1-7819)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First Amendment to the Analog Devices, Inc. Amended and Restated Deferred Compensation Plan, filed as exhibit 10.1 to the Company's</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Quarterly Report on Form 10-Q for the fiscal quarter ended July 30, 2011 (File No. 1-7819) as filed with the Commission on August 16,</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2011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Trust Agreement for Deferred Compensation Plan dated as of October 1, 2003 between Analog Devices, Inc. and Fidelity Management</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Trust Company, filed as exhibit 10.28 to the Company's Annual Report on Form 10-K for the fiscal year ended November 1, 2003 (File No.</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1-7819) as filed with the Commission on December 23, 2003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First Amendment to Trust Agreement for Deferred Compensation Plan between Analog Devices, Inc. and Fidelity Management Trust</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Company dated as of January 1, 2005, filed as exhibit 10.3 to the Company's Annual Report on Form 10-K for the fiscal year ended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October 28, 2006 (File No. 1-7819) as filed with the Commission on November 20, 2006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*10.5</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Second Amendment to Trust Agreement for Deferred Compensation Plan between Analog Devices, Inc. and Fidelity Management Trust</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Company dated as of December 10, 2007, filed as exhibit 10.41 to the Company's Annual Report on Form 10-K for the fiscal year ended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9"/>
              </w:rPr>
              <w:t>November 1, 2008 (File No. 1-7819) as filed with the Commission on November 25, 2008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1998 Stock Option Plan of Analog Devices Inc., as amended, filed as exhibit 10.2 to the Company's Annual Report on Form 10-K for the</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fiscal year ended November 2, 2002 (File No. 1-7819) as filed with the Commission on January 29, 2003 and incorporated herein by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*10.7</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Analog Devices, Inc. 2001 Broad-Based Stock Option Plan, as amended, filed as exhibit 10.12 to the Company's Annual Report on Form</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10-K for the fiscal year ended November 2, 2002 (File No. 1-7819) as filed with the Commission on January 29, 2003 and incorporated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herein by reference.</w:t>
            </w:r>
          </w:p>
        </w:tc>
      </w:tr>
    </w:tbl>
    <w:p>
      <w:pPr>
        <w:sectPr>
          <w:pgSz w:w="11900" w:h="16838" w:orient="portrait"/>
          <w:cols w:equalWidth="0" w:num="1">
            <w:col w:w="11420"/>
          </w:cols>
          <w:pgMar w:left="240" w:top="1202" w:right="239" w:bottom="1440" w:gutter="0" w:footer="0" w:header="0"/>
        </w:sectPr>
      </w:pPr>
    </w:p>
    <w:bookmarkStart w:id="93" w:name="page94"/>
    <w:bookmarkEnd w:id="93"/>
    <w:p>
      <w:pPr>
        <w:spacing w:after="0"/>
        <w:tabs>
          <w:tab w:leader="none" w:pos="57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66675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1" w:lineRule="exact"/>
        <w:rPr>
          <w:sz w:val="20"/>
          <w:szCs w:val="20"/>
          <w:color w:val="auto"/>
        </w:rPr>
      </w:pPr>
    </w:p>
    <w:p>
      <w:pPr>
        <w:ind w:left="1060" w:right="80" w:hanging="911"/>
        <w:spacing w:after="0" w:line="264" w:lineRule="auto"/>
        <w:tabs>
          <w:tab w:leader="none" w:pos="10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2006 Stock Incentive Plan of Analog Devices, Inc., as amended, filed as exhibit 10.4 to the Company's Quarterly Report on Form 10-Q for the fiscal quarter ended May 5, 2012 (File No. 1-7819) as filed with the Commission on May 22, 2012 and incorporated herein by reference.</w:t>
      </w:r>
    </w:p>
    <w:p>
      <w:pPr>
        <w:spacing w:after="0" w:line="19" w:lineRule="exact"/>
        <w:rPr>
          <w:sz w:val="20"/>
          <w:szCs w:val="20"/>
          <w:color w:val="auto"/>
        </w:rPr>
      </w:pPr>
    </w:p>
    <w:p>
      <w:pPr>
        <w:jc w:val="both"/>
        <w:ind w:left="1060" w:right="100" w:hanging="911"/>
        <w:spacing w:after="0" w:line="264" w:lineRule="auto"/>
        <w:tabs>
          <w:tab w:leader="none" w:pos="10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Form of Global Non-Qualified Stock Option Agreement for Employees for usage under the Company's 2006 Stock Incentive Plan, filed as exhibit 10.2 to the Company's Quarterly Report on Form 10-Q for the fiscal quarter ended May 4, 2013 (File No. 1-7819) as filed with the Commission on May 21, 2013 and incorporated herein by reference.</w:t>
      </w:r>
    </w:p>
    <w:p>
      <w:pPr>
        <w:spacing w:after="0" w:line="19" w:lineRule="exact"/>
        <w:rPr>
          <w:sz w:val="20"/>
          <w:szCs w:val="20"/>
          <w:color w:val="auto"/>
        </w:rPr>
      </w:pPr>
    </w:p>
    <w:p>
      <w:pPr>
        <w:ind w:left="1060" w:right="220" w:hanging="956"/>
        <w:spacing w:after="0" w:line="264" w:lineRule="auto"/>
        <w:tabs>
          <w:tab w:leader="none" w:pos="10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 of Non-Qualified Stock Option Agreement for Directors for usage under the Company's 2006 Stock Incentive Plan, filed as exhibit 10.4 to the Company's Quarterly Report on Form 10-Q for the fiscal quarter ended May 4, 2013 (File No. 1-7819) as filed with the Commission on May 21, 2013 and incorporated herein by reference.</w:t>
      </w:r>
    </w:p>
    <w:p>
      <w:pPr>
        <w:spacing w:after="0" w:line="19" w:lineRule="exact"/>
        <w:rPr>
          <w:sz w:val="20"/>
          <w:szCs w:val="20"/>
          <w:color w:val="auto"/>
        </w:rPr>
      </w:pPr>
    </w:p>
    <w:p>
      <w:pPr>
        <w:ind w:left="1060" w:right="60" w:hanging="952"/>
        <w:spacing w:after="0" w:line="264" w:lineRule="auto"/>
        <w:tabs>
          <w:tab w:leader="none" w:pos="10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Global Restricted Stock Unit Agreement for Employees for usage under the Company's 2006 Stock Incentive Plan, filed as exhibit 10.3 to the Company's Quarterly Report on Form 10-Q for the fiscal quarter ended May 4, 2013 (File No. 1-7819) as filed with the Commission on May 21, 2013 and incorporated herein by reference.</w:t>
      </w:r>
    </w:p>
    <w:p>
      <w:pPr>
        <w:spacing w:after="0" w:line="19" w:lineRule="exact"/>
        <w:rPr>
          <w:sz w:val="20"/>
          <w:szCs w:val="20"/>
          <w:color w:val="auto"/>
        </w:rPr>
      </w:pPr>
    </w:p>
    <w:p>
      <w:pPr>
        <w:ind w:left="1060" w:right="40" w:hanging="956"/>
        <w:spacing w:after="0" w:line="264" w:lineRule="auto"/>
        <w:tabs>
          <w:tab w:leader="none" w:pos="10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Restricted Stock Unit Agreement for Directors for usage under the Company's 2006 Stock Incentive Plan, filed as exhibit 10.5 to the Company's Quarterly Report on Form 10-Q for the fiscal quarter ended May 4, 2013 (File No. 1-7819) as filed with the Commission on May 21, 2013 and incorporated herein by reference.</w:t>
      </w:r>
    </w:p>
    <w:p>
      <w:pPr>
        <w:spacing w:after="0" w:line="19" w:lineRule="exact"/>
        <w:rPr>
          <w:sz w:val="20"/>
          <w:szCs w:val="20"/>
          <w:color w:val="auto"/>
        </w:rPr>
      </w:pPr>
    </w:p>
    <w:p>
      <w:pPr>
        <w:ind w:left="1060" w:hanging="956"/>
        <w:spacing w:after="0" w:line="264" w:lineRule="auto"/>
        <w:tabs>
          <w:tab w:leader="none" w:pos="10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Analog Devices BV (Ireland) Employee Stock Option Program, as amended, filed as exhibit 10.3 to the Company's Annual Report on Form 10-K for the fiscal year ended November 2, 2002 (File No. 1-7819) as filed with the Commission on January 29, 2003 and incorporated herein by reference.</w:t>
      </w:r>
    </w:p>
    <w:p>
      <w:pPr>
        <w:spacing w:after="0" w:line="19" w:lineRule="exact"/>
        <w:rPr>
          <w:sz w:val="20"/>
          <w:szCs w:val="20"/>
          <w:color w:val="auto"/>
        </w:rPr>
      </w:pPr>
    </w:p>
    <w:p>
      <w:pPr>
        <w:ind w:left="1060" w:right="360" w:hanging="956"/>
        <w:spacing w:after="0" w:line="264" w:lineRule="auto"/>
        <w:tabs>
          <w:tab w:leader="none" w:pos="10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Amended and Restated Employment Agreement between Jerald G. Fishman and Analog Devices, Inc., dated January 14, 2010, filed as exhibit 10.2 to the Company's Current Report on Form 8-K (File No. 1-7819) as filed with the Commission on January 19, 2010 and incorporated herein by reference.</w:t>
      </w:r>
    </w:p>
    <w:p>
      <w:pPr>
        <w:spacing w:after="0" w:line="19" w:lineRule="exact"/>
        <w:rPr>
          <w:sz w:val="20"/>
          <w:szCs w:val="20"/>
          <w:color w:val="auto"/>
        </w:rPr>
      </w:pPr>
    </w:p>
    <w:p>
      <w:pPr>
        <w:jc w:val="both"/>
        <w:ind w:left="1060" w:right="200" w:hanging="956"/>
        <w:spacing w:after="0" w:line="264" w:lineRule="auto"/>
        <w:tabs>
          <w:tab w:leader="none" w:pos="10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Executive Retention Agreement dated October 22, 2007 between Jerald G. Fishman and Analog Devices, Inc., filed as exhibit 99.2 to the Company's Current Report on Form 8-K (File No. 1-7819) as filed with the Commission on October 26, 2007 and incorporated herein by reference.</w:t>
      </w:r>
    </w:p>
    <w:p>
      <w:pPr>
        <w:spacing w:after="0" w:line="19" w:lineRule="exact"/>
        <w:rPr>
          <w:sz w:val="20"/>
          <w:szCs w:val="20"/>
          <w:color w:val="auto"/>
        </w:rPr>
      </w:pPr>
    </w:p>
    <w:p>
      <w:pPr>
        <w:ind w:left="1060" w:right="220" w:hanging="956"/>
        <w:spacing w:after="0" w:line="264" w:lineRule="auto"/>
        <w:tabs>
          <w:tab w:leader="none" w:pos="10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Amendment to Long-Term Retention Agreement between Jerald G. Fishman and Analog Devices, Inc., filed as exhibit 10.1 to the Company's Current Report on Form 8-K (File No. 1-7819) as filed with the Commission on January 19, 2010 and incorporated herein by reference.</w:t>
      </w:r>
    </w:p>
    <w:p>
      <w:pPr>
        <w:spacing w:after="0" w:line="19" w:lineRule="exact"/>
        <w:rPr>
          <w:sz w:val="20"/>
          <w:szCs w:val="20"/>
          <w:color w:val="auto"/>
        </w:rPr>
      </w:pPr>
    </w:p>
    <w:p>
      <w:pPr>
        <w:ind w:left="1060" w:right="20" w:hanging="956"/>
        <w:spacing w:after="0" w:line="286" w:lineRule="auto"/>
        <w:tabs>
          <w:tab w:leader="none" w:pos="10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7"/>
          <w:szCs w:val="17"/>
          <w:color w:val="auto"/>
        </w:rPr>
        <w:t>Letter Agreement between Analog Devices Inc. and Jerald G. Fishman dated June 21, 2000 relating to acceleration of stock options upon the occurrence of certain events, filed as exhibit 10.19 to the Company's Annual Report on Form 10-K for the fiscal year ended October 28, 2000 (File No. 1-7819) as filed with the Commission on January 26, 2001 and incorporated herein by reference.</w:t>
      </w:r>
    </w:p>
    <w:p>
      <w:pPr>
        <w:spacing w:after="0" w:line="3" w:lineRule="exact"/>
        <w:rPr>
          <w:sz w:val="20"/>
          <w:szCs w:val="20"/>
          <w:color w:val="auto"/>
        </w:rPr>
      </w:pPr>
    </w:p>
    <w:p>
      <w:pPr>
        <w:ind w:left="1060" w:right="160" w:hanging="956"/>
        <w:spacing w:after="0" w:line="264" w:lineRule="auto"/>
        <w:tabs>
          <w:tab w:leader="none" w:pos="10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Amendment dated as of October 22, 2007 to the Employee Retention Agreement dated as of January 16, 1989 between Jerald G. Fishman and Analog Devices, Inc., filed as exhibit 99.3 to the Company's Current Report on Form 8-K (File No. 1-7819) as filed with the Commission on October 26, 2007 and incorporated herein by reference.</w:t>
      </w:r>
    </w:p>
    <w:p>
      <w:pPr>
        <w:spacing w:after="0" w:line="19" w:lineRule="exact"/>
        <w:rPr>
          <w:sz w:val="20"/>
          <w:szCs w:val="20"/>
          <w:color w:val="auto"/>
        </w:rPr>
      </w:pPr>
    </w:p>
    <w:p>
      <w:pPr>
        <w:ind w:left="1060" w:right="100" w:hanging="956"/>
        <w:spacing w:after="0" w:line="317" w:lineRule="auto"/>
        <w:tabs>
          <w:tab w:leader="none" w:pos="10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Form of Restricted Stock Unit Agreement between Analog Devices, Inc. and Jerald G. Fishman, filed as exhibit 10.1 to the Company's Current Report on Form 8-K (File No. 1-7819) as filed with the Commission on September 24, 2012 and incorporated herein by reference.</w:t>
      </w:r>
    </w:p>
    <w:p>
      <w:pPr>
        <w:ind w:left="1060" w:right="100" w:hanging="956"/>
        <w:spacing w:after="0" w:line="277" w:lineRule="auto"/>
        <w:tabs>
          <w:tab w:leader="none" w:pos="10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2013 Executive Performance Incentive Plan, filed as exhibit 10.1 to the Company's Current Report on Form 8-K (File No. 1-7819) as filed with the Commission on October 31, 2012 and incorporated herein by reference.</w:t>
      </w:r>
    </w:p>
    <w:p>
      <w:pPr>
        <w:spacing w:after="0" w:line="8" w:lineRule="exact"/>
        <w:rPr>
          <w:sz w:val="20"/>
          <w:szCs w:val="20"/>
          <w:color w:val="auto"/>
        </w:rPr>
      </w:pPr>
    </w:p>
    <w:p>
      <w:pPr>
        <w:ind w:left="1060" w:right="100" w:hanging="956"/>
        <w:spacing w:after="0" w:line="277" w:lineRule="auto"/>
        <w:tabs>
          <w:tab w:leader="none" w:pos="10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2014 Executive Performance Incentive Plan, filed as exhibit 10.1 to the Company's Current Report on Form 8-K (File No. 1-7819) as filed with the Commission on September 12, 2013 and incorporated herein by reference.</w:t>
      </w:r>
    </w:p>
    <w:p>
      <w:pPr>
        <w:spacing w:after="0" w:line="8" w:lineRule="exact"/>
        <w:rPr>
          <w:sz w:val="20"/>
          <w:szCs w:val="20"/>
          <w:color w:val="auto"/>
        </w:rPr>
      </w:pPr>
    </w:p>
    <w:p>
      <w:pPr>
        <w:ind w:left="1060" w:right="200" w:hanging="956"/>
        <w:spacing w:after="0" w:line="264" w:lineRule="auto"/>
        <w:tabs>
          <w:tab w:leader="none" w:pos="10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Analog Devices, Inc. Executive Section 162(m) plan, as amended, filed as exhibit 10.1 to the Company's Quarterly Report on Form 10-Q for the fiscal quarter ended May 4, 2013 (File No. 1-7819) as filed with the Commission on May 21, 2013 and incorporated herein by reference.</w:t>
      </w:r>
    </w:p>
    <w:p>
      <w:pPr>
        <w:spacing w:after="0" w:line="19" w:lineRule="exact"/>
        <w:rPr>
          <w:sz w:val="20"/>
          <w:szCs w:val="20"/>
          <w:color w:val="auto"/>
        </w:rPr>
      </w:pPr>
    </w:p>
    <w:p>
      <w:pPr>
        <w:ind w:left="1060" w:hanging="956"/>
        <w:spacing w:after="0" w:line="298" w:lineRule="auto"/>
        <w:tabs>
          <w:tab w:leader="none" w:pos="10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7"/>
          <w:szCs w:val="17"/>
          <w:color w:val="auto"/>
        </w:rPr>
        <w:t>Form of Employee Retention Agreement, filed as exhibit 10.1 to the Company's Quarterly Report on Form 10-Q for the fiscal quarter ended May 5, 2012 (File No. 1-7819) as filed with the Commission on May 22, 2012 and incorporated herein by reference.</w:t>
      </w:r>
    </w:p>
    <w:p>
      <w:pPr>
        <w:spacing w:after="0" w:line="1" w:lineRule="exact"/>
        <w:rPr>
          <w:sz w:val="20"/>
          <w:szCs w:val="20"/>
          <w:color w:val="auto"/>
        </w:rPr>
      </w:pPr>
    </w:p>
    <w:p>
      <w:pPr>
        <w:ind w:left="1060" w:right="160" w:hanging="956"/>
        <w:spacing w:after="0" w:line="264" w:lineRule="auto"/>
        <w:tabs>
          <w:tab w:leader="none" w:pos="10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Employee Change in Control Severance Policy of Analog Devices, Inc., as amended, filed as exhibit 10.20 to the Company's Annual Report on Form 10-K for the fiscal year ended October 30, 1999 (File No. 1-7819) as filed with the Commission on January 28, 2000 and incorporated herein by reference.</w:t>
      </w:r>
    </w:p>
    <w:p>
      <w:pPr>
        <w:spacing w:after="0" w:line="19" w:lineRule="exact"/>
        <w:rPr>
          <w:sz w:val="20"/>
          <w:szCs w:val="20"/>
          <w:color w:val="auto"/>
        </w:rPr>
      </w:pPr>
    </w:p>
    <w:p>
      <w:pPr>
        <w:jc w:val="both"/>
        <w:ind w:left="1060" w:right="300" w:hanging="956"/>
        <w:spacing w:after="0" w:line="264" w:lineRule="auto"/>
        <w:tabs>
          <w:tab w:leader="none" w:pos="10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Senior Management Change in Control Severance Policy of Analog Devices, Inc., as amended, filed as exhibit 10.21 to the Company's Annual Report on Form 10-K for the fiscal year ended October 30, 1999 (File No. 1-7819) as filed with the Commission on January 28, 2000 and incorporated herein by reference.</w:t>
      </w:r>
    </w:p>
    <w:p>
      <w:pPr>
        <w:sectPr>
          <w:pgSz w:w="11900" w:h="16838" w:orient="portrait"/>
          <w:cols w:equalWidth="0" w:num="1">
            <w:col w:w="11140"/>
          </w:cols>
          <w:pgMar w:left="480" w:top="738" w:right="27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Exhibit No.</w:t>
            </w: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*10.26</w:t>
            </w:r>
          </w:p>
        </w:tc>
        <w:tc>
          <w:tcPr>
            <w:tcW w:w="100" w:type="dxa"/>
            <w:vAlign w:val="bottom"/>
          </w:tcPr>
          <w:p>
            <w:pPr>
              <w:spacing w:after="0"/>
              <w:rPr>
                <w:sz w:val="19"/>
                <w:szCs w:val="19"/>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Offer Letter for David A. Zinsner, dated November 18, 2008, filed as exhibit 10.1 to the Company's Quarterly Report on Form 10-Q for the</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fiscal quarter ended January 31, 2009 (File No. 1-7819) as filed with the Commission on February 18, 2009 and incorporated herein by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*10.27</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Form of Indemnification Agreement for Directors and Officers, filed as exhibit 10.30 to the Company's Annual Report on Form 10-K for</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the fiscal year ended November 1, 2008 (File No. 1-7819) as filed with the Commission on November 25, 2008 and incorporated herein by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0"/>
              </w:rPr>
              <w:t>Amended and Restated Lease Agreement dated May 1, 1992 between Analog Devices, Inc. and the trustees of Everett Street Trust relating</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to the premises at 3 Technology Way, Norwood, Massachusetts, filed as exhibit 10.8 to the Company's Annual Report on Form 10-K for the</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fiscal year ended November 1, 1997 (File No. 1-7819) as filed with the Commission on January 28, 1998 and incorporated herein by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Guaranty dated as of May 1, 1994 between Analog Devices, Inc. and Metropolitan Life Insurance Company relating to the premises at 3</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Technology Way, Norwood, Massachusetts, filed as exhibit 10.9 to the Company's Annual Report on Form 10-K for the fiscal year ended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October 30, 1999 (File No. 1-7819) as filed with the Commission on January 28, 2000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Letter Agreement dated as of May 18, 1994 between Analog Devices, Inc. and Metropolitan Life Insurance Company relating to the</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premises at 3 Technology Way, Norwood, Massachusetts, filed as exhibit 10.10 to the Company's Annual Report on Form 10-K for the</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fiscal year ended October 30, 1999 (File No. 1-7819) as filed with the Commission on January 28, 2000 and incorporated herein by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0"/>
              </w:rPr>
              <w:t>Reimbursement Agreement dated May 18, 1992 between Analog Devices, Inc. and the trustees of Everett Street Trust, filed as exhibit 10.11</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to the Company's Annual Report on Form 10-K for the fiscal year ended November 1, 1997 (File No. 1-7819) as filed with the Commission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on January 28, 1998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Lease Agreement dated November 14, 1997, as amended, between Analog Devices, Inc. and Liberty Property Limited Partnership, relating</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to premises located at 7736 McCloud Road, Greensboro, North Carolina, filed as exhibit 10.38 to the Company's Annual Report on Form</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10-K for the fiscal year ended October 28, 2006 (File No. 1-7819) as filed with the Commission on November 20, 2006 and incorporated</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Fifth Amendment dated September 14, 2007 to Lease Agreement dated November 14, 1997, as amended, between Analog Devices, Inc.</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and Crown-Greensboro I, LLC (as successor to Liberty Property Limited Partnership), relating to premises located at 7736 McCloud Road,</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Greensboro, North Carolina, filed as exhibit 10.39 to the Company's Annual Report on Form 10-K for the fiscal year ended November 3,</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2007 (File No. 1-7819) as filed with the Commission on November 30, 2007 and incorporated herein by reference.</w:t>
            </w: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100" w:type="dxa"/>
            <w:vAlign w:val="bottom"/>
          </w:tcPr>
          <w:p>
            <w:pPr>
              <w:spacing w:after="0"/>
              <w:rPr>
                <w:sz w:val="22"/>
                <w:szCs w:val="22"/>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Credit Agreement, dated as of December 19, 2012, among Analog Devices, Inc., as Borrower, Bank of America, N.A. as Administrative</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Agent, Swing Line Lender and L/C Issuer and each lender from time to time party thereto, filed as exhibit 10.1 to the Company's Current</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8"/>
              </w:rPr>
              <w:t>Report on Form 8-K (File No. 1-7819) as filed with the Commission on December 20, 2012 and incorporated herein by reference.</w:t>
            </w:r>
          </w:p>
        </w:tc>
      </w:tr>
      <w:tr>
        <w:trPr>
          <w:trHeight w:val="27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†12.1</w:t>
            </w:r>
          </w:p>
        </w:tc>
        <w:tc>
          <w:tcPr>
            <w:tcW w:w="10160" w:type="dxa"/>
            <w:vAlign w:val="bottom"/>
          </w:tcPr>
          <w:p>
            <w:pPr>
              <w:ind w:left="40"/>
              <w:spacing w:after="0"/>
              <w:rPr>
                <w:sz w:val="20"/>
                <w:szCs w:val="20"/>
                <w:color w:val="auto"/>
              </w:rPr>
            </w:pPr>
            <w:r>
              <w:rPr>
                <w:rFonts w:ascii="Arial" w:cs="Arial" w:eastAsia="Arial" w:hAnsi="Arial"/>
                <w:sz w:val="18"/>
                <w:szCs w:val="18"/>
                <w:color w:val="auto"/>
              </w:rPr>
              <w:t>Computation of Consolidated Ratios of Earnings to Fixed Charges.</w:t>
            </w:r>
          </w:p>
        </w:tc>
      </w:tr>
      <w:tr>
        <w:trPr>
          <w:trHeight w:val="27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†21</w:t>
            </w:r>
          </w:p>
        </w:tc>
        <w:tc>
          <w:tcPr>
            <w:tcW w:w="10160" w:type="dxa"/>
            <w:vAlign w:val="bottom"/>
          </w:tcPr>
          <w:p>
            <w:pPr>
              <w:ind w:left="40"/>
              <w:spacing w:after="0"/>
              <w:rPr>
                <w:sz w:val="20"/>
                <w:szCs w:val="20"/>
                <w:color w:val="auto"/>
              </w:rPr>
            </w:pPr>
            <w:r>
              <w:rPr>
                <w:rFonts w:ascii="Arial" w:cs="Arial" w:eastAsia="Arial" w:hAnsi="Arial"/>
                <w:sz w:val="18"/>
                <w:szCs w:val="18"/>
                <w:color w:val="auto"/>
              </w:rPr>
              <w:t>Subsidiaries of the Company.</w:t>
            </w:r>
          </w:p>
        </w:tc>
      </w:tr>
      <w:tr>
        <w:trPr>
          <w:trHeight w:val="27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†23</w:t>
            </w:r>
          </w:p>
        </w:tc>
        <w:tc>
          <w:tcPr>
            <w:tcW w:w="10160" w:type="dxa"/>
            <w:vAlign w:val="bottom"/>
          </w:tcPr>
          <w:p>
            <w:pPr>
              <w:ind w:left="4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256"/>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†31.1</w:t>
            </w:r>
          </w:p>
        </w:tc>
        <w:tc>
          <w:tcPr>
            <w:tcW w:w="10160" w:type="dxa"/>
            <w:vAlign w:val="bottom"/>
          </w:tcPr>
          <w:p>
            <w:pPr>
              <w:ind w:left="40"/>
              <w:spacing w:after="0"/>
              <w:rPr>
                <w:sz w:val="20"/>
                <w:szCs w:val="20"/>
                <w:color w:val="auto"/>
              </w:rPr>
            </w:pPr>
            <w:r>
              <w:rPr>
                <w:rFonts w:ascii="Arial" w:cs="Arial" w:eastAsia="Arial" w:hAnsi="Arial"/>
                <w:sz w:val="18"/>
                <w:szCs w:val="18"/>
                <w:color w:val="auto"/>
                <w:w w:val="90"/>
              </w:rPr>
              <w:t>Certification Pursuant to Rule 13a-14(a) and 15d-14(a) of the Exchange Act, as Adopted Pursuant to Section 302 of the Sarbanes-Oxley Act</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of 2002 (Chief Executive Officer).</w:t>
            </w:r>
          </w:p>
        </w:tc>
      </w:tr>
      <w:tr>
        <w:trPr>
          <w:trHeight w:val="256"/>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†31.2</w:t>
            </w:r>
          </w:p>
        </w:tc>
        <w:tc>
          <w:tcPr>
            <w:tcW w:w="10160" w:type="dxa"/>
            <w:vAlign w:val="bottom"/>
          </w:tcPr>
          <w:p>
            <w:pPr>
              <w:ind w:left="40"/>
              <w:spacing w:after="0"/>
              <w:rPr>
                <w:sz w:val="20"/>
                <w:szCs w:val="20"/>
                <w:color w:val="auto"/>
              </w:rPr>
            </w:pPr>
            <w:r>
              <w:rPr>
                <w:rFonts w:ascii="Arial" w:cs="Arial" w:eastAsia="Arial" w:hAnsi="Arial"/>
                <w:sz w:val="18"/>
                <w:szCs w:val="18"/>
                <w:color w:val="auto"/>
                <w:w w:val="90"/>
              </w:rPr>
              <w:t>Certification Pursuant to Rule 13a-14(a) and 15d-14(a) of the Exchange Act, as Adopted Pursuant to Section 302 of the Sarbanes-Oxley Act</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of 2002 (Chief Financial Officer).</w:t>
            </w:r>
          </w:p>
        </w:tc>
      </w:tr>
      <w:tr>
        <w:trPr>
          <w:trHeight w:val="27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†32.1</w:t>
            </w:r>
          </w:p>
        </w:tc>
        <w:tc>
          <w:tcPr>
            <w:tcW w:w="10160" w:type="dxa"/>
            <w:vAlign w:val="bottom"/>
          </w:tcPr>
          <w:p>
            <w:pPr>
              <w:ind w:left="40"/>
              <w:spacing w:after="0"/>
              <w:rPr>
                <w:sz w:val="20"/>
                <w:szCs w:val="20"/>
                <w:color w:val="auto"/>
              </w:rPr>
            </w:pPr>
            <w:r>
              <w:rPr>
                <w:rFonts w:ascii="Arial" w:cs="Arial" w:eastAsia="Arial" w:hAnsi="Arial"/>
                <w:sz w:val="18"/>
                <w:szCs w:val="18"/>
                <w:color w:val="auto"/>
              </w:rPr>
              <w:t>Certification Pursuant to 18 U.S.C. Section 1350 (Chief Executive Officer).</w:t>
            </w:r>
          </w:p>
        </w:tc>
      </w:tr>
      <w:tr>
        <w:trPr>
          <w:trHeight w:val="27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†32.2</w:t>
            </w:r>
          </w:p>
        </w:tc>
        <w:tc>
          <w:tcPr>
            <w:tcW w:w="10160" w:type="dxa"/>
            <w:vAlign w:val="bottom"/>
          </w:tcPr>
          <w:p>
            <w:pPr>
              <w:ind w:left="40"/>
              <w:spacing w:after="0"/>
              <w:rPr>
                <w:sz w:val="20"/>
                <w:szCs w:val="20"/>
                <w:color w:val="auto"/>
              </w:rPr>
            </w:pPr>
            <w:r>
              <w:rPr>
                <w:rFonts w:ascii="Arial" w:cs="Arial" w:eastAsia="Arial" w:hAnsi="Arial"/>
                <w:sz w:val="18"/>
                <w:szCs w:val="18"/>
                <w:color w:val="auto"/>
              </w:rPr>
              <w:t>Certification Pursuant to 18 U.S.C. Section 1350 (Chief Financial Officer).</w:t>
            </w:r>
          </w:p>
        </w:tc>
      </w:tr>
      <w:tr>
        <w:trPr>
          <w:trHeight w:val="27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101. INS</w:t>
            </w:r>
          </w:p>
        </w:tc>
        <w:tc>
          <w:tcPr>
            <w:tcW w:w="1016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7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 SCH</w:t>
            </w:r>
          </w:p>
        </w:tc>
        <w:tc>
          <w:tcPr>
            <w:tcW w:w="10160" w:type="dxa"/>
            <w:vAlign w:val="bottom"/>
          </w:tcPr>
          <w:p>
            <w:pPr>
              <w:ind w:left="40"/>
              <w:spacing w:after="0"/>
              <w:rPr>
                <w:sz w:val="20"/>
                <w:szCs w:val="20"/>
                <w:color w:val="auto"/>
              </w:rPr>
            </w:pPr>
            <w:r>
              <w:rPr>
                <w:rFonts w:ascii="Arial" w:cs="Arial" w:eastAsia="Arial" w:hAnsi="Arial"/>
                <w:sz w:val="18"/>
                <w:szCs w:val="18"/>
                <w:color w:val="auto"/>
              </w:rPr>
              <w:t>XBRL Schema Document.</w:t>
            </w:r>
          </w:p>
        </w:tc>
      </w:tr>
      <w:tr>
        <w:trPr>
          <w:trHeight w:val="27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 CAL</w:t>
            </w:r>
          </w:p>
        </w:tc>
        <w:tc>
          <w:tcPr>
            <w:tcW w:w="10160" w:type="dxa"/>
            <w:vAlign w:val="bottom"/>
          </w:tcPr>
          <w:p>
            <w:pPr>
              <w:ind w:left="40"/>
              <w:spacing w:after="0"/>
              <w:rPr>
                <w:sz w:val="20"/>
                <w:szCs w:val="20"/>
                <w:color w:val="auto"/>
              </w:rPr>
            </w:pPr>
            <w:r>
              <w:rPr>
                <w:rFonts w:ascii="Arial" w:cs="Arial" w:eastAsia="Arial" w:hAnsi="Arial"/>
                <w:sz w:val="18"/>
                <w:szCs w:val="18"/>
                <w:color w:val="auto"/>
              </w:rPr>
              <w:t>XBRL Calculation Linkbase Document.</w:t>
            </w:r>
          </w:p>
        </w:tc>
      </w:tr>
      <w:tr>
        <w:trPr>
          <w:trHeight w:val="27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 LAB</w:t>
            </w:r>
          </w:p>
        </w:tc>
        <w:tc>
          <w:tcPr>
            <w:tcW w:w="10160" w:type="dxa"/>
            <w:vAlign w:val="bottom"/>
          </w:tcPr>
          <w:p>
            <w:pPr>
              <w:ind w:left="40"/>
              <w:spacing w:after="0"/>
              <w:rPr>
                <w:sz w:val="20"/>
                <w:szCs w:val="20"/>
                <w:color w:val="auto"/>
              </w:rPr>
            </w:pPr>
            <w:r>
              <w:rPr>
                <w:rFonts w:ascii="Arial" w:cs="Arial" w:eastAsia="Arial" w:hAnsi="Arial"/>
                <w:sz w:val="18"/>
                <w:szCs w:val="18"/>
                <w:color w:val="auto"/>
              </w:rPr>
              <w:t>XBRL Labels Linkbase Document.</w:t>
            </w:r>
          </w:p>
        </w:tc>
      </w:tr>
      <w:tr>
        <w:trPr>
          <w:trHeight w:val="270"/>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 PRE</w:t>
            </w:r>
          </w:p>
        </w:tc>
        <w:tc>
          <w:tcPr>
            <w:tcW w:w="10160" w:type="dxa"/>
            <w:vAlign w:val="bottom"/>
          </w:tcPr>
          <w:p>
            <w:pPr>
              <w:ind w:left="40"/>
              <w:spacing w:after="0"/>
              <w:rPr>
                <w:sz w:val="20"/>
                <w:szCs w:val="20"/>
                <w:color w:val="auto"/>
              </w:rPr>
            </w:pPr>
            <w:r>
              <w:rPr>
                <w:rFonts w:ascii="Arial" w:cs="Arial" w:eastAsia="Arial" w:hAnsi="Arial"/>
                <w:sz w:val="18"/>
                <w:szCs w:val="18"/>
                <w:color w:val="auto"/>
              </w:rPr>
              <w:t>XBRL Presentation Linkbase Document.</w:t>
            </w:r>
          </w:p>
        </w:tc>
      </w:tr>
      <w:tr>
        <w:trPr>
          <w:trHeight w:val="270"/>
        </w:trPr>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 DEF</w:t>
            </w:r>
          </w:p>
        </w:tc>
        <w:tc>
          <w:tcPr>
            <w:tcW w:w="10160" w:type="dxa"/>
            <w:vAlign w:val="bottom"/>
          </w:tcPr>
          <w:p>
            <w:pPr>
              <w:ind w:left="40"/>
              <w:spacing w:after="0"/>
              <w:rPr>
                <w:sz w:val="20"/>
                <w:szCs w:val="20"/>
                <w:color w:val="auto"/>
              </w:rPr>
            </w:pPr>
            <w:r>
              <w:rPr>
                <w:rFonts w:ascii="Arial" w:cs="Arial" w:eastAsia="Arial" w:hAnsi="Arial"/>
                <w:sz w:val="18"/>
                <w:szCs w:val="18"/>
                <w:color w:val="auto"/>
              </w:rPr>
              <w:t>XBRL Definition Linkbase Document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168" w:lineRule="exact"/>
        <w:rPr>
          <w:sz w:val="20"/>
          <w:szCs w:val="20"/>
          <w:color w:val="auto"/>
        </w:rPr>
      </w:pPr>
    </w:p>
    <w:p>
      <w:pPr>
        <w:ind w:left="720" w:hanging="685"/>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700" w:hanging="665"/>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Management contracts and compensatory plan or arrangements required to be filed as an Exhibit pursuant to Item 15(b) of Form 10-K.</w:t>
      </w:r>
    </w:p>
    <w:p>
      <w:pPr>
        <w:sectPr>
          <w:pgSz w:w="11900" w:h="16838" w:orient="portrait"/>
          <w:cols w:equalWidth="0" w:num="1">
            <w:col w:w="11420"/>
          </w:cols>
          <w:pgMar w:left="240" w:top="806" w:right="239" w:bottom="1440" w:gutter="0" w:footer="0" w:header="0"/>
        </w:sectPr>
      </w:pPr>
    </w:p>
    <w:bookmarkStart w:id="95" w:name="page96"/>
    <w:bookmarkEnd w:id="95"/>
    <w:p>
      <w:pPr>
        <w:ind w:firstLine="432"/>
        <w:spacing w:after="0" w:line="288"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Consolidated Statements of Income for the years ended November 2, 2013, November 3, 2012 and October 29, 2011, (ii) Consolidated Balance Sheets as of November 2, 2013 and November 3, 2012, (iii) Consolidated Statements of Shareholders’ Equity for the years ended November 2, 2013, November 3, 2012 and October 29, 2011,</w:t>
      </w:r>
    </w:p>
    <w:p>
      <w:pPr>
        <w:ind w:right="20" w:firstLine="8"/>
        <w:spacing w:after="0" w:line="255" w:lineRule="auto"/>
        <w:tabs>
          <w:tab w:leader="none" w:pos="305"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November 2, 2013, November 3, 2012 and October 29, 2011, (v) Consolidated Statements of Cash Flows for the years ended November 2, 2013, November 3, 2012 and October 29, 2011, (vi) Notes to Consolidated Financial Statements for the years ended November 2, 2013, November 3, 2012 and October 29, 2011.</w:t>
      </w:r>
    </w:p>
    <w:p>
      <w:pPr>
        <w:sectPr>
          <w:pgSz w:w="11900" w:h="16838" w:orient="portrait"/>
          <w:cols w:equalWidth="0" w:num="1">
            <w:col w:w="11280"/>
          </w:cols>
          <w:pgMar w:left="240" w:top="706" w:right="37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349"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Analog Devices, Inc.</w:t>
      </w:r>
    </w:p>
    <w:p>
      <w:pPr>
        <w:spacing w:after="0" w:line="171"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Ratio of Earnings to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2125345</wp:posOffset>
            </wp:positionH>
            <wp:positionV relativeFrom="paragraph">
              <wp:posOffset>360680</wp:posOffset>
            </wp:positionV>
            <wp:extent cx="41421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4210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 31,</w:t>
            </w:r>
          </w:p>
        </w:tc>
        <w:tc>
          <w:tcPr>
            <w:tcW w:w="20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Oct. 30,</w:t>
            </w:r>
          </w:p>
        </w:tc>
        <w:tc>
          <w:tcPr>
            <w:tcW w:w="2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 29,</w:t>
            </w:r>
          </w:p>
        </w:tc>
        <w:tc>
          <w:tcPr>
            <w:tcW w:w="22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Nov. 3,</w:t>
            </w:r>
          </w:p>
        </w:tc>
        <w:tc>
          <w:tcPr>
            <w:tcW w:w="24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Nov. 2,</w:t>
            </w:r>
          </w:p>
        </w:tc>
      </w:tr>
      <w:tr>
        <w:trPr>
          <w:trHeight w:val="270"/>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(In thousands, except ratios)</w:t>
            </w:r>
          </w:p>
        </w:tc>
        <w:tc>
          <w:tcPr>
            <w:tcW w:w="200" w:type="dxa"/>
            <w:vAlign w:val="bottom"/>
          </w:tcPr>
          <w:p>
            <w:pPr>
              <w:spacing w:after="0"/>
              <w:rPr>
                <w:sz w:val="23"/>
                <w:szCs w:val="23"/>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Determination of earnings: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3460" w:type="dxa"/>
            <w:vAlign w:val="bottom"/>
            <w:gridSpan w:val="2"/>
          </w:tcPr>
          <w:p>
            <w:pPr>
              <w:ind w:left="12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460" w:type="dxa"/>
            <w:vAlign w:val="bottom"/>
            <w:gridSpan w:val="2"/>
          </w:tcPr>
          <w:p>
            <w:pPr>
              <w:ind w:left="120"/>
              <w:spacing w:after="0"/>
              <w:rPr>
                <w:sz w:val="20"/>
                <w:szCs w:val="20"/>
                <w:color w:val="auto"/>
              </w:rPr>
            </w:pPr>
            <w:r>
              <w:rPr>
                <w:rFonts w:ascii="Arial" w:cs="Arial" w:eastAsia="Arial" w:hAnsi="Arial"/>
                <w:sz w:val="18"/>
                <w:szCs w:val="18"/>
                <w:color w:val="auto"/>
              </w:rPr>
              <w:t>before provision for taxes on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297,444</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901,665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1,061,447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813,533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815,323</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Amortization of Capitalized interest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3460" w:type="dxa"/>
            <w:vAlign w:val="bottom"/>
            <w:gridSpan w:val="2"/>
          </w:tcPr>
          <w:p>
            <w:pPr>
              <w:ind w:left="120"/>
              <w:spacing w:after="0"/>
              <w:rPr>
                <w:sz w:val="20"/>
                <w:szCs w:val="20"/>
                <w:color w:val="auto"/>
              </w:rPr>
            </w:pPr>
            <w:r>
              <w:rPr>
                <w:rFonts w:ascii="Arial" w:cs="Arial" w:eastAsia="Arial" w:hAnsi="Arial"/>
                <w:sz w:val="18"/>
                <w:szCs w:val="18"/>
                <w:color w:val="auto"/>
              </w:rPr>
              <w:t>Fixed charges</w:t>
            </w:r>
          </w:p>
        </w:tc>
        <w:tc>
          <w:tcPr>
            <w:tcW w:w="2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11,388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32,529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32,233</w:t>
            </w: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earnings as defined</w:t>
            </w: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303,669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913,493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1,081,393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846,116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847,610</w:t>
            </w: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Charges: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gridSpan w:val="2"/>
          </w:tcPr>
          <w:p>
            <w:pPr>
              <w:ind w:left="120"/>
              <w:spacing w:after="0"/>
              <w:rPr>
                <w:sz w:val="20"/>
                <w:szCs w:val="20"/>
                <w:color w:val="auto"/>
              </w:rPr>
            </w:pPr>
            <w:r>
              <w:rPr>
                <w:rFonts w:ascii="Arial" w:cs="Arial" w:eastAsia="Arial" w:hAnsi="Arial"/>
                <w:sz w:val="18"/>
                <w:szCs w:val="18"/>
                <w:color w:val="auto"/>
              </w:rPr>
              <w:t>Interest and amortization expense</w:t>
            </w:r>
          </w:p>
        </w:tc>
        <w:tc>
          <w:tcPr>
            <w:tcW w:w="2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10,226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18,892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31,525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31,585</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Interest portion of rent expense</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r>
      <w:tr>
        <w:trPr>
          <w:trHeight w:val="237"/>
        </w:trPr>
        <w:tc>
          <w:tcPr>
            <w:tcW w:w="3460" w:type="dxa"/>
            <w:vAlign w:val="bottom"/>
            <w:gridSpan w:val="2"/>
          </w:tcPr>
          <w:p>
            <w:pPr>
              <w:ind w:left="240"/>
              <w:spacing w:after="0"/>
              <w:rPr>
                <w:sz w:val="20"/>
                <w:szCs w:val="20"/>
                <w:color w:val="auto"/>
              </w:rPr>
            </w:pPr>
            <w:r>
              <w:rPr>
                <w:rFonts w:ascii="Arial" w:cs="Arial" w:eastAsia="Arial" w:hAnsi="Arial"/>
                <w:sz w:val="18"/>
                <w:szCs w:val="18"/>
                <w:color w:val="auto"/>
              </w:rPr>
              <w:t>Fixed charges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5,243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32,223</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Capitalized interest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34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fixed charges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5,243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11,388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19,892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32,529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32,223</w:t>
            </w:r>
          </w:p>
        </w:tc>
      </w:tr>
      <w:tr>
        <w:trPr>
          <w:trHeight w:val="311"/>
        </w:trPr>
        <w:tc>
          <w:tcPr>
            <w:tcW w:w="3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3460" w:type="dxa"/>
            <w:vAlign w:val="bottom"/>
            <w:gridSpan w:val="2"/>
          </w:tcPr>
          <w:p>
            <w:pPr>
              <w:ind w:left="60"/>
              <w:spacing w:after="0"/>
              <w:rPr>
                <w:sz w:val="20"/>
                <w:szCs w:val="20"/>
                <w:color w:val="auto"/>
              </w:rPr>
            </w:pPr>
            <w:r>
              <w:rPr>
                <w:rFonts w:ascii="Arial" w:cs="Arial" w:eastAsia="Arial" w:hAnsi="Arial"/>
                <w:sz w:val="18"/>
                <w:szCs w:val="18"/>
                <w:color w:val="auto"/>
              </w:rPr>
              <w:t>Ratio of earnings to fixed charges</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w:t>
            </w: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640"/>
          </w:cols>
          <w:pgMar w:left="1020" w:top="661" w:right="239" w:bottom="1440" w:gutter="0" w:footer="0" w:header="0"/>
        </w:sectPr>
      </w:pPr>
    </w:p>
    <w:bookmarkStart w:id="97" w:name="page98"/>
    <w:bookmarkEnd w:id="9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540" w:type="dxa"/>
            <w:vAlign w:val="bottom"/>
            <w:vMerge w:val="restart"/>
          </w:tcPr>
          <w:p>
            <w:pPr>
              <w:jc w:val="center"/>
              <w:ind w:left="1361"/>
              <w:spacing w:after="0"/>
              <w:rPr>
                <w:sz w:val="20"/>
                <w:szCs w:val="20"/>
                <w:color w:val="auto"/>
              </w:rPr>
            </w:pPr>
            <w:r>
              <w:rPr>
                <w:rFonts w:ascii="Arial" w:cs="Arial" w:eastAsia="Arial" w:hAnsi="Arial"/>
                <w:sz w:val="20"/>
                <w:szCs w:val="20"/>
                <w:b w:val="1"/>
                <w:bCs w:val="1"/>
                <w:color w:val="auto"/>
                <w:w w:val="98"/>
              </w:rPr>
              <w:t>SUBSIDIARIES OF ANALOG DEVICES, INC.</w:t>
            </w:r>
          </w:p>
        </w:tc>
        <w:tc>
          <w:tcPr>
            <w:tcW w:w="20" w:type="dxa"/>
            <w:vAlign w:val="bottom"/>
          </w:tcPr>
          <w:p>
            <w:pPr>
              <w:spacing w:after="0"/>
              <w:rPr>
                <w:sz w:val="20"/>
                <w:szCs w:val="20"/>
                <w:color w:val="auto"/>
              </w:rPr>
            </w:pPr>
          </w:p>
        </w:tc>
        <w:tc>
          <w:tcPr>
            <w:tcW w:w="3160" w:type="dxa"/>
            <w:vAlign w:val="bottom"/>
            <w:gridSpan w:val="3"/>
          </w:tcPr>
          <w:p>
            <w:pPr>
              <w:ind w:left="2340"/>
              <w:spacing w:after="0"/>
              <w:rPr>
                <w:sz w:val="20"/>
                <w:szCs w:val="20"/>
                <w:color w:val="auto"/>
              </w:rPr>
            </w:pPr>
            <w:r>
              <w:rPr>
                <w:rFonts w:ascii="Arial" w:cs="Arial" w:eastAsia="Arial" w:hAnsi="Arial"/>
                <w:sz w:val="18"/>
                <w:szCs w:val="18"/>
                <w:b w:val="1"/>
                <w:bCs w:val="1"/>
                <w:color w:val="auto"/>
                <w:w w:val="91"/>
              </w:rPr>
              <w:t>Exhibit 21</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5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540" w:type="dxa"/>
            <w:vAlign w:val="bottom"/>
          </w:tcPr>
          <w:p>
            <w:pPr>
              <w:jc w:val="center"/>
              <w:ind w:left="1361"/>
              <w:spacing w:after="0"/>
              <w:rPr>
                <w:sz w:val="20"/>
                <w:szCs w:val="20"/>
                <w:color w:val="auto"/>
              </w:rPr>
            </w:pPr>
            <w:r>
              <w:rPr>
                <w:rFonts w:ascii="Arial" w:cs="Arial" w:eastAsia="Arial" w:hAnsi="Arial"/>
                <w:sz w:val="20"/>
                <w:szCs w:val="20"/>
                <w:b w:val="1"/>
                <w:bCs w:val="1"/>
                <w:color w:val="auto"/>
                <w:w w:val="88"/>
              </w:rPr>
              <w:t>As of November 2, 2013</w:t>
            </w:r>
          </w:p>
        </w:tc>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gridSpan w:val="2"/>
          </w:tcPr>
          <w:p>
            <w:pPr>
              <w:spacing w:after="0" w:line="209" w:lineRule="exact"/>
              <w:rPr>
                <w:sz w:val="20"/>
                <w:szCs w:val="20"/>
                <w:color w:val="auto"/>
              </w:rPr>
            </w:pPr>
            <w:r>
              <w:rPr>
                <w:rFonts w:ascii="Arial" w:cs="Arial" w:eastAsia="Arial" w:hAnsi="Arial"/>
                <w:sz w:val="20"/>
                <w:szCs w:val="20"/>
                <w:b w:val="1"/>
                <w:bCs w:val="1"/>
                <w:color w:val="auto"/>
              </w:rPr>
              <w:t>Name of Subsidiary</w:t>
            </w:r>
          </w:p>
        </w:tc>
        <w:tc>
          <w:tcPr>
            <w:tcW w:w="3180" w:type="dxa"/>
            <w:vAlign w:val="bottom"/>
            <w:tcBorders>
              <w:right w:val="single" w:sz="8" w:color="auto"/>
            </w:tcBorders>
            <w:gridSpan w:val="4"/>
          </w:tcPr>
          <w:p>
            <w:pPr>
              <w:ind w:left="20"/>
              <w:spacing w:after="0" w:line="209" w:lineRule="exact"/>
              <w:rPr>
                <w:sz w:val="20"/>
                <w:szCs w:val="20"/>
                <w:color w:val="auto"/>
              </w:rPr>
            </w:pPr>
            <w:r>
              <w:rPr>
                <w:rFonts w:ascii="Arial" w:cs="Arial" w:eastAsia="Arial" w:hAnsi="Arial"/>
                <w:sz w:val="20"/>
                <w:szCs w:val="20"/>
                <w:b w:val="1"/>
                <w:bCs w:val="1"/>
                <w:color w:val="auto"/>
              </w:rPr>
              <w:t>State or Other Jurisdiction of</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5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5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gridSpan w:val="4"/>
          </w:tcPr>
          <w:p>
            <w:pPr>
              <w:ind w:left="20"/>
              <w:spacing w:after="0" w:line="209" w:lineRule="exact"/>
              <w:rPr>
                <w:sz w:val="20"/>
                <w:szCs w:val="20"/>
                <w:color w:val="auto"/>
              </w:rPr>
            </w:pPr>
            <w:r>
              <w:rPr>
                <w:rFonts w:ascii="Arial" w:cs="Arial" w:eastAsia="Arial" w:hAnsi="Arial"/>
                <w:sz w:val="20"/>
                <w:szCs w:val="20"/>
                <w:b w:val="1"/>
                <w:bCs w:val="1"/>
                <w:color w:val="auto"/>
              </w:rPr>
              <w:t>Incorporation or Organization</w:t>
            </w:r>
          </w:p>
        </w:tc>
        <w:tc>
          <w:tcPr>
            <w:tcW w:w="0" w:type="dxa"/>
            <w:vAlign w:val="bottom"/>
          </w:tcPr>
          <w:p>
            <w:pPr>
              <w:spacing w:after="0"/>
              <w:rPr>
                <w:sz w:val="1"/>
                <w:szCs w:val="1"/>
                <w:color w:val="auto"/>
              </w:rPr>
            </w:pP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65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8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Australia Pty. Ltd.</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Pty, Ltd.</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GMBH</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Austria</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Canada, Ltd.</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Canada</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(China) Co. Ltd.</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China</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(Shanghai) Co. Ltd.</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China</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A/S</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Denmark</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(Finland) OY</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Finland</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SAS</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France</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GmbH</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Hong Kong, Ltd.</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Hong Kong</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India Private Limited</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India</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International</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Ireland</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International Financial Services Limited</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Ireland</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Technology</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Ireland</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Israel, Ltd.</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Israel</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SRL</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Italy</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K.K.</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Japan</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Korea, Ltd.</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Korea</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Coöperatief, U.A.</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Netherlands</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Holdings, B.V.</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Netherlands</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Nederland, B.V.</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Netherlands</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(Philippines), Inc.</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Philippines</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Gen. Trias, Inc.</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Philippines</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Realty Holdings, Inc.</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The Philippines</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S.L.</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Spain</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A.B.</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Sweden</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Taiwan, Ltd.</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Taiwan</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Limited</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United Kingdom</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ADI Micromachines, Inc.</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Delaware, USA</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Lyric Semiconductor, Inc.</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Delaware, USA</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Multigig, Inc.</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Delaware, USA</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Analog Devices International, Inc.</w:t>
            </w:r>
          </w:p>
        </w:tc>
        <w:tc>
          <w:tcPr>
            <w:tcW w:w="3180" w:type="dxa"/>
            <w:vAlign w:val="bottom"/>
            <w:tcBorders>
              <w:right w:val="single" w:sz="8" w:color="auto"/>
            </w:tcBorders>
            <w:gridSpan w:val="4"/>
          </w:tcPr>
          <w:p>
            <w:pPr>
              <w:ind w:left="20"/>
              <w:spacing w:after="0"/>
              <w:rPr>
                <w:sz w:val="20"/>
                <w:szCs w:val="20"/>
                <w:color w:val="auto"/>
              </w:rPr>
            </w:pPr>
            <w:r>
              <w:rPr>
                <w:rFonts w:ascii="Arial" w:cs="Arial" w:eastAsia="Arial" w:hAnsi="Arial"/>
                <w:sz w:val="20"/>
                <w:szCs w:val="20"/>
                <w:color w:val="auto"/>
              </w:rPr>
              <w:t>Massachusetts, USA</w:t>
            </w: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64" w:right="21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consent to the incorporation by reference in the Registration Statements (Form S-8 Nos. 2-63561, 2-90023, 2-95495, 33-2502, 33-4067, 33-22604, 33-22605, 33-29484, 33-39851, 33-39852, 33-43128, 33-46521, 33-60642, 33-60696, 33-61427, 33-64849, 333-04771, 333-04819, 333-04821, 333-08493, 333-40222, 333-40224, 333-47787, 333-47789, 333-48243, 333-57444, 333-69359, 333-79551, 333-87055, 333-50092, 333-53314, 333-53828, 333-75170, 333-113510, 333-132409, 333-156309, 333-163653 and 333-181951 and Form S-3 Nos. 333-08505, 333-08509, 333-17651, 333-87053, 333-48928, 333-51530, 333-53660, 333-160215 and 333-183490) of Analog Devices, Inc. and in the related Prospectuses of our reports dated November 26, 2013, with respect to the consolidated financial statements and schedule of Analog Devices, Inc., and the effectiveness of internal control over financial reporting of Analog Devices, Inc., included in this Annual Report (Form 10-K) for the year ended November 2, 2013.</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26, 2013</w:t>
      </w:r>
    </w:p>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Vincent Roche, certify that:</w:t>
      </w:r>
    </w:p>
    <w:p>
      <w:pPr>
        <w:spacing w:after="0" w:line="171" w:lineRule="exact"/>
        <w:rPr>
          <w:sz w:val="20"/>
          <w:szCs w:val="20"/>
          <w:color w:val="auto"/>
        </w:rPr>
      </w:pPr>
    </w:p>
    <w:p>
      <w:pPr>
        <w:ind w:left="520" w:hanging="188"/>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Analog Devices, Inc.;</w:t>
      </w:r>
    </w:p>
    <w:p>
      <w:pPr>
        <w:spacing w:after="0" w:line="171"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500" w:right="180" w:firstLine="318"/>
        <w:spacing w:after="0" w:line="264" w:lineRule="auto"/>
        <w:tabs>
          <w:tab w:leader="none" w:pos="1009"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500" w:right="400" w:firstLine="318"/>
        <w:spacing w:after="0" w:line="264" w:lineRule="auto"/>
        <w:tabs>
          <w:tab w:leader="none" w:pos="1019"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500" w:right="720" w:firstLine="318"/>
        <w:spacing w:after="0" w:line="342" w:lineRule="auto"/>
        <w:tabs>
          <w:tab w:leader="none" w:pos="1009"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500" w:right="180" w:firstLine="318"/>
        <w:spacing w:after="0" w:line="264" w:lineRule="auto"/>
        <w:tabs>
          <w:tab w:leader="none" w:pos="1019"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320" w:firstLine="332"/>
        <w:spacing w:after="0" w:line="308" w:lineRule="auto"/>
        <w:tabs>
          <w:tab w:leader="none" w:pos="504"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500" w:right="100" w:firstLine="318"/>
        <w:spacing w:after="0" w:line="277" w:lineRule="auto"/>
        <w:tabs>
          <w:tab w:leader="none" w:pos="1009"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500" w:right="60" w:firstLine="318"/>
        <w:spacing w:after="0" w:line="277" w:lineRule="auto"/>
        <w:tabs>
          <w:tab w:leader="none" w:pos="1019"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Vincent Roche</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(Principal Executive Officer)</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26, 2013</w:t>
      </w:r>
    </w:p>
    <w:p>
      <w:pPr>
        <w:sectPr>
          <w:pgSz w:w="11900" w:h="16838" w:orient="portrait"/>
          <w:cols w:equalWidth="0" w:num="1">
            <w:col w:w="11420"/>
          </w:cols>
          <w:pgMar w:left="240" w:top="202"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171" w:lineRule="exact"/>
        <w:rPr>
          <w:sz w:val="20"/>
          <w:szCs w:val="20"/>
          <w:color w:val="auto"/>
        </w:rPr>
      </w:pPr>
    </w:p>
    <w:p>
      <w:pPr>
        <w:ind w:left="520" w:hanging="188"/>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Analog Devices, Inc.;</w:t>
      </w:r>
    </w:p>
    <w:p>
      <w:pPr>
        <w:spacing w:after="0" w:line="171"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500" w:right="180" w:firstLine="318"/>
        <w:spacing w:after="0" w:line="264" w:lineRule="auto"/>
        <w:tabs>
          <w:tab w:leader="none" w:pos="1009"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500" w:right="400" w:firstLine="318"/>
        <w:spacing w:after="0" w:line="264" w:lineRule="auto"/>
        <w:tabs>
          <w:tab w:leader="none" w:pos="1019"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500" w:right="720" w:firstLine="318"/>
        <w:spacing w:after="0" w:line="342" w:lineRule="auto"/>
        <w:tabs>
          <w:tab w:leader="none" w:pos="1009"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500" w:right="180" w:firstLine="318"/>
        <w:spacing w:after="0" w:line="264" w:lineRule="auto"/>
        <w:tabs>
          <w:tab w:leader="none" w:pos="1019"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320" w:firstLine="332"/>
        <w:spacing w:after="0" w:line="308" w:lineRule="auto"/>
        <w:tabs>
          <w:tab w:leader="none" w:pos="504"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500" w:right="100" w:firstLine="318"/>
        <w:spacing w:after="0" w:line="277" w:lineRule="auto"/>
        <w:tabs>
          <w:tab w:leader="none" w:pos="1009"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500" w:right="60" w:firstLine="318"/>
        <w:spacing w:after="0" w:line="277" w:lineRule="auto"/>
        <w:tabs>
          <w:tab w:leader="none" w:pos="1019"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Vice President, Finance</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(Principal Financial Officer)</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26, 2013</w:t>
      </w:r>
    </w:p>
    <w:p>
      <w:pPr>
        <w:sectPr>
          <w:pgSz w:w="11900" w:h="16838" w:orient="portrait"/>
          <w:cols w:equalWidth="0" w:num="1">
            <w:col w:w="11420"/>
          </w:cols>
          <w:pgMar w:left="240" w:top="202"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connection with the Annual Report on Form 10-K of Analog Devices, Inc. (the “Company”) for the period ended November 2, 2013 as filed with the Securities and Exchange Commission on the date hereof (the “Report”), the undersigned, Vincent Roche, Chief Executive Officer of the Company, hereby certifies, pursuant to 18 U.S.C. Section 1350, that:</w:t>
      </w:r>
    </w:p>
    <w:p>
      <w:pPr>
        <w:spacing w:after="0" w:line="127" w:lineRule="exact"/>
        <w:rPr>
          <w:sz w:val="20"/>
          <w:szCs w:val="20"/>
          <w:color w:val="auto"/>
        </w:rPr>
      </w:pPr>
    </w:p>
    <w:p>
      <w:pPr>
        <w:ind w:left="920" w:hanging="264"/>
        <w:spacing w:after="0"/>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Vincent Roche</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26, 2013</w:t>
      </w:r>
    </w:p>
    <w:p>
      <w:pPr>
        <w:sectPr>
          <w:pgSz w:w="11900" w:h="16838" w:orient="portrait"/>
          <w:cols w:equalWidth="0" w:num="1">
            <w:col w:w="11420"/>
          </w:cols>
          <w:pgMar w:left="240" w:top="202"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In connection with the Annual Report on Form 10-K of Analog Devices, Inc. (the “Company”) for the period ended November 2, 2013 as filed with the Securities and Exchange Commission on the date hereof (the “Report”), the undersigned, David. A. Zinsner, Chief Financial Officer of the Company, hereby certifies, pursuant to 18 U.S.C. Section 1350, that:</w:t>
      </w:r>
    </w:p>
    <w:p>
      <w:pPr>
        <w:spacing w:after="0" w:line="127" w:lineRule="exact"/>
        <w:rPr>
          <w:sz w:val="20"/>
          <w:szCs w:val="20"/>
          <w:color w:val="auto"/>
        </w:rPr>
      </w:pPr>
    </w:p>
    <w:p>
      <w:pPr>
        <w:ind w:left="920" w:hanging="264"/>
        <w:spacing w:after="0"/>
        <w:tabs>
          <w:tab w:leader="none" w:pos="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26, 2013</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o"/>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1)"/>
      <w:numFmt w:val="lowerRoman"/>
      <w:start w:val="2"/>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1)"/>
      <w:numFmt w:val="lowerLetter"/>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1)"/>
      <w:numFmt w:val="lowerLetter"/>
      <w:start w:val="1"/>
    </w:lvl>
  </w:abstractNum>
  <w:abstractNum w:abstractNumId="12">
    <w:nsid w:val="70A64E2A"/>
    <w:multiLevelType w:val="hybridMultilevel"/>
    <w:lvl w:ilvl="0">
      <w:lvlJc w:val="left"/>
      <w:lvlText w:val="(%1)"/>
      <w:numFmt w:val="decimal"/>
      <w:start w:val="3"/>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1."/>
      <w:numFmt w:val="decimal"/>
      <w:start w:val="1"/>
    </w:lvl>
  </w:abstractNum>
  <w:abstractNum w:abstractNumId="15">
    <w:nsid w:val="1D4ED43B"/>
    <w:multiLevelType w:val="hybridMultilevel"/>
    <w:lvl w:ilvl="0">
      <w:lvlJc w:val="left"/>
      <w:lvlText w:val="%1."/>
      <w:numFmt w:val="lowerLetter"/>
      <w:start w:val="1"/>
    </w:lvl>
  </w:abstractNum>
  <w:abstractNum w:abstractNumId="16">
    <w:nsid w:val="725A06FB"/>
    <w:multiLevelType w:val="hybridMultilevel"/>
    <w:lvl w:ilvl="0">
      <w:lvlJc w:val="left"/>
      <w:lvlText w:val="%1."/>
      <w:numFmt w:val="lowerLetter"/>
      <w:start w:val="2"/>
    </w:lvl>
  </w:abstractNum>
  <w:abstractNum w:abstractNumId="17">
    <w:nsid w:val="2CD89A32"/>
    <w:multiLevelType w:val="hybridMultilevel"/>
    <w:lvl w:ilvl="0">
      <w:lvlJc w:val="left"/>
      <w:lvlText w:val="%1."/>
      <w:numFmt w:val="lowerLetter"/>
      <w:start w:val="3"/>
    </w:lvl>
  </w:abstractNum>
  <w:abstractNum w:abstractNumId="18">
    <w:nsid w:val="57E4CCAF"/>
    <w:multiLevelType w:val="hybridMultilevel"/>
    <w:lvl w:ilvl="0">
      <w:lvlJc w:val="left"/>
      <w:lvlText w:val="%1."/>
      <w:numFmt w:val="lowerLetter"/>
      <w:start w:val="4"/>
    </w:lvl>
  </w:abstractNum>
  <w:abstractNum w:abstractNumId="19">
    <w:nsid w:val="7A6D8D3C"/>
    <w:multiLevelType w:val="hybridMultilevel"/>
    <w:lvl w:ilvl="0">
      <w:lvlJc w:val="left"/>
      <w:lvlText w:val="%1."/>
      <w:numFmt w:val="lowerLetter"/>
      <w:start w:val="5"/>
    </w:lvl>
  </w:abstractNum>
  <w:abstractNum w:abstractNumId="20">
    <w:nsid w:val="4B588F54"/>
    <w:multiLevelType w:val="hybridMultilevel"/>
    <w:lvl w:ilvl="0">
      <w:lvlJc w:val="left"/>
      <w:lvlText w:val="%1."/>
      <w:numFmt w:val="lowerLetter"/>
      <w:start w:val="6"/>
    </w:lvl>
  </w:abstractNum>
  <w:abstractNum w:abstractNumId="21">
    <w:nsid w:val="542289EC"/>
    <w:multiLevelType w:val="hybridMultilevel"/>
    <w:lvl w:ilvl="0">
      <w:lvlJc w:val="left"/>
      <w:lvlText w:val="%1."/>
      <w:numFmt w:val="lowerLetter"/>
      <w:start w:val="7"/>
    </w:lvl>
  </w:abstractNum>
  <w:abstractNum w:abstractNumId="22">
    <w:nsid w:val="6DE91B18"/>
    <w:multiLevelType w:val="hybridMultilevel"/>
    <w:lvl w:ilvl="0">
      <w:lvlJc w:val="left"/>
      <w:lvlText w:val="%1."/>
      <w:numFmt w:val="lowerRoman"/>
      <w:start w:val="1"/>
    </w:lvl>
  </w:abstractNum>
  <w:abstractNum w:abstractNumId="23">
    <w:nsid w:val="38437FDB"/>
    <w:multiLevelType w:val="hybridMultilevel"/>
    <w:lvl w:ilvl="0">
      <w:lvlJc w:val="left"/>
      <w:lvlText w:val="%1."/>
      <w:numFmt w:val="lowerLetter"/>
      <w:start w:val="10"/>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1."/>
      <w:numFmt w:val="lowerLetter"/>
      <w:start w:val="11"/>
    </w:lvl>
  </w:abstractNum>
  <w:abstractNum w:abstractNumId="28">
    <w:nsid w:val="749ABB43"/>
    <w:multiLevelType w:val="hybridMultilevel"/>
    <w:lvl w:ilvl="0">
      <w:lvlJc w:val="left"/>
      <w:lvlText w:val="%1."/>
      <w:numFmt w:val="lowerLetter"/>
      <w:start w:val="12"/>
    </w:lvl>
  </w:abstractNum>
  <w:abstractNum w:abstractNumId="29">
    <w:nsid w:val="3DC240FB"/>
    <w:multiLevelType w:val="hybridMultilevel"/>
    <w:lvl w:ilvl="0">
      <w:lvlJc w:val="left"/>
      <w:lvlText w:val="%1."/>
      <w:numFmt w:val="lowerLetter"/>
      <w:start w:val="15"/>
    </w:lvl>
  </w:abstractNum>
  <w:abstractNum w:abstractNumId="30">
    <w:nsid w:val="1BA026FA"/>
    <w:multiLevelType w:val="hybridMultilevel"/>
    <w:lvl w:ilvl="0">
      <w:lvlJc w:val="left"/>
      <w:lvlText w:val="%1."/>
      <w:numFmt w:val="lowerLetter"/>
      <w:start w:val="16"/>
    </w:lvl>
  </w:abstractNum>
  <w:abstractNum w:abstractNumId="31">
    <w:nsid w:val="79A1DEAA"/>
    <w:multiLevelType w:val="hybridMultilevel"/>
    <w:lvl w:ilvl="0">
      <w:lvlJc w:val="left"/>
      <w:lvlText w:val="%1."/>
      <w:numFmt w:val="lowerLetter"/>
      <w:start w:val="17"/>
    </w:lvl>
  </w:abstractNum>
  <w:abstractNum w:abstractNumId="32">
    <w:nsid w:val="75C6C33A"/>
    <w:multiLevelType w:val="hybridMultilevel"/>
    <w:lvl w:ilvl="0">
      <w:lvlJc w:val="left"/>
      <w:lvlText w:val="%1."/>
      <w:numFmt w:val="lowerLetter"/>
      <w:start w:val="18"/>
    </w:lvl>
  </w:abstractNum>
  <w:abstractNum w:abstractNumId="33">
    <w:nsid w:val="12E685FB"/>
    <w:multiLevelType w:val="hybridMultilevel"/>
    <w:lvl w:ilvl="0">
      <w:lvlJc w:val="left"/>
      <w:lvlText w:val="%1."/>
      <w:numFmt w:val="lowerLetter"/>
      <w:start w:val="19"/>
    </w:lvl>
  </w:abstractNum>
  <w:abstractNum w:abstractNumId="34">
    <w:nsid w:val="70C6A529"/>
    <w:multiLevelType w:val="hybridMultilevel"/>
    <w:lvl w:ilvl="0">
      <w:lvlJc w:val="left"/>
      <w:lvlText w:val="%1."/>
      <w:numFmt w:val="lowerLetter"/>
      <w:start w:val="20"/>
    </w:lvl>
  </w:abstractNum>
  <w:abstractNum w:abstractNumId="35">
    <w:nsid w:val="520EEDD1"/>
    <w:multiLevelType w:val="hybridMultilevel"/>
    <w:lvl w:ilvl="0">
      <w:lvlJc w:val="left"/>
      <w:lvlText w:val="%1."/>
      <w:numFmt w:val="decimal"/>
      <w:start w:val="3"/>
    </w:lvl>
  </w:abstractNum>
  <w:abstractNum w:abstractNumId="36">
    <w:nsid w:val="374A3FE6"/>
    <w:multiLevelType w:val="hybridMultilevel"/>
    <w:lvl w:ilvl="0">
      <w:lvlJc w:val="left"/>
      <w:lvlText w:val="(%1)"/>
      <w:numFmt w:val="decimal"/>
      <w:start w:val="1"/>
    </w:lvl>
  </w:abstractNum>
  <w:abstractNum w:abstractNumId="37">
    <w:nsid w:val="4F4EF005"/>
    <w:multiLevelType w:val="hybridMultilevel"/>
    <w:lvl w:ilvl="0">
      <w:lvlJc w:val="left"/>
      <w:lvlText w:val="%1."/>
      <w:numFmt w:val="decimal"/>
      <w:start w:val="4"/>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1."/>
      <w:numFmt w:val="decimal"/>
      <w:start w:val="5"/>
    </w:lvl>
  </w:abstractNum>
  <w:abstractNum w:abstractNumId="41">
    <w:nsid w:val="39386575"/>
    <w:multiLevelType w:val="hybridMultilevel"/>
    <w:lvl w:ilvl="0">
      <w:lvlJc w:val="left"/>
      <w:lvlText w:val="%1."/>
      <w:numFmt w:val="decimal"/>
      <w:start w:val="6"/>
    </w:lvl>
  </w:abstractNum>
  <w:abstractNum w:abstractNumId="42">
    <w:nsid w:val="1CF10FD8"/>
    <w:multiLevelType w:val="hybridMultilevel"/>
    <w:lvl w:ilvl="0">
      <w:lvlJc w:val="left"/>
      <w:lvlText w:val="%1."/>
      <w:numFmt w:val="decimal"/>
      <w:start w:val="7"/>
    </w:lvl>
  </w:abstractNum>
  <w:abstractNum w:abstractNumId="43">
    <w:nsid w:val="180115BE"/>
    <w:multiLevelType w:val="hybridMultilevel"/>
    <w:lvl w:ilvl="0">
      <w:lvlJc w:val="left"/>
      <w:lvlText w:val="%1."/>
      <w:numFmt w:val="decimal"/>
      <w:start w:val="8"/>
    </w:lvl>
  </w:abstractNum>
  <w:abstractNum w:abstractNumId="44">
    <w:nsid w:val="235BA861"/>
    <w:multiLevelType w:val="hybridMultilevel"/>
    <w:lvl w:ilvl="0">
      <w:lvlJc w:val="left"/>
      <w:lvlText w:val="%1."/>
      <w:numFmt w:val="decimal"/>
      <w:start w:val="9"/>
    </w:lvl>
  </w:abstractNum>
  <w:abstractNum w:abstractNumId="45">
    <w:nsid w:val="47398C89"/>
    <w:multiLevelType w:val="hybridMultilevel"/>
    <w:lvl w:ilvl="0">
      <w:lvlJc w:val="left"/>
      <w:lvlText w:val="%1."/>
      <w:numFmt w:val="decimal"/>
      <w:start w:val="10"/>
    </w:lvl>
  </w:abstractNum>
  <w:abstractNum w:abstractNumId="46">
    <w:nsid w:val="354FE9F9"/>
    <w:multiLevelType w:val="hybridMultilevel"/>
    <w:lvl w:ilvl="0">
      <w:lvlJc w:val="left"/>
      <w:lvlText w:val="%1."/>
      <w:numFmt w:val="decimal"/>
      <w:start w:val="11"/>
    </w:lvl>
  </w:abstractNum>
  <w:abstractNum w:abstractNumId="47">
    <w:nsid w:val="15B5AF5C"/>
    <w:multiLevelType w:val="hybridMultilevel"/>
    <w:lvl w:ilvl="0">
      <w:lvlJc w:val="left"/>
      <w:lvlText w:val="%1."/>
      <w:numFmt w:val="decimal"/>
      <w:start w:val="12"/>
    </w:lvl>
  </w:abstractNum>
  <w:abstractNum w:abstractNumId="48">
    <w:nsid w:val="741226BB"/>
    <w:multiLevelType w:val="hybridMultilevel"/>
    <w:lvl w:ilvl="0">
      <w:lvlJc w:val="left"/>
      <w:lvlText w:val="%1."/>
      <w:numFmt w:val="decimal"/>
      <w:start w:val="13"/>
    </w:lvl>
  </w:abstractNum>
  <w:abstractNum w:abstractNumId="49">
    <w:nsid w:val="D34B6A8"/>
    <w:multiLevelType w:val="hybridMultilevel"/>
    <w:lvl w:ilvl="0">
      <w:lvlJc w:val="left"/>
      <w:lvlText w:val="(%1)"/>
      <w:numFmt w:val="decimal"/>
      <w:start w:val="1"/>
    </w:lvl>
  </w:abstractNum>
  <w:abstractNum w:abstractNumId="50">
    <w:nsid w:val="10233C99"/>
    <w:multiLevelType w:val="hybridMultilevel"/>
    <w:lvl w:ilvl="0">
      <w:lvlJc w:val="left"/>
      <w:lvlText w:val="(%1)"/>
      <w:numFmt w:val="decimal"/>
      <w:start w:val="2"/>
    </w:lvl>
  </w:abstractNum>
  <w:abstractNum w:abstractNumId="51">
    <w:nsid w:val="3F6AB60F"/>
    <w:multiLevelType w:val="hybridMultilevel"/>
    <w:lvl w:ilvl="0">
      <w:lvlJc w:val="left"/>
      <w:lvlText w:val="%1."/>
      <w:numFmt w:val="decimal"/>
      <w:start w:val="14"/>
    </w:lvl>
  </w:abstractNum>
  <w:abstractNum w:abstractNumId="52">
    <w:nsid w:val="61574095"/>
    <w:multiLevelType w:val="hybridMultilevel"/>
    <w:lvl w:ilvl="0">
      <w:lvlJc w:val="left"/>
      <w:lvlText w:val="%1."/>
      <w:numFmt w:val="decimal"/>
      <w:start w:val="15"/>
    </w:lvl>
  </w:abstractNum>
  <w:abstractNum w:abstractNumId="53">
    <w:nsid w:val="7E0C57B1"/>
    <w:multiLevelType w:val="hybridMultilevel"/>
    <w:lvl w:ilvl="0">
      <w:lvlJc w:val="left"/>
      <w:lvlText w:val="%1."/>
      <w:numFmt w:val="decimal"/>
      <w:start w:val="16"/>
    </w:lvl>
  </w:abstractNum>
  <w:abstractNum w:abstractNumId="54">
    <w:nsid w:val="77AE35EB"/>
    <w:multiLevelType w:val="hybridMultilevel"/>
    <w:lvl w:ilvl="0">
      <w:lvlJc w:val="left"/>
      <w:lvlText w:val="%1."/>
      <w:numFmt w:val="decimal"/>
      <w:start w:val="17"/>
    </w:lvl>
  </w:abstractNum>
  <w:abstractNum w:abstractNumId="55">
    <w:nsid w:val="579BE4F1"/>
    <w:multiLevelType w:val="hybridMultilevel"/>
    <w:lvl w:ilvl="0">
      <w:lvlJc w:val="left"/>
      <w:lvlText w:val="%1."/>
      <w:numFmt w:val="decimal"/>
      <w:start w:val="18"/>
    </w:lvl>
  </w:abstractNum>
  <w:abstractNum w:abstractNumId="56">
    <w:nsid w:val="310C50B3"/>
    <w:multiLevelType w:val="hybridMultilevel"/>
    <w:lvl w:ilvl="0">
      <w:lvlJc w:val="left"/>
      <w:lvlText w:val="%1)"/>
      <w:numFmt w:val="lowerLetter"/>
      <w:start w:val="1"/>
    </w:lvl>
  </w:abstractNum>
  <w:abstractNum w:abstractNumId="57">
    <w:nsid w:val="5FF87E05"/>
    <w:multiLevelType w:val="hybridMultilevel"/>
    <w:lvl w:ilvl="0">
      <w:lvlJc w:val="left"/>
      <w:lvlText w:val="(%1)"/>
      <w:numFmt w:val="lowerLetter"/>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1)"/>
      <w:numFmt w:val="lowerLetter"/>
      <w:start w:val="3"/>
    </w:lvl>
  </w:abstractNum>
  <w:abstractNum w:abstractNumId="60">
    <w:nsid w:val="1DBABF00"/>
    <w:multiLevelType w:val="hybridMultilevel"/>
    <w:lvl w:ilvl="0">
      <w:lvlJc w:val="left"/>
      <w:lvlText w:val="(%1)"/>
      <w:numFmt w:val="lowerLetter"/>
      <w:start w:val="4"/>
    </w:lvl>
  </w:abstractNum>
  <w:abstractNum w:abstractNumId="61">
    <w:nsid w:val="4AD084E9"/>
    <w:multiLevelType w:val="hybridMultilevel"/>
    <w:lvl w:ilvl="0">
      <w:lvlJc w:val="left"/>
      <w:lvlText w:val="(%1)"/>
      <w:numFmt w:val="lowerLetter"/>
      <w:start w:val="1"/>
    </w:lvl>
  </w:abstractNum>
  <w:abstractNum w:abstractNumId="62">
    <w:nsid w:val="1F48EAA1"/>
    <w:multiLevelType w:val="hybridMultilevel"/>
    <w:lvl w:ilvl="0">
      <w:lvlJc w:val="left"/>
      <w:lvlText w:val="%1."/>
      <w:numFmt w:val="decimal"/>
      <w:start w:val="1"/>
    </w:lvl>
  </w:abstractNum>
  <w:abstractNum w:abstractNumId="63">
    <w:nsid w:val="1381823A"/>
    <w:multiLevelType w:val="hybridMultilevel"/>
    <w:lvl w:ilvl="0">
      <w:lvlJc w:val="left"/>
      <w:lvlText w:val="(%1)"/>
      <w:numFmt w:val="lowerLetter"/>
      <w:start w:val="2"/>
    </w:lvl>
    <w:lvl w:ilvl="1">
      <w:lvlJc w:val="left"/>
      <w:lvlText w:val="\emdash "/>
      <w:numFmt w:val="bullet"/>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1)"/>
      <w:numFmt w:val="lowerRoman"/>
      <w:start w:val="4"/>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2019-12-05T03:29:48Z</dcterms:created>
  <dcterms:modified xsi:type="dcterms:W3CDTF">2019-12-05T03:29:48Z</dcterms:modified>
</cp:coreProperties>
</file>