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(Rule 14a-101)</w:t>
      </w:r>
    </w:p>
    <w:p>
      <w:pPr>
        <w:spacing w:after="0" w:line="9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1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SCHEDULE 14A INFORMATION</w:t>
      </w:r>
    </w:p>
    <w:p>
      <w:pPr>
        <w:spacing w:after="0" w:line="117"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Exchange Act of 1934</w:t>
      </w:r>
    </w:p>
    <w:p>
      <w:pPr>
        <w:spacing w:after="0" w:line="178" w:lineRule="exact"/>
        <w:rPr>
          <w:sz w:val="24"/>
          <w:szCs w:val="24"/>
          <w:color w:val="auto"/>
        </w:rPr>
      </w:pPr>
    </w:p>
    <w:p>
      <w:pPr>
        <w:ind w:left="200"/>
        <w:spacing w:after="0" w:line="207" w:lineRule="exact"/>
        <w:tabs>
          <w:tab w:leader="none" w:pos="20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p>
    <w:p>
      <w:pPr>
        <w:spacing w:after="0" w:line="90" w:lineRule="exact"/>
        <w:rPr>
          <w:sz w:val="24"/>
          <w:szCs w:val="24"/>
          <w:color w:val="auto"/>
        </w:rPr>
      </w:pPr>
    </w:p>
    <w:p>
      <w:pPr>
        <w:ind w:left="200"/>
        <w:spacing w:after="0" w:line="207" w:lineRule="exact"/>
        <w:tabs>
          <w:tab w:leader="none" w:pos="33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2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00" w:right="4780" w:firstLine="4"/>
        <w:spacing w:after="0" w:line="216" w:lineRule="exact"/>
        <w:tabs>
          <w:tab w:leader="none" w:pos="4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2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2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6" w:lineRule="exact"/>
        <w:rPr>
          <w:sz w:val="24"/>
          <w:szCs w:val="24"/>
          <w:color w:val="auto"/>
        </w:rPr>
      </w:pPr>
    </w:p>
    <w:p>
      <w:pPr>
        <w:jc w:val="center"/>
        <w:ind w:right="-27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60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6"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5"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280" w:hanging="424"/>
        <w:spacing w:after="0" w:line="277"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6"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640" w:hanging="436"/>
        <w:spacing w:after="0" w:line="308" w:lineRule="auto"/>
        <w:tabs>
          <w:tab w:leader="none" w:pos="6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424"/>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-3766185</wp:posOffset>
            </wp:positionV>
            <wp:extent cx="6440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-3363595</wp:posOffset>
            </wp:positionV>
            <wp:extent cx="6440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-2814320</wp:posOffset>
            </wp:positionV>
            <wp:extent cx="6440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-2402840</wp:posOffset>
            </wp:positionV>
            <wp:extent cx="644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-1999615</wp:posOffset>
            </wp:positionV>
            <wp:extent cx="6440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-1047750</wp:posOffset>
            </wp:positionV>
            <wp:extent cx="6440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-636270</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-233045</wp:posOffset>
            </wp:positionV>
            <wp:extent cx="6440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177800</wp:posOffset>
            </wp:positionV>
            <wp:extent cx="6440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2080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26, 2018</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Wednesday, March 14, 2018, at our offices located at 125 Summer Street, Boston, Massachusetts 02110.</w:t>
      </w:r>
    </w:p>
    <w:p>
      <w:pPr>
        <w:spacing w:after="0" w:line="132" w:lineRule="exact"/>
        <w:rPr>
          <w:sz w:val="20"/>
          <w:szCs w:val="20"/>
          <w:color w:val="auto"/>
        </w:rPr>
      </w:pPr>
    </w:p>
    <w:p>
      <w:pPr>
        <w:jc w:val="both"/>
        <w:ind w:left="200" w:right="380" w:firstLine="441"/>
        <w:spacing w:after="0" w:line="259" w:lineRule="auto"/>
        <w:rPr>
          <w:sz w:val="20"/>
          <w:szCs w:val="20"/>
          <w:color w:val="auto"/>
        </w:rPr>
      </w:pPr>
      <w:r>
        <w:rPr>
          <w:rFonts w:ascii="Arial" w:cs="Arial" w:eastAsia="Arial" w:hAnsi="Arial"/>
          <w:sz w:val="18"/>
          <w:szCs w:val="18"/>
          <w:color w:val="auto"/>
        </w:rPr>
        <w:t>At the Annual Meeting you are being asked to elect nine members of our Board of Directors, each to serve for a term expiring at the next annual meeting of shareholders; to vote on a non-binding advisory proposal on the compensation of our named executive officers; and to ratify the selection of Ernst &amp; Young LLP as our independent registered public accounting firm for the 2018 fiscal year.</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Your Board of Directors recommends that you vote FOR the election of each of the directors named in the proxy statement, FOR the approval, on an advisory basis, of the compensation of our named executive officers, and FOR the ratification of the selection of Ernst &amp; Young LLP as our independent registered public accounting firm for the 2018 fiscal year.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139700</wp:posOffset>
            </wp:positionV>
            <wp:extent cx="1551940"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139700</wp:posOffset>
            </wp:positionV>
            <wp:extent cx="186118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1185" cy="48895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Vincent Roche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340" w:space="720"/>
            <w:col w:w="516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NOTICE OF 2018 ANNUAL MEETING OF SHAREHOLDERS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To Be Held On March 14, 2018</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Shareholders: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2018 Annual Meeting of Shareholders of Analog Devices, Inc. will be held at our offices at 125 Summer Street, Boston, Massachusetts 02110, on</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Wednesday, March 14, 2018 at 9:00 a.m. local time. At the meeting, shareholders will consider and vote on the following matters:</w:t>
      </w:r>
    </w:p>
    <w:p>
      <w:pPr>
        <w:spacing w:after="0" w:line="84" w:lineRule="exact"/>
        <w:rPr>
          <w:sz w:val="20"/>
          <w:szCs w:val="20"/>
          <w:color w:val="auto"/>
        </w:rPr>
      </w:pPr>
    </w:p>
    <w:p>
      <w:pPr>
        <w:ind w:left="1060" w:right="40" w:hanging="424"/>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to our Board of Directors, each to serve for a term expiring at the next annual meeting of shareholders;</w:t>
      </w:r>
    </w:p>
    <w:p>
      <w:pPr>
        <w:spacing w:after="0" w:line="50" w:lineRule="exact"/>
        <w:rPr>
          <w:rFonts w:ascii="Arial" w:cs="Arial" w:eastAsia="Arial" w:hAnsi="Arial"/>
          <w:sz w:val="18"/>
          <w:szCs w:val="18"/>
          <w:color w:val="auto"/>
        </w:rPr>
      </w:pPr>
    </w:p>
    <w:p>
      <w:pPr>
        <w:ind w:left="1060" w:right="40" w:hanging="424"/>
        <w:spacing w:after="0" w:line="33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by non-binding “say on pay” vote, the compensation of our named executive officers, as described in the Compensation Discussion and Analysis, executive compensation tables and accompanying narrative disclosures in this proxy statement; and</w:t>
      </w:r>
    </w:p>
    <w:p>
      <w:pPr>
        <w:spacing w:after="0" w:line="4" w:lineRule="exact"/>
        <w:rPr>
          <w:rFonts w:ascii="Arial" w:cs="Arial" w:eastAsia="Arial" w:hAnsi="Arial"/>
          <w:sz w:val="16"/>
          <w:szCs w:val="16"/>
          <w:color w:val="auto"/>
        </w:rPr>
      </w:pPr>
    </w:p>
    <w:p>
      <w:pPr>
        <w:ind w:left="1060" w:hanging="42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November 3, 2018.</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are providing access to our proxy materials over the Internet under the U.S. Securities and Exchange Commission’s “notice and access” rules. As a result, we are mailing to our shareholders a Notice of Internet Availability of Proxy Materials (the “Notice”) instead of a paper copy of this proxy statement and our Annual Report for the fiscal year ended October 28, 2017 (the “2017 Annual Report”). We are mailing the Notice on or about January 26, 2018, and it contains instructions on how to access those documents over the Internet. The Notice also contains instructions on how each of our shareholders can receive a paper copy of our proxy materials, including this proxy statement, our 2017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 We have chosen to employ this distribution process to conserve natural resources and reduce the costs of printing and distributing our proxy materials.</w:t>
      </w:r>
    </w:p>
    <w:p>
      <w:pPr>
        <w:spacing w:after="0" w:line="118"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Shareholders of record at the close of business on January 8, 2018 are entitled to vote at the meeting. Your vote is important no matter how many shares you own. Whether you expect to attend the meeting or not, please vote your shares by using the Internet as described in the instructions included on your Notice, by calling the toll-free telephone number, or, if you received a paper copy of the proxy materials, by completing, signing, dating and returning your proxy card or voting instruction form.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MARGARET K. SEIF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Norwood, Massachusetts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January 26, 2018</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0" w:type="dxa"/>
            <w:vAlign w:val="bottom"/>
            <w:gridSpan w:val="13"/>
          </w:tcPr>
          <w:p>
            <w:pPr>
              <w:ind w:left="10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19"/>
                <w:szCs w:val="19"/>
                <w:color w:val="auto"/>
              </w:rPr>
            </w:pPr>
          </w:p>
        </w:tc>
      </w:tr>
      <w:tr>
        <w:trPr>
          <w:trHeight w:val="380"/>
        </w:trPr>
        <w:tc>
          <w:tcPr>
            <w:tcW w:w="276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PROXY STATEMENT HIGHLIGHTS</w:t>
              </w:r>
            </w:hyperlink>
          </w:p>
        </w:tc>
        <w:tc>
          <w:tcPr>
            <w:tcW w:w="7520" w:type="dxa"/>
            <w:vAlign w:val="bottom"/>
            <w:gridSpan w:val="3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0280" w:type="dxa"/>
            <w:vAlign w:val="bottom"/>
            <w:gridSpan w:val="4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INFORMATION ABOUT THE ANNUAL MEETING AND VOTING</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What is the purpose of the annual meeting?</w:t>
              </w:r>
            </w:hyperlink>
          </w:p>
        </w:tc>
        <w:tc>
          <w:tcPr>
            <w:tcW w:w="528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30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Who can vote?</w:t>
              </w:r>
            </w:hyperlink>
          </w:p>
        </w:tc>
        <w:tc>
          <w:tcPr>
            <w:tcW w:w="6800" w:type="dxa"/>
            <w:vAlign w:val="bottom"/>
            <w:gridSpan w:val="2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How many votes do I have?</w:t>
              </w:r>
            </w:hyperlink>
          </w:p>
        </w:tc>
        <w:tc>
          <w:tcPr>
            <w:tcW w:w="7860" w:type="dxa"/>
            <w:vAlign w:val="bottom"/>
            <w:gridSpan w:val="3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Is my vote important?</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How do I vote?</w:t>
              </w:r>
            </w:hyperlink>
          </w:p>
        </w:tc>
        <w:tc>
          <w:tcPr>
            <w:tcW w:w="8300" w:type="dxa"/>
            <w:vAlign w:val="bottom"/>
            <w:gridSpan w:val="3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0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Can I vote if my shares are held in “street name”?</w:t>
              </w:r>
            </w:hyperlink>
          </w:p>
        </w:tc>
        <w:tc>
          <w:tcPr>
            <w:tcW w:w="6340" w:type="dxa"/>
            <w:vAlign w:val="bottom"/>
            <w:gridSpan w:val="1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Can I change my vote after I have mailed my proxy card or after I have voted my shares over the Internet or by telephone?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8600" w:type="dxa"/>
            <w:vAlign w:val="bottom"/>
            <w:tcBorders>
              <w:top w:val="single" w:sz="8" w:color="0000EE"/>
            </w:tcBorders>
            <w:gridSpan w:val="4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How do I vote my shares held in trust in the Analog Ireland Success Sharing Share Plan?</w:t>
              </w:r>
            </w:hyperlink>
          </w:p>
        </w:tc>
        <w:tc>
          <w:tcPr>
            <w:tcW w:w="124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What constitutes a quorum?</w:t>
              </w:r>
            </w:hyperlink>
          </w:p>
        </w:tc>
        <w:tc>
          <w:tcPr>
            <w:tcW w:w="4260" w:type="dxa"/>
            <w:vAlign w:val="bottom"/>
            <w:tcBorders>
              <w:top w:val="single" w:sz="8" w:color="0000EE"/>
            </w:tcBorders>
            <w:gridSpan w:val="28"/>
          </w:tcPr>
          <w:p>
            <w:pPr>
              <w:spacing w:after="0"/>
              <w:rPr>
                <w:sz w:val="17"/>
                <w:szCs w:val="17"/>
                <w:color w:val="auto"/>
              </w:rPr>
            </w:pPr>
          </w:p>
        </w:tc>
        <w:tc>
          <w:tcPr>
            <w:tcW w:w="360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What vote is required for each proposal?</w:t>
              </w:r>
            </w:hyperlink>
          </w:p>
        </w:tc>
        <w:tc>
          <w:tcPr>
            <w:tcW w:w="6980" w:type="dxa"/>
            <w:vAlign w:val="bottom"/>
            <w:gridSpan w:val="2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How will votes be counted?</w:t>
              </w:r>
            </w:hyperlink>
          </w:p>
        </w:tc>
        <w:tc>
          <w:tcPr>
            <w:tcW w:w="7880" w:type="dxa"/>
            <w:vAlign w:val="bottom"/>
            <w:gridSpan w:val="3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Who will count the votes?</w:t>
              </w:r>
            </w:hyperlink>
          </w:p>
        </w:tc>
        <w:tc>
          <w:tcPr>
            <w:tcW w:w="8000" w:type="dxa"/>
            <w:vAlign w:val="bottom"/>
            <w:gridSpan w:val="3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Will my vote be kept confidential?</w:t>
              </w:r>
            </w:hyperlink>
          </w:p>
        </w:tc>
        <w:tc>
          <w:tcPr>
            <w:tcW w:w="7400" w:type="dxa"/>
            <w:vAlign w:val="bottom"/>
            <w:gridSpan w:val="2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How does the Board of Directors recommend that I vote on the proposals?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52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Will any other matters be voted on at this meeting?</w:t>
              </w:r>
            </w:hyperlink>
          </w:p>
        </w:tc>
        <w:tc>
          <w:tcPr>
            <w:tcW w:w="462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Where can I find the voting results?</w:t>
              </w:r>
            </w:hyperlink>
          </w:p>
        </w:tc>
        <w:tc>
          <w:tcPr>
            <w:tcW w:w="1060" w:type="dxa"/>
            <w:vAlign w:val="bottom"/>
            <w:tcBorders>
              <w:top w:val="single" w:sz="8" w:color="0000EE"/>
            </w:tcBorders>
            <w:gridSpan w:val="11"/>
          </w:tcPr>
          <w:p>
            <w:pPr>
              <w:spacing w:after="0"/>
              <w:rPr>
                <w:sz w:val="17"/>
                <w:szCs w:val="17"/>
                <w:color w:val="auto"/>
              </w:rPr>
            </w:pPr>
          </w:p>
        </w:tc>
        <w:tc>
          <w:tcPr>
            <w:tcW w:w="6260" w:type="dxa"/>
            <w:vAlign w:val="bottom"/>
            <w:gridSpan w:val="1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9340" w:type="dxa"/>
            <w:vAlign w:val="bottom"/>
            <w:tcBorders>
              <w:bottom w:val="single" w:sz="8" w:color="0000EE"/>
            </w:tcBorders>
            <w:gridSpan w:val="44"/>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How and when may I submit a shareholder proposal, including a shareholder nomination for director, for the 2019 annual meeting of</w:t>
              </w:r>
            </w:hyperlink>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82"/>
              </w:rPr>
            </w:pPr>
            <w:hyperlink w:anchor="page18">
              <w:r>
                <w:rPr>
                  <w:rFonts w:ascii="Arial" w:cs="Arial" w:eastAsia="Arial" w:hAnsi="Arial"/>
                  <w:sz w:val="18"/>
                  <w:szCs w:val="18"/>
                  <w:color w:val="0000EE"/>
                  <w:w w:val="82"/>
                </w:rPr>
                <w:t>shareholders?</w:t>
              </w:r>
            </w:hyperlink>
          </w:p>
        </w:tc>
        <w:tc>
          <w:tcPr>
            <w:tcW w:w="8660" w:type="dxa"/>
            <w:vAlign w:val="bottom"/>
            <w:gridSpan w:val="3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448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What are the costs of soliciting these proxies and who will pay?</w:t>
              </w:r>
            </w:hyperlink>
          </w:p>
        </w:tc>
        <w:tc>
          <w:tcPr>
            <w:tcW w:w="536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Why did I receive a “Notice of Internet Availability of Proxy Materials” but no proxy materials?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676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How can I obtain an Annual Report on Form 10-K?</w:t>
              </w:r>
            </w:hyperlink>
          </w:p>
        </w:tc>
        <w:tc>
          <w:tcPr>
            <w:tcW w:w="308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Whom should I contact if I have any questions?</w:t>
              </w:r>
            </w:hyperlink>
          </w:p>
        </w:tc>
        <w:tc>
          <w:tcPr>
            <w:tcW w:w="260" w:type="dxa"/>
            <w:vAlign w:val="bottom"/>
            <w:tcBorders>
              <w:top w:val="single" w:sz="8" w:color="0000EE"/>
            </w:tcBorders>
            <w:gridSpan w:val="3"/>
          </w:tcPr>
          <w:p>
            <w:pPr>
              <w:spacing w:after="0"/>
              <w:rPr>
                <w:sz w:val="17"/>
                <w:szCs w:val="17"/>
                <w:color w:val="auto"/>
              </w:rPr>
            </w:pPr>
          </w:p>
        </w:tc>
        <w:tc>
          <w:tcPr>
            <w:tcW w:w="622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32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HOUSEHOLDING OF ANNUAL MEETING MATERIALS</w:t>
              </w:r>
            </w:hyperlink>
          </w:p>
        </w:tc>
        <w:tc>
          <w:tcPr>
            <w:tcW w:w="5960" w:type="dxa"/>
            <w:vAlign w:val="bottom"/>
            <w:gridSpan w:val="1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280" w:type="dxa"/>
            <w:vAlign w:val="bottom"/>
            <w:gridSpan w:val="4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SECURITY OWNERSHIP OF CERTAIN BENEFICIAL OWNERS AND MANAGEMENT</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656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SECTION 16(A) BENEFICIAL OWNERSHIP REPORTING COMPLIANCE</w:t>
              </w:r>
            </w:hyperlink>
          </w:p>
        </w:tc>
        <w:tc>
          <w:tcPr>
            <w:tcW w:w="372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PROPOSAL 1 — ELECTION OF DIRECTORS</w:t>
              </w:r>
            </w:hyperlink>
          </w:p>
        </w:tc>
        <w:tc>
          <w:tcPr>
            <w:tcW w:w="2100" w:type="dxa"/>
            <w:vAlign w:val="bottom"/>
            <w:tcBorders>
              <w:top w:val="single" w:sz="8" w:color="0000EE"/>
            </w:tcBorders>
            <w:gridSpan w:val="17"/>
          </w:tcPr>
          <w:p>
            <w:pPr>
              <w:spacing w:after="0"/>
              <w:rPr>
                <w:sz w:val="17"/>
                <w:szCs w:val="17"/>
                <w:color w:val="auto"/>
              </w:rPr>
            </w:pPr>
          </w:p>
        </w:tc>
        <w:tc>
          <w:tcPr>
            <w:tcW w:w="474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280" w:type="dxa"/>
            <w:vAlign w:val="bottom"/>
            <w:gridSpan w:val="4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CORPORATE GOVERNANCE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General</w:t>
              </w:r>
            </w:hyperlink>
          </w:p>
        </w:tc>
        <w:tc>
          <w:tcPr>
            <w:tcW w:w="1280" w:type="dxa"/>
            <w:vAlign w:val="bottom"/>
            <w:tcBorders>
              <w:top w:val="single" w:sz="8" w:color="0000EE"/>
            </w:tcBorders>
            <w:gridSpan w:val="7"/>
          </w:tcPr>
          <w:p>
            <w:pPr>
              <w:spacing w:after="0"/>
              <w:rPr>
                <w:sz w:val="17"/>
                <w:szCs w:val="17"/>
                <w:color w:val="auto"/>
              </w:rPr>
            </w:pPr>
          </w:p>
        </w:tc>
        <w:tc>
          <w:tcPr>
            <w:tcW w:w="8000" w:type="dxa"/>
            <w:vAlign w:val="bottom"/>
            <w:gridSpan w:val="3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Determination of Independence</w:t>
              </w:r>
            </w:hyperlink>
          </w:p>
        </w:tc>
        <w:tc>
          <w:tcPr>
            <w:tcW w:w="7620" w:type="dxa"/>
            <w:vAlign w:val="bottom"/>
            <w:gridSpan w:val="3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Director Candidates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Communications from Shareholders and Other Interested Parties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spacing w:after="0"/>
              <w:rPr>
                <w:sz w:val="17"/>
                <w:szCs w:val="17"/>
                <w:color w:val="auto"/>
              </w:rPr>
            </w:pPr>
          </w:p>
        </w:tc>
        <w:tc>
          <w:tcPr>
            <w:tcW w:w="45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Board of Directors Leadership Structure</w:t>
              </w:r>
            </w:hyperlink>
          </w:p>
        </w:tc>
        <w:tc>
          <w:tcPr>
            <w:tcW w:w="530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Board of Directors Meetings and Committees</w:t>
              </w:r>
            </w:hyperlink>
          </w:p>
        </w:tc>
        <w:tc>
          <w:tcPr>
            <w:tcW w:w="6640" w:type="dxa"/>
            <w:vAlign w:val="bottom"/>
            <w:gridSpan w:val="2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The Board of Directors’ Role in Risk Oversight</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Report of the Audit Committee</w:t>
              </w:r>
            </w:hyperlink>
          </w:p>
        </w:tc>
        <w:tc>
          <w:tcPr>
            <w:tcW w:w="1140" w:type="dxa"/>
            <w:vAlign w:val="bottom"/>
            <w:tcBorders>
              <w:top w:val="single" w:sz="8" w:color="0000EE"/>
            </w:tcBorders>
            <w:gridSpan w:val="12"/>
          </w:tcPr>
          <w:p>
            <w:pPr>
              <w:spacing w:after="0"/>
              <w:rPr>
                <w:sz w:val="17"/>
                <w:szCs w:val="17"/>
                <w:color w:val="auto"/>
              </w:rPr>
            </w:pPr>
          </w:p>
        </w:tc>
        <w:tc>
          <w:tcPr>
            <w:tcW w:w="6500" w:type="dxa"/>
            <w:vAlign w:val="bottom"/>
            <w:gridSpan w:val="2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Independent Registered Public Accounting Firm Fees and Other Matters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Director Compensation</w:t>
              </w:r>
            </w:hyperlink>
          </w:p>
        </w:tc>
        <w:tc>
          <w:tcPr>
            <w:tcW w:w="3440" w:type="dxa"/>
            <w:vAlign w:val="bottom"/>
            <w:tcBorders>
              <w:top w:val="single" w:sz="8" w:color="0000EE"/>
            </w:tcBorders>
            <w:gridSpan w:val="27"/>
          </w:tcPr>
          <w:p>
            <w:pPr>
              <w:spacing w:after="0"/>
              <w:rPr>
                <w:sz w:val="17"/>
                <w:szCs w:val="17"/>
                <w:color w:val="auto"/>
              </w:rPr>
            </w:pPr>
          </w:p>
        </w:tc>
        <w:tc>
          <w:tcPr>
            <w:tcW w:w="476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360" w:type="dxa"/>
            <w:vAlign w:val="bottom"/>
            <w:gridSpan w:val="16"/>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80" w:type="dxa"/>
            <w:vAlign w:val="bottom"/>
            <w:gridSpan w:val="4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PROPOSAL 2 — ADVISORY VOTE ON THE COMPENSATION OF OUR NAMED EXECUTIVE OFFICERS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30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INFORMATION ABOUT EXECUTIVE COMPENSATION</w:t>
              </w:r>
            </w:hyperlink>
          </w:p>
        </w:tc>
        <w:tc>
          <w:tcPr>
            <w:tcW w:w="3740" w:type="dxa"/>
            <w:vAlign w:val="bottom"/>
            <w:tcBorders>
              <w:top w:val="single" w:sz="8" w:color="0000EE"/>
            </w:tcBorders>
            <w:gridSpan w:val="12"/>
          </w:tcPr>
          <w:p>
            <w:pPr>
              <w:spacing w:after="0"/>
              <w:rPr>
                <w:sz w:val="17"/>
                <w:szCs w:val="17"/>
                <w:color w:val="auto"/>
              </w:rPr>
            </w:pPr>
          </w:p>
        </w:tc>
        <w:tc>
          <w:tcPr>
            <w:tcW w:w="224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9840" w:type="dxa"/>
            <w:vAlign w:val="bottom"/>
            <w:gridSpan w:val="4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Compensation Discussion and Analysis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60" w:type="dxa"/>
            <w:vAlign w:val="bottom"/>
            <w:gridSpan w:val="16"/>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20" w:type="dxa"/>
            <w:vAlign w:val="bottom"/>
            <w:gridSpan w:val="4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Compensation Processes and Philosophy</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20"/>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20" w:type="dxa"/>
            <w:vAlign w:val="bottom"/>
            <w:gridSpan w:val="4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Components of Executive Compensation</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Chief Executive Officer Compensation</w:t>
              </w:r>
            </w:hyperlink>
          </w:p>
        </w:tc>
        <w:tc>
          <w:tcPr>
            <w:tcW w:w="120" w:type="dxa"/>
            <w:vAlign w:val="bottom"/>
            <w:tcBorders>
              <w:top w:val="single" w:sz="8" w:color="0000EE"/>
            </w:tcBorders>
            <w:gridSpan w:val="2"/>
          </w:tcPr>
          <w:p>
            <w:pPr>
              <w:spacing w:after="0"/>
              <w:rPr>
                <w:sz w:val="17"/>
                <w:szCs w:val="17"/>
                <w:color w:val="auto"/>
              </w:rPr>
            </w:pPr>
          </w:p>
        </w:tc>
        <w:tc>
          <w:tcPr>
            <w:tcW w:w="654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20" w:type="dxa"/>
            <w:vAlign w:val="bottom"/>
            <w:gridSpan w:val="4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Compensation for Other Named Executive Officers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Severance, Retention and Change in Control Benefits</w:t>
              </w:r>
            </w:hyperlink>
          </w:p>
        </w:tc>
        <w:tc>
          <w:tcPr>
            <w:tcW w:w="4540" w:type="dxa"/>
            <w:vAlign w:val="bottom"/>
            <w:gridSpan w:val="5"/>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830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Equity Award Grant Date Policy</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Tax and Accounting Considerations</w:t>
              </w:r>
            </w:hyperlink>
          </w:p>
        </w:tc>
        <w:tc>
          <w:tcPr>
            <w:tcW w:w="5780" w:type="dxa"/>
            <w:vAlign w:val="bottom"/>
            <w:gridSpan w:val="10"/>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Risk Considerations in Our Compensation Program</w:t>
              </w:r>
            </w:hyperlink>
          </w:p>
        </w:tc>
        <w:tc>
          <w:tcPr>
            <w:tcW w:w="4680" w:type="dxa"/>
            <w:vAlign w:val="bottom"/>
            <w:gridSpan w:val="7"/>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Summary Compensation</w:t>
              </w:r>
            </w:hyperlink>
          </w:p>
        </w:tc>
        <w:tc>
          <w:tcPr>
            <w:tcW w:w="6560" w:type="dxa"/>
            <w:vAlign w:val="bottom"/>
            <w:gridSpan w:val="15"/>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Grants of Plan-Based Awards in Fiscal 2017</w:t>
              </w:r>
            </w:hyperlink>
          </w:p>
        </w:tc>
        <w:tc>
          <w:tcPr>
            <w:tcW w:w="5180" w:type="dxa"/>
            <w:vAlign w:val="bottom"/>
            <w:gridSpan w:val="8"/>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Outstanding Equity Awards at Fiscal Year-End 2017</w:t>
              </w:r>
            </w:hyperlink>
          </w:p>
        </w:tc>
        <w:tc>
          <w:tcPr>
            <w:tcW w:w="4620" w:type="dxa"/>
            <w:vAlign w:val="bottom"/>
            <w:gridSpan w:val="6"/>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Option Exercises and Stock Vested During Fiscal 2017</w:t>
              </w:r>
            </w:hyperlink>
          </w:p>
        </w:tc>
        <w:tc>
          <w:tcPr>
            <w:tcW w:w="4440" w:type="dxa"/>
            <w:vAlign w:val="bottom"/>
            <w:gridSpan w:val="4"/>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440" w:type="dxa"/>
            <w:vAlign w:val="bottom"/>
          </w:tcPr>
          <w:p>
            <w:pPr>
              <w:spacing w:after="0"/>
              <w:rPr>
                <w:sz w:val="17"/>
                <w:szCs w:val="17"/>
                <w:color w:val="auto"/>
              </w:rPr>
            </w:pPr>
          </w:p>
        </w:tc>
        <w:tc>
          <w:tcPr>
            <w:tcW w:w="830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Non-Qualified Deferred Compensation Plan</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44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Change in Control Benefits</w:t>
              </w:r>
            </w:hyperlink>
          </w:p>
        </w:tc>
        <w:tc>
          <w:tcPr>
            <w:tcW w:w="5200" w:type="dxa"/>
            <w:vAlign w:val="bottom"/>
            <w:gridSpan w:val="9"/>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40" w:type="dxa"/>
            <w:vAlign w:val="bottom"/>
          </w:tcPr>
          <w:p>
            <w:pPr>
              <w:spacing w:after="0"/>
              <w:rPr>
                <w:sz w:val="17"/>
                <w:szCs w:val="17"/>
                <w:color w:val="auto"/>
              </w:rPr>
            </w:pPr>
          </w:p>
        </w:tc>
        <w:tc>
          <w:tcPr>
            <w:tcW w:w="19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Severance Benefits</w:t>
              </w:r>
            </w:hyperlink>
          </w:p>
        </w:tc>
        <w:tc>
          <w:tcPr>
            <w:tcW w:w="6380" w:type="dxa"/>
            <w:vAlign w:val="bottom"/>
            <w:gridSpan w:val="14"/>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Potential Payments Upon Termination or Change in Control</w:t>
              </w:r>
            </w:hyperlink>
          </w:p>
        </w:tc>
        <w:tc>
          <w:tcPr>
            <w:tcW w:w="4080" w:type="dxa"/>
            <w:vAlign w:val="bottom"/>
            <w:gridSpan w:val="3"/>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440" w:type="dxa"/>
            <w:vAlign w:val="bottom"/>
          </w:tcPr>
          <w:p>
            <w:pPr>
              <w:spacing w:after="0"/>
              <w:rPr>
                <w:sz w:val="17"/>
                <w:szCs w:val="17"/>
                <w:color w:val="auto"/>
              </w:rPr>
            </w:pPr>
          </w:p>
        </w:tc>
        <w:tc>
          <w:tcPr>
            <w:tcW w:w="830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Equity Award Program Description</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9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Securities Authorized for Issuance Under Equity Compensation Plans</w:t>
              </w:r>
            </w:hyperlink>
          </w:p>
        </w:tc>
        <w:tc>
          <w:tcPr>
            <w:tcW w:w="340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440" w:type="dxa"/>
            <w:vAlign w:val="bottom"/>
          </w:tcPr>
          <w:p>
            <w:pPr>
              <w:spacing w:after="0"/>
              <w:rPr>
                <w:sz w:val="17"/>
                <w:szCs w:val="17"/>
                <w:color w:val="auto"/>
              </w:rPr>
            </w:pPr>
          </w:p>
        </w:tc>
        <w:tc>
          <w:tcPr>
            <w:tcW w:w="830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Compensation Committee Interlocks and Insider Participation</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Compensation Committee Report</w:t>
              </w:r>
            </w:hyperlink>
          </w:p>
        </w:tc>
        <w:tc>
          <w:tcPr>
            <w:tcW w:w="1980" w:type="dxa"/>
            <w:vAlign w:val="bottom"/>
            <w:tcBorders>
              <w:top w:val="single" w:sz="8" w:color="0000EE"/>
            </w:tcBorders>
            <w:gridSpan w:val="10"/>
          </w:tcPr>
          <w:p>
            <w:pPr>
              <w:spacing w:after="0"/>
              <w:rPr>
                <w:sz w:val="17"/>
                <w:szCs w:val="17"/>
                <w:color w:val="auto"/>
              </w:rPr>
            </w:pPr>
          </w:p>
        </w:tc>
        <w:tc>
          <w:tcPr>
            <w:tcW w:w="3960" w:type="dxa"/>
            <w:vAlign w:val="bottom"/>
            <w:gridSpan w:val="2"/>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87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PROPOSAL 3 — RATIFICATION OF SELECTION OF INDEPENDENT REGISTERED PUBLIC ACCOUNTING FIRM</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OTHER MATTERS</w:t>
              </w:r>
            </w:hyperlink>
          </w:p>
        </w:tc>
        <w:tc>
          <w:tcPr>
            <w:tcW w:w="7300" w:type="dxa"/>
            <w:vAlign w:val="bottom"/>
            <w:gridSpan w:val="18"/>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ELECTRONIC VOTING</w:t>
              </w:r>
            </w:hyperlink>
          </w:p>
        </w:tc>
        <w:tc>
          <w:tcPr>
            <w:tcW w:w="6920" w:type="dxa"/>
            <w:vAlign w:val="bottom"/>
            <w:gridSpan w:val="16"/>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8740" w:type="dxa"/>
            <w:vAlign w:val="bottom"/>
            <w:gridSpan w:val="2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APPENDIX A</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firstLine="441"/>
        <w:spacing w:after="0" w:line="306" w:lineRule="auto"/>
        <w:rPr>
          <w:sz w:val="20"/>
          <w:szCs w:val="20"/>
          <w:color w:val="auto"/>
        </w:rPr>
      </w:pPr>
      <w:r>
        <w:rPr>
          <w:rFonts w:ascii="Arial" w:cs="Arial" w:eastAsia="Arial" w:hAnsi="Arial"/>
          <w:sz w:val="15"/>
          <w:szCs w:val="15"/>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expected benefits and synergies of the acquisition of Linear Technology Corporation, including expected growth rates of the combined companies and expected product offerings, product development, marketing position and technical advances resulting from the transaction; our future market position and expected competitive changes in the marketplace for our products;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most recent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PROXY STATEMENT FOR ANNUAL MEETING OF SHAREHOLDERS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i w:val="1"/>
          <w:iCs w:val="1"/>
          <w:color w:val="auto"/>
        </w:rPr>
        <w:t>March 14, 2018</w:t>
      </w:r>
    </w:p>
    <w:p>
      <w:pPr>
        <w:spacing w:after="0" w:line="165"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This proxy statement contains information about the 2018 Annual Meeting of Shareholders, or Annual Meeting, of Analog Devices, Inc. The Annual Meeting will be held on Wednesday, March 14, 2018, at 9:00 a.m. local time, at our offices at 125 Summer Street, Boston, Massachusetts 02110. You may obtain directions to the location of the Annual Meeting by visiting our website at www.analog.com or by contacting our Investor Relations Department at Analog Devices, Inc., One Technology Way, Norwood, Massachusetts 02062; telephone: 781-461-3282.</w:t>
      </w:r>
    </w:p>
    <w:p>
      <w:pPr>
        <w:spacing w:after="0" w:line="113"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We are furnishing this proxy statement to you in connection with the solicitation of proxies by the Board of Directors of Analog Devices, Inc. (which we also refer to as Analog Devices, ADI, or the Company) for use at the Annual Meeting and at any adjournment, postponement, continuation or rescheduling of the meeting. All proxies will be voted in accordance with the instructions they contain. If you do not specify your voting instructions on the proxy that you submit for the Annual Meeting, it will be voted in accordance with the recommendation of the Board of Directors. You may revoke your proxy at any time before it is exercised at the Annual Meeting by giving our Secretary written notice to that effect.</w:t>
      </w:r>
    </w:p>
    <w:p>
      <w:pPr>
        <w:spacing w:after="0" w:line="11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are providing access to our proxy materials over the Internet under the U.S. Securities and Exchange Commission’s “notice and access” rules. As a result, we are mailing to our shareholders a Notice of Internet Availability of Proxy Materials, or Notice, on or about January 26, 2018, and it contains instructions on how to access this proxy statement and our Annual Report for the fiscal year ended October 28, 2017, or our 2017 Annual Report, over the Internet. The Notice also contains instructions on how each of our shareholders can receive a paper copy of our proxy materials, including this proxy statement, our 2017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11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Meeting of Shareholders to be Held on March 14, 2018:</w:t>
      </w:r>
    </w:p>
    <w:p>
      <w:pPr>
        <w:spacing w:after="0" w:line="159" w:lineRule="exact"/>
        <w:rPr>
          <w:sz w:val="20"/>
          <w:szCs w:val="20"/>
          <w:color w:val="auto"/>
        </w:rPr>
      </w:pPr>
    </w:p>
    <w:p>
      <w:pPr>
        <w:ind w:left="200" w:right="1420" w:firstLine="441"/>
        <w:spacing w:after="0" w:line="275" w:lineRule="auto"/>
        <w:rPr>
          <w:sz w:val="20"/>
          <w:szCs w:val="20"/>
          <w:color w:val="auto"/>
        </w:rPr>
      </w:pPr>
      <w:r>
        <w:rPr>
          <w:rFonts w:ascii="Arial" w:cs="Arial" w:eastAsia="Arial" w:hAnsi="Arial"/>
          <w:sz w:val="18"/>
          <w:szCs w:val="18"/>
          <w:b w:val="1"/>
          <w:bCs w:val="1"/>
          <w:color w:val="auto"/>
        </w:rPr>
        <w:t>This proxy statement and the 2017 Annual Report to Shareholders are available for viewing, printing and downloading at www.analog.com/AnnualMeeting.</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HIGHLIGHTS</w:t>
      </w:r>
    </w:p>
    <w:p>
      <w:pPr>
        <w:spacing w:after="0" w:line="177"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that you should consider and you should read the entire proxy statement before voting. For more information on the 2017 financial and operating performance of the Company, please review the Company’s Annual Report on Form 10-K for the year ended October 28, 2017 that was filed with the U.S. Securities and Exchange Commission on November 22, 2017.</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Annual Meeting of Shareholders</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Place:</w:t>
      </w: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9:00 a.m. local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Offices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 Summer Street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02110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January 8, 2018</w:t>
      </w:r>
    </w:p>
    <w:p>
      <w:pPr>
        <w:spacing w:after="0" w:line="138" w:lineRule="exact"/>
        <w:rPr>
          <w:sz w:val="20"/>
          <w:szCs w:val="20"/>
          <w:color w:val="auto"/>
        </w:rPr>
      </w:pPr>
    </w:p>
    <w:p>
      <w:pPr>
        <w:sectPr>
          <w:pgSz w:w="11900" w:h="16838" w:orient="portrait"/>
          <w:cols w:equalWidth="0" w:num="2">
            <w:col w:w="1200" w:space="660"/>
            <w:col w:w="938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Agenda Item</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5"/>
              </w:rPr>
              <w:t>Board Vote</w:t>
            </w:r>
          </w:p>
        </w:tc>
        <w:tc>
          <w:tcPr>
            <w:tcW w:w="2040" w:type="dxa"/>
            <w:vAlign w:val="bottom"/>
            <w:gridSpan w:val="2"/>
          </w:tcPr>
          <w:p>
            <w:pPr>
              <w:jc w:val="center"/>
              <w:ind w:left="799"/>
              <w:spacing w:after="0"/>
              <w:rPr>
                <w:sz w:val="20"/>
                <w:szCs w:val="20"/>
                <w:color w:val="auto"/>
              </w:rPr>
            </w:pPr>
            <w:r>
              <w:rPr>
                <w:rFonts w:ascii="Arial" w:cs="Arial" w:eastAsia="Arial" w:hAnsi="Arial"/>
                <w:sz w:val="14"/>
                <w:szCs w:val="14"/>
                <w:b w:val="1"/>
                <w:bCs w:val="1"/>
                <w:color w:val="auto"/>
                <w:w w:val="85"/>
              </w:rPr>
              <w:t>Page Reference For</w:t>
            </w:r>
          </w:p>
        </w:tc>
        <w:tc>
          <w:tcPr>
            <w:tcW w:w="0" w:type="dxa"/>
            <w:vAlign w:val="bottom"/>
          </w:tcPr>
          <w:p>
            <w:pPr>
              <w:spacing w:after="0"/>
              <w:rPr>
                <w:sz w:val="1"/>
                <w:szCs w:val="1"/>
                <w:color w:val="auto"/>
              </w:rPr>
            </w:pPr>
          </w:p>
        </w:tc>
      </w:tr>
      <w:tr>
        <w:trPr>
          <w:trHeight w:val="148"/>
        </w:trPr>
        <w:tc>
          <w:tcPr>
            <w:tcW w:w="6980" w:type="dxa"/>
            <w:vAlign w:val="bottom"/>
            <w:gridSpan w:val="3"/>
            <w:vMerge w:val="continue"/>
          </w:tcPr>
          <w:p>
            <w:pPr>
              <w:spacing w:after="0"/>
              <w:rPr>
                <w:sz w:val="12"/>
                <w:szCs w:val="12"/>
                <w:color w:val="auto"/>
              </w:rPr>
            </w:pPr>
          </w:p>
        </w:tc>
        <w:tc>
          <w:tcPr>
            <w:tcW w:w="2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Recommendation</w:t>
            </w:r>
          </w:p>
        </w:tc>
        <w:tc>
          <w:tcPr>
            <w:tcW w:w="90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More Information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Proposal 1: Election of Nine Directors</w:t>
            </w:r>
          </w:p>
        </w:tc>
        <w:tc>
          <w:tcPr>
            <w:tcW w:w="20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FOR each director nominee</w:t>
            </w: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Proposal 2: Advisory Approval of the Compensation of the Company’s Named</w:t>
            </w: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Executive Officers</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2040" w:type="dxa"/>
            <w:vAlign w:val="bottom"/>
            <w:gridSpan w:val="2"/>
          </w:tcPr>
          <w:p>
            <w:pPr>
              <w:jc w:val="center"/>
              <w:ind w:left="779"/>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Proposal 3: Ratification of the Selection of Ernst &amp; Young LLP as Independent</w:t>
            </w:r>
          </w:p>
        </w:tc>
        <w:tc>
          <w:tcPr>
            <w:tcW w:w="2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Registered Public Accounting Firm for the Company’s Fiscal Year Ending</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November 3, 2018</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w:t>
            </w:r>
          </w:p>
        </w:tc>
        <w:tc>
          <w:tcPr>
            <w:tcW w:w="2040" w:type="dxa"/>
            <w:vAlign w:val="bottom"/>
            <w:gridSpan w:val="2"/>
            <w:shd w:val="clear" w:color="auto" w:fill="CCEEFF"/>
          </w:tcPr>
          <w:p>
            <w:pPr>
              <w:jc w:val="center"/>
              <w:ind w:left="779"/>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STRATEGY AND FISCAL 2017 BUSINESS HIGHLIGHTS</w:t>
      </w:r>
    </w:p>
    <w:p>
      <w:pPr>
        <w:spacing w:after="0" w:line="15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are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Our strategy is to focus on challenges that our customers have in applications that matter the most, helping them to grow and adapt their offerings in complex and evolving markets. Our focus is largely on the business-to-business (B2B) markets of industrial, automotive and communications and their applications, as well as a few selected consumer applications, with the goal of driving sustainable and profitable growth for Analog Devices over the long-term. Our superior innovation and the acquisition of Linear Technology Corporation, which we refer to as Linear Technology, this past year broadened our technology base, which will help us deliver more value to our customers and position us for long-term profitable growth.</w:t>
      </w:r>
    </w:p>
    <w:p>
      <w:pPr>
        <w:spacing w:after="0" w:line="91" w:lineRule="exact"/>
        <w:rPr>
          <w:sz w:val="20"/>
          <w:szCs w:val="20"/>
          <w:color w:val="auto"/>
        </w:rPr>
      </w:pPr>
    </w:p>
    <w:p>
      <w:pPr>
        <w:ind w:left="200" w:right="220" w:firstLine="441"/>
        <w:spacing w:after="0" w:line="298" w:lineRule="auto"/>
        <w:rPr>
          <w:sz w:val="20"/>
          <w:szCs w:val="20"/>
          <w:color w:val="auto"/>
        </w:rPr>
      </w:pPr>
      <w:r>
        <w:rPr>
          <w:rFonts w:ascii="Arial" w:cs="Arial" w:eastAsia="Arial" w:hAnsi="Arial"/>
          <w:sz w:val="16"/>
          <w:szCs w:val="16"/>
          <w:color w:val="auto"/>
        </w:rPr>
        <w:t>Our fiscal year ended October 28, 2017, or fiscal 2017, was a year of strong execution for Analog Devices. Our senior leadership team continued to focus on our business philosophy, which centers on the achievement of superior financial performance; superior innovation; and diversity of products, applications and customers. The following fiscal 2017 financial, strategic and operational accomplishments reinforce our commitment to these priorities, which we believe drive long-term profitable growth, free cash flow generation and shareholder returns.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2017 Financial Accomplishments</w:t>
      </w:r>
      <w:r>
        <w:rPr>
          <w:rFonts w:ascii="Arial" w:cs="Arial" w:eastAsia="Arial" w:hAnsi="Arial"/>
          <w:sz w:val="11"/>
          <w:szCs w:val="11"/>
          <w:b w:val="1"/>
          <w:bCs w:val="1"/>
          <w:color w:val="auto"/>
        </w:rPr>
        <w:t>1</w:t>
      </w:r>
    </w:p>
    <w:p>
      <w:pPr>
        <w:spacing w:after="0" w:line="96"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revenue of $5.1 billion, up 49% year-over-year; Non-GAAP revenue of $5.2 billion, up 52% year-over-year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gross margins of 59.9%; Non-GAAP gross margins of 69.5%</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operating margins of 20.7%; Non-GAAP operating margins of 39.5%</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diluted earnings per share of $2.07; Non-GAAP diluted earnings per share of $4.72</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also returned approximately $602 million to shareholders in the form of dividends and increased our dividends per share paid to shareholders by</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2017 Strategic Accomplishments</w:t>
      </w:r>
    </w:p>
    <w:p>
      <w:pPr>
        <w:spacing w:after="0" w:line="9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to achieving excellent financial results, in fiscal 2017 we completed our acquisition of Linear Technology, a leading manufacturer of high performance analog integrated circuits with highly complementary products and customers. Our combined company has a top two market share position across all the key building blocks of the analog market, namely: data converters, power management, amplifiers, interface and high-performance RF and microwave.</w:t>
      </w:r>
      <w:r>
        <w:rPr>
          <w:rFonts w:ascii="Arial" w:cs="Arial" w:eastAsia="Arial" w:hAnsi="Arial"/>
          <w:sz w:val="11"/>
          <w:szCs w:val="11"/>
          <w:color w:val="auto"/>
        </w:rPr>
        <w:t>2</w:t>
      </w:r>
      <w:r>
        <w:rPr>
          <w:rFonts w:ascii="Arial" w:cs="Arial" w:eastAsia="Arial" w:hAnsi="Arial"/>
          <w:sz w:val="18"/>
          <w:szCs w:val="18"/>
          <w:color w:val="auto"/>
        </w:rPr>
        <w:t xml:space="preserve"> In addition, we believe that our wide portfolio of products continues to deliver more value to our customers and positions us for long-term profitable growth.</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HIGHLIGHTS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Compensation Actions for Fiscal 2017</w:t>
      </w:r>
    </w:p>
    <w:p>
      <w:pPr>
        <w:spacing w:after="0" w:line="96" w:lineRule="exact"/>
        <w:rPr>
          <w:sz w:val="20"/>
          <w:szCs w:val="20"/>
          <w:color w:val="auto"/>
        </w:rPr>
      </w:pPr>
    </w:p>
    <w:p>
      <w:pPr>
        <w:ind w:left="200" w:right="180" w:firstLine="441"/>
        <w:spacing w:after="0" w:line="298" w:lineRule="auto"/>
        <w:rPr>
          <w:sz w:val="20"/>
          <w:szCs w:val="20"/>
          <w:color w:val="auto"/>
        </w:rPr>
      </w:pPr>
      <w:r>
        <w:rPr>
          <w:rFonts w:ascii="Arial" w:cs="Arial" w:eastAsia="Arial" w:hAnsi="Arial"/>
          <w:sz w:val="16"/>
          <w:szCs w:val="16"/>
          <w:color w:val="auto"/>
        </w:rPr>
        <w:t>Each year, ADI’s Compensation Committee reviews our executive compensation program’s components, targets and payouts to ensure that our pay practices remain competitive and aligned with our performance goals. Our performance is evaluated against short- and long-term goals that support our business strategy and the creation of sustainable long-term shareholder value. These items are described in more detail beginning on page 36 of this proxy statement. With respect to our fiscal 2017 executive compensation program, we did the following:</w:t>
      </w:r>
    </w:p>
    <w:p>
      <w:pPr>
        <w:spacing w:after="0" w:line="26" w:lineRule="exact"/>
        <w:rPr>
          <w:sz w:val="20"/>
          <w:szCs w:val="20"/>
          <w:color w:val="auto"/>
        </w:rPr>
      </w:pPr>
    </w:p>
    <w:p>
      <w:pPr>
        <w:ind w:left="1060" w:hanging="316"/>
        <w:spacing w:after="0" w:line="301"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Granted Linear Technology integration performance-based equity awards. </w:t>
      </w:r>
      <w:r>
        <w:rPr>
          <w:rFonts w:ascii="Arial" w:cs="Arial" w:eastAsia="Arial" w:hAnsi="Arial"/>
          <w:sz w:val="16"/>
          <w:szCs w:val="16"/>
          <w:color w:val="auto"/>
        </w:rPr>
        <w:t>To promote the successful integration of Linear Technology and</w:t>
      </w:r>
      <w:r>
        <w:rPr>
          <w:rFonts w:ascii="Arial" w:cs="Arial" w:eastAsia="Arial" w:hAnsi="Arial"/>
          <w:sz w:val="16"/>
          <w:szCs w:val="16"/>
          <w:b w:val="1"/>
          <w:bCs w:val="1"/>
          <w:color w:val="auto"/>
        </w:rPr>
        <w:t xml:space="preserve"> </w:t>
      </w:r>
      <w:r>
        <w:rPr>
          <w:rFonts w:ascii="Arial" w:cs="Arial" w:eastAsia="Arial" w:hAnsi="Arial"/>
          <w:sz w:val="16"/>
          <w:szCs w:val="16"/>
          <w:color w:val="auto"/>
        </w:rPr>
        <w:t>encourage the achievement of the Company’s synergy targets, the Compensation Committee awarded Linear Technology integration performance-based restricted stock units, or Linear Integration PRSUs, to members of the Company’s senior executive team, other than our Chief Executive Officer. See page 45 of this proxy statement for more information about the Linear Integration PRSUs.</w:t>
      </w:r>
    </w:p>
    <w:p>
      <w:pPr>
        <w:spacing w:after="0" w:line="22" w:lineRule="exact"/>
        <w:rPr>
          <w:rFonts w:ascii="Arial" w:cs="Arial" w:eastAsia="Arial" w:hAnsi="Arial"/>
          <w:sz w:val="16"/>
          <w:szCs w:val="16"/>
          <w:color w:val="auto"/>
        </w:rPr>
      </w:pPr>
    </w:p>
    <w:p>
      <w:pPr>
        <w:ind w:left="1060" w:right="80" w:hanging="316"/>
        <w:spacing w:after="0" w:line="320" w:lineRule="auto"/>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Maintained challenging performance objectives for our variable cash incentive bonus plan. </w:t>
      </w:r>
      <w:r>
        <w:rPr>
          <w:rFonts w:ascii="Arial" w:cs="Arial" w:eastAsia="Arial" w:hAnsi="Arial"/>
          <w:sz w:val="15"/>
          <w:szCs w:val="15"/>
          <w:color w:val="auto"/>
        </w:rPr>
        <w:t>The Compensation Committee approved</w:t>
      </w:r>
      <w:r>
        <w:rPr>
          <w:rFonts w:ascii="Arial" w:cs="Arial" w:eastAsia="Arial" w:hAnsi="Arial"/>
          <w:sz w:val="15"/>
          <w:szCs w:val="15"/>
          <w:b w:val="1"/>
          <w:bCs w:val="1"/>
          <w:color w:val="auto"/>
        </w:rPr>
        <w:t xml:space="preserve"> </w:t>
      </w:r>
      <w:r>
        <w:rPr>
          <w:rFonts w:ascii="Arial" w:cs="Arial" w:eastAsia="Arial" w:hAnsi="Arial"/>
          <w:sz w:val="15"/>
          <w:szCs w:val="15"/>
          <w:color w:val="auto"/>
        </w:rPr>
        <w:t>challenging performance objectives for our variable cash incentive bonus plan based on our achievement of operating profit before taxes as a percentage of revenue, or OPBT margin, and year-over-year revenue growth, which are measured quarterly. Bonuses paid under our variable cash incentive bonus plan are paid to executives and eligible employees semi-annually. These financial performance objectives for our variable cash incentive bonus plan are established at the beginning of our fiscal year and align with our operating, financial and strategic objectives.</w:t>
      </w:r>
    </w:p>
    <w:p>
      <w:pPr>
        <w:spacing w:after="0" w:line="11" w:lineRule="exact"/>
        <w:rPr>
          <w:rFonts w:ascii="Arial" w:cs="Arial" w:eastAsia="Arial" w:hAnsi="Arial"/>
          <w:sz w:val="15"/>
          <w:szCs w:val="15"/>
          <w:color w:val="auto"/>
        </w:rPr>
      </w:pPr>
    </w:p>
    <w:p>
      <w:pPr>
        <w:ind w:left="1060" w:right="120" w:hanging="316"/>
        <w:spacing w:after="0" w:line="262"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Designed equity awards to align executives’ interests with those of the Company and our shareholders. </w:t>
      </w:r>
      <w:r>
        <w:rPr>
          <w:rFonts w:ascii="Arial" w:cs="Arial" w:eastAsia="Arial" w:hAnsi="Arial"/>
          <w:sz w:val="18"/>
          <w:szCs w:val="18"/>
          <w:color w:val="auto"/>
        </w:rPr>
        <w:t>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performance-based restricted stock units, time-based restricted stock units and stock options, which together are designed to align the executives’ interests with the Company’s and our shareholders’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59055</wp:posOffset>
            </wp:positionV>
            <wp:extent cx="694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 w:lineRule="exact"/>
        <w:rPr>
          <w:sz w:val="20"/>
          <w:szCs w:val="20"/>
          <w:color w:val="auto"/>
        </w:rPr>
      </w:pPr>
    </w:p>
    <w:p>
      <w:pPr>
        <w:ind w:left="320" w:hanging="116"/>
        <w:spacing w:after="0"/>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See Appendix A for additional information regarding non-GAAP financial measures and reconciliations of non-GAAP financial measures to their most directly comparable GAAP financial measures.</w:t>
      </w:r>
    </w:p>
    <w:p>
      <w:pPr>
        <w:spacing w:after="0" w:line="8" w:lineRule="exact"/>
        <w:rPr>
          <w:sz w:val="20"/>
          <w:szCs w:val="20"/>
          <w:color w:val="auto"/>
        </w:rPr>
      </w:pPr>
    </w:p>
    <w:p>
      <w:pPr>
        <w:ind w:left="320" w:hanging="116"/>
        <w:spacing w:after="0" w:line="186" w:lineRule="auto"/>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Data based on Gartner reports and Company estimates based on fiscal 2015 and fiscal 2016 data. RF/microwave is based on Company estimates and excludes consumer and cellular infrastructure power amplifiers.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91"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Updated the peer group used for executive compensation decisions. </w:t>
      </w:r>
      <w:r>
        <w:rPr>
          <w:rFonts w:ascii="Arial" w:cs="Arial" w:eastAsia="Arial" w:hAnsi="Arial"/>
          <w:sz w:val="16"/>
          <w:szCs w:val="16"/>
          <w:color w:val="auto"/>
        </w:rPr>
        <w:t>After the closing of the Company’s acquisition of Linear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which substantially increased the Company’s size and complexity, the Compensation Committee approved an updated peer group that includes additional semiconductor companies outside of our historic peer group, as well as companies outside of the semiconductor industry. These additional companies are similar in size and have similar gross margins and research and development spend as the Company, including peers of peers and peers of other companies in our sector. The Compensation Committee used this updated peer group and associated market data in support of the compensation decisions for the Company’s executive officers in fiscal 2017, including base salary, cash incentive bonus award targets and long-term equity compensation.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 for Performance</w:t>
      </w:r>
    </w:p>
    <w:p>
      <w:pPr>
        <w:spacing w:after="0" w:line="96"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A significant portion of the total target compensation for our named executive officers, or NEOs, is variable and directly linked to Company performance in the form of variable cash incentive bonus payments and equity awards. This approach provides our executives with an opportunity to earn above peer average compensation if ADI delivers strong results. Conversely, our NEOs’ total compensation is modulated if our business results are below target.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Performance and Incentive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143510</wp:posOffset>
            </wp:positionV>
            <wp:extent cx="3944620" cy="2246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462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4"/>
          <w:szCs w:val="14"/>
          <w:color w:val="auto"/>
        </w:rPr>
        <w:t>Note: Our “active NEOs” refer to Messrs. Roche, Mahendra-Rajah, Hassett, Pietkiewicz and Real. See “Compensation, Discussion and Analysis” starting on page 36 for a description of our NEOs and our active NEOs.</w:t>
      </w:r>
    </w:p>
    <w:p>
      <w:pPr>
        <w:spacing w:after="0" w:line="14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pay mix charts above are based on target compensation consisting of the annual rate of base salary and short-term and long-term incentive targets approved by the Compensation Committee. The pay mix for “Other Active NEOs” reflected in the chart above excludes the special Linear Integration PRSUs granted to the active NEOs (other than our Chief Executive Officer) in July 2017 after the completion of the acquisition of Linear Technology, which are exclusively dependent on Company performance. If those awards were taken into account, the percentage of performance-based incentives would increase for such active NEOs. For more information about the Linear Integration PRSUs, see “Compensation Discussion and Analysis — Components of Executive Compensation — Equity Compensation — Special Linear Integration Performance-Based Restricted Stock Units.”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 and Governance Practices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pay and governance practices are designed to align our executives’ interests with our shareholders. For example:</w:t>
      </w:r>
    </w:p>
    <w:p>
      <w:pPr>
        <w:sectPr>
          <w:pgSz w:w="11900" w:h="16838" w:orient="portrait"/>
          <w:cols w:equalWidth="0" w:num="1">
            <w:col w:w="11200"/>
          </w:cols>
          <w:pgMar w:left="240" w:top="459" w:right="459" w:bottom="1440" w:gutter="0" w:footer="0" w:header="0"/>
        </w:sectPr>
      </w:pPr>
    </w:p>
    <w:p>
      <w:pPr>
        <w:spacing w:after="0" w:line="179" w:lineRule="exact"/>
        <w:rPr>
          <w:sz w:val="20"/>
          <w:szCs w:val="20"/>
          <w:color w:val="auto"/>
        </w:rPr>
      </w:pPr>
    </w:p>
    <w:p>
      <w:pPr>
        <w:ind w:left="960" w:right="130" w:hanging="297"/>
        <w:spacing w:after="0" w:line="357" w:lineRule="auto"/>
        <w:tabs>
          <w:tab w:leader="none" w:pos="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do not guarantee salary increases or non-performance-based bonuses</w:t>
      </w:r>
    </w:p>
    <w:p>
      <w:pPr>
        <w:ind w:left="960" w:right="170" w:hanging="297"/>
        <w:spacing w:after="0" w:line="335" w:lineRule="auto"/>
        <w:tabs>
          <w:tab w:leader="none" w:pos="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cash incentive bonus awards for legacy ADI executives are based solely on our financial performance</w:t>
      </w:r>
    </w:p>
    <w:p>
      <w:pPr>
        <w:spacing w:after="0" w:line="7" w:lineRule="exact"/>
        <w:rPr>
          <w:rFonts w:ascii="Arial" w:cs="Arial" w:eastAsia="Arial" w:hAnsi="Arial"/>
          <w:sz w:val="15"/>
          <w:szCs w:val="15"/>
          <w:color w:val="auto"/>
        </w:rPr>
      </w:pPr>
    </w:p>
    <w:p>
      <w:pPr>
        <w:ind w:left="960" w:right="250" w:hanging="297"/>
        <w:spacing w:after="0" w:line="306"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do not modify our performance targets during the year, even in challenging years</w:t>
      </w:r>
    </w:p>
    <w:p>
      <w:pPr>
        <w:spacing w:after="0" w:line="25" w:lineRule="exact"/>
        <w:rPr>
          <w:rFonts w:ascii="Arial" w:cs="Arial" w:eastAsia="Arial" w:hAnsi="Arial"/>
          <w:sz w:val="16"/>
          <w:szCs w:val="16"/>
          <w:color w:val="auto"/>
        </w:rPr>
      </w:pPr>
    </w:p>
    <w:p>
      <w:pPr>
        <w:ind w:left="960" w:right="130" w:hanging="297"/>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provide new tax gross-ups for executive officers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90" w:right="86" w:hanging="290"/>
        <w:spacing w:after="0" w:line="294" w:lineRule="auto"/>
        <w:tabs>
          <w:tab w:leader="none" w:pos="2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the exception of restricted stock awards assumed in connection with the Linear Technology acquisition, we do not pay dividends on unvested equity awards</w:t>
      </w:r>
    </w:p>
    <w:p>
      <w:pPr>
        <w:spacing w:after="0" w:line="34" w:lineRule="exact"/>
        <w:rPr>
          <w:rFonts w:ascii="Arial" w:cs="Arial" w:eastAsia="Arial" w:hAnsi="Arial"/>
          <w:sz w:val="16"/>
          <w:szCs w:val="16"/>
          <w:color w:val="auto"/>
        </w:rPr>
      </w:pPr>
    </w:p>
    <w:p>
      <w:pPr>
        <w:jc w:val="both"/>
        <w:ind w:left="290" w:right="826" w:hanging="290"/>
        <w:spacing w:after="0" w:line="357" w:lineRule="auto"/>
        <w:tabs>
          <w:tab w:leader="none" w:pos="2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do not provide extensive perquisites to our executives</w:t>
      </w:r>
    </w:p>
    <w:p>
      <w:pPr>
        <w:jc w:val="both"/>
        <w:ind w:left="290" w:right="166" w:hanging="290"/>
        <w:spacing w:after="0" w:line="259" w:lineRule="auto"/>
        <w:tabs>
          <w:tab w:leader="none" w:pos="2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equity grant date policy does not give executives or directors discretion to choose grant dates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94" w:right="80" w:hanging="294"/>
        <w:spacing w:after="0" w:line="357" w:lineRule="auto"/>
        <w:tabs>
          <w:tab w:leader="none" w:pos="294"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have stock ownership guidelines for all officers and directors</w:t>
      </w:r>
    </w:p>
    <w:p>
      <w:pPr>
        <w:ind w:left="294" w:right="20" w:hanging="294"/>
        <w:spacing w:after="0" w:line="259" w:lineRule="auto"/>
        <w:tabs>
          <w:tab w:leader="none" w:pos="2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prohibit hedging transactions and “short sales” involving ADI securities</w:t>
      </w:r>
    </w:p>
    <w:p>
      <w:pPr>
        <w:spacing w:after="0" w:line="59" w:lineRule="exact"/>
        <w:rPr>
          <w:rFonts w:ascii="Arial" w:cs="Arial" w:eastAsia="Arial" w:hAnsi="Arial"/>
          <w:sz w:val="18"/>
          <w:szCs w:val="18"/>
          <w:color w:val="auto"/>
        </w:rPr>
      </w:pPr>
    </w:p>
    <w:p>
      <w:pPr>
        <w:ind w:left="294" w:right="160" w:hanging="294"/>
        <w:spacing w:after="0" w:line="268" w:lineRule="auto"/>
        <w:tabs>
          <w:tab w:leader="none" w:pos="2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prohibit holding ADI securities in margin accounts</w:t>
      </w:r>
    </w:p>
    <w:p>
      <w:pPr>
        <w:spacing w:after="0" w:line="50" w:lineRule="exact"/>
        <w:rPr>
          <w:rFonts w:ascii="Arial" w:cs="Arial" w:eastAsia="Arial" w:hAnsi="Arial"/>
          <w:sz w:val="18"/>
          <w:szCs w:val="18"/>
          <w:color w:val="auto"/>
        </w:rPr>
      </w:pPr>
    </w:p>
    <w:p>
      <w:pPr>
        <w:ind w:left="294" w:right="80" w:hanging="294"/>
        <w:spacing w:after="0" w:line="332" w:lineRule="auto"/>
        <w:tabs>
          <w:tab w:leader="none" w:pos="29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prohibit pledging ADI securities as collateral for a loan</w:t>
      </w:r>
    </w:p>
    <w:p>
      <w:pPr>
        <w:spacing w:after="0" w:line="4" w:lineRule="exact"/>
        <w:rPr>
          <w:rFonts w:ascii="Arial" w:cs="Arial" w:eastAsia="Arial" w:hAnsi="Arial"/>
          <w:sz w:val="16"/>
          <w:szCs w:val="16"/>
          <w:color w:val="auto"/>
        </w:rPr>
      </w:pPr>
    </w:p>
    <w:p>
      <w:pPr>
        <w:ind w:left="294" w:hanging="294"/>
        <w:spacing w:after="0"/>
        <w:tabs>
          <w:tab w:leader="none" w:pos="2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say on pay vote</w:t>
      </w:r>
    </w:p>
    <w:p>
      <w:pPr>
        <w:spacing w:after="0" w:line="200" w:lineRule="exact"/>
        <w:rPr>
          <w:sz w:val="20"/>
          <w:szCs w:val="20"/>
          <w:color w:val="auto"/>
        </w:rPr>
      </w:pPr>
    </w:p>
    <w:p>
      <w:pPr>
        <w:sectPr>
          <w:pgSz w:w="11900" w:h="16838" w:orient="portrait"/>
          <w:cols w:equalWidth="0" w:num="3">
            <w:col w:w="3690" w:space="720"/>
            <w:col w:w="3137" w:space="720"/>
            <w:col w:w="2934"/>
          </w:cols>
          <w:pgMar w:left="240" w:top="459" w:right="459" w:bottom="1440" w:gutter="0" w:footer="0" w:header="0"/>
          <w:type w:val="continuous"/>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Say on Pay and Shareholder Engagement</w:t>
      </w:r>
    </w:p>
    <w:p>
      <w:pPr>
        <w:spacing w:after="0" w:line="9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2017, Analog Devices again received strong support for our executive compensation program with approximately 97.9% of votes cast approving our advisory “say on pay” resolution. We pay careful attention to feedback that we receive from our shareholders about our executive compensation program, including the “say on pay” vote. During the course of the year, we held in-person and telephonic meetings with a number of shareholders to discuss a variety of matters, including our executive compensation program and how they evaluate it. Our Compensation Committee carefully considers this feedback when making decisions regarding executive compensation.</w:t>
      </w:r>
    </w:p>
    <w:p>
      <w:pPr>
        <w:spacing w:after="0" w:line="143"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Please see the Compensation Discussion and Analysis section beginning on page 36 of this proxy statement for a more detailed description of our executive compensation program, philosophy and design.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Nominees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Director</w:t>
            </w:r>
          </w:p>
        </w:tc>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Independent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8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left="594"/>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Since</w:t>
            </w:r>
          </w:p>
        </w:tc>
        <w:tc>
          <w:tcPr>
            <w:tcW w:w="3020" w:type="dxa"/>
            <w:vAlign w:val="bottom"/>
          </w:tcPr>
          <w:p>
            <w:pPr>
              <w:jc w:val="center"/>
              <w:ind w:left="813"/>
              <w:spacing w:after="0"/>
              <w:rPr>
                <w:sz w:val="20"/>
                <w:szCs w:val="20"/>
                <w:color w:val="auto"/>
              </w:rPr>
            </w:pPr>
            <w:r>
              <w:rPr>
                <w:rFonts w:ascii="Arial" w:cs="Arial" w:eastAsia="Arial" w:hAnsi="Arial"/>
                <w:sz w:val="14"/>
                <w:szCs w:val="14"/>
                <w:b w:val="1"/>
                <w:bCs w:val="1"/>
                <w:color w:val="auto"/>
                <w:w w:val="88"/>
              </w:rPr>
              <w:t>Principal Occupation</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Director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w:t>
            </w:r>
          </w:p>
        </w:tc>
        <w:tc>
          <w:tcPr>
            <w:tcW w:w="2000" w:type="dxa"/>
            <w:vAlign w:val="bottom"/>
          </w:tcPr>
          <w:p>
            <w:pPr>
              <w:spacing w:after="0" w:line="188" w:lineRule="exact"/>
              <w:rPr>
                <w:sz w:val="20"/>
                <w:szCs w:val="20"/>
                <w:color w:val="auto"/>
              </w:rPr>
            </w:pPr>
            <w:r>
              <w:rPr>
                <w:rFonts w:ascii="Arial" w:cs="Arial" w:eastAsia="Arial" w:hAnsi="Arial"/>
                <w:sz w:val="18"/>
                <w:szCs w:val="18"/>
                <w:color w:val="auto"/>
              </w:rPr>
              <w:t>Stata</w:t>
            </w:r>
          </w:p>
        </w:tc>
        <w:tc>
          <w:tcPr>
            <w:tcW w:w="70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83</w:t>
            </w:r>
          </w:p>
        </w:tc>
        <w:tc>
          <w:tcPr>
            <w:tcW w:w="28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1965</w:t>
            </w:r>
          </w:p>
        </w:tc>
        <w:tc>
          <w:tcPr>
            <w:tcW w:w="300" w:type="dxa"/>
            <w:vAlign w:val="bottom"/>
          </w:tcPr>
          <w:p>
            <w:pPr>
              <w:spacing w:after="0"/>
              <w:rPr>
                <w:sz w:val="16"/>
                <w:szCs w:val="16"/>
                <w:color w:val="auto"/>
              </w:rPr>
            </w:pPr>
          </w:p>
        </w:tc>
        <w:tc>
          <w:tcPr>
            <w:tcW w:w="39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Chairman of the Board of Analog Devices, Inc.</w:t>
            </w:r>
          </w:p>
        </w:tc>
        <w:tc>
          <w:tcPr>
            <w:tcW w:w="3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Vincent Roche</w:t>
            </w:r>
          </w:p>
        </w:tc>
        <w:tc>
          <w:tcPr>
            <w:tcW w:w="940" w:type="dxa"/>
            <w:vAlign w:val="bottom"/>
            <w:gridSpan w:val="2"/>
          </w:tcPr>
          <w:p>
            <w:pPr>
              <w:jc w:val="center"/>
              <w:ind w:left="594"/>
              <w:spacing w:after="0"/>
              <w:rPr>
                <w:sz w:val="20"/>
                <w:szCs w:val="20"/>
                <w:color w:val="auto"/>
              </w:rPr>
            </w:pPr>
            <w:r>
              <w:rPr>
                <w:rFonts w:ascii="Arial" w:cs="Arial" w:eastAsia="Arial" w:hAnsi="Arial"/>
                <w:sz w:val="18"/>
                <w:szCs w:val="18"/>
                <w:color w:val="auto"/>
                <w:w w:val="89"/>
              </w:rPr>
              <w:t>57</w:t>
            </w:r>
          </w:p>
        </w:tc>
        <w:tc>
          <w:tcPr>
            <w:tcW w:w="780" w:type="dxa"/>
            <w:vAlign w:val="bottom"/>
            <w:gridSpan w:val="2"/>
          </w:tcPr>
          <w:p>
            <w:pPr>
              <w:jc w:val="center"/>
              <w:ind w:left="194"/>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18"/>
                <w:szCs w:val="18"/>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89"/>
              </w:rPr>
              <w:t>President and Chief Executive Officer of Analog</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jc w:val="center"/>
              <w:ind w:left="813"/>
              <w:spacing w:after="0"/>
              <w:rPr>
                <w:sz w:val="20"/>
                <w:szCs w:val="20"/>
                <w:color w:val="auto"/>
              </w:rPr>
            </w:pPr>
            <w:r>
              <w:rPr>
                <w:rFonts w:ascii="Arial" w:cs="Arial" w:eastAsia="Arial" w:hAnsi="Arial"/>
                <w:sz w:val="18"/>
                <w:szCs w:val="18"/>
                <w:color w:val="auto"/>
                <w:w w:val="89"/>
              </w:rPr>
              <w:t>Devices, Inc.</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restart"/>
          </w:tcPr>
          <w:p>
            <w:pPr>
              <w:jc w:val="center"/>
              <w:ind w:right="300"/>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940" w:type="dxa"/>
            <w:vAlign w:val="bottom"/>
            <w:gridSpan w:val="2"/>
          </w:tcPr>
          <w:p>
            <w:pPr>
              <w:jc w:val="center"/>
              <w:ind w:left="594"/>
              <w:spacing w:after="0"/>
              <w:rPr>
                <w:sz w:val="20"/>
                <w:szCs w:val="20"/>
                <w:color w:val="auto"/>
              </w:rPr>
            </w:pPr>
            <w:r>
              <w:rPr>
                <w:rFonts w:ascii="Arial" w:cs="Arial" w:eastAsia="Arial" w:hAnsi="Arial"/>
                <w:sz w:val="18"/>
                <w:szCs w:val="18"/>
                <w:color w:val="auto"/>
                <w:w w:val="89"/>
              </w:rPr>
              <w:t>75</w:t>
            </w:r>
          </w:p>
        </w:tc>
        <w:tc>
          <w:tcPr>
            <w:tcW w:w="780" w:type="dxa"/>
            <w:vAlign w:val="bottom"/>
            <w:gridSpan w:val="2"/>
          </w:tcPr>
          <w:p>
            <w:pPr>
              <w:jc w:val="center"/>
              <w:ind w:left="194"/>
              <w:spacing w:after="0"/>
              <w:rPr>
                <w:sz w:val="20"/>
                <w:szCs w:val="20"/>
                <w:color w:val="auto"/>
              </w:rPr>
            </w:pPr>
            <w:r>
              <w:rPr>
                <w:rFonts w:ascii="Arial" w:cs="Arial" w:eastAsia="Arial" w:hAnsi="Arial"/>
                <w:sz w:val="18"/>
                <w:szCs w:val="18"/>
                <w:color w:val="auto"/>
                <w:w w:val="84"/>
              </w:rPr>
              <w:t>2003</w:t>
            </w:r>
          </w:p>
        </w:tc>
        <w:tc>
          <w:tcPr>
            <w:tcW w:w="300" w:type="dxa"/>
            <w:vAlign w:val="bottom"/>
          </w:tcPr>
          <w:p>
            <w:pPr>
              <w:spacing w:after="0"/>
              <w:rPr>
                <w:sz w:val="18"/>
                <w:szCs w:val="18"/>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88"/>
              </w:rPr>
              <w:t>Retired Vice President of the Dell/Perot Systems</w:t>
            </w: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NCGC (Chair)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jc w:val="center"/>
              <w:ind w:left="813"/>
              <w:spacing w:after="0"/>
              <w:rPr>
                <w:sz w:val="20"/>
                <w:szCs w:val="20"/>
                <w:color w:val="auto"/>
              </w:rPr>
            </w:pPr>
            <w:r>
              <w:rPr>
                <w:rFonts w:ascii="Arial" w:cs="Arial" w:eastAsia="Arial" w:hAnsi="Arial"/>
                <w:sz w:val="18"/>
                <w:szCs w:val="18"/>
                <w:color w:val="auto"/>
                <w:w w:val="89"/>
              </w:rPr>
              <w:t>business unit of Dell, Inc.</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restart"/>
          </w:tcPr>
          <w:p>
            <w:pPr>
              <w:jc w:val="center"/>
              <w:ind w:right="300"/>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940" w:type="dxa"/>
            <w:vAlign w:val="bottom"/>
            <w:gridSpan w:val="2"/>
          </w:tcPr>
          <w:p>
            <w:pPr>
              <w:jc w:val="center"/>
              <w:ind w:left="594"/>
              <w:spacing w:after="0"/>
              <w:rPr>
                <w:sz w:val="20"/>
                <w:szCs w:val="20"/>
                <w:color w:val="auto"/>
              </w:rPr>
            </w:pPr>
            <w:r>
              <w:rPr>
                <w:rFonts w:ascii="Arial" w:cs="Arial" w:eastAsia="Arial" w:hAnsi="Arial"/>
                <w:sz w:val="18"/>
                <w:szCs w:val="18"/>
                <w:color w:val="auto"/>
                <w:w w:val="89"/>
              </w:rPr>
              <w:t>58</w:t>
            </w:r>
          </w:p>
        </w:tc>
        <w:tc>
          <w:tcPr>
            <w:tcW w:w="780" w:type="dxa"/>
            <w:vAlign w:val="bottom"/>
            <w:gridSpan w:val="2"/>
          </w:tcPr>
          <w:p>
            <w:pPr>
              <w:jc w:val="center"/>
              <w:ind w:left="194"/>
              <w:spacing w:after="0"/>
              <w:rPr>
                <w:sz w:val="20"/>
                <w:szCs w:val="20"/>
                <w:color w:val="auto"/>
              </w:rPr>
            </w:pPr>
            <w:r>
              <w:rPr>
                <w:rFonts w:ascii="Arial" w:cs="Arial" w:eastAsia="Arial" w:hAnsi="Arial"/>
                <w:sz w:val="18"/>
                <w:szCs w:val="18"/>
                <w:color w:val="auto"/>
                <w:w w:val="84"/>
              </w:rPr>
              <w:t>2015</w:t>
            </w:r>
          </w:p>
        </w:tc>
        <w:tc>
          <w:tcPr>
            <w:tcW w:w="300" w:type="dxa"/>
            <w:vAlign w:val="bottom"/>
          </w:tcPr>
          <w:p>
            <w:pPr>
              <w:spacing w:after="0"/>
              <w:rPr>
                <w:sz w:val="18"/>
                <w:szCs w:val="18"/>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0"/>
              </w:rPr>
              <w:t>Chairman of the Board and Senior Advisor of Summit</w:t>
            </w: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AC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jc w:val="center"/>
              <w:ind w:left="833"/>
              <w:spacing w:after="0"/>
              <w:rPr>
                <w:sz w:val="20"/>
                <w:szCs w:val="20"/>
                <w:color w:val="auto"/>
              </w:rPr>
            </w:pPr>
            <w:r>
              <w:rPr>
                <w:rFonts w:ascii="Arial" w:cs="Arial" w:eastAsia="Arial" w:hAnsi="Arial"/>
                <w:sz w:val="18"/>
                <w:szCs w:val="18"/>
                <w:color w:val="auto"/>
                <w:w w:val="85"/>
              </w:rPr>
              <w:t>Partners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restart"/>
          </w:tcPr>
          <w:p>
            <w:pPr>
              <w:jc w:val="center"/>
              <w:ind w:right="300"/>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60" w:type="dxa"/>
            <w:vAlign w:val="bottom"/>
            <w:gridSpan w:val="2"/>
          </w:tcPr>
          <w:p>
            <w:pPr>
              <w:spacing w:after="0" w:line="183" w:lineRule="exact"/>
              <w:rPr>
                <w:sz w:val="20"/>
                <w:szCs w:val="20"/>
                <w:color w:val="auto"/>
              </w:rPr>
            </w:pPr>
            <w:r>
              <w:rPr>
                <w:rFonts w:ascii="Arial" w:cs="Arial" w:eastAsia="Arial" w:hAnsi="Arial"/>
                <w:sz w:val="18"/>
                <w:szCs w:val="18"/>
                <w:color w:val="auto"/>
              </w:rPr>
              <w:t>Edward H. Frank</w:t>
            </w:r>
          </w:p>
        </w:tc>
        <w:tc>
          <w:tcPr>
            <w:tcW w:w="940" w:type="dxa"/>
            <w:vAlign w:val="bottom"/>
            <w:gridSpan w:val="2"/>
          </w:tcPr>
          <w:p>
            <w:pPr>
              <w:jc w:val="center"/>
              <w:ind w:left="594"/>
              <w:spacing w:after="0" w:line="183" w:lineRule="exact"/>
              <w:rPr>
                <w:sz w:val="20"/>
                <w:szCs w:val="20"/>
                <w:color w:val="auto"/>
              </w:rPr>
            </w:pPr>
            <w:r>
              <w:rPr>
                <w:rFonts w:ascii="Arial" w:cs="Arial" w:eastAsia="Arial" w:hAnsi="Arial"/>
                <w:sz w:val="18"/>
                <w:szCs w:val="18"/>
                <w:color w:val="auto"/>
                <w:w w:val="89"/>
              </w:rPr>
              <w:t>61</w:t>
            </w:r>
          </w:p>
        </w:tc>
        <w:tc>
          <w:tcPr>
            <w:tcW w:w="780" w:type="dxa"/>
            <w:vAlign w:val="bottom"/>
            <w:gridSpan w:val="2"/>
          </w:tcPr>
          <w:p>
            <w:pPr>
              <w:jc w:val="center"/>
              <w:ind w:left="194"/>
              <w:spacing w:after="0" w:line="183" w:lineRule="exact"/>
              <w:rPr>
                <w:sz w:val="20"/>
                <w:szCs w:val="20"/>
                <w:color w:val="auto"/>
              </w:rPr>
            </w:pPr>
            <w:r>
              <w:rPr>
                <w:rFonts w:ascii="Arial" w:cs="Arial" w:eastAsia="Arial" w:hAnsi="Arial"/>
                <w:sz w:val="18"/>
                <w:szCs w:val="18"/>
                <w:color w:val="auto"/>
                <w:w w:val="84"/>
              </w:rPr>
              <w:t>2014</w:t>
            </w:r>
          </w:p>
        </w:tc>
        <w:tc>
          <w:tcPr>
            <w:tcW w:w="300" w:type="dxa"/>
            <w:vAlign w:val="bottom"/>
          </w:tcPr>
          <w:p>
            <w:pPr>
              <w:spacing w:after="0"/>
              <w:rPr>
                <w:sz w:val="15"/>
                <w:szCs w:val="15"/>
                <w:color w:val="auto"/>
              </w:rPr>
            </w:pPr>
          </w:p>
        </w:tc>
        <w:tc>
          <w:tcPr>
            <w:tcW w:w="3940" w:type="dxa"/>
            <w:vAlign w:val="bottom"/>
            <w:gridSpan w:val="2"/>
          </w:tcPr>
          <w:p>
            <w:pPr>
              <w:jc w:val="center"/>
              <w:spacing w:after="0" w:line="183" w:lineRule="exact"/>
              <w:rPr>
                <w:sz w:val="20"/>
                <w:szCs w:val="20"/>
                <w:color w:val="auto"/>
              </w:rPr>
            </w:pPr>
            <w:r>
              <w:rPr>
                <w:rFonts w:ascii="Arial" w:cs="Arial" w:eastAsia="Arial" w:hAnsi="Arial"/>
                <w:sz w:val="18"/>
                <w:szCs w:val="18"/>
                <w:color w:val="auto"/>
                <w:w w:val="89"/>
              </w:rPr>
              <w:t>Co-Founder and former CEO of Cloud Parity</w:t>
            </w:r>
          </w:p>
        </w:tc>
        <w:tc>
          <w:tcPr>
            <w:tcW w:w="3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80" w:type="dxa"/>
            <w:vAlign w:val="bottom"/>
          </w:tcPr>
          <w:p>
            <w:pPr>
              <w:jc w:val="center"/>
              <w:spacing w:after="0" w:line="183" w:lineRule="exact"/>
              <w:rPr>
                <w:sz w:val="20"/>
                <w:szCs w:val="20"/>
                <w:color w:val="auto"/>
              </w:rPr>
            </w:pPr>
            <w:r>
              <w:rPr>
                <w:rFonts w:ascii="Arial" w:cs="Arial" w:eastAsia="Arial" w:hAnsi="Arial"/>
                <w:sz w:val="18"/>
                <w:szCs w:val="18"/>
                <w:color w:val="auto"/>
                <w:w w:val="89"/>
              </w:rPr>
              <w:t>CC, NCGC</w:t>
            </w:r>
          </w:p>
        </w:tc>
        <w:tc>
          <w:tcPr>
            <w:tcW w:w="0" w:type="dxa"/>
            <w:vAlign w:val="bottom"/>
          </w:tcPr>
          <w:p>
            <w:pPr>
              <w:spacing w:after="0"/>
              <w:rPr>
                <w:sz w:val="1"/>
                <w:szCs w:val="1"/>
                <w:color w:val="auto"/>
              </w:rPr>
            </w:pPr>
          </w:p>
        </w:tc>
      </w:tr>
      <w:tr>
        <w:trPr>
          <w:trHeight w:val="249"/>
        </w:trPr>
        <w:tc>
          <w:tcPr>
            <w:tcW w:w="236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940" w:type="dxa"/>
            <w:vAlign w:val="bottom"/>
            <w:gridSpan w:val="2"/>
          </w:tcPr>
          <w:p>
            <w:pPr>
              <w:jc w:val="center"/>
              <w:ind w:left="594"/>
              <w:spacing w:after="0"/>
              <w:rPr>
                <w:sz w:val="20"/>
                <w:szCs w:val="20"/>
                <w:color w:val="auto"/>
              </w:rPr>
            </w:pPr>
            <w:r>
              <w:rPr>
                <w:rFonts w:ascii="Arial" w:cs="Arial" w:eastAsia="Arial" w:hAnsi="Arial"/>
                <w:sz w:val="18"/>
                <w:szCs w:val="18"/>
                <w:color w:val="auto"/>
                <w:w w:val="89"/>
              </w:rPr>
              <w:t>65</w:t>
            </w:r>
          </w:p>
        </w:tc>
        <w:tc>
          <w:tcPr>
            <w:tcW w:w="780" w:type="dxa"/>
            <w:vAlign w:val="bottom"/>
            <w:gridSpan w:val="2"/>
          </w:tcPr>
          <w:p>
            <w:pPr>
              <w:jc w:val="center"/>
              <w:ind w:left="194"/>
              <w:spacing w:after="0"/>
              <w:rPr>
                <w:sz w:val="20"/>
                <w:szCs w:val="20"/>
                <w:color w:val="auto"/>
              </w:rPr>
            </w:pPr>
            <w:r>
              <w:rPr>
                <w:rFonts w:ascii="Arial" w:cs="Arial" w:eastAsia="Arial" w:hAnsi="Arial"/>
                <w:sz w:val="18"/>
                <w:szCs w:val="18"/>
                <w:color w:val="auto"/>
                <w:w w:val="84"/>
              </w:rPr>
              <w:t>2017</w:t>
            </w:r>
          </w:p>
        </w:tc>
        <w:tc>
          <w:tcPr>
            <w:tcW w:w="300" w:type="dxa"/>
            <w:vAlign w:val="bottom"/>
          </w:tcPr>
          <w:p>
            <w:pPr>
              <w:spacing w:after="0"/>
              <w:rPr>
                <w:sz w:val="21"/>
                <w:szCs w:val="21"/>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88"/>
              </w:rPr>
              <w:t>Former SVP, GE Global Research &amp; Chief Technology</w:t>
            </w:r>
          </w:p>
        </w:tc>
        <w:tc>
          <w:tcPr>
            <w:tcW w:w="300" w:type="dxa"/>
            <w:vAlign w:val="bottom"/>
          </w:tcPr>
          <w:p>
            <w:pPr>
              <w:spacing w:after="0"/>
              <w:rPr>
                <w:sz w:val="21"/>
                <w:szCs w:val="21"/>
                <w:color w:val="auto"/>
              </w:rPr>
            </w:pPr>
          </w:p>
        </w:tc>
        <w:tc>
          <w:tcPr>
            <w:tcW w:w="1040" w:type="dxa"/>
            <w:vAlign w:val="bottom"/>
            <w:gridSpan w:val="2"/>
          </w:tcPr>
          <w:p>
            <w:pPr>
              <w:jc w:val="center"/>
              <w:ind w:right="300"/>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AC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0"/>
              </w:rPr>
              <w:t>Officer of General Electric Company</w:t>
            </w:r>
          </w:p>
        </w:tc>
        <w:tc>
          <w:tcPr>
            <w:tcW w:w="300" w:type="dxa"/>
            <w:vAlign w:val="bottom"/>
          </w:tcPr>
          <w:p>
            <w:pPr>
              <w:spacing w:after="0"/>
              <w:rPr>
                <w:sz w:val="18"/>
                <w:szCs w:val="18"/>
                <w:color w:val="auto"/>
              </w:rPr>
            </w:pPr>
          </w:p>
        </w:tc>
        <w:tc>
          <w:tcPr>
            <w:tcW w:w="1040" w:type="dxa"/>
            <w:vAlign w:val="bottom"/>
            <w:gridSpan w:val="2"/>
            <w:vMerge w:val="restart"/>
          </w:tcPr>
          <w:p>
            <w:pPr>
              <w:jc w:val="center"/>
              <w:ind w:right="300"/>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940" w:type="dxa"/>
            <w:vAlign w:val="bottom"/>
            <w:gridSpan w:val="2"/>
          </w:tcPr>
          <w:p>
            <w:pPr>
              <w:jc w:val="center"/>
              <w:ind w:left="594"/>
              <w:spacing w:after="0"/>
              <w:rPr>
                <w:sz w:val="20"/>
                <w:szCs w:val="20"/>
                <w:color w:val="auto"/>
              </w:rPr>
            </w:pPr>
            <w:r>
              <w:rPr>
                <w:rFonts w:ascii="Arial" w:cs="Arial" w:eastAsia="Arial" w:hAnsi="Arial"/>
                <w:sz w:val="18"/>
                <w:szCs w:val="18"/>
                <w:color w:val="auto"/>
                <w:w w:val="89"/>
              </w:rPr>
              <w:t>63</w:t>
            </w:r>
          </w:p>
        </w:tc>
        <w:tc>
          <w:tcPr>
            <w:tcW w:w="780" w:type="dxa"/>
            <w:vAlign w:val="bottom"/>
            <w:gridSpan w:val="2"/>
          </w:tcPr>
          <w:p>
            <w:pPr>
              <w:jc w:val="center"/>
              <w:ind w:left="194"/>
              <w:spacing w:after="0"/>
              <w:rPr>
                <w:sz w:val="20"/>
                <w:szCs w:val="20"/>
                <w:color w:val="auto"/>
              </w:rPr>
            </w:pPr>
            <w:r>
              <w:rPr>
                <w:rFonts w:ascii="Arial" w:cs="Arial" w:eastAsia="Arial" w:hAnsi="Arial"/>
                <w:sz w:val="18"/>
                <w:szCs w:val="18"/>
                <w:color w:val="auto"/>
                <w:w w:val="84"/>
              </w:rPr>
              <w:t>2008</w:t>
            </w:r>
          </w:p>
        </w:tc>
        <w:tc>
          <w:tcPr>
            <w:tcW w:w="300" w:type="dxa"/>
            <w:vAlign w:val="bottom"/>
          </w:tcPr>
          <w:p>
            <w:pPr>
              <w:spacing w:after="0"/>
              <w:rPr>
                <w:sz w:val="18"/>
                <w:szCs w:val="18"/>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88"/>
              </w:rPr>
              <w:t>Former Chairman, President and Chief Executive</w:t>
            </w: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CC (Chair)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jc w:val="center"/>
              <w:ind w:left="833"/>
              <w:spacing w:after="0"/>
              <w:rPr>
                <w:sz w:val="20"/>
                <w:szCs w:val="20"/>
                <w:color w:val="auto"/>
              </w:rPr>
            </w:pPr>
            <w:r>
              <w:rPr>
                <w:rFonts w:ascii="Arial" w:cs="Arial" w:eastAsia="Arial" w:hAnsi="Arial"/>
                <w:sz w:val="18"/>
                <w:szCs w:val="18"/>
                <w:color w:val="auto"/>
                <w:w w:val="90"/>
              </w:rPr>
              <w:t>Officer of Ryerson Inc.</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restart"/>
          </w:tcPr>
          <w:p>
            <w:pPr>
              <w:jc w:val="center"/>
              <w:ind w:right="300"/>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940" w:type="dxa"/>
            <w:vAlign w:val="bottom"/>
            <w:gridSpan w:val="2"/>
          </w:tcPr>
          <w:p>
            <w:pPr>
              <w:jc w:val="center"/>
              <w:ind w:left="594"/>
              <w:spacing w:after="0"/>
              <w:rPr>
                <w:sz w:val="20"/>
                <w:szCs w:val="20"/>
                <w:color w:val="auto"/>
              </w:rPr>
            </w:pPr>
            <w:r>
              <w:rPr>
                <w:rFonts w:ascii="Arial" w:cs="Arial" w:eastAsia="Arial" w:hAnsi="Arial"/>
                <w:sz w:val="18"/>
                <w:szCs w:val="18"/>
                <w:color w:val="auto"/>
                <w:w w:val="89"/>
              </w:rPr>
              <w:t>73</w:t>
            </w:r>
          </w:p>
        </w:tc>
        <w:tc>
          <w:tcPr>
            <w:tcW w:w="780" w:type="dxa"/>
            <w:vAlign w:val="bottom"/>
            <w:gridSpan w:val="2"/>
          </w:tcPr>
          <w:p>
            <w:pPr>
              <w:jc w:val="center"/>
              <w:ind w:left="194"/>
              <w:spacing w:after="0"/>
              <w:rPr>
                <w:sz w:val="20"/>
                <w:szCs w:val="20"/>
                <w:color w:val="auto"/>
              </w:rPr>
            </w:pPr>
            <w:r>
              <w:rPr>
                <w:rFonts w:ascii="Arial" w:cs="Arial" w:eastAsia="Arial" w:hAnsi="Arial"/>
                <w:sz w:val="18"/>
                <w:szCs w:val="18"/>
                <w:color w:val="auto"/>
                <w:w w:val="84"/>
              </w:rPr>
              <w:t>2003</w:t>
            </w:r>
          </w:p>
        </w:tc>
        <w:tc>
          <w:tcPr>
            <w:tcW w:w="300" w:type="dxa"/>
            <w:vAlign w:val="bottom"/>
          </w:tcPr>
          <w:p>
            <w:pPr>
              <w:spacing w:after="0"/>
              <w:rPr>
                <w:sz w:val="18"/>
                <w:szCs w:val="18"/>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89"/>
              </w:rPr>
              <w:t>Retired Global Managing Partner of</w:t>
            </w: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AC (Chair)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jc w:val="center"/>
              <w:ind w:left="833"/>
              <w:spacing w:after="0"/>
              <w:rPr>
                <w:sz w:val="20"/>
                <w:szCs w:val="20"/>
                <w:color w:val="auto"/>
              </w:rPr>
            </w:pPr>
            <w:r>
              <w:rPr>
                <w:rFonts w:ascii="Arial" w:cs="Arial" w:eastAsia="Arial" w:hAnsi="Arial"/>
                <w:sz w:val="18"/>
                <w:szCs w:val="18"/>
                <w:color w:val="auto"/>
                <w:w w:val="87"/>
              </w:rPr>
              <w:t>PricewaterhouseCoopers LLP</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restart"/>
          </w:tcPr>
          <w:p>
            <w:pPr>
              <w:jc w:val="center"/>
              <w:ind w:right="300"/>
              <w:spacing w:after="0" w:line="181" w:lineRule="exact"/>
              <w:rPr>
                <w:sz w:val="20"/>
                <w:szCs w:val="20"/>
                <w:color w:val="auto"/>
              </w:rPr>
            </w:pPr>
            <w:r>
              <w:rPr>
                <w:rFonts w:ascii="MS PGothic" w:cs="MS PGothic" w:eastAsia="MS PGothic" w:hAnsi="MS PGothic"/>
                <w:sz w:val="18"/>
                <w:szCs w:val="18"/>
                <w:color w:val="auto"/>
                <w:w w:val="77"/>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940" w:type="dxa"/>
            <w:vAlign w:val="bottom"/>
            <w:gridSpan w:val="2"/>
          </w:tcPr>
          <w:p>
            <w:pPr>
              <w:jc w:val="center"/>
              <w:ind w:left="594"/>
              <w:spacing w:after="0"/>
              <w:rPr>
                <w:sz w:val="20"/>
                <w:szCs w:val="20"/>
                <w:color w:val="auto"/>
              </w:rPr>
            </w:pPr>
            <w:r>
              <w:rPr>
                <w:rFonts w:ascii="Arial" w:cs="Arial" w:eastAsia="Arial" w:hAnsi="Arial"/>
                <w:sz w:val="18"/>
                <w:szCs w:val="18"/>
                <w:color w:val="auto"/>
                <w:w w:val="89"/>
              </w:rPr>
              <w:t>48</w:t>
            </w:r>
          </w:p>
        </w:tc>
        <w:tc>
          <w:tcPr>
            <w:tcW w:w="780" w:type="dxa"/>
            <w:vAlign w:val="bottom"/>
            <w:gridSpan w:val="2"/>
          </w:tcPr>
          <w:p>
            <w:pPr>
              <w:jc w:val="center"/>
              <w:ind w:left="194"/>
              <w:spacing w:after="0"/>
              <w:rPr>
                <w:sz w:val="20"/>
                <w:szCs w:val="20"/>
                <w:color w:val="auto"/>
              </w:rPr>
            </w:pPr>
            <w:r>
              <w:rPr>
                <w:rFonts w:ascii="Arial" w:cs="Arial" w:eastAsia="Arial" w:hAnsi="Arial"/>
                <w:sz w:val="18"/>
                <w:szCs w:val="18"/>
                <w:color w:val="auto"/>
                <w:w w:val="84"/>
              </w:rPr>
              <w:t>2012</w:t>
            </w:r>
          </w:p>
        </w:tc>
        <w:tc>
          <w:tcPr>
            <w:tcW w:w="300" w:type="dxa"/>
            <w:vAlign w:val="bottom"/>
          </w:tcPr>
          <w:p>
            <w:pPr>
              <w:spacing w:after="0"/>
              <w:rPr>
                <w:sz w:val="18"/>
                <w:szCs w:val="18"/>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89"/>
              </w:rPr>
              <w:t>President and Chief Executive Officer of Advanced</w:t>
            </w: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CC</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jc w:val="center"/>
              <w:ind w:left="813"/>
              <w:spacing w:after="0"/>
              <w:rPr>
                <w:sz w:val="20"/>
                <w:szCs w:val="20"/>
                <w:color w:val="auto"/>
              </w:rPr>
            </w:pPr>
            <w:r>
              <w:rPr>
                <w:rFonts w:ascii="Arial" w:cs="Arial" w:eastAsia="Arial" w:hAnsi="Arial"/>
                <w:sz w:val="18"/>
                <w:szCs w:val="18"/>
                <w:color w:val="auto"/>
                <w:w w:val="92"/>
              </w:rPr>
              <w:t>Micro Devices, Inc.</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360" w:type="dxa"/>
            <w:vAlign w:val="bottom"/>
            <w:gridSpan w:val="2"/>
          </w:tcPr>
          <w:p>
            <w:pPr>
              <w:spacing w:after="0"/>
              <w:rPr>
                <w:sz w:val="20"/>
                <w:szCs w:val="20"/>
                <w:color w:val="auto"/>
              </w:rPr>
            </w:pPr>
            <w:r>
              <w:rPr>
                <w:rFonts w:ascii="Arial" w:cs="Arial" w:eastAsia="Arial" w:hAnsi="Arial"/>
                <w:sz w:val="18"/>
                <w:szCs w:val="18"/>
                <w:color w:val="auto"/>
              </w:rPr>
              <w:t>AC = Audit Committee</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3"/>
          </w:tcPr>
          <w:p>
            <w:pPr>
              <w:ind w:left="200"/>
              <w:spacing w:after="0"/>
              <w:rPr>
                <w:sz w:val="20"/>
                <w:szCs w:val="20"/>
                <w:color w:val="auto"/>
              </w:rPr>
            </w:pPr>
            <w:r>
              <w:rPr>
                <w:rFonts w:ascii="Arial" w:cs="Arial" w:eastAsia="Arial" w:hAnsi="Arial"/>
                <w:sz w:val="18"/>
                <w:szCs w:val="18"/>
                <w:color w:val="auto"/>
              </w:rPr>
              <w:t>CC = Compensation Committee</w:t>
            </w:r>
          </w:p>
        </w:tc>
        <w:tc>
          <w:tcPr>
            <w:tcW w:w="920" w:type="dxa"/>
            <w:vAlign w:val="bottom"/>
          </w:tcPr>
          <w:p>
            <w:pPr>
              <w:spacing w:after="0"/>
              <w:rPr>
                <w:sz w:val="20"/>
                <w:szCs w:val="20"/>
                <w:color w:val="auto"/>
              </w:rPr>
            </w:pPr>
            <w:r>
              <w:rPr>
                <w:rFonts w:ascii="Arial" w:cs="Arial" w:eastAsia="Arial" w:hAnsi="Arial"/>
                <w:sz w:val="18"/>
                <w:szCs w:val="18"/>
                <w:color w:val="auto"/>
              </w:rPr>
              <w:t>NCGC =</w:t>
            </w:r>
          </w:p>
        </w:tc>
        <w:tc>
          <w:tcPr>
            <w:tcW w:w="2720" w:type="dxa"/>
            <w:vAlign w:val="bottom"/>
            <w:gridSpan w:val="4"/>
          </w:tcPr>
          <w:p>
            <w:pPr>
              <w:ind w:left="80"/>
              <w:spacing w:after="0"/>
              <w:rPr>
                <w:sz w:val="20"/>
                <w:szCs w:val="20"/>
                <w:color w:val="auto"/>
              </w:rPr>
            </w:pPr>
            <w:r>
              <w:rPr>
                <w:rFonts w:ascii="Arial" w:cs="Arial" w:eastAsia="Arial" w:hAnsi="Arial"/>
                <w:sz w:val="18"/>
                <w:szCs w:val="18"/>
                <w:color w:val="auto"/>
              </w:rPr>
              <w:t>Nominating and Corporate</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gridSpan w:val="4"/>
          </w:tcPr>
          <w:p>
            <w:pPr>
              <w:ind w:left="80"/>
              <w:spacing w:after="0"/>
              <w:rPr>
                <w:sz w:val="20"/>
                <w:szCs w:val="20"/>
                <w:color w:val="auto"/>
              </w:rPr>
            </w:pPr>
            <w:r>
              <w:rPr>
                <w:rFonts w:ascii="Arial" w:cs="Arial" w:eastAsia="Arial" w:hAnsi="Arial"/>
                <w:sz w:val="18"/>
                <w:szCs w:val="18"/>
                <w:color w:val="auto"/>
              </w:rPr>
              <w:t>Governance Committee</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Board Nominees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The Board of Directors and the Nominating and Corporate Governance Committee are committed to ensuring that the Board is comprised of a highly capable group of directors who collectively provide a significant breadth of experience, knowledge and ability to effectively represent the interest of shareholders, drive shareholder value and reflect our corporate values of integrity, honesty and adherence to high ethical standards. The Board also believes that having directors with a mix of tenure helps transition the institutional knowledge of the more experienced directors while providing a broad, fresh set of perspectives. The following charts reflect the broad experience and tenure of the nominees for our Board of Directors.</w:t>
      </w:r>
    </w:p>
    <w:p>
      <w:pPr>
        <w:spacing w:after="0" w:line="150" w:lineRule="exact"/>
        <w:rPr>
          <w:sz w:val="20"/>
          <w:szCs w:val="20"/>
          <w:color w:val="auto"/>
        </w:rPr>
      </w:pPr>
    </w:p>
    <w:p>
      <w:pPr>
        <w:ind w:left="2260"/>
        <w:spacing w:after="0"/>
        <w:tabs>
          <w:tab w:leader="none" w:pos="8300" w:val="left"/>
        </w:tabs>
        <w:rPr>
          <w:sz w:val="20"/>
          <w:szCs w:val="20"/>
          <w:color w:val="auto"/>
        </w:rPr>
      </w:pPr>
      <w:r>
        <w:rPr>
          <w:rFonts w:ascii="Arial" w:cs="Arial" w:eastAsia="Arial" w:hAnsi="Arial"/>
          <w:sz w:val="18"/>
          <w:szCs w:val="18"/>
          <w:b w:val="1"/>
          <w:bCs w:val="1"/>
          <w:color w:val="auto"/>
        </w:rPr>
        <w:t>Director Experience</w:t>
      </w:r>
      <w:r>
        <w:rPr>
          <w:sz w:val="20"/>
          <w:szCs w:val="20"/>
          <w:color w:val="auto"/>
        </w:rPr>
        <w:tab/>
      </w:r>
      <w:r>
        <w:rPr>
          <w:rFonts w:ascii="Arial" w:cs="Arial" w:eastAsia="Arial" w:hAnsi="Arial"/>
          <w:sz w:val="15"/>
          <w:szCs w:val="15"/>
          <w:b w:val="1"/>
          <w:bCs w:val="1"/>
          <w:color w:val="auto"/>
        </w:rPr>
        <w:t>Board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521585" cy="1603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1585" cy="160337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14605</wp:posOffset>
            </wp:positionV>
            <wp:extent cx="2263775" cy="1543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6377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HIGHLIGHTS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governance practices include:</w:t>
      </w:r>
    </w:p>
    <w:p>
      <w:pPr>
        <w:spacing w:after="0" w:line="144" w:lineRule="exact"/>
        <w:rPr>
          <w:sz w:val="20"/>
          <w:szCs w:val="20"/>
          <w:color w:val="auto"/>
        </w:rPr>
      </w:pPr>
    </w:p>
    <w:p>
      <w:pPr>
        <w:ind w:left="960" w:hanging="29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Majority of directors are independent</w:t>
      </w:r>
    </w:p>
    <w:p>
      <w:pPr>
        <w:spacing w:after="0" w:line="90" w:lineRule="exact"/>
        <w:rPr>
          <w:rFonts w:ascii="Arial" w:cs="Arial" w:eastAsia="Arial" w:hAnsi="Arial"/>
          <w:sz w:val="18"/>
          <w:szCs w:val="18"/>
          <w:color w:val="auto"/>
        </w:rPr>
      </w:pPr>
    </w:p>
    <w:p>
      <w:pPr>
        <w:ind w:left="960" w:hanging="29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election of directors</w:t>
      </w:r>
    </w:p>
    <w:p>
      <w:pPr>
        <w:spacing w:after="0" w:line="90" w:lineRule="exact"/>
        <w:rPr>
          <w:rFonts w:ascii="Arial" w:cs="Arial" w:eastAsia="Arial" w:hAnsi="Arial"/>
          <w:sz w:val="18"/>
          <w:szCs w:val="18"/>
          <w:color w:val="auto"/>
        </w:rPr>
      </w:pPr>
    </w:p>
    <w:p>
      <w:pPr>
        <w:ind w:left="960" w:hanging="297"/>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Majority voting for directors in uncontested director elections</w:t>
      </w:r>
    </w:p>
    <w:p>
      <w:pPr>
        <w:spacing w:after="0" w:line="113" w:lineRule="exact"/>
        <w:rPr>
          <w:rFonts w:ascii="Arial" w:cs="Arial" w:eastAsia="Arial" w:hAnsi="Arial"/>
          <w:sz w:val="16"/>
          <w:szCs w:val="16"/>
          <w:color w:val="auto"/>
        </w:rPr>
      </w:pPr>
    </w:p>
    <w:p>
      <w:pPr>
        <w:ind w:left="960" w:right="103" w:hanging="297"/>
        <w:spacing w:after="0" w:line="268"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tenure of independent directors standing for re-election is approximately 7 years</w:t>
      </w:r>
    </w:p>
    <w:p>
      <w:pPr>
        <w:spacing w:after="0" w:line="50" w:lineRule="exact"/>
        <w:rPr>
          <w:rFonts w:ascii="Arial" w:cs="Arial" w:eastAsia="Arial" w:hAnsi="Arial"/>
          <w:sz w:val="18"/>
          <w:szCs w:val="18"/>
          <w:color w:val="auto"/>
        </w:rPr>
      </w:pPr>
    </w:p>
    <w:p>
      <w:pPr>
        <w:ind w:left="960" w:hanging="29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97" w:right="840" w:hanging="297"/>
        <w:spacing w:after="0" w:line="268" w:lineRule="auto"/>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 ownership guidelines for executive officers and non-employee directors</w:t>
      </w:r>
    </w:p>
    <w:p>
      <w:pPr>
        <w:spacing w:after="0" w:line="50" w:lineRule="exact"/>
        <w:rPr>
          <w:rFonts w:ascii="Arial" w:cs="Arial" w:eastAsia="Arial" w:hAnsi="Arial"/>
          <w:sz w:val="18"/>
          <w:szCs w:val="18"/>
          <w:color w:val="auto"/>
        </w:rPr>
      </w:pPr>
    </w:p>
    <w:p>
      <w:pPr>
        <w:ind w:left="297" w:right="400" w:hanging="297"/>
        <w:spacing w:after="0" w:line="268" w:lineRule="auto"/>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Active Board engagement in managing talent and long-term succession planning for executives</w:t>
      </w:r>
    </w:p>
    <w:p>
      <w:pPr>
        <w:spacing w:after="0" w:line="50" w:lineRule="exact"/>
        <w:rPr>
          <w:rFonts w:ascii="Arial" w:cs="Arial" w:eastAsia="Arial" w:hAnsi="Arial"/>
          <w:sz w:val="18"/>
          <w:szCs w:val="18"/>
          <w:color w:val="auto"/>
        </w:rPr>
      </w:pPr>
    </w:p>
    <w:p>
      <w:pPr>
        <w:ind w:left="297" w:hanging="297"/>
        <w:spacing w:after="0"/>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Prohibitions on hedging and pledging</w:t>
      </w:r>
    </w:p>
    <w:p>
      <w:pPr>
        <w:spacing w:after="0" w:line="90" w:lineRule="exact"/>
        <w:rPr>
          <w:rFonts w:ascii="Arial" w:cs="Arial" w:eastAsia="Arial" w:hAnsi="Arial"/>
          <w:sz w:val="18"/>
          <w:szCs w:val="18"/>
          <w:color w:val="auto"/>
        </w:rPr>
      </w:pPr>
    </w:p>
    <w:p>
      <w:pPr>
        <w:ind w:left="297" w:hanging="297"/>
        <w:spacing w:after="0"/>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supermajority voting provisions</w:t>
      </w:r>
    </w:p>
    <w:p>
      <w:pPr>
        <w:spacing w:after="0" w:line="90" w:lineRule="exact"/>
        <w:rPr>
          <w:rFonts w:ascii="Arial" w:cs="Arial" w:eastAsia="Arial" w:hAnsi="Arial"/>
          <w:sz w:val="18"/>
          <w:szCs w:val="18"/>
          <w:color w:val="auto"/>
        </w:rPr>
      </w:pPr>
    </w:p>
    <w:p>
      <w:pPr>
        <w:ind w:left="297" w:hanging="297"/>
        <w:spacing w:after="0"/>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Board and Committee self-evaluations</w:t>
      </w:r>
    </w:p>
    <w:p>
      <w:pPr>
        <w:spacing w:after="0" w:line="200" w:lineRule="exact"/>
        <w:rPr>
          <w:sz w:val="20"/>
          <w:szCs w:val="20"/>
          <w:color w:val="auto"/>
        </w:rPr>
      </w:pPr>
    </w:p>
    <w:p>
      <w:pPr>
        <w:sectPr>
          <w:pgSz w:w="11900" w:h="16838" w:orient="portrait"/>
          <w:cols w:equalWidth="0" w:num="2">
            <w:col w:w="5563" w:space="720"/>
            <w:col w:w="4917"/>
          </w:cols>
          <w:pgMar w:left="240" w:top="459" w:right="459" w:bottom="1440" w:gutter="0" w:footer="0" w:header="0"/>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Responsibility</w:t>
      </w:r>
    </w:p>
    <w:p>
      <w:pPr>
        <w:spacing w:after="0" w:line="96" w:lineRule="exact"/>
        <w:rPr>
          <w:sz w:val="20"/>
          <w:szCs w:val="20"/>
          <w:color w:val="auto"/>
        </w:rPr>
      </w:pPr>
    </w:p>
    <w:p>
      <w:pPr>
        <w:ind w:left="200" w:right="1040" w:firstLine="441"/>
        <w:spacing w:after="0" w:line="268" w:lineRule="auto"/>
        <w:rPr>
          <w:sz w:val="20"/>
          <w:szCs w:val="20"/>
          <w:color w:val="auto"/>
        </w:rPr>
      </w:pPr>
      <w:r>
        <w:rPr>
          <w:rFonts w:ascii="Arial" w:cs="Arial" w:eastAsia="Arial" w:hAnsi="Arial"/>
          <w:sz w:val="18"/>
          <w:szCs w:val="18"/>
          <w:color w:val="auto"/>
        </w:rPr>
        <w:t>We have a long history of leadership in corporate responsibility, and pursue corporate social responsibility and sustainability along four axes — economic, environmental, social, and governance and ethics.</w:t>
      </w:r>
    </w:p>
    <w:p>
      <w:pPr>
        <w:spacing w:after="0" w:line="126" w:lineRule="exact"/>
        <w:rPr>
          <w:sz w:val="20"/>
          <w:szCs w:val="20"/>
          <w:color w:val="auto"/>
        </w:rPr>
      </w:pPr>
    </w:p>
    <w:p>
      <w:pPr>
        <w:ind w:left="200" w:right="80" w:firstLine="441"/>
        <w:spacing w:after="0" w:line="301" w:lineRule="auto"/>
        <w:rPr>
          <w:sz w:val="20"/>
          <w:szCs w:val="20"/>
          <w:color w:val="auto"/>
        </w:rPr>
      </w:pPr>
      <w:r>
        <w:rPr>
          <w:rFonts w:ascii="Arial" w:cs="Arial" w:eastAsia="Arial" w:hAnsi="Arial"/>
          <w:sz w:val="16"/>
          <w:szCs w:val="16"/>
          <w:b w:val="1"/>
          <w:bCs w:val="1"/>
          <w:color w:val="auto"/>
        </w:rPr>
        <w:t>Economic Sustainability</w:t>
      </w:r>
      <w:r>
        <w:rPr>
          <w:rFonts w:ascii="Arial" w:cs="Arial" w:eastAsia="Arial" w:hAnsi="Arial"/>
          <w:sz w:val="16"/>
          <w:szCs w:val="16"/>
          <w:color w:val="auto"/>
        </w:rPr>
        <w:t>. While ADI strives for profitable growth, we are focused not just on the next quarter but on seeking to ensure that our</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technological innovations continue to have impact and that our employees and investors continue to share in the success of ADI. Our best-in-class financial model, global operations, and smart supply chain management are just a few of the ways we are able to successfully serve our stakeholders while maximizing our ability to pursue the business practices and innovations that support our longer-term success.</w:t>
      </w:r>
    </w:p>
    <w:p>
      <w:pPr>
        <w:spacing w:after="0" w:line="103"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Environmental Sustainability</w:t>
      </w:r>
      <w:r>
        <w:rPr>
          <w:rFonts w:ascii="Arial" w:cs="Arial" w:eastAsia="Arial" w:hAnsi="Arial"/>
          <w:sz w:val="18"/>
          <w:szCs w:val="18"/>
          <w:color w:val="auto"/>
        </w:rPr>
        <w:t>. ADI approaches the environmental impact of its operations, including the manufacturing and distribution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with the same focus on innovation as it does the design of those products. We are committed to conserving resources, minimizing the environmental impacts of our operations, and providing a safe and healthy workplace for our employees and the communities in which we operate. We view this as an economic imperative as much as an environmental one.</w:t>
      </w:r>
    </w:p>
    <w:p>
      <w:pPr>
        <w:spacing w:after="0" w:line="136" w:lineRule="exact"/>
        <w:rPr>
          <w:sz w:val="20"/>
          <w:szCs w:val="20"/>
          <w:color w:val="auto"/>
        </w:rPr>
      </w:pPr>
    </w:p>
    <w:p>
      <w:pPr>
        <w:ind w:left="200" w:right="20" w:firstLine="441"/>
        <w:spacing w:after="0" w:line="258" w:lineRule="auto"/>
        <w:rPr>
          <w:sz w:val="20"/>
          <w:szCs w:val="20"/>
          <w:color w:val="auto"/>
        </w:rPr>
      </w:pPr>
      <w:r>
        <w:rPr>
          <w:rFonts w:ascii="Arial" w:cs="Arial" w:eastAsia="Arial" w:hAnsi="Arial"/>
          <w:sz w:val="18"/>
          <w:szCs w:val="18"/>
          <w:b w:val="1"/>
          <w:bCs w:val="1"/>
          <w:color w:val="auto"/>
        </w:rPr>
        <w:t>Social Sustainability</w:t>
      </w:r>
      <w:r>
        <w:rPr>
          <w:rFonts w:ascii="Arial" w:cs="Arial" w:eastAsia="Arial" w:hAnsi="Arial"/>
          <w:sz w:val="18"/>
          <w:szCs w:val="18"/>
          <w:color w:val="auto"/>
        </w:rPr>
        <w:t>. ADI’s stakeholder ecosystem extends beyond the typical focus on investors, employees, and customers to the communities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world in which we operate. We strive to be a positive influence in our communities by living up to the highest ethical standards, pursuing socially minded business practices, providing rewarding career and employment opportunities, and giving back to our communities in concert with our employees’ individual efforts.</w:t>
      </w:r>
    </w:p>
    <w:p>
      <w:pPr>
        <w:spacing w:after="0" w:line="136" w:lineRule="exact"/>
        <w:rPr>
          <w:sz w:val="20"/>
          <w:szCs w:val="20"/>
          <w:color w:val="auto"/>
        </w:rPr>
      </w:pPr>
    </w:p>
    <w:p>
      <w:pPr>
        <w:jc w:val="both"/>
        <w:ind w:left="200" w:right="320" w:firstLine="441"/>
        <w:spacing w:after="0" w:line="326" w:lineRule="auto"/>
        <w:rPr>
          <w:sz w:val="20"/>
          <w:szCs w:val="20"/>
          <w:color w:val="auto"/>
        </w:rPr>
      </w:pPr>
      <w:r>
        <w:rPr>
          <w:rFonts w:ascii="Arial" w:cs="Arial" w:eastAsia="Arial" w:hAnsi="Arial"/>
          <w:sz w:val="15"/>
          <w:szCs w:val="15"/>
          <w:b w:val="1"/>
          <w:bCs w:val="1"/>
          <w:color w:val="auto"/>
        </w:rPr>
        <w:t xml:space="preserve">Governance and Ethical Sustainability. </w:t>
      </w:r>
      <w:r>
        <w:rPr>
          <w:rFonts w:ascii="Arial" w:cs="Arial" w:eastAsia="Arial" w:hAnsi="Arial"/>
          <w:sz w:val="15"/>
          <w:szCs w:val="15"/>
          <w:color w:val="auto"/>
        </w:rPr>
        <w:t>Ethical behavior has been a core tenet of our Company’s values since our earliest days. Our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across all locations and job functions, have internalized the value of ethical behavior, routinely going beyond mere compliance with applicable laws and regulations. Our long history of leadership in the area of governance and ethics has resulted in a trusted reputation among our customers, investors, and employees, as well as the communities where we operate. That is a trust that we have worked hard to earn and one we don’t take lightly.</w:t>
      </w:r>
    </w:p>
    <w:p>
      <w:pPr>
        <w:spacing w:after="0" w:line="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more information about our corporate responsibility efforts, please refer to our Sustainability Report available on the Analog Devices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154305</wp:posOffset>
            </wp:positionV>
            <wp:extent cx="5085715" cy="1106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8571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Greenhouse gas emissions reduction compared to 2015 levels. Non-hazardous waste and water recycling for calendar year 2016.</w:t>
      </w:r>
    </w:p>
    <w:p>
      <w:pPr>
        <w:spacing w:after="0" w:line="13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90" w:lineRule="exact"/>
        <w:rPr>
          <w:sz w:val="20"/>
          <w:szCs w:val="20"/>
          <w:color w:val="auto"/>
        </w:rPr>
      </w:pPr>
    </w:p>
    <w:p>
      <w:pPr>
        <w:ind w:left="200" w:right="140" w:firstLine="444"/>
        <w:spacing w:after="0" w:line="268" w:lineRule="auto"/>
        <w:tabs>
          <w:tab w:leader="none" w:pos="8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election of the nine nominees named in this proxy statement to our Board of Directors, each for a term expiring at the next annual meeting of shareholders.</w:t>
      </w:r>
    </w:p>
    <w:p>
      <w:pPr>
        <w:spacing w:after="0" w:line="131" w:lineRule="exact"/>
        <w:rPr>
          <w:rFonts w:ascii="Arial" w:cs="Arial" w:eastAsia="Arial" w:hAnsi="Arial"/>
          <w:sz w:val="18"/>
          <w:szCs w:val="18"/>
          <w:color w:val="auto"/>
        </w:rPr>
      </w:pPr>
    </w:p>
    <w:p>
      <w:pPr>
        <w:ind w:left="200" w:right="740" w:firstLine="444"/>
        <w:spacing w:after="0" w:line="332" w:lineRule="auto"/>
        <w:tabs>
          <w:tab w:leader="none" w:pos="8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85" w:lineRule="exact"/>
        <w:rPr>
          <w:rFonts w:ascii="Arial" w:cs="Arial" w:eastAsia="Arial" w:hAnsi="Arial"/>
          <w:sz w:val="16"/>
          <w:szCs w:val="16"/>
          <w:color w:val="auto"/>
        </w:rPr>
      </w:pPr>
    </w:p>
    <w:p>
      <w:pPr>
        <w:ind w:left="200" w:firstLine="444"/>
        <w:spacing w:after="0" w:line="268" w:lineRule="auto"/>
        <w:tabs>
          <w:tab w:leader="none" w:pos="8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November 3, 2018, or fiscal 2018.</w:t>
      </w:r>
    </w:p>
    <w:p>
      <w:pPr>
        <w:spacing w:after="0" w:line="132"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meeting.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To be able to vote, you must have been an Analog Devices shareholder of record at the close of business on January 8, 2018. This date is the record date for the Annual Meeting. The number of outstanding shares entitled to vote on each proposal at the Annual Meeting is 372,673,991 shares of our common stock.</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four ways.</w:t>
      </w:r>
    </w:p>
    <w:p>
      <w:pPr>
        <w:spacing w:after="0" w:line="132" w:lineRule="exact"/>
        <w:rPr>
          <w:sz w:val="20"/>
          <w:szCs w:val="20"/>
          <w:color w:val="auto"/>
        </w:rPr>
      </w:pPr>
    </w:p>
    <w:p>
      <w:pPr>
        <w:ind w:left="200" w:right="300" w:firstLine="444"/>
        <w:spacing w:after="0" w:line="268" w:lineRule="auto"/>
        <w:tabs>
          <w:tab w:leader="none" w:pos="889"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 the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instructions on the Notice or the proxy card.</w:t>
      </w:r>
    </w:p>
    <w:p>
      <w:pPr>
        <w:spacing w:after="0" w:line="131" w:lineRule="exact"/>
        <w:rPr>
          <w:rFonts w:ascii="Arial" w:cs="Arial" w:eastAsia="Arial" w:hAnsi="Arial"/>
          <w:sz w:val="18"/>
          <w:szCs w:val="18"/>
          <w:i w:val="1"/>
          <w:iCs w:val="1"/>
          <w:color w:val="auto"/>
        </w:rPr>
      </w:pPr>
    </w:p>
    <w:p>
      <w:pPr>
        <w:ind w:left="900" w:hanging="256"/>
        <w:spacing w:after="0"/>
        <w:tabs>
          <w:tab w:leader="none" w:pos="90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You may vote by telephone. </w:t>
      </w:r>
      <w:r>
        <w:rPr>
          <w:rFonts w:ascii="Arial" w:cs="Arial" w:eastAsia="Arial" w:hAnsi="Arial"/>
          <w:sz w:val="16"/>
          <w:szCs w:val="16"/>
          <w:color w:val="auto"/>
        </w:rPr>
        <w:t>You may vote your shares by following the telephone voting instructions on the Notice or the proxy card.</w:t>
      </w:r>
    </w:p>
    <w:p>
      <w:pPr>
        <w:spacing w:after="0" w:line="194" w:lineRule="exact"/>
        <w:rPr>
          <w:rFonts w:ascii="Arial" w:cs="Arial" w:eastAsia="Arial" w:hAnsi="Arial"/>
          <w:sz w:val="16"/>
          <w:szCs w:val="16"/>
          <w:i w:val="1"/>
          <w:iCs w:val="1"/>
          <w:color w:val="auto"/>
        </w:rPr>
      </w:pPr>
    </w:p>
    <w:p>
      <w:pPr>
        <w:ind w:left="200" w:right="20" w:firstLine="444"/>
        <w:spacing w:after="0" w:line="294" w:lineRule="auto"/>
        <w:tabs>
          <w:tab w:leader="none" w:pos="889"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You may vote by mail. </w:t>
      </w:r>
      <w:r>
        <w:rPr>
          <w:rFonts w:ascii="Arial" w:cs="Arial" w:eastAsia="Arial" w:hAnsi="Arial"/>
          <w:sz w:val="16"/>
          <w:szCs w:val="16"/>
          <w:color w:val="auto"/>
        </w:rPr>
        <w:t>If you received a printed proxy card, you may vote by completing and signing the proxy card and promptly mailing it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6"/>
          <w:szCs w:val="16"/>
          <w:b w:val="1"/>
          <w:bCs w:val="1"/>
          <w:color w:val="auto"/>
        </w:rPr>
        <w:t>If you return the proxy card, but do not give any instructions on a particular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matter described in this proxy statement, the shares you own will be voted in accordance with the recommendations of our Board of Directors.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recommends that you vote FOR each director nominee and FOR Proposals 2 and 3.</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80" w:firstLine="444"/>
        <w:spacing w:after="0" w:line="268" w:lineRule="auto"/>
        <w:tabs>
          <w:tab w:leader="none" w:pos="889"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Annual Meeting, you may vote by delivering your completed proxy card in person or by completing a</w:t>
      </w:r>
      <w:r>
        <w:rPr>
          <w:rFonts w:ascii="Arial" w:cs="Arial" w:eastAsia="Arial" w:hAnsi="Arial"/>
          <w:sz w:val="18"/>
          <w:szCs w:val="18"/>
          <w:i w:val="1"/>
          <w:iCs w:val="1"/>
          <w:color w:val="auto"/>
        </w:rPr>
        <w:t xml:space="preserve"> </w:t>
      </w:r>
      <w:r>
        <w:rPr>
          <w:rFonts w:ascii="Arial" w:cs="Arial" w:eastAsia="Arial" w:hAnsi="Arial"/>
          <w:sz w:val="18"/>
          <w:szCs w:val="18"/>
          <w:color w:val="auto"/>
        </w:rPr>
        <w:t>ballot. Ballots will be available at the Annual Meeting.</w:t>
      </w:r>
    </w:p>
    <w:p>
      <w:pPr>
        <w:spacing w:after="0" w:line="126" w:lineRule="exact"/>
        <w:rPr>
          <w:sz w:val="20"/>
          <w:szCs w:val="20"/>
          <w:color w:val="auto"/>
        </w:rPr>
      </w:pPr>
    </w:p>
    <w:p>
      <w:pPr>
        <w:ind w:left="200" w:right="140" w:firstLine="441"/>
        <w:spacing w:after="0" w:line="275" w:lineRule="auto"/>
        <w:rPr>
          <w:sz w:val="20"/>
          <w:szCs w:val="20"/>
          <w:color w:val="auto"/>
        </w:rPr>
      </w:pPr>
      <w:r>
        <w:rPr>
          <w:rFonts w:ascii="Arial" w:cs="Arial" w:eastAsia="Arial" w:hAnsi="Arial"/>
          <w:sz w:val="18"/>
          <w:szCs w:val="18"/>
          <w:b w:val="1"/>
          <w:bCs w:val="1"/>
          <w:color w:val="auto"/>
        </w:rPr>
        <w:t>Please note that you cannot vote by marking up the Notice of Internet Availability of the Proxy Materials and mailing the Notice back. Any votes returned in that manner will not be counted.</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the Analog Devices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voting instruction form.</w:t>
      </w:r>
    </w:p>
    <w:p>
      <w:pPr>
        <w:spacing w:after="0" w:line="14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If you hold shares through an account with a broker, the voting of shares by such broker when you do not provide voting instructions is governed by applicable stock exchange rules. These rules allow brokers to vote shares at their discretion on “routine” matters for which their customers do not provide voting instructions. On matters that are considered “non-routine,” brokers may not vote shares without your instruction. The ratification of the selection of Ernst &amp; Young LLP as our independent registered public accounting firm for fiscal 2018 (Proposal 3) is considered a “routine” matter and your broker will be able to vote on that proposal even if it does not receive instructions from you, so long as it holds your shares in its name. </w:t>
      </w:r>
      <w:r>
        <w:rPr>
          <w:rFonts w:ascii="Arial" w:cs="Arial" w:eastAsia="Arial" w:hAnsi="Arial"/>
          <w:sz w:val="16"/>
          <w:szCs w:val="16"/>
          <w:b w:val="1"/>
          <w:bCs w:val="1"/>
          <w:color w:val="auto"/>
        </w:rPr>
        <w:t>The election of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(Proposal 1) and the “say on pay” advisory vote (Proposal 2) are “non-routine” matters. If you do not instruct your bank, broker or other nominee how to vote with respect to these proposals, your bank, broker or other nominee may not vote with respect to these proposals and those votes will be counted as “broker non-votes.” </w:t>
      </w:r>
      <w:r>
        <w:rPr>
          <w:rFonts w:ascii="Arial" w:cs="Arial" w:eastAsia="Arial" w:hAnsi="Arial"/>
          <w:sz w:val="16"/>
          <w:szCs w:val="16"/>
          <w:color w:val="auto"/>
        </w:rPr>
        <w:t>“Broker non-votes” are shares that are held in “street name” by a bank, broker or other nominee that indicates on its</w:t>
      </w:r>
      <w:r>
        <w:rPr>
          <w:rFonts w:ascii="Arial" w:cs="Arial" w:eastAsia="Arial" w:hAnsi="Arial"/>
          <w:sz w:val="16"/>
          <w:szCs w:val="16"/>
          <w:b w:val="1"/>
          <w:bCs w:val="1"/>
          <w:color w:val="auto"/>
        </w:rPr>
        <w:t xml:space="preserve"> </w:t>
      </w:r>
      <w:r>
        <w:rPr>
          <w:rFonts w:ascii="Arial" w:cs="Arial" w:eastAsia="Arial" w:hAnsi="Arial"/>
          <w:sz w:val="16"/>
          <w:szCs w:val="16"/>
          <w:color w:val="auto"/>
        </w:rPr>
        <w:t>proxy that it does not have or did not exercise discretionary authority to vote on a particular proposal.</w:t>
      </w:r>
    </w:p>
    <w:p>
      <w:pPr>
        <w:spacing w:after="0" w:line="120" w:lineRule="exact"/>
        <w:rPr>
          <w:sz w:val="20"/>
          <w:szCs w:val="20"/>
          <w:color w:val="auto"/>
        </w:rPr>
      </w:pPr>
    </w:p>
    <w:p>
      <w:pPr>
        <w:ind w:left="200" w:right="120" w:firstLine="441"/>
        <w:spacing w:after="0" w:line="256"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 or other nominee, showing that you are the beneficial owner of the shares as of the record date (January 8, 2018) in order to be admitted to the Annual Meeting on March 14, 2018. To be able to vote your shares held in “street name” at the Annual Meeting, you will need to obtain a legal proxy from your bank, broker or other nominee, issued in your name giving you the right to vote your shares.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9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5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voting over the Internet or by telephone as instructed above (only your latest Internet or telephone vote is counted);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signing and returning another proxy card with a later date;</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attending the Annual Meeting, requesting that your proxy be revoked and voting in person as instructed above.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above entitled “Can I vote if my shares are held in ‘street name’”?</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9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you participate in the Analog Ireland Success Sharing Share Plan, which we refer to as the Ireland share plan, you may instruct Irish Pensions Trust Limited, which serves as the trustee of the Ireland share plan, to vote the amount of shares of common stock that they hold on your behalf as of the record date. You will receive a voting card that you may use to direct Mercer Ireland Limited, or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March 7, 2018, Mercer will not vote your shares.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8, 2018, the record date, or at least 186,336,996 shares.</w:t>
      </w:r>
    </w:p>
    <w:p>
      <w:pPr>
        <w:spacing w:after="0" w:line="140" w:lineRule="exact"/>
        <w:rPr>
          <w:sz w:val="20"/>
          <w:szCs w:val="20"/>
          <w:color w:val="auto"/>
        </w:rPr>
      </w:pPr>
    </w:p>
    <w:p>
      <w:pPr>
        <w:ind w:left="200" w:right="420" w:firstLine="441"/>
        <w:spacing w:after="0" w:line="332"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 quorum is not present, the Annual Meeting will be adjourned until a quorum is obtained.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96" w:lineRule="exact"/>
        <w:rPr>
          <w:sz w:val="20"/>
          <w:szCs w:val="20"/>
          <w:color w:val="auto"/>
        </w:rPr>
      </w:pPr>
    </w:p>
    <w:p>
      <w:pPr>
        <w:ind w:left="200" w:right="60" w:firstLine="441"/>
        <w:spacing w:after="0" w:line="310" w:lineRule="auto"/>
        <w:rPr>
          <w:sz w:val="20"/>
          <w:szCs w:val="20"/>
          <w:color w:val="auto"/>
        </w:rPr>
      </w:pPr>
      <w:r>
        <w:rPr>
          <w:rFonts w:ascii="Arial" w:cs="Arial" w:eastAsia="Arial" w:hAnsi="Arial"/>
          <w:sz w:val="15"/>
          <w:szCs w:val="15"/>
          <w:i w:val="1"/>
          <w:iCs w:val="1"/>
          <w:color w:val="auto"/>
        </w:rPr>
        <w:t xml:space="preserve">Election of directors. </w:t>
      </w:r>
      <w:r>
        <w:rPr>
          <w:rFonts w:ascii="Arial" w:cs="Arial" w:eastAsia="Arial" w:hAnsi="Arial"/>
          <w:sz w:val="15"/>
          <w:szCs w:val="15"/>
          <w:color w:val="auto"/>
        </w:rPr>
        <w:t>Under our bylaws, a nominee will be elected to the Board of Directors if the votes cast “for” the nominee’s election exceed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w:t>
      </w:r>
      <w:r>
        <w:rPr>
          <w:rFonts w:ascii="Arial" w:cs="Arial" w:eastAsia="Arial" w:hAnsi="Arial"/>
          <w:sz w:val="15"/>
          <w:szCs w:val="15"/>
          <w:b w:val="1"/>
          <w:bCs w:val="1"/>
          <w:color w:val="auto"/>
        </w:rPr>
        <w:t>If you do not instruct your bank, broker or other nominee how to vote with respect to this proposal, your bank,</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broker or other nominee may not vote your shares with respect to the election of directors. </w:t>
      </w:r>
      <w:r>
        <w:rPr>
          <w:rFonts w:ascii="Arial" w:cs="Arial" w:eastAsia="Arial" w:hAnsi="Arial"/>
          <w:sz w:val="15"/>
          <w:szCs w:val="15"/>
          <w:color w:val="auto"/>
        </w:rPr>
        <w:t>If an incumbent director nominee in an uncontested</w:t>
      </w:r>
      <w:r>
        <w:rPr>
          <w:rFonts w:ascii="Arial" w:cs="Arial" w:eastAsia="Arial" w:hAnsi="Arial"/>
          <w:sz w:val="15"/>
          <w:szCs w:val="15"/>
          <w:b w:val="1"/>
          <w:bCs w:val="1"/>
          <w:color w:val="auto"/>
        </w:rPr>
        <w:t xml:space="preserve"> </w:t>
      </w:r>
      <w:r>
        <w:rPr>
          <w:rFonts w:ascii="Arial" w:cs="Arial" w:eastAsia="Arial" w:hAnsi="Arial"/>
          <w:sz w:val="15"/>
          <w:szCs w:val="15"/>
          <w:color w:val="auto"/>
        </w:rPr>
        <w:t>election of directors receives a majority of votes “against” his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108"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i w:val="1"/>
          <w:iCs w:val="1"/>
          <w:color w:val="auto"/>
        </w:rPr>
        <w:t xml:space="preserve">“Say on Pay.” </w:t>
      </w:r>
      <w:r>
        <w:rPr>
          <w:rFonts w:ascii="Arial" w:cs="Arial" w:eastAsia="Arial" w:hAnsi="Arial"/>
          <w:sz w:val="16"/>
          <w:szCs w:val="16"/>
          <w:color w:val="auto"/>
        </w:rPr>
        <w:t>Our Board of Directors is seeking a non-binding advisory vote regarding the compensation of our named executive officers,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described in 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Committee will take into account the outcome of the vote when considering future executive compensation arrangements. </w:t>
      </w:r>
      <w:r>
        <w:rPr>
          <w:rFonts w:ascii="Arial" w:cs="Arial" w:eastAsia="Arial" w:hAnsi="Arial"/>
          <w:sz w:val="16"/>
          <w:szCs w:val="16"/>
          <w:b w:val="1"/>
          <w:bCs w:val="1"/>
          <w:color w:val="auto"/>
        </w:rPr>
        <w:t>If you do not instruct your bank, broker or other nominee how to vote with respect to this proposal, your</w:t>
      </w:r>
      <w:r>
        <w:rPr>
          <w:rFonts w:ascii="Arial" w:cs="Arial" w:eastAsia="Arial" w:hAnsi="Arial"/>
          <w:sz w:val="16"/>
          <w:szCs w:val="16"/>
          <w:color w:val="auto"/>
        </w:rPr>
        <w:t xml:space="preserve"> </w:t>
      </w:r>
      <w:r>
        <w:rPr>
          <w:rFonts w:ascii="Arial" w:cs="Arial" w:eastAsia="Arial" w:hAnsi="Arial"/>
          <w:sz w:val="16"/>
          <w:szCs w:val="16"/>
          <w:b w:val="1"/>
          <w:bCs w:val="1"/>
          <w:color w:val="auto"/>
        </w:rPr>
        <w:t>bank, broker or other nominee may not vote your shares with respect to this proposal.</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 number of votes cast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the proposal is needed to ratify the selection of Ernst &amp; Young LLP as our independent registered public accounting firm for fiscal 2018. </w:t>
      </w:r>
      <w:r>
        <w:rPr>
          <w:rFonts w:ascii="Arial" w:cs="Arial" w:eastAsia="Arial" w:hAnsi="Arial"/>
          <w:sz w:val="18"/>
          <w:szCs w:val="18"/>
          <w:b w:val="1"/>
          <w:bCs w:val="1"/>
          <w:color w:val="auto"/>
        </w:rPr>
        <w:t>Even if you do</w:t>
      </w:r>
      <w:r>
        <w:rPr>
          <w:rFonts w:ascii="Arial" w:cs="Arial" w:eastAsia="Arial" w:hAnsi="Arial"/>
          <w:sz w:val="18"/>
          <w:szCs w:val="18"/>
          <w:color w:val="auto"/>
        </w:rPr>
        <w:t xml:space="preserve"> </w:t>
      </w:r>
      <w:r>
        <w:rPr>
          <w:rFonts w:ascii="Arial" w:cs="Arial" w:eastAsia="Arial" w:hAnsi="Arial"/>
          <w:sz w:val="18"/>
          <w:szCs w:val="18"/>
          <w:b w:val="1"/>
          <w:bCs w:val="1"/>
          <w:color w:val="auto"/>
        </w:rPr>
        <w:t>not instruct your bank, broker or other nominee how to vote with respect to this proposal, your bank, broker or other nominee may vote your shares with respect to this proposal.</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ind w:left="200" w:right="240" w:firstLine="441"/>
        <w:spacing w:after="0" w:line="303" w:lineRule="auto"/>
        <w:rPr>
          <w:sz w:val="20"/>
          <w:szCs w:val="20"/>
          <w:color w:val="auto"/>
        </w:rPr>
      </w:pPr>
      <w:r>
        <w:rPr>
          <w:rFonts w:ascii="Arial" w:cs="Arial" w:eastAsia="Arial" w:hAnsi="Arial"/>
          <w:sz w:val="15"/>
          <w:szCs w:val="15"/>
          <w:color w:val="auto"/>
        </w:rPr>
        <w:t>Each share of common stock will be counted as one vote according to the instructions contained on a properly completed proxy card, whether submitted in person, by mail, over the Internet or by telephone, or on a ballot voted in person at the Annual Meeting. With respect to all proposals, shares will not be voted in favor of the matter, and will not be counted as voting on the matter, if they either (1) abstain from voting on a particular matter, or</w:t>
      </w:r>
    </w:p>
    <w:p>
      <w:pPr>
        <w:spacing w:after="0" w:line="1" w:lineRule="exact"/>
        <w:rPr>
          <w:sz w:val="20"/>
          <w:szCs w:val="20"/>
          <w:color w:val="auto"/>
        </w:rPr>
      </w:pPr>
    </w:p>
    <w:p>
      <w:pPr>
        <w:ind w:left="200" w:right="180" w:firstLine="4"/>
        <w:spacing w:after="0" w:line="302" w:lineRule="auto"/>
        <w:tabs>
          <w:tab w:leader="none" w:pos="4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are “broker non-votes.” Banks, brokers and other nominees who do not receive instructions with respect to Proposals 1 or 2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votes will be counted, tabulated and certified by Broadridge.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jc w:val="both"/>
        <w:ind w:left="200" w:right="160" w:firstLine="441"/>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jc w:val="both"/>
        <w:ind w:left="200" w:right="140" w:firstLine="441"/>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nine nominees to serve as directors on the Board of Directors, each for a term expiring at the next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(Proposal 1);</w:t>
      </w:r>
    </w:p>
    <w:p>
      <w:pPr>
        <w:spacing w:after="0" w:line="120" w:lineRule="exact"/>
        <w:rPr>
          <w:sz w:val="20"/>
          <w:szCs w:val="20"/>
          <w:color w:val="auto"/>
        </w:rPr>
      </w:pPr>
    </w:p>
    <w:p>
      <w:pPr>
        <w:ind w:left="200" w:right="580" w:firstLine="441"/>
        <w:spacing w:after="0" w:line="378" w:lineRule="auto"/>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by non-binding “say on pay” vote, of the compensation of our named executive officers, as described in the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Discussion and Analysis, executive compensation tables and accompanying narrative disclosures contained in this proxy statement (Proposal 2); and</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Ernst &amp; Young LLP as our independent registered public accounting firm for fiscal 2018 (Proposal 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Will any other matters be voted on at this meeting?</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 xml:space="preserve">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6"/>
          <w:szCs w:val="16"/>
          <w:b w:val="1"/>
          <w:bCs w:val="1"/>
          <w:i w:val="1"/>
          <w:iCs w:val="1"/>
          <w:color w:val="auto"/>
        </w:rPr>
        <w:t>“How and when may I submit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shareholder proposal, including a shareholder nomination for director, for the 2019 annual meeting of shareholders?” </w:t>
      </w:r>
      <w:r>
        <w:rPr>
          <w:rFonts w:ascii="Arial" w:cs="Arial" w:eastAsia="Arial" w:hAnsi="Arial"/>
          <w:sz w:val="16"/>
          <w:szCs w:val="16"/>
          <w:color w:val="auto"/>
        </w:rPr>
        <w:t>below.</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report the voting results in a Form 8-K filed with the SEC within four business days after the end of the Annual Meeting.</w:t>
      </w:r>
    </w:p>
    <w:p>
      <w:pPr>
        <w:spacing w:after="0" w:line="246" w:lineRule="exact"/>
        <w:rPr>
          <w:sz w:val="20"/>
          <w:szCs w:val="20"/>
          <w:color w:val="auto"/>
        </w:rPr>
      </w:pPr>
    </w:p>
    <w:p>
      <w:pPr>
        <w:ind w:left="200" w:right="1060"/>
        <w:spacing w:after="0" w:line="275" w:lineRule="auto"/>
        <w:rPr>
          <w:sz w:val="20"/>
          <w:szCs w:val="20"/>
          <w:color w:val="auto"/>
        </w:rPr>
      </w:pPr>
      <w:r>
        <w:rPr>
          <w:rFonts w:ascii="Arial" w:cs="Arial" w:eastAsia="Arial" w:hAnsi="Arial"/>
          <w:sz w:val="18"/>
          <w:szCs w:val="18"/>
          <w:b w:val="1"/>
          <w:bCs w:val="1"/>
          <w:color w:val="auto"/>
        </w:rPr>
        <w:t>How and when may I submit a shareholder proposal, including a shareholder nomination for director, for the 2019 annual meeting of shareholders?</w:t>
      </w:r>
    </w:p>
    <w:p>
      <w:pPr>
        <w:spacing w:after="0" w:line="45"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If you are interested in submitting a proposal for inclusion in our proxy statement for the 2019 annual meeting, you need to follow the procedures outlined in Rule 14a-8 of the Securities Exchange Act of 1934, or the Exchange Act. To be eligible for inclusion, we must receive your shareholder proposal for our proxy statement for the 2019 annual meeting of shareholders at our principal corporate offices in Norwood, Massachusetts at the address below no later than September 28, 2018.</w:t>
      </w:r>
    </w:p>
    <w:p>
      <w:pPr>
        <w:spacing w:after="0" w:line="14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 Assuming that the 2019 annual meeting is not advanced by more than 20 days nor delayed by more than 60 days from the anniversary date of the 2018 annual meeting, you would need to give us appropriate notice at the address noted below no earlier than November 14, 2018, and no later than December 14, 2018. If a shareholder does not provide timely notice of a nomination or other matter to be presented at the 2019 annual meeting, under Massachusetts law, it may not be brought before our shareholders at a meeting.</w:t>
      </w:r>
    </w:p>
    <w:p>
      <w:pPr>
        <w:spacing w:after="0" w:line="123"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 and publicly available on our website.</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proposals, nominations or notices should be sent to:</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Margaret K. Seif, Secretary</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781-461-3367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margaret.seif@analog.com</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are the costs of soliciting these proxies and who will pay?</w:t>
      </w:r>
    </w:p>
    <w:p>
      <w:pPr>
        <w:spacing w:after="0" w:line="9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will bear the costs of solicitation of proxies. We have engaged Alliance Advisors LLC to assist us with the solicitation of proxies and expect to pay Alliance Advisors approximately $11,500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Why did I receive a “Notice of Internet Availability of Proxy Materials” but no proxy materials?</w:t>
      </w:r>
    </w:p>
    <w:p>
      <w:pPr>
        <w:spacing w:after="0" w:line="96"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are distributing our proxy materials to stockholders via the Internet under the “Notice and Access” approach permitted by the rules of the U.S. Securities and Exchange Commission, or SEC. This approach expedites stockholders’ receipt of proxy materials while conserving natural resources and reducing our distribution costs. On or about January 26, 2018, we mailed a Notice of Internet Availability of Proxy Materials containing instructions on how to access the proxy materials on the Internet to participating stockholders, and if desired, to request to receive a paper copy of our proxy materials by mail.</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Annual Report on Form 10-K for the fiscal year ended October 28, 2017, or fiscal 2017, is available on our website at www.analog.com. If you would like a copy of our Annual Report on Form 10-K for fiscal 2017 and/or any of its exhibits, we will send you such materials without charge. Please contact: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our Investor Relations Department, at the address, telephone number or email address listed above.</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7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5"/>
          <w:szCs w:val="15"/>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Investor Relations Department, Analog Devices, Inc., One Technology Way, Norwood, Massachusetts 02062,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contains information regarding the beneficial ownership of our common stock as of January 12, 2018 (unless otherwise specified)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Acquirable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Name and Address of Beneficial Owner(1)</w:t>
            </w:r>
          </w:p>
        </w:tc>
        <w:tc>
          <w:tcPr>
            <w:tcW w:w="4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within 60</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1340" w:type="dxa"/>
            <w:vAlign w:val="bottom"/>
            <w:gridSpan w:val="3"/>
          </w:tcPr>
          <w:p>
            <w:pPr>
              <w:jc w:val="center"/>
              <w:ind w:left="133"/>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Owned(2)</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Days(3)</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4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Owned(4)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Vanguard Group Inc.(5)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29,649,474</w:t>
            </w:r>
          </w:p>
        </w:tc>
        <w:tc>
          <w:tcPr>
            <w:tcW w:w="46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29,649,474</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40"/>
              <w:spacing w:after="0"/>
              <w:rPr>
                <w:sz w:val="20"/>
                <w:szCs w:val="20"/>
                <w:color w:val="auto"/>
              </w:rPr>
            </w:pPr>
            <w:r>
              <w:rPr>
                <w:rFonts w:ascii="Arial" w:cs="Arial" w:eastAsia="Arial" w:hAnsi="Arial"/>
                <w:sz w:val="18"/>
                <w:szCs w:val="18"/>
                <w:color w:val="auto"/>
              </w:rPr>
              <w:t>PO Box 2600</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840"/>
              <w:spacing w:after="0"/>
              <w:rPr>
                <w:sz w:val="20"/>
                <w:szCs w:val="20"/>
                <w:color w:val="auto"/>
              </w:rPr>
            </w:pPr>
            <w:r>
              <w:rPr>
                <w:rFonts w:ascii="Arial" w:cs="Arial" w:eastAsia="Arial" w:hAnsi="Arial"/>
                <w:sz w:val="18"/>
                <w:szCs w:val="18"/>
                <w:color w:val="auto"/>
              </w:rPr>
              <w:t>Valley Forge, Pennsylvania 19482</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Blackrock Inc.(6)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23,689,079</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23,689,079</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55 East 52nd Street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New York, New York 10055</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Capital World Investors(7)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20,317,275</w:t>
            </w:r>
          </w:p>
        </w:tc>
        <w:tc>
          <w:tcPr>
            <w:tcW w:w="46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20,317,275</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40"/>
              <w:spacing w:after="0"/>
              <w:rPr>
                <w:sz w:val="20"/>
                <w:szCs w:val="20"/>
                <w:color w:val="auto"/>
              </w:rPr>
            </w:pPr>
            <w:r>
              <w:rPr>
                <w:rFonts w:ascii="Arial" w:cs="Arial" w:eastAsia="Arial" w:hAnsi="Arial"/>
                <w:sz w:val="18"/>
                <w:szCs w:val="18"/>
                <w:color w:val="auto"/>
              </w:rPr>
              <w:t>333 South Hope Street</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840"/>
              <w:spacing w:after="0"/>
              <w:rPr>
                <w:sz w:val="20"/>
                <w:szCs w:val="20"/>
                <w:color w:val="auto"/>
              </w:rPr>
            </w:pPr>
            <w:r>
              <w:rPr>
                <w:rFonts w:ascii="Arial" w:cs="Arial" w:eastAsia="Arial" w:hAnsi="Arial"/>
                <w:sz w:val="18"/>
                <w:szCs w:val="18"/>
                <w:color w:val="auto"/>
              </w:rPr>
              <w:t>Los Angeles, California 90071</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JP Morgan Chase &amp; Co(8)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18,572,818</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18,572,818</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270 Park Avenue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New York, New York 10017</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James A. Champy(9)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67,245</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Bruce R. Evans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67,640</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15,345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Edward H. Frank</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Joseph (John) Hassett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11,739</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64,226</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Rick D. Hess(10)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49,557</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Mark M. Little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Prashanth Mahendra-Rajah(11)</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Neil Novich</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20,285</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63,165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83,450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Steve Pietkiewicz</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48,672</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Peter Real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11,644</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98,957</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110,601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Vincent Roche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128,657</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467,882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Kenton J. Sicchitano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17,785</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55,665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Ray Stata(12)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928,190</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Lisa T. Su</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8,385</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28,215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Eileen Wynne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David Zinsner(13)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30,068</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103,931</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133,999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8"/>
              </w:rPr>
              <w:t>All directors and executive officers as a group (19 persons, consisting of 11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officers and 8 non-employee directors)(14)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1,338,420</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1,112,786</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2,451,206</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0"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our common stock.</w:t>
      </w:r>
    </w:p>
    <w:p>
      <w:pPr>
        <w:spacing w:after="0" w:line="15" w:lineRule="exact"/>
        <w:rPr>
          <w:sz w:val="20"/>
          <w:szCs w:val="20"/>
          <w:color w:val="auto"/>
        </w:rPr>
      </w:pPr>
    </w:p>
    <w:p>
      <w:pPr>
        <w:ind w:left="640" w:right="240" w:hanging="436"/>
        <w:spacing w:after="0" w:line="261"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Massachusetts 02062.</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60" w:hanging="436"/>
        <w:spacing w:after="0" w:line="303" w:lineRule="auto"/>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1" w:lineRule="exact"/>
        <w:rPr>
          <w:rFonts w:ascii="Arial" w:cs="Arial" w:eastAsia="Arial" w:hAnsi="Arial"/>
          <w:sz w:val="15"/>
          <w:szCs w:val="15"/>
          <w:color w:val="auto"/>
        </w:rPr>
      </w:pPr>
    </w:p>
    <w:p>
      <w:pPr>
        <w:ind w:left="64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12, 2018.</w:t>
      </w:r>
    </w:p>
    <w:p>
      <w:pPr>
        <w:spacing w:after="0" w:line="3" w:lineRule="exact"/>
        <w:rPr>
          <w:rFonts w:ascii="Arial" w:cs="Arial" w:eastAsia="Arial" w:hAnsi="Arial"/>
          <w:sz w:val="16"/>
          <w:szCs w:val="16"/>
          <w:color w:val="auto"/>
        </w:rPr>
      </w:pPr>
    </w:p>
    <w:p>
      <w:pPr>
        <w:ind w:left="640" w:right="24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percent ownership for each shareholder on January 12, 2018 is calculated by dividing (1) the total number of shares beneficially owned by the shareholder by (2) the number of shares of our common stock outstanding on January 12, 2018 (372,719,143 shares) plus any shares acquirable (including exercisable stock options) by the shareholder in question within 60 days after January 12, 2018.</w:t>
      </w:r>
    </w:p>
    <w:p>
      <w:pPr>
        <w:spacing w:after="0" w:line="2" w:lineRule="exact"/>
        <w:rPr>
          <w:rFonts w:ascii="Arial" w:cs="Arial" w:eastAsia="Arial" w:hAnsi="Arial"/>
          <w:sz w:val="16"/>
          <w:szCs w:val="16"/>
          <w:color w:val="auto"/>
        </w:rPr>
      </w:pPr>
    </w:p>
    <w:p>
      <w:pPr>
        <w:jc w:val="both"/>
        <w:ind w:left="640" w:right="20" w:hanging="436"/>
        <w:spacing w:after="0" w:line="300" w:lineRule="auto"/>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solely on a Form 13F-HR filed by Vanguard Group Inc. on November 14, 2017 reporting stock ownership as of September 30, 2017. Vanguard Group also reported that, as of September 30, 2017, it had sole voting power for 558,512 shares, sole investment power for 29,027,468 shares, shared voting power for 77,047 shares, shared investment power for 622,006 shares and no voting power with respect to 29,013,915 shares.</w:t>
      </w:r>
    </w:p>
    <w:p>
      <w:pPr>
        <w:spacing w:after="0" w:line="1" w:lineRule="exact"/>
        <w:rPr>
          <w:rFonts w:ascii="Arial" w:cs="Arial" w:eastAsia="Arial" w:hAnsi="Arial"/>
          <w:sz w:val="15"/>
          <w:szCs w:val="15"/>
          <w:color w:val="auto"/>
        </w:rPr>
      </w:pPr>
    </w:p>
    <w:p>
      <w:pPr>
        <w:ind w:left="640" w:right="10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solely on a Form 13F-HR filed by Blackrock Inc. on November 14, 2017 reporting stock ownership as of September 30, 2017. Blackrock Inc. also reported that, as of September 30, 2017, it had sole voting power for 20,709,333 shares and no voting power with respect to 2,979,746 shares.</w:t>
      </w:r>
    </w:p>
    <w:p>
      <w:pPr>
        <w:spacing w:after="0" w:line="1" w:lineRule="exact"/>
        <w:rPr>
          <w:rFonts w:ascii="Arial" w:cs="Arial" w:eastAsia="Arial" w:hAnsi="Arial"/>
          <w:sz w:val="16"/>
          <w:szCs w:val="16"/>
          <w:color w:val="auto"/>
        </w:rPr>
      </w:pPr>
    </w:p>
    <w:p>
      <w:pPr>
        <w:ind w:left="64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solely on a Form 13F-HR filed by Capital World Investors on November 14, 2017 reporting stock ownership as of September 30, 2017. Capital World Investors also reported that, as of September 30, 2017, it had sole voting and shared investment power for 20,317,275 shares.</w:t>
      </w:r>
    </w:p>
    <w:p>
      <w:pPr>
        <w:spacing w:after="0" w:line="1" w:lineRule="exact"/>
        <w:rPr>
          <w:rFonts w:ascii="Arial" w:cs="Arial" w:eastAsia="Arial" w:hAnsi="Arial"/>
          <w:sz w:val="16"/>
          <w:szCs w:val="16"/>
          <w:color w:val="auto"/>
        </w:rPr>
      </w:pPr>
    </w:p>
    <w:p>
      <w:pPr>
        <w:ind w:left="640" w:right="24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solely on a Schedule 13G/A filed by JP Morgan Chase &amp; Co on January 16, 2018 reporting stock ownership as of December 29, 2017. JP Morgan Chase &amp; Co also reported that, as of December 29, 2017, it had sole voting power for 16,652,078 shares, shared voting power for 144,406 shares, sole dispositive power for 18,295,152 shares and shared dispositive power for 263,387 shares.</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54,025 shares held in trust for the benefit of Mr. Champy’s spouse and son, as to which Mr. Champy disclaims beneficial ownership.</w:t>
      </w:r>
    </w:p>
    <w:p>
      <w:pPr>
        <w:spacing w:after="0" w:line="32"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Hess ceased serving as an executive officer effective June 15, 2017. As of June 15, 2017, Mr. Hess beneficially owned 49,557 shares and had the right to acquire 23,176 shares within 60 days of June 15, 2017.</w:t>
      </w: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Mahendra-Rajah joined the Company on September 28, 2017.</w:t>
      </w:r>
    </w:p>
    <w:p>
      <w:pPr>
        <w:spacing w:after="0" w:line="9" w:lineRule="exact"/>
        <w:rPr>
          <w:rFonts w:ascii="Arial" w:cs="Arial" w:eastAsia="Arial" w:hAnsi="Arial"/>
          <w:sz w:val="18"/>
          <w:szCs w:val="18"/>
          <w:color w:val="auto"/>
        </w:rPr>
      </w:pPr>
    </w:p>
    <w:p>
      <w:pPr>
        <w:ind w:left="640" w:right="2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758,709 shares held by Mr. Stata’s spouse, as to which Mr. Stata disclaims beneficial ownership. Includes 733,709 shares held by Mr. Stata’s spouse and 123,138 shares held directly by Mr. Stata that are pledged as collateral for a line of credit from a bank. Since January 2013, we have prohibited our directors and executive officers from future pledging of their Company securities as collateral for a loan.</w:t>
      </w:r>
    </w:p>
    <w:p>
      <w:pPr>
        <w:spacing w:after="0" w:line="2" w:lineRule="exact"/>
        <w:rPr>
          <w:rFonts w:ascii="Arial" w:cs="Arial" w:eastAsia="Arial" w:hAnsi="Arial"/>
          <w:sz w:val="16"/>
          <w:szCs w:val="16"/>
          <w:color w:val="auto"/>
        </w:rPr>
      </w:pPr>
    </w:p>
    <w:p>
      <w:pPr>
        <w:ind w:left="640" w:right="76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David Zinsner ceased serving as an executive officer effective March 17, 2017 and left the Company on April 1, 2017. As of April 1, 2017, Mr. Zinsner beneficially owned 30,068 shares and had the right to acquire 103,931 shares within 60 days of April 1, 2017.</w:t>
      </w:r>
    </w:p>
    <w:p>
      <w:pPr>
        <w:spacing w:after="0" w:line="1" w:lineRule="exact"/>
        <w:rPr>
          <w:rFonts w:ascii="Arial" w:cs="Arial" w:eastAsia="Arial" w:hAnsi="Arial"/>
          <w:sz w:val="16"/>
          <w:szCs w:val="16"/>
          <w:color w:val="auto"/>
        </w:rPr>
      </w:pPr>
    </w:p>
    <w:p>
      <w:pPr>
        <w:ind w:left="640" w:right="520" w:hanging="436"/>
        <w:spacing w:after="0" w:line="323"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directors and executive officers as a group disclaim beneficial ownership of a total of 812,734 shares. David Zinsner and Rick Hess are not included in this total because they ceased serving as an executive officer on March 17, 2017 and June 15, 2017, respectively.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on a timely basis with respect to our most recent fiscal year or prior fiscal years, with the exception of one Form 4 filed on March 28, 2017 reporting the acquisition in an IRA for the benefit of Mr. Champy on March 10, 2017 of 81 shares in exchange for 350 shares of Linear Technology common stock in accordance with the Agreement and Plan of Merger, pursuant to which the Company acquired Linear Technology.</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240" w:top="459"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 — ELECTION OF DIRECTORS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Process</w:t>
      </w:r>
    </w:p>
    <w:p>
      <w:pPr>
        <w:spacing w:after="0" w:line="9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entire Board of Directors is elected annually by our shareholders and currently consists of nine directors, of whom seven are deemed to be “independent directors.” At the Annual Meeting, shareholders will accordingly have an opportunity to vote for each of the nine nominees listed below. The persons named in the enclosed proxy card, upon receipt of a properly executed proxy,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Criteria, Qualifications and Experience</w:t>
      </w:r>
    </w:p>
    <w:p>
      <w:pPr>
        <w:spacing w:after="0" w:line="96"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The Board of Directors is committed to ensuring that it is composed of a highly capable group of directors who collectively provide a significant breadth of experience, knowledge and abilities, to effectively represent the interests of shareholders and reflect our corporate values of integrity, honesty and adherence to high ethical standards. Key factors that the Board of Directors and the Nominating and Corporate Governance Committee consider when selecting directors include:</w:t>
      </w:r>
    </w:p>
    <w:p>
      <w:pPr>
        <w:spacing w:after="0" w:line="56" w:lineRule="exact"/>
        <w:rPr>
          <w:sz w:val="20"/>
          <w:szCs w:val="20"/>
          <w:color w:val="auto"/>
        </w:rPr>
      </w:pPr>
    </w:p>
    <w:p>
      <w:pPr>
        <w:jc w:val="both"/>
        <w:ind w:left="1060" w:right="340" w:hanging="316"/>
        <w:spacing w:after="0" w:line="262"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Experience and Strong Business Acumen — </w:t>
      </w:r>
      <w:r>
        <w:rPr>
          <w:rFonts w:ascii="Arial" w:cs="Arial" w:eastAsia="Arial" w:hAnsi="Arial"/>
          <w:sz w:val="18"/>
          <w:szCs w:val="18"/>
          <w:color w:val="auto"/>
        </w:rPr>
        <w:t>The Board strives for its members to span a range of leadership skills and represent a broad</w:t>
      </w:r>
      <w:r>
        <w:rPr>
          <w:rFonts w:ascii="Arial" w:cs="Arial" w:eastAsia="Arial" w:hAnsi="Arial"/>
          <w:sz w:val="18"/>
          <w:szCs w:val="18"/>
          <w:b w:val="1"/>
          <w:bCs w:val="1"/>
          <w:color w:val="auto"/>
        </w:rPr>
        <w:t xml:space="preserve"> </w:t>
      </w:r>
      <w:r>
        <w:rPr>
          <w:rFonts w:ascii="Arial" w:cs="Arial" w:eastAsia="Arial" w:hAnsi="Arial"/>
          <w:sz w:val="18"/>
          <w:szCs w:val="18"/>
          <w:color w:val="auto"/>
        </w:rPr>
        <w:t>breadth of experience relevant to the Company’s strategic vision and business activities, as well as the ability to exercise sound judgment in matters that relate to the current and long-term objectives of the Company.</w:t>
      </w:r>
    </w:p>
    <w:p>
      <w:pPr>
        <w:spacing w:after="0" w:line="51" w:lineRule="exact"/>
        <w:rPr>
          <w:rFonts w:ascii="Arial" w:cs="Arial" w:eastAsia="Arial" w:hAnsi="Arial"/>
          <w:sz w:val="18"/>
          <w:szCs w:val="18"/>
          <w:color w:val="auto"/>
        </w:rPr>
      </w:pPr>
    </w:p>
    <w:p>
      <w:pPr>
        <w:jc w:val="both"/>
        <w:ind w:left="1060" w:right="100" w:hanging="316"/>
        <w:spacing w:after="0" w:line="310"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Tenure — </w:t>
      </w:r>
      <w:r>
        <w:rPr>
          <w:rFonts w:ascii="Arial" w:cs="Arial" w:eastAsia="Arial" w:hAnsi="Arial"/>
          <w:sz w:val="16"/>
          <w:szCs w:val="16"/>
          <w:color w:val="auto"/>
        </w:rPr>
        <w:t>The Board believes that having directors with a mix of tenure on the Board helps transition the knowledge of the more experienced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while providing a broad, fresh set of perspectives and provides the Board with a diversity of experiences and viewpoints. The average tenure of our independent directors standing for re-election is approximately 7 years.</w:t>
      </w:r>
    </w:p>
    <w:p>
      <w:pPr>
        <w:spacing w:after="0" w:line="16" w:lineRule="exact"/>
        <w:rPr>
          <w:rFonts w:ascii="Arial" w:cs="Arial" w:eastAsia="Arial" w:hAnsi="Arial"/>
          <w:sz w:val="16"/>
          <w:szCs w:val="16"/>
          <w:color w:val="auto"/>
        </w:rPr>
      </w:pPr>
    </w:p>
    <w:p>
      <w:pPr>
        <w:ind w:left="1060" w:right="20" w:hanging="316"/>
        <w:spacing w:after="0" w:line="339"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Diversity — </w:t>
      </w:r>
      <w:r>
        <w:rPr>
          <w:rFonts w:ascii="Arial" w:cs="Arial" w:eastAsia="Arial" w:hAnsi="Arial"/>
          <w:sz w:val="16"/>
          <w:szCs w:val="16"/>
          <w:color w:val="auto"/>
        </w:rPr>
        <w:t>While the Board does not have a specific diversity policy, our Corporate Governance Guidelines provide that gender, racial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ethnic diversity, consistent with the requirement for relevant and diverse experience, skills and industry familiarity, are important search criteria.</w:t>
      </w:r>
    </w:p>
    <w:p>
      <w:pPr>
        <w:spacing w:after="0" w:line="80"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5"/>
          <w:szCs w:val="15"/>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10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96"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6"/>
          <w:szCs w:val="16"/>
          <w:color w:val="auto"/>
        </w:rPr>
        <w:t>Mr. Stata, age 83, has served as our Chairman of the Board of Directors since 1973 and served as an executive officer of our Company from its inception until April 2012. Mr. Stata served as our Chief Executive Officer from 1973 to November 1996 and as our President from 1971 to November</w:t>
      </w:r>
    </w:p>
    <w:p>
      <w:pPr>
        <w:jc w:val="both"/>
        <w:ind w:left="200"/>
        <w:spacing w:after="0" w:line="255" w:lineRule="auto"/>
        <w:rPr>
          <w:sz w:val="20"/>
          <w:szCs w:val="20"/>
          <w:color w:val="auto"/>
        </w:rPr>
      </w:pPr>
      <w:r>
        <w:rPr>
          <w:rFonts w:ascii="Arial" w:cs="Arial" w:eastAsia="Arial" w:hAnsi="Arial"/>
          <w:sz w:val="18"/>
          <w:szCs w:val="18"/>
          <w:color w:val="auto"/>
        </w:rPr>
        <w:t>1991. We believe Mr. Stata’s qualifications to serve on our Board of Directors include more than 50 years of experience and leadership in the semiconductor industry, including as our founder, our Chairman for 43 years and formerly as our President for 20 years. If re-elected, Mr. Stata will continue to serve as our Chairman of the Board of Directors in 2018.</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VINCENT ROCHE, </w:t>
      </w:r>
      <w:r>
        <w:rPr>
          <w:rFonts w:ascii="Arial" w:cs="Arial" w:eastAsia="Arial" w:hAnsi="Arial"/>
          <w:sz w:val="18"/>
          <w:szCs w:val="18"/>
          <w:b w:val="1"/>
          <w:bCs w:val="1"/>
          <w:i w:val="1"/>
          <w:iCs w:val="1"/>
          <w:color w:val="auto"/>
        </w:rPr>
        <w:t>President and Chief Executive Officer; Director since 2013</w:t>
      </w:r>
    </w:p>
    <w:p>
      <w:pPr>
        <w:spacing w:after="0" w:line="96"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Mr. Roche, age 57, has served as President of Analog Devices since 2012 and was appointed Chief Executive Officer and elected as a Director in 2013. Under his leadership, ADI has extended its market leadership and grown to more than $5 billion in revenue in fiscal 2017. Mr. Roche began his career at ADI in 1988 and has served in key positions spanning corporate leadership, worldwide sales, strategic marketing, business development, and product management over his 30-year tenure at ADI. Mr. Roche also serves as a director on the board of Acacia Communications, Inc. We believe that Mr. Roche’s qualifications to serve on the Board of Directors include his leadership role in the Company and his deep knowledge of the Company’s products, markets, and customers.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left="200" w:right="160" w:firstLine="441"/>
        <w:spacing w:after="0" w:line="294" w:lineRule="auto"/>
        <w:rPr>
          <w:sz w:val="20"/>
          <w:szCs w:val="20"/>
          <w:color w:val="auto"/>
        </w:rPr>
      </w:pPr>
      <w:r>
        <w:rPr>
          <w:rFonts w:ascii="Arial" w:cs="Arial" w:eastAsia="Arial" w:hAnsi="Arial"/>
          <w:sz w:val="16"/>
          <w:szCs w:val="16"/>
          <w:color w:val="auto"/>
        </w:rPr>
        <w:t>Mr. Champy, age 75,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a Life Member of the MIT Corporation, the governing body of the Massachusetts Institute of Technology. We believe Mr. Champy’s qualifications to serve on our Board of Directors include his expertise in corporate strategy development and his organizational acumen.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BRUCE R. EVANS, </w:t>
      </w:r>
      <w:r>
        <w:rPr>
          <w:rFonts w:ascii="Arial" w:cs="Arial" w:eastAsia="Arial" w:hAnsi="Arial"/>
          <w:sz w:val="18"/>
          <w:szCs w:val="18"/>
          <w:b w:val="1"/>
          <w:bCs w:val="1"/>
          <w:i w:val="1"/>
          <w:iCs w:val="1"/>
          <w:color w:val="auto"/>
        </w:rPr>
        <w:t>Director since 2015</w:t>
      </w:r>
    </w:p>
    <w:p>
      <w:pPr>
        <w:spacing w:after="0" w:line="96"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Mr. Evans, age 58, has served in various positions with Summit Partners, a growth equity, venture capital and credit investment firm, since 1986, including most recently as Chairman of Summit Partners’ Board, and as Senior Advisor to the firm. From 2011 to December 2017, he served as Managing Director and Chairman of Summit Partners’ Board. From 1999 to 2011, he was one of Summit Partners’ Co-Managing Partners. During his 32 years with Summit Partners, Mr. Evans has served as a member of the boards of directors of over 30 technology and other growth industry companies in the US and Europe, including 14 public companies. Since 2010 Mr. Evans has served as a director of Casa Systems Inc., which became a publicly traded company in December 2017. He also served as a director of FleetCor Technologies, Inc. from 2002 until 2014. In addition, Mr. Evans is Chairman of the Vanderbilt University Board of Trust and the former Chairman of Vanderbilt’s Investment Committee. We believe Mr. Evans’ qualifications to serve on our Board include his financial and management expertise, including his investing experience in the technology sector and his experience with acquisitions and other transactions.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EDWARD H. FRANK, </w:t>
      </w:r>
      <w:r>
        <w:rPr>
          <w:rFonts w:ascii="Arial" w:cs="Arial" w:eastAsia="Arial" w:hAnsi="Arial"/>
          <w:sz w:val="18"/>
          <w:szCs w:val="18"/>
          <w:b w:val="1"/>
          <w:bCs w:val="1"/>
          <w:i w:val="1"/>
          <w:iCs w:val="1"/>
          <w:color w:val="auto"/>
        </w:rPr>
        <w:t>Director since 2014</w:t>
      </w:r>
    </w:p>
    <w:p>
      <w:pPr>
        <w:spacing w:after="0" w:line="96"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Dr. Frank, age 61, was most recently co-founder and CEO of Cloud Parity, a voice of the customer startup from January 2014 through August 2016. From May 2009 to October 2013, Dr. Frank held the position of Vice President, Macintosh Hardware Systems Engineering at Apple Inc., a company that designs, manufactures and markets electronic devices. Prior to his tenure at Apple, Dr. Frank served as Corporate Vice President, Research and Development, of Broadcom Corp. Dr. Frank was founding CEO of Epigram, Inc., a developer of integrated circuits and software for home networking, which Broadcom acquired in 1999, and was a Distinguished Engineer at Sun Microsystems, Inc. Dr. Frank also serves as a director of Cavium, Inc. and Quantenna Communications Inc. He served as a director of Fusion-IO, Inc. from October 2013 until July 2014 when it was acquired by SanDisk Corporation. Dr. Frank is vice-chairman of Carnegie Mellon University Board of Trustees, where he has been a Trustee since 2000, and since July 2017, has been Executive Director (pro bono) of Metallica’s All Within My Hands Foundation. We believe Dr. Frank’s qualifications to serve on our Board of Directors include his deep understanding of the communications and hardware technology markets and his extensive executive leadership experience.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MARK M. LITTLE, </w:t>
      </w:r>
      <w:r>
        <w:rPr>
          <w:rFonts w:ascii="Arial" w:cs="Arial" w:eastAsia="Arial" w:hAnsi="Arial"/>
          <w:sz w:val="18"/>
          <w:szCs w:val="18"/>
          <w:b w:val="1"/>
          <w:bCs w:val="1"/>
          <w:i w:val="1"/>
          <w:iCs w:val="1"/>
          <w:color w:val="auto"/>
        </w:rPr>
        <w:t>Director since 2017</w:t>
      </w:r>
    </w:p>
    <w:p>
      <w:pPr>
        <w:spacing w:after="0" w:line="96"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Dr. Little, age 65, is the former Senior Vice President, GE Global Research and Chief Technology Officer of General Electric Company, or GE, a global digital industrial company. Dr. Little joined GE in 1978, and during his 37-year tenure, held management positions in engineering and business, culminating with his most recent position, which he held from 2005 until 2015. In addition to his technology leadership, Dr. Little led several multi-billion dollar business units at GE including GE Energy’s power-generation segment. We believe Dr. Little’s qualifications to serve on our Board of Directors include his extensive leadership experience in a global technology company, combined with his experience driving change and innovation through GE’s various phases of business transformation.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2008</w:t>
      </w:r>
    </w:p>
    <w:p>
      <w:pPr>
        <w:spacing w:after="0" w:line="96"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Mr. Novich, age 63, is the former Chairman, President and Chief Executive Officer of Ryerson Inc., a global metals distributor and fabricator. He joined Ryerson in 1994 as Chief Operating Officer and served in that role until 1999 when he was named Chairman, President and Chief Executive Officer, a position he held through 2007. Prior to that, he was a partner at Bain &amp; Company, an international consulting firm. Mr. Novich also serves as a director of</w:t>
      </w:r>
    </w:p>
    <w:p>
      <w:pPr>
        <w:spacing w:after="0" w:line="1" w:lineRule="exact"/>
        <w:rPr>
          <w:sz w:val="20"/>
          <w:szCs w:val="20"/>
          <w:color w:val="auto"/>
        </w:rPr>
      </w:pPr>
    </w:p>
    <w:p>
      <w:pPr>
        <w:ind w:left="200" w:right="60" w:firstLine="4"/>
        <w:spacing w:after="0" w:line="361" w:lineRule="auto"/>
        <w:tabs>
          <w:tab w:leader="none" w:pos="631" w:val="left"/>
        </w:tabs>
        <w:numPr>
          <w:ilvl w:val="0"/>
          <w:numId w:val="25"/>
        </w:numPr>
        <w:rPr>
          <w:rFonts w:ascii="Arial" w:cs="Arial" w:eastAsia="Arial" w:hAnsi="Arial"/>
          <w:sz w:val="15"/>
          <w:szCs w:val="15"/>
          <w:color w:val="auto"/>
        </w:rPr>
      </w:pPr>
      <w:r>
        <w:rPr>
          <w:rFonts w:ascii="Arial" w:cs="Arial" w:eastAsia="Arial" w:hAnsi="Arial"/>
          <w:sz w:val="15"/>
          <w:szCs w:val="15"/>
          <w:color w:val="auto"/>
        </w:rPr>
        <w:t>Grainger, Inc., Hillenbrand Inc. and Beacon Roofing Supply, Inc. We believe Mr. Novich’s qualifications to serve on our Board of Directors include his experience as a chief executive officer leading a complex global organization, combined with his broad operational and corporate governance expertise.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Mr. Sicchitano, age 73, retired from PricewaterhouseCoopers LLP, or PwC, a public accounting firm, in July 2001. At the time of his retirement, Mr. Sicchitano was the Global Managing Partner of Independence and Regulatory Matters for PwC. Mr. Sicchitano joined Price Waterhouse LLP, a predecessor firm of PwC, in 1970 and became a partner in 1979. During his 31-year tenure with PwC, Mr. Sicchitano held various positions including the Global Managing Partner of Audit/Business Advisory Services and the Global Managing Partner responsible for Audit/Business Advisory, Tax and Financial Advisory Services. Mr. Sicchitano served as a director of PerkinElmer, Inc. from 2003 to April 2017 and MetLife, Inc. and its wholly owned subsidiary, Metropolitan Life Insurance Company from 2001 until June 2017. We believe Mr. Sicchitano’s qualifications to sit on our Board of Directors include his extensive experience with public and financial accounting matters for complex global organizations.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LISA T. SU, </w:t>
      </w:r>
      <w:r>
        <w:rPr>
          <w:rFonts w:ascii="Arial" w:cs="Arial" w:eastAsia="Arial" w:hAnsi="Arial"/>
          <w:sz w:val="18"/>
          <w:szCs w:val="18"/>
          <w:b w:val="1"/>
          <w:bCs w:val="1"/>
          <w:i w:val="1"/>
          <w:iCs w:val="1"/>
          <w:color w:val="auto"/>
        </w:rPr>
        <w:t>Director since 2012</w:t>
      </w:r>
    </w:p>
    <w:p>
      <w:pPr>
        <w:spacing w:after="0" w:line="96"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Dr. Su, age 48, has served as President and Chief Executive Officer of Advanced Micro Devices, Inc., or AMD, a semiconductor manufacturer since October 2014. Previously she served at AMD as Senior Vice President and Chief Operating Officer from July 2014 to October 2014 and Senior Vice President and General Manager, Global Business Units from January 2012 to July 2014. Prior to joining AMD in January 2012, Dr. Su served as senior vice president and general manager, Networking and Multimedia, at Freescale Semiconductor, Inc., a semiconductor manufacturer, from 2008 to 2011 and prior to that, as Chief Technology Officer from 2007 to 2008. Dr. Su also spent 13 years with International Business Machines Corporation, or IBM, in various engineering and business leadership positions; and was a member of the technical staff at Texas Instruments in the Semiconductor Process and Device Center. Dr. Su also serves as a director of AMD. We believe Dr. Su’s qualifications to serve on our Board of Directors include her experience as a CEO of a global semiconductor company and her understanding of complex technologies.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each of the above nominees.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420" w:firstLine="441"/>
        <w:spacing w:after="0" w:line="298"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113"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Our Board of Directors has adopted Corporate Governance Guidelines for our Company that establishes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set of expectations to assist the Board and its committees in performing their duties. The Board reviews these Guidelines at least annually, and updates them as necessary to reflect changing regulatory requirements and evolving practices.</w:t>
      </w:r>
    </w:p>
    <w:p>
      <w:pPr>
        <w:spacing w:after="0" w:line="14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i w:val="1"/>
          <w:iCs w:val="1"/>
          <w:color w:val="auto"/>
        </w:rPr>
        <w:t xml:space="preserve">Declassified Board of Directors. </w:t>
      </w:r>
      <w:r>
        <w:rPr>
          <w:rFonts w:ascii="Arial" w:cs="Arial" w:eastAsia="Arial" w:hAnsi="Arial"/>
          <w:sz w:val="18"/>
          <w:szCs w:val="18"/>
          <w:color w:val="auto"/>
        </w:rPr>
        <w:t>We have a declassified Board of Directors and our bylaws provide that each director will serve for a term ending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the annual meeting following the one at which such director was elected. All of our directors will stand for election for terms expiring at the next annual meeting of shareholders.</w:t>
      </w:r>
    </w:p>
    <w:p>
      <w:pPr>
        <w:spacing w:after="0" w:line="14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i w:val="1"/>
          <w:iCs w:val="1"/>
          <w:color w:val="auto"/>
        </w:rPr>
        <w:t xml:space="preserve">Majority Voting for Election of Directors. </w:t>
      </w:r>
      <w:r>
        <w:rPr>
          <w:rFonts w:ascii="Arial" w:cs="Arial" w:eastAsia="Arial" w:hAnsi="Arial"/>
          <w:sz w:val="18"/>
          <w:szCs w:val="18"/>
          <w:color w:val="auto"/>
        </w:rPr>
        <w:t>Our bylaws provide for a majority voting standard in uncontested director elections, so a nominee is 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Board of Directors if the votes “for” that director exceed the votes “against” (with abstentions and broker non-votes not counted as for or against the election). If a nominee does not receive more “for” votes than “against” votes, the director must offer his or her resignation, which the Board of Directors must determine whether to accept and publicly disclose that determination.</w:t>
      </w:r>
    </w:p>
    <w:p>
      <w:pPr>
        <w:spacing w:after="0" w:line="143" w:lineRule="exact"/>
        <w:rPr>
          <w:sz w:val="20"/>
          <w:szCs w:val="20"/>
          <w:color w:val="auto"/>
        </w:rPr>
      </w:pPr>
    </w:p>
    <w:p>
      <w:pPr>
        <w:ind w:left="200" w:right="160" w:firstLine="441"/>
        <w:spacing w:after="0" w:line="335" w:lineRule="auto"/>
        <w:rPr>
          <w:sz w:val="20"/>
          <w:szCs w:val="20"/>
          <w:color w:val="auto"/>
        </w:rPr>
      </w:pPr>
      <w:r>
        <w:rPr>
          <w:rFonts w:ascii="Arial" w:cs="Arial" w:eastAsia="Arial" w:hAnsi="Arial"/>
          <w:sz w:val="15"/>
          <w:szCs w:val="15"/>
          <w:i w:val="1"/>
          <w:iCs w:val="1"/>
          <w:color w:val="auto"/>
        </w:rPr>
        <w:t xml:space="preserve">Executive Sessions. </w:t>
      </w:r>
      <w:r>
        <w:rPr>
          <w:rFonts w:ascii="Arial" w:cs="Arial" w:eastAsia="Arial" w:hAnsi="Arial"/>
          <w:sz w:val="15"/>
          <w:szCs w:val="15"/>
          <w:color w:val="auto"/>
        </w:rPr>
        <w:t>At least twice per year, our Board of Directors holds executive sessions of non-employee directors, who are all independent as</w:t>
      </w:r>
      <w:r>
        <w:rPr>
          <w:rFonts w:ascii="Arial" w:cs="Arial" w:eastAsia="Arial" w:hAnsi="Arial"/>
          <w:sz w:val="15"/>
          <w:szCs w:val="15"/>
          <w:i w:val="1"/>
          <w:iCs w:val="1"/>
          <w:color w:val="auto"/>
        </w:rPr>
        <w:t xml:space="preserve"> </w:t>
      </w:r>
      <w:r>
        <w:rPr>
          <w:rFonts w:ascii="Arial" w:cs="Arial" w:eastAsia="Arial" w:hAnsi="Arial"/>
          <w:sz w:val="15"/>
          <w:szCs w:val="15"/>
          <w:color w:val="auto"/>
        </w:rPr>
        <w:t>defined under The Nasdaq Stock Market, Inc. Marketplace Rules, or Nasdaq Rules. Our Presiding Director, James A. Champy, presides at these executive sessions. In addition, the committees of our Board of Directors also regularly hold executive sessions with their advisors without management present.</w:t>
      </w:r>
    </w:p>
    <w:p>
      <w:pPr>
        <w:spacing w:after="0" w:line="88"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i w:val="1"/>
          <w:iCs w:val="1"/>
          <w:color w:val="auto"/>
        </w:rPr>
        <w:t xml:space="preserve">No Hedging Policy. </w:t>
      </w:r>
      <w:r>
        <w:rPr>
          <w:rFonts w:ascii="Arial" w:cs="Arial" w:eastAsia="Arial" w:hAnsi="Arial"/>
          <w:sz w:val="18"/>
          <w:szCs w:val="18"/>
          <w:color w:val="auto"/>
        </w:rPr>
        <w:t>We prohibit all hedging transactions or short sales involving Company securities by our directors and employees,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w:t>
      </w:r>
    </w:p>
    <w:p>
      <w:pPr>
        <w:spacing w:after="0" w:line="132"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i w:val="1"/>
          <w:iCs w:val="1"/>
          <w:color w:val="auto"/>
        </w:rPr>
        <w:t xml:space="preserve">No Pledging Policy. </w:t>
      </w:r>
      <w:r>
        <w:rPr>
          <w:rFonts w:ascii="Arial" w:cs="Arial" w:eastAsia="Arial" w:hAnsi="Arial"/>
          <w:sz w:val="18"/>
          <w:szCs w:val="18"/>
          <w:color w:val="auto"/>
        </w:rPr>
        <w:t>Since January 2013, we have prohibited our directors and executive officers from holding any Company securities in 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from any future pledging of their Company securities as collateral for a loan.</w:t>
      </w:r>
    </w:p>
    <w:p>
      <w:pPr>
        <w:spacing w:after="0" w:line="13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Equity Award Grant Date Policy. </w:t>
      </w:r>
      <w:r>
        <w:rPr>
          <w:rFonts w:ascii="Arial" w:cs="Arial" w:eastAsia="Arial" w:hAnsi="Arial"/>
          <w:sz w:val="18"/>
          <w:szCs w:val="18"/>
          <w:color w:val="auto"/>
        </w:rPr>
        <w:t>We do not time or select the grant dates of any stock options or stock-based awards in coordination with our release</w:t>
      </w:r>
      <w:r>
        <w:rPr>
          <w:rFonts w:ascii="Arial" w:cs="Arial" w:eastAsia="Arial" w:hAnsi="Arial"/>
          <w:sz w:val="18"/>
          <w:szCs w:val="18"/>
          <w:i w:val="1"/>
          <w:iCs w:val="1"/>
          <w:color w:val="auto"/>
        </w:rPr>
        <w:t xml:space="preserve"> </w:t>
      </w:r>
      <w:r>
        <w:rPr>
          <w:rFonts w:ascii="Arial" w:cs="Arial" w:eastAsia="Arial" w:hAnsi="Arial"/>
          <w:sz w:val="18"/>
          <w:szCs w:val="18"/>
          <w:color w:val="auto"/>
        </w:rPr>
        <w:t>of 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 Director Compensation” and “INFORMATION ABOUT EXECUTIVE COMPENSATION — Compensation Discussion and Analysis — Equity Award Grant Date Policy” below for more information.</w:t>
      </w:r>
    </w:p>
    <w:p>
      <w:pPr>
        <w:spacing w:after="0" w:line="14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Equity Award Grant Date Policy at investor.analog.com/corporate-governance.cfm or by writing to:</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investor.relations@analog.com</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Independence</w:t>
      </w:r>
    </w:p>
    <w:p>
      <w:pPr>
        <w:spacing w:after="0" w:line="96"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investor.analog.com/corporate-governance.cfm. For relationships not covered by the guidelines, the determination of whether such a relationship exists is made by the members of our Board of Directors who are independent (as defined above). Our Board of Directors has determined that none of Messrs. Champy, Evans, Novich and Sicchitano and Drs. Frank, Little and Su has a relationship which would interfere with the exercise of independent judgment in carrying out the responsibilities of a director and that each of these directors is an “independent director” as defined under Rule 5605(a)(2) of the Nasdaq Rules. The Board also determined that Richard Beyer and John Hodgson, both former directors, were each an “independent director” prior to their retirements from the Board on March 8, 2017. The Board has determined that Mr. Roche, our President and Chief Executive Officer, and Mr. Stata, our Chairman and founder, are not “independent” under the Nasdaq Rules because Mr. Roche is a current employee and Mr. Stata is our founder. We considered the Company’s annual laboratory membership and university research projects with MIT (of which James A. Champy is a board member) and the Company’s membership in fiscal 2017 to the Semiconductor Industry Association, or the SIA, (of which Vincent Roche and Lisa Su are board members) and determined that the relationships were established in the ordinary course of business on an arms-length basis without the involvement of Messrs. Champy or Roche or Dr. Su, and are not material to MIT, the SIA or the Company.</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Candidates</w:t>
      </w:r>
    </w:p>
    <w:p>
      <w:pPr>
        <w:spacing w:after="0" w:line="9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4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Margaret K. Seif, Secretary, Analog Devices, Inc., One Technology Way, Norwood, Massachusetts 02062. The Nominating and Corporate Governance Committee will consider a recommendation only if appropriate biographical information and background material is provided on a timely basis.</w:t>
      </w:r>
    </w:p>
    <w:p>
      <w:pPr>
        <w:spacing w:after="0" w:line="120" w:lineRule="exact"/>
        <w:rPr>
          <w:sz w:val="20"/>
          <w:szCs w:val="20"/>
          <w:color w:val="auto"/>
        </w:rPr>
      </w:pPr>
    </w:p>
    <w:p>
      <w:pPr>
        <w:ind w:left="200" w:right="260" w:firstLine="441"/>
        <w:spacing w:after="0" w:line="306"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256" w:lineRule="auto"/>
        <w:rPr>
          <w:sz w:val="20"/>
          <w:szCs w:val="20"/>
          <w:color w:val="auto"/>
        </w:rPr>
      </w:pPr>
      <w:r>
        <w:rPr>
          <w:rFonts w:ascii="Arial" w:cs="Arial" w:eastAsia="Arial" w:hAnsi="Arial"/>
          <w:sz w:val="18"/>
          <w:szCs w:val="18"/>
          <w:color w:val="auto"/>
        </w:rPr>
        <w:t>Nominating and Corporate Governance Committee and the Board of Directors.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43"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ADI’s amended and restated bylaws and described in the response to the question </w:t>
      </w:r>
      <w:r>
        <w:rPr>
          <w:rFonts w:ascii="Arial" w:cs="Arial" w:eastAsia="Arial" w:hAnsi="Arial"/>
          <w:sz w:val="18"/>
          <w:szCs w:val="18"/>
          <w:b w:val="1"/>
          <w:bCs w:val="1"/>
          <w:color w:val="auto"/>
        </w:rPr>
        <w:t>“How and when may I submit a shareholder proposal, including a shareholder nomination for director, for the 2019</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annual meeting of shareholders?” </w:t>
      </w:r>
      <w:r>
        <w:rPr>
          <w:rFonts w:ascii="Arial" w:cs="Arial" w:eastAsia="Arial" w:hAnsi="Arial"/>
          <w:sz w:val="18"/>
          <w:szCs w:val="18"/>
          <w:color w:val="auto"/>
        </w:rPr>
        <w:t>above.</w:t>
      </w:r>
    </w:p>
    <w:p>
      <w:pPr>
        <w:spacing w:after="0" w:line="14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includes gender, racial and ethnic diversity as part of its search criteria, consistent with the requirement for relevant and diverse experience, skills and industry familiarity.</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96"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143"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13"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Secretary, Analog Devices, Inc., One Technology Way, Norwood, Massachusetts 02062.</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96"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Our Corporate Governance Guidelines provide that the roles of Chief Executive Officer and Chairman of the Board of Directors should be separate, unless otherwise determined by a majority of the Board of Directors,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318" w:lineRule="auto"/>
        <w:rPr>
          <w:sz w:val="20"/>
          <w:szCs w:val="20"/>
          <w:color w:val="auto"/>
        </w:rPr>
      </w:pPr>
      <w:r>
        <w:rPr>
          <w:rFonts w:ascii="Arial" w:cs="Arial" w:eastAsia="Arial" w:hAnsi="Arial"/>
          <w:sz w:val="15"/>
          <w:szCs w:val="15"/>
          <w:color w:val="auto"/>
        </w:rPr>
        <w:t>and we currently separate these roles.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our Board of Directors has determined that Mr. Stata, our Chairman and founder, is not an independent director under the Nasdaq Rules, our Board of Directors has appointed James A. Champy as Presiding Director to preside at all executive sessions of directors without management present. The Board of Directors meets in executive session at each regular meeting.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96"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The Board of Directors has responsibility for reviewing our overall performance, rather than day-to-day operations. The Board of Directors’ primary responsibility is to oversee the management of the Company and, in so doing,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18" w:lineRule="exact"/>
        <w:rPr>
          <w:sz w:val="20"/>
          <w:szCs w:val="20"/>
          <w:color w:val="auto"/>
        </w:rPr>
      </w:pPr>
    </w:p>
    <w:p>
      <w:pPr>
        <w:jc w:val="both"/>
        <w:ind w:left="200" w:right="180" w:firstLine="441"/>
        <w:spacing w:after="0" w:line="303" w:lineRule="auto"/>
        <w:rPr>
          <w:sz w:val="20"/>
          <w:szCs w:val="20"/>
          <w:color w:val="auto"/>
        </w:rPr>
      </w:pPr>
      <w:r>
        <w:rPr>
          <w:rFonts w:ascii="Arial" w:cs="Arial" w:eastAsia="Arial" w:hAnsi="Arial"/>
          <w:sz w:val="15"/>
          <w:szCs w:val="15"/>
          <w:color w:val="auto"/>
        </w:rPr>
        <w:t>The Board of Directors met 10 times in fiscal 2017 (including by telephone conference). During fiscal 2017, each of our directors attended 75% or more of the total number of meetings of the Board of Directors and the committees on which he or she served. The Board of Directors has standing Audit, Compensation, and Nominating and Corporate Governance Committees. All members of all three committees are independent, non-employee directors.</w:t>
      </w:r>
    </w:p>
    <w:p>
      <w:pPr>
        <w:spacing w:after="0" w:line="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Each committee has a charter that has been approved by the Board of Directors and is reviewed annually. In addition, each Committee conducts an annual self-evaluation of its own performance. Mr. Roche is the only current director who is, or has been in the past three years, an employee of Analog Devices. Messrs. Roche and Stata do not serve on any standing Board committee and do not participate in the portion of any Board or committee meeting during which their compensation is evaluated. The independent directors met in executive session without Mr. Stata or our Chief Executive Officer at two in-person Board meetings in fiscal 2017.</w:t>
      </w:r>
    </w:p>
    <w:p>
      <w:pPr>
        <w:spacing w:after="0" w:line="145"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the 2017 Annual Meeting of Shareholders.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current members of our Audit Committee are Messrs. Sicchitano (Chair) and Evans and Dr. Little. The Board of Directors has determined that each of Messrs. Sicchitano and Evans and Dr. Little qualifies as an “audit committee financial expert” under the rules of the SEC and is independent as defined under the Nasdaq Rules and the independence requirements under Rule 10A-3(b)(1) of the Exchange Act. In addition, our Board of Directors has determined that each member of the Audit Committee is able to read and understand financial statements, including the Company’s consolidated balance sheet and its consolidated statements of income, comprehensive income, shareholders’ equity and cash flows and related notes as required under the Nasdaq Rules. The Board of Directors has certified that it has at least one member of the audit committee who has past employment experience in finance or accounting as required by the Nasdaq Rules. None of Messrs. Sicchitano and Evans or Dr. Little serves on the audit committees of more than two other public companies.</w:t>
      </w:r>
    </w:p>
    <w:p>
      <w:pPr>
        <w:spacing w:after="0" w:line="118"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color w:val="auto"/>
        </w:rPr>
        <w:t>The Audit Committee is primarily responsible for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selected and appointed Ernst &amp; Young LLP, our independent registered public accounting firm, and did not retain any other advisors during fiscal 2017. The Audit Committee met 11 times during fiscal 2017 (including by telephone conference). The responsibilities of our Audit Committee and its activities during fiscal 2017 are described in the Report of the Audit Committee below.</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current members of our Compensation Committee are Mr. Novich (Chair) and Drs. Frank and Su. The Board of Directors has determined that each of Mr. Novich and Drs. Frank and Su is independent as defined under the Nasdaq Rules and the independence requirements under Rule 10C-1 of the Exchange Act.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Stock Option and Stock-Based Award Grant Date Policies) to our officers. In accordance with the terms of our Amended and Restated 2006 Stock Incentive Plan, which we refer to as the 2006 Stock Incentive Plan, the Amended and Restated 2005 Equity Incentive Plan, which we refer to as the 2005 Plan, and the Amended and Restated 2010 Equity Incentive Plan, which we refer to as the 2010 Plan (the latter two of which were assumed by us in the Linear Technology acquisition), the Compensation Committee has delegated to our Chief Executive Officer the power to grant and modify options, RSUs and other stock awards to employees who are not executive officers or directors, subject to specified thresholds, parameters and applicable law. Our Compensation Committee held 16 meetings (including by telephone conference) during fiscal 2017.</w:t>
      </w:r>
    </w:p>
    <w:p>
      <w:pPr>
        <w:spacing w:after="0" w:line="124" w:lineRule="exact"/>
        <w:rPr>
          <w:sz w:val="20"/>
          <w:szCs w:val="20"/>
          <w:color w:val="auto"/>
        </w:rPr>
      </w:pPr>
    </w:p>
    <w:p>
      <w:pPr>
        <w:ind w:left="200" w:firstLine="441"/>
        <w:spacing w:after="0" w:line="305" w:lineRule="auto"/>
        <w:rPr>
          <w:sz w:val="20"/>
          <w:szCs w:val="20"/>
          <w:color w:val="auto"/>
        </w:rPr>
      </w:pPr>
      <w:r>
        <w:rPr>
          <w:rFonts w:ascii="Arial" w:cs="Arial" w:eastAsia="Arial" w:hAnsi="Arial"/>
          <w:sz w:val="15"/>
          <w:szCs w:val="15"/>
          <w:i w:val="1"/>
          <w:iCs w:val="1"/>
          <w:color w:val="auto"/>
        </w:rPr>
        <w:t xml:space="preserve">Compensation Committee Consultants. </w:t>
      </w:r>
      <w:r>
        <w:rPr>
          <w:rFonts w:ascii="Arial" w:cs="Arial" w:eastAsia="Arial" w:hAnsi="Arial"/>
          <w:sz w:val="15"/>
          <w:szCs w:val="15"/>
          <w:color w:val="auto"/>
        </w:rPr>
        <w:t>The Compensation Committee has the authority, in its sole discretion, to retain or obtain the advice of any</w:t>
      </w:r>
      <w:r>
        <w:rPr>
          <w:rFonts w:ascii="Arial" w:cs="Arial" w:eastAsia="Arial" w:hAnsi="Arial"/>
          <w:sz w:val="15"/>
          <w:szCs w:val="15"/>
          <w:i w:val="1"/>
          <w:iCs w:val="1"/>
          <w:color w:val="auto"/>
        </w:rPr>
        <w:t xml:space="preserve"> </w:t>
      </w:r>
      <w:r>
        <w:rPr>
          <w:rFonts w:ascii="Arial" w:cs="Arial" w:eastAsia="Arial" w:hAnsi="Arial"/>
          <w:sz w:val="15"/>
          <w:szCs w:val="15"/>
          <w:color w:val="auto"/>
        </w:rPr>
        <w:t>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retained Pearl Meyer and Partners, or Pearl Meyer, an independent compensation consultant, during fiscal 2017. Pearl Meyer reports directly to the Compensation Committee and assists the Compensation Committee in evaluating and designing our executive and director compensation program and policies. In fiscal 2017, the Compensation Committee instructed Pearl Meyer to assist it in defining a peer group of companies, compare our executive and director compensation arrangements to those of the peer group, assist it in defining a comparator group of companies for the 2017 performance-based RSUs and provide market data and advice regarding the design of the Linear Integration PRSUs and provide market data and advice regarding executive and director compensation plan design. Pearl Meyer conducted a detailed analysis of the competitiveness and appropriateness of the Company’s total executive compensation opportunity in comparison to our peer group. Pearl Meyer also conducted a risk assessment of our executive compensation program. In connection with its work for the Compensation Committee, Pearl Meyer is invited to attend many of the Compensation Committee’s meetings and, upon request of the Compensation Committee, attends executive sessions of the Compensation Committee. Pearl Meyer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Pearl Meyer and WilmerHale providing information to assist the Compensation Committee in selecting and receiving advice from such advisor after considering the independence factors that are identified in the Nasdaq rules. The Compensation Committee determined that the engagement of these advisors did not raise any conflicts of interest</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for all work performed for the Compensation Committee during fiscal 2017. The activities of our Compensation Committee and the services Pearl Meyer performed for the Compensation Committee during fiscal 2017 are further described in “INFORMATION ABOUT EXECUTIVE COMPENSATION — Compensation Discussion and Analysis” below.</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200" w:firstLine="441"/>
        <w:spacing w:after="0" w:line="301" w:lineRule="auto"/>
        <w:rPr>
          <w:sz w:val="20"/>
          <w:szCs w:val="20"/>
          <w:color w:val="auto"/>
        </w:rPr>
      </w:pPr>
      <w:r>
        <w:rPr>
          <w:rFonts w:ascii="Arial" w:cs="Arial" w:eastAsia="Arial" w:hAnsi="Arial"/>
          <w:sz w:val="15"/>
          <w:szCs w:val="15"/>
          <w:color w:val="auto"/>
        </w:rPr>
        <w:t>The current members of our Nominating and Corporate Governance Committee are Mr. Champy (Chair) and Dr. Frank. The Board of Directors has determined that each of Mr. Champy and Dr. Frank is independent as defined under the Nasdaq Rules. The primary responsibility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recommend to the Board of Directors the directors to be appointed to each committee of the Board of Directors, develop and recommend to the Board of Directors a set of corporate governance principles and oversee the evaluation of the Board of Directors. The Nominating and Corporate Governance Committee also leads the Board of Directors’ succession planning efforts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w:t>
      </w:r>
    </w:p>
    <w:p>
      <w:pPr>
        <w:spacing w:after="0" w:line="4" w:lineRule="exact"/>
        <w:rPr>
          <w:sz w:val="20"/>
          <w:szCs w:val="20"/>
          <w:color w:val="auto"/>
        </w:rPr>
      </w:pPr>
    </w:p>
    <w:p>
      <w:pPr>
        <w:ind w:left="200" w:right="440"/>
        <w:spacing w:after="0" w:line="261" w:lineRule="auto"/>
        <w:rPr>
          <w:sz w:val="20"/>
          <w:szCs w:val="20"/>
          <w:color w:val="auto"/>
        </w:rPr>
      </w:pPr>
      <w:r>
        <w:rPr>
          <w:rFonts w:ascii="Arial" w:cs="Arial" w:eastAsia="Arial" w:hAnsi="Arial"/>
          <w:sz w:val="18"/>
          <w:szCs w:val="18"/>
          <w:color w:val="auto"/>
        </w:rPr>
        <w:t>“— Director Candidates” above. Our Nominating and Corporate Governance Committee held six meetings during fiscal 2017 (including by telephone conference).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Board of Directors’ Role in Risk Oversight</w:t>
      </w:r>
    </w:p>
    <w:p>
      <w:pPr>
        <w:spacing w:after="0" w:line="96"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Our management team is responsible for day-to-day risk management activities. The Board of Directors’ role in the Company’s risk oversight process includes receiving regular reports from members of senior management on areas of material risk to the Company, including operational, financial, legal and regulatory, and strategic and reputational risks. Members of management report to the Board of Directors (or the appropriate committee in the case of risks that are under the purview of a particular committee) regarding risk identification, risk management and risk mitigation strategies. In particular, the Audit Committee discusses ADI’s policies with respect to risk assessment and risk management as they apply to ADI’s financial statement integrity and reporting and internal controls. The Audit Committee also receives regular reports from our Director of Internal Audit on internal audit matters and receives reports at least annually from our Chief Information Officer on information security, technology and data privacy and protection. The Chief Information Officer also provides an annual report to the full Board of Directors regarding cybersecurity risk. The Compensation Committee considers whether ADI’s executive compensation program and non-executive director compensation practices encourage excessive or inappropriate risk taking, and the Nominating and Corporate Governance Committee leads the Board with respect to the adequacy of the Company’s governance structure and process and of succession planning for the Company’s Board of Directors, Chief Executive Officer and other executive officers.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 Audit Committee of the Board of Directors assisted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also met privately with our independent registered public accounting firm and our Director of Internal Audit to discuss our financial statements and disclosures, accounting policies and their application, internal controls over financial reporting, and other matters of importance to the Audit Committee, the</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independent registered public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2017,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2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 xml:space="preserve">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AS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Public Company Accounting Oversight Board (PCAOB) and (ii) the independent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public accounting firm’s independence from Analog Devices and its management, including the matters in the written disclosures and the letter we received from the independent registered public accounting firm required by the PCAOB Ethics and Independence Rule 3526, </w:t>
      </w:r>
      <w:r>
        <w:rPr>
          <w:rFonts w:ascii="Arial" w:cs="Arial" w:eastAsia="Arial" w:hAnsi="Arial"/>
          <w:sz w:val="16"/>
          <w:szCs w:val="16"/>
          <w:i w:val="1"/>
          <w:iCs w:val="1"/>
          <w:color w:val="auto"/>
        </w:rPr>
        <w:t>Communication with Audit</w:t>
      </w:r>
      <w:r>
        <w:rPr>
          <w:rFonts w:ascii="Arial" w:cs="Arial" w:eastAsia="Arial" w:hAnsi="Arial"/>
          <w:sz w:val="16"/>
          <w:szCs w:val="16"/>
          <w:color w:val="auto"/>
        </w:rPr>
        <w:t xml:space="preserve"> </w:t>
      </w:r>
      <w:r>
        <w:rPr>
          <w:rFonts w:ascii="Arial" w:cs="Arial" w:eastAsia="Arial" w:hAnsi="Arial"/>
          <w:sz w:val="16"/>
          <w:szCs w:val="16"/>
          <w:i w:val="1"/>
          <w:iCs w:val="1"/>
          <w:color w:val="auto"/>
        </w:rPr>
        <w:t>Committees Concerning Independence</w:t>
      </w:r>
      <w:r>
        <w:rPr>
          <w:rFonts w:ascii="Arial" w:cs="Arial" w:eastAsia="Arial" w:hAnsi="Arial"/>
          <w:sz w:val="16"/>
          <w:szCs w:val="16"/>
          <w:color w:val="auto"/>
        </w:rPr>
        <w:t>, regarding the independent registered public accounting firm’s communications with the Audit Committee on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independence. The Audit Committee considered the appropriateness of the provision of non-audit services by the independent registered public accounting firm relative to their independence.</w:t>
      </w:r>
    </w:p>
    <w:p>
      <w:pPr>
        <w:spacing w:after="0" w:line="123" w:lineRule="exact"/>
        <w:rPr>
          <w:sz w:val="20"/>
          <w:szCs w:val="20"/>
          <w:color w:val="auto"/>
        </w:rPr>
      </w:pPr>
    </w:p>
    <w:p>
      <w:pPr>
        <w:jc w:val="both"/>
        <w:ind w:left="200" w:right="400" w:firstLine="441"/>
        <w:spacing w:after="0" w:line="335" w:lineRule="auto"/>
        <w:rPr>
          <w:sz w:val="20"/>
          <w:szCs w:val="20"/>
          <w:color w:val="auto"/>
        </w:rPr>
      </w:pPr>
      <w:r>
        <w:rPr>
          <w:rFonts w:ascii="Arial" w:cs="Arial" w:eastAsia="Arial" w:hAnsi="Arial"/>
          <w:sz w:val="15"/>
          <w:szCs w:val="15"/>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October 28, 2017. The Audit Committee also selected Ernst &amp; Young LLP as our independent registered public accounting firm for the fiscal year ending November 3, 2018.</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Bruce R. Evans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Mark M. Little</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96"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fiscal 2017 and fiscal 2016.</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Fiscal 2017</w:t>
            </w:r>
          </w:p>
        </w:tc>
        <w:tc>
          <w:tcPr>
            <w:tcW w:w="5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3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6,115,000</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$ 3,040,000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Audit-Related Fees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6,251,000</w:t>
            </w:r>
          </w:p>
        </w:tc>
        <w:tc>
          <w:tcPr>
            <w:tcW w:w="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4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12,615,000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$ 5,356,000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20" w:type="dxa"/>
            <w:vAlign w:val="bottom"/>
            <w:vMerge w:val="restart"/>
          </w:tcPr>
          <w:p>
            <w:pPr>
              <w:jc w:val="right"/>
              <w:ind w:right="1592"/>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related to professional services rendered in connection with the audit of our consolidated financial statements, the audit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our internal control over financial reporting, the reviews of our interim financial statements included in each of our Quarterly Reports on Form 10-Q, international statutory audits, reviews and comfort letter procedures related to our filings on Form S-3, assistance with registration statements and other periodic filings, and accounting consultations that relate to the audited financial statements and are necessary to comply with U.S. generally accepted accounting principles. The fees for fiscal 2017 also include audit services relating to the acquisition of Linear Technology.</w:t>
      </w:r>
    </w:p>
    <w:p>
      <w:pPr>
        <w:spacing w:after="0" w:line="116" w:lineRule="exact"/>
        <w:rPr>
          <w:sz w:val="20"/>
          <w:szCs w:val="20"/>
          <w:color w:val="auto"/>
        </w:rPr>
      </w:pPr>
    </w:p>
    <w:p>
      <w:pPr>
        <w:ind w:left="200" w:right="200" w:firstLine="441"/>
        <w:spacing w:after="0" w:line="30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These are fees for assurance and related services and consisted primarily of audits of employee benefit plans, due diligence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matters not related to the annual audit, including for fiscal 2016, consultations regarding proposed transactions and due diligence services relating to the acquisition of Linear Technology, and for fiscal 2017, services related to the Company’s pending adoption of ASC 606.</w:t>
      </w:r>
    </w:p>
    <w:p>
      <w:pPr>
        <w:spacing w:after="0" w:line="107" w:lineRule="exact"/>
        <w:rPr>
          <w:sz w:val="20"/>
          <w:szCs w:val="20"/>
          <w:color w:val="auto"/>
        </w:rPr>
      </w:pPr>
    </w:p>
    <w:p>
      <w:pPr>
        <w:ind w:left="200" w:right="180" w:firstLine="441"/>
        <w:spacing w:after="0" w:line="294"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These are fees for acquisition-related tax advice and services, including services relating to the acquisition of Linear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services related to tax return preparation services for our expatriates, international tax returns, tax advice and planning and assistance with international tax audits. Included in this amount are fees of $406,000 in fiscal 2017, and $508,000 in fiscal 2016, for tax compliance services for our international affiliates and tax return preparation services for our expatriate employees on international assignments. Ernst &amp; Young LLP does not provide tax services to any person in a financial reporting oversight role at Analog Devices.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9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2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2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2017 and fiscal 2016, all services provided to Analog Devices by Ernst &amp; Young LLP were pre-approved in accordance with the pre-approval policies and procedures described above.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restricted stock units, or RSUs. To reflect their additional responsibilities, the Chairs and members of all committees receive an additional cash retainer. The Presiding Director also receives an additional cash retainer. Mr. Roche, as an employee director, does not receive any additional compensation for his services as director.</w:t>
      </w:r>
    </w:p>
    <w:p>
      <w:pPr>
        <w:spacing w:after="0" w:line="143"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The Board of Directors has delegated to the Compensation Committee the responsibility to review and recommend to the Board of Directors any proposed changes to non-employee director compensation. Annually, the Compensation Committee reviews with Pearl Meyer, the Compensation Committee’s independent compensation consultant, non-employee director compensation information for our peer group to check the alignment of our non-employee director compensation package with market practice and current trends. The Compensation Committee then makes recommendations to the full Board with respect to compensation of our non-employee directors, and the full Board reviews these recommendations and makes a final determination.</w:t>
      </w:r>
    </w:p>
    <w:p>
      <w:pPr>
        <w:spacing w:after="0" w:line="116"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In fiscal 2017 we granted 100% of the value of the annual equity award to each of our non-employee directors in the form of time-based RSUs. These RSUs vest in full on the earlier of the first anniversary of the date of grant or the date of the Company’s next annual meeting. On February 15, 2017,</w:t>
      </w:r>
    </w:p>
    <w:p>
      <w:pPr>
        <w:ind w:left="200" w:right="20"/>
        <w:spacing w:after="0" w:line="300" w:lineRule="auto"/>
        <w:rPr>
          <w:sz w:val="20"/>
          <w:szCs w:val="20"/>
          <w:color w:val="auto"/>
        </w:rPr>
      </w:pPr>
      <w:r>
        <w:rPr>
          <w:rFonts w:ascii="Arial" w:cs="Arial" w:eastAsia="Arial" w:hAnsi="Arial"/>
          <w:sz w:val="15"/>
          <w:szCs w:val="15"/>
          <w:color w:val="auto"/>
        </w:rPr>
        <w:t>Dr. Little, who joined the Board in January 2017, was granted a stock option to purchase 1,040 shares of common stock, with an exercise price of $81.60 per share and 195 RSUs for services to be provided during fiscal 2017. On March 8, 2017, we granted each non-employee director 2,455 RSUs for services to be provided during fiscal 2017. On April 17, 2017, Mr. Swanson, who joined the Board in March 2017, was granted 2,445 RSUs. On June 1, 2017,</w:t>
      </w:r>
    </w:p>
    <w:p>
      <w:pPr>
        <w:spacing w:after="0" w:line="1" w:lineRule="exact"/>
        <w:rPr>
          <w:sz w:val="20"/>
          <w:szCs w:val="20"/>
          <w:color w:val="auto"/>
        </w:rPr>
      </w:pPr>
    </w:p>
    <w:p>
      <w:pPr>
        <w:ind w:left="200" w:right="620"/>
        <w:spacing w:after="0" w:line="261" w:lineRule="auto"/>
        <w:rPr>
          <w:sz w:val="20"/>
          <w:szCs w:val="20"/>
          <w:color w:val="auto"/>
        </w:rPr>
      </w:pPr>
      <w:r>
        <w:rPr>
          <w:rFonts w:ascii="Arial" w:cs="Arial" w:eastAsia="Arial" w:hAnsi="Arial"/>
          <w:sz w:val="18"/>
          <w:szCs w:val="18"/>
          <w:color w:val="auto"/>
        </w:rPr>
        <w:t>Mr. Swanson notified the Company that he had decided not to serve on the Board of Directors due to personal reasons. As a result of Mr. Swanson’s resignation, all of his outstanding and unvested RSUs were forfeited.</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2017.</w:t>
      </w: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Director Compensation</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500" w:type="dxa"/>
            <w:vAlign w:val="bottom"/>
            <w:gridSpan w:val="3"/>
          </w:tcPr>
          <w:p>
            <w:pPr>
              <w:jc w:val="center"/>
              <w:ind w:left="1776"/>
              <w:spacing w:after="0"/>
              <w:rPr>
                <w:sz w:val="20"/>
                <w:szCs w:val="20"/>
                <w:color w:val="auto"/>
              </w:rPr>
            </w:pPr>
            <w:r>
              <w:rPr>
                <w:rFonts w:ascii="Arial" w:cs="Arial" w:eastAsia="Arial" w:hAnsi="Arial"/>
                <w:sz w:val="14"/>
                <w:szCs w:val="14"/>
                <w:b w:val="1"/>
                <w:bCs w:val="1"/>
                <w:color w:val="auto"/>
                <w:w w:val="86"/>
              </w:rPr>
              <w:t>Fees Earned or</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0"/>
              </w:rPr>
              <w:t>Awards</w:t>
            </w: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gridSpan w:val="3"/>
            <w:vMerge w:val="continue"/>
          </w:tcPr>
          <w:p>
            <w:pPr>
              <w:spacing w:after="0"/>
              <w:rPr>
                <w:sz w:val="12"/>
                <w:szCs w:val="12"/>
                <w:color w:val="auto"/>
              </w:rPr>
            </w:pPr>
          </w:p>
        </w:tc>
        <w:tc>
          <w:tcPr>
            <w:tcW w:w="3120" w:type="dxa"/>
            <w:vAlign w:val="bottom"/>
            <w:gridSpan w:val="2"/>
          </w:tcPr>
          <w:p>
            <w:pPr>
              <w:jc w:val="center"/>
              <w:ind w:left="2136"/>
              <w:spacing w:after="0" w:line="148" w:lineRule="exact"/>
              <w:rPr>
                <w:sz w:val="20"/>
                <w:szCs w:val="20"/>
                <w:color w:val="auto"/>
              </w:rPr>
            </w:pPr>
            <w:r>
              <w:rPr>
                <w:rFonts w:ascii="Arial" w:cs="Arial" w:eastAsia="Arial" w:hAnsi="Arial"/>
                <w:sz w:val="14"/>
                <w:szCs w:val="14"/>
                <w:b w:val="1"/>
                <w:bCs w:val="1"/>
                <w:color w:val="auto"/>
                <w:w w:val="87"/>
              </w:rPr>
              <w:t>($)(1)</w:t>
            </w:r>
          </w:p>
        </w:tc>
        <w:tc>
          <w:tcPr>
            <w:tcW w:w="3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rPr>
              <w:t>($)(2)(3)</w:t>
            </w:r>
          </w:p>
        </w:tc>
        <w:tc>
          <w:tcPr>
            <w:tcW w:w="360" w:type="dxa"/>
            <w:vAlign w:val="bottom"/>
          </w:tcPr>
          <w:p>
            <w:pPr>
              <w:spacing w:after="0"/>
              <w:rPr>
                <w:sz w:val="12"/>
                <w:szCs w:val="12"/>
                <w:color w:val="auto"/>
              </w:rPr>
            </w:pPr>
          </w:p>
        </w:tc>
        <w:tc>
          <w:tcPr>
            <w:tcW w:w="540" w:type="dxa"/>
            <w:vAlign w:val="bottom"/>
          </w:tcPr>
          <w:p>
            <w:pPr>
              <w:ind w:left="40"/>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)(2)(3)</w:t>
            </w:r>
          </w:p>
        </w:tc>
        <w:tc>
          <w:tcPr>
            <w:tcW w:w="1220" w:type="dxa"/>
            <w:vAlign w:val="bottom"/>
            <w:gridSpan w:val="2"/>
          </w:tcPr>
          <w:p>
            <w:pPr>
              <w:jc w:val="center"/>
              <w:ind w:left="306"/>
              <w:spacing w:after="0" w:line="148" w:lineRule="exact"/>
              <w:rPr>
                <w:sz w:val="20"/>
                <w:szCs w:val="20"/>
                <w:color w:val="auto"/>
              </w:rPr>
            </w:pPr>
            <w:r>
              <w:rPr>
                <w:rFonts w:ascii="Arial" w:cs="Arial" w:eastAsia="Arial" w:hAnsi="Arial"/>
                <w:sz w:val="14"/>
                <w:szCs w:val="14"/>
                <w:b w:val="1"/>
                <w:bCs w:val="1"/>
                <w:color w:val="auto"/>
                <w:w w:val="93"/>
              </w:rPr>
              <w:t>($)(4)</w:t>
            </w:r>
          </w:p>
        </w:tc>
        <w:tc>
          <w:tcPr>
            <w:tcW w:w="380" w:type="dxa"/>
            <w:vAlign w:val="bottom"/>
          </w:tcPr>
          <w:p>
            <w:pPr>
              <w:spacing w:after="0"/>
              <w:rPr>
                <w:sz w:val="12"/>
                <w:szCs w:val="12"/>
                <w:color w:val="auto"/>
              </w:rPr>
            </w:pPr>
          </w:p>
        </w:tc>
        <w:tc>
          <w:tcPr>
            <w:tcW w:w="64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M. Beyer(5)</w:t>
            </w:r>
          </w:p>
        </w:tc>
        <w:tc>
          <w:tcPr>
            <w:tcW w:w="2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27,678</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27,678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108,750</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200,549</w:t>
            </w:r>
          </w:p>
        </w:tc>
        <w:tc>
          <w:tcPr>
            <w:tcW w:w="3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309,299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Evans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200,549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280,549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79,842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200,549</w:t>
            </w:r>
          </w:p>
        </w:tc>
        <w:tc>
          <w:tcPr>
            <w:tcW w:w="3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280,391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Hodgson(5)</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28,571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Mark M. Little(5)</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62,637</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216,112</w:t>
            </w:r>
          </w:p>
        </w:tc>
        <w:tc>
          <w:tcPr>
            <w:tcW w:w="3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17,468</w:t>
            </w:r>
          </w:p>
        </w:tc>
        <w:tc>
          <w:tcPr>
            <w:tcW w:w="38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296,217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Novich</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200,549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200,549</w:t>
            </w:r>
          </w:p>
        </w:tc>
        <w:tc>
          <w:tcPr>
            <w:tcW w:w="3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295,549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Stata</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200,549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200,549</w:t>
            </w:r>
          </w:p>
        </w:tc>
        <w:tc>
          <w:tcPr>
            <w:tcW w:w="3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Swanson(6)</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182,397</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0" w:lineRule="exact"/>
        <w:rPr>
          <w:sz w:val="20"/>
          <w:szCs w:val="20"/>
          <w:color w:val="auto"/>
        </w:rPr>
      </w:pPr>
    </w:p>
    <w:p>
      <w:pPr>
        <w:ind w:left="640" w:right="20" w:hanging="436"/>
        <w:spacing w:after="0" w:line="25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amount includes a $70,000 annual board retainer. An additional annual retainer of $25,000 was paid to the chair of the Audit Committee, an additional annual retainer of $20,000 was paid to the chair of the Compensation Committee and an additional annual retainer of $15,000 was paid to the chair of the Nominating and Corporate Governance Committee. The Presiding Director also received an additional annual retainer of $20,000. The members of the Audit Committee (other than the chair) received an additional annual retainer of $10,000, the members of the Compensation Committee (other than the chair)</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40"/>
        <w:spacing w:after="0" w:line="294" w:lineRule="auto"/>
        <w:rPr>
          <w:sz w:val="20"/>
          <w:szCs w:val="20"/>
          <w:color w:val="auto"/>
        </w:rPr>
      </w:pPr>
      <w:r>
        <w:rPr>
          <w:rFonts w:ascii="Arial" w:cs="Arial" w:eastAsia="Arial" w:hAnsi="Arial"/>
          <w:sz w:val="16"/>
          <w:szCs w:val="16"/>
          <w:color w:val="auto"/>
        </w:rPr>
        <w:t>received an additional annual retainer of $7,500, and the members of the Nominating and Corporate Governance Committee (other than the chair) received an additional annual retainer of $5,000. For fiscal 2017, Mr. Stata, as Chairman of the Board of Directors, received a total annual retainer of $250,000. All cash retainers are paid in quarterly installments each on the 15th day of December, March, June and September of each fiscal year. Dr. Frank elected to defer receipt of his fees under our Deferred Compensation Plan, or DCP. For more information relating to our DCP, see “INFORMATION ABOUT EXECUTIVE COMPENSATION — Non-Qualified Deferred Compensation Plan” below.</w:t>
      </w:r>
    </w:p>
    <w:p>
      <w:pPr>
        <w:spacing w:after="0" w:line="35" w:lineRule="exact"/>
        <w:rPr>
          <w:sz w:val="20"/>
          <w:szCs w:val="20"/>
          <w:color w:val="auto"/>
        </w:rPr>
      </w:pPr>
    </w:p>
    <w:p>
      <w:pPr>
        <w:jc w:val="both"/>
        <w:ind w:left="640" w:right="20" w:hanging="436"/>
        <w:spacing w:after="0" w:line="25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stock options or RSUs to each listed director in fiscal 2017. These amounts do not represent the actual amounts paid to or realized by the directors during fiscal 2017. We recognize the fair value as of the grant date for stock options and RSUs over the number of days of service required for the award to become vested. All unvested RSUs granted to Mr. Swanson were forfeited as a result of his resignation.</w:t>
      </w:r>
    </w:p>
    <w:p>
      <w:pPr>
        <w:spacing w:after="0" w:line="62" w:lineRule="exact"/>
        <w:rPr>
          <w:rFonts w:ascii="Arial" w:cs="Arial" w:eastAsia="Arial" w:hAnsi="Arial"/>
          <w:sz w:val="18"/>
          <w:szCs w:val="18"/>
          <w:color w:val="auto"/>
        </w:rPr>
      </w:pPr>
    </w:p>
    <w:p>
      <w:pPr>
        <w:ind w:left="640" w:right="360" w:hanging="436"/>
        <w:spacing w:after="0" w:line="268"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stock options and RSUs outstanding held by each director (representing unexercised stock options, both exercisable and unexercisable, and unvested RSUs) at October 28, 2017 is as follows:</w:t>
      </w:r>
    </w:p>
    <w:p>
      <w:pPr>
        <w:spacing w:after="0" w:line="15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00" w:type="dxa"/>
            <w:vAlign w:val="bottom"/>
            <w:gridSpan w:val="2"/>
          </w:tcPr>
          <w:p>
            <w:pPr>
              <w:jc w:val="center"/>
              <w:ind w:left="1776"/>
              <w:spacing w:after="0"/>
              <w:rPr>
                <w:sz w:val="20"/>
                <w:szCs w:val="20"/>
                <w:color w:val="auto"/>
              </w:rPr>
            </w:pPr>
            <w:r>
              <w:rPr>
                <w:rFonts w:ascii="Arial" w:cs="Arial" w:eastAsia="Arial" w:hAnsi="Arial"/>
                <w:sz w:val="14"/>
                <w:szCs w:val="14"/>
                <w:b w:val="1"/>
                <w:bCs w:val="1"/>
                <w:color w:val="auto"/>
                <w:w w:val="86"/>
              </w:rPr>
              <w:t>Number of Shares</w:t>
            </w:r>
          </w:p>
        </w:tc>
        <w:tc>
          <w:tcPr>
            <w:tcW w:w="216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88"/>
              </w:rPr>
              <w:t>Number of RSUs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Subject to Option</w:t>
            </w:r>
          </w:p>
        </w:tc>
        <w:tc>
          <w:tcPr>
            <w:tcW w:w="112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900" w:type="dxa"/>
            <w:vAlign w:val="bottom"/>
            <w:gridSpan w:val="2"/>
          </w:tcPr>
          <w:p>
            <w:pPr>
              <w:jc w:val="center"/>
              <w:ind w:left="1756"/>
              <w:spacing w:after="0" w:line="149" w:lineRule="exact"/>
              <w:rPr>
                <w:sz w:val="20"/>
                <w:szCs w:val="20"/>
                <w:color w:val="auto"/>
              </w:rPr>
            </w:pPr>
            <w:r>
              <w:rPr>
                <w:rFonts w:ascii="Arial" w:cs="Arial" w:eastAsia="Arial" w:hAnsi="Arial"/>
                <w:sz w:val="14"/>
                <w:szCs w:val="14"/>
                <w:b w:val="1"/>
                <w:bCs w:val="1"/>
                <w:color w:val="auto"/>
                <w:w w:val="87"/>
              </w:rPr>
              <w:t>Awards Held as of</w:t>
            </w:r>
          </w:p>
        </w:tc>
        <w:tc>
          <w:tcPr>
            <w:tcW w:w="11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Vested as of</w:t>
            </w:r>
          </w:p>
        </w:tc>
        <w:tc>
          <w:tcPr>
            <w:tcW w:w="0" w:type="dxa"/>
            <w:vAlign w:val="bottom"/>
          </w:tcPr>
          <w:p>
            <w:pPr>
              <w:spacing w:after="0"/>
              <w:rPr>
                <w:sz w:val="1"/>
                <w:szCs w:val="1"/>
                <w:color w:val="auto"/>
              </w:rPr>
            </w:pPr>
          </w:p>
        </w:tc>
      </w:tr>
      <w:tr>
        <w:trPr>
          <w:trHeight w:val="148"/>
        </w:trPr>
        <w:tc>
          <w:tcPr>
            <w:tcW w:w="3320" w:type="dxa"/>
            <w:vAlign w:val="bottom"/>
            <w:gridSpan w:val="3"/>
            <w:vMerge w:val="continue"/>
          </w:tcPr>
          <w:p>
            <w:pPr>
              <w:spacing w:after="0"/>
              <w:rPr>
                <w:sz w:val="12"/>
                <w:szCs w:val="12"/>
                <w:color w:val="auto"/>
              </w:rPr>
            </w:pPr>
          </w:p>
        </w:tc>
        <w:tc>
          <w:tcPr>
            <w:tcW w:w="1860" w:type="dxa"/>
            <w:vAlign w:val="bottom"/>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October 28, 2017</w:t>
            </w:r>
          </w:p>
        </w:tc>
        <w:tc>
          <w:tcPr>
            <w:tcW w:w="2160" w:type="dxa"/>
            <w:vAlign w:val="bottom"/>
            <w:gridSpan w:val="3"/>
          </w:tcPr>
          <w:p>
            <w:pPr>
              <w:jc w:val="center"/>
              <w:ind w:left="976"/>
              <w:spacing w:after="0" w:line="148" w:lineRule="exact"/>
              <w:rPr>
                <w:sz w:val="20"/>
                <w:szCs w:val="20"/>
                <w:color w:val="auto"/>
              </w:rPr>
            </w:pPr>
            <w:r>
              <w:rPr>
                <w:rFonts w:ascii="Arial" w:cs="Arial" w:eastAsia="Arial" w:hAnsi="Arial"/>
                <w:sz w:val="14"/>
                <w:szCs w:val="14"/>
                <w:b w:val="1"/>
                <w:bCs w:val="1"/>
                <w:color w:val="auto"/>
                <w:w w:val="87"/>
              </w:rPr>
              <w:t>October 28,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M. Beyer</w:t>
            </w:r>
          </w:p>
        </w:tc>
        <w:tc>
          <w:tcPr>
            <w:tcW w:w="18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24,440</w:t>
            </w: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540"/>
              <w:spacing w:after="0" w:line="203"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53,210</w:t>
            </w:r>
          </w:p>
        </w:tc>
        <w:tc>
          <w:tcPr>
            <w:tcW w:w="2120" w:type="dxa"/>
            <w:vAlign w:val="bottom"/>
            <w:gridSpan w:val="2"/>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Evans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2120" w:type="dxa"/>
            <w:vAlign w:val="bottom"/>
            <w:gridSpan w:val="2"/>
            <w:shd w:val="clear" w:color="auto" w:fill="CCEEFF"/>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23,340</w:t>
            </w:r>
          </w:p>
        </w:tc>
        <w:tc>
          <w:tcPr>
            <w:tcW w:w="2120" w:type="dxa"/>
            <w:vAlign w:val="bottom"/>
            <w:gridSpan w:val="2"/>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5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2120" w:type="dxa"/>
            <w:vAlign w:val="bottom"/>
            <w:gridSpan w:val="2"/>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Novich</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60,710</w:t>
            </w:r>
          </w:p>
        </w:tc>
        <w:tc>
          <w:tcPr>
            <w:tcW w:w="2120" w:type="dxa"/>
            <w:vAlign w:val="bottom"/>
            <w:gridSpan w:val="2"/>
            <w:shd w:val="clear" w:color="auto" w:fill="CCEEFF"/>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60,710</w:t>
            </w:r>
          </w:p>
        </w:tc>
        <w:tc>
          <w:tcPr>
            <w:tcW w:w="2120" w:type="dxa"/>
            <w:vAlign w:val="bottom"/>
            <w:gridSpan w:val="2"/>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Stata</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39,120</w:t>
            </w:r>
          </w:p>
        </w:tc>
        <w:tc>
          <w:tcPr>
            <w:tcW w:w="2120" w:type="dxa"/>
            <w:vAlign w:val="bottom"/>
            <w:gridSpan w:val="2"/>
            <w:shd w:val="clear" w:color="auto" w:fill="CCEEFF"/>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Lisa T. Su</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25,760</w:t>
            </w:r>
          </w:p>
        </w:tc>
        <w:tc>
          <w:tcPr>
            <w:tcW w:w="2120" w:type="dxa"/>
            <w:vAlign w:val="bottom"/>
            <w:gridSpan w:val="2"/>
          </w:tcPr>
          <w:p>
            <w:pPr>
              <w:jc w:val="center"/>
              <w:ind w:left="1616"/>
              <w:spacing w:after="0"/>
              <w:rPr>
                <w:sz w:val="20"/>
                <w:szCs w:val="20"/>
                <w:color w:val="auto"/>
              </w:rPr>
            </w:pPr>
            <w:r>
              <w:rPr>
                <w:rFonts w:ascii="Arial" w:cs="Arial" w:eastAsia="Arial" w:hAnsi="Arial"/>
                <w:sz w:val="18"/>
                <w:szCs w:val="18"/>
                <w:color w:val="auto"/>
                <w:w w:val="84"/>
              </w:rPr>
              <w:t>2,455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Swanson</w:t>
            </w: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5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following table includes the assumptions, rounded to the nearest hundredth, which we used to calculate the grant date fair value amounts included in the “Stock Awards” and “Option Awards” column for fiscal 2017 Director Compensation.</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4"/>
                <w:szCs w:val="14"/>
                <w:b w:val="1"/>
                <w:bCs w:val="1"/>
                <w:color w:val="auto"/>
              </w:rPr>
              <w:t>Assumptions</w:t>
            </w: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Risk-Free</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left="292"/>
              <w:spacing w:after="0" w:line="149" w:lineRule="exact"/>
              <w:rPr>
                <w:sz w:val="20"/>
                <w:szCs w:val="20"/>
                <w:color w:val="auto"/>
              </w:rPr>
            </w:pPr>
            <w:r>
              <w:rPr>
                <w:rFonts w:ascii="Arial" w:cs="Arial" w:eastAsia="Arial" w:hAnsi="Arial"/>
                <w:sz w:val="14"/>
                <w:szCs w:val="14"/>
                <w:b w:val="1"/>
                <w:bCs w:val="1"/>
                <w:color w:val="auto"/>
                <w:w w:val="83"/>
              </w:rPr>
              <w:t>Expected</w:t>
            </w:r>
          </w:p>
        </w:tc>
        <w:tc>
          <w:tcPr>
            <w:tcW w:w="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Dividend</w:t>
            </w:r>
          </w:p>
        </w:tc>
        <w:tc>
          <w:tcPr>
            <w:tcW w:w="3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center"/>
              <w:ind w:left="292"/>
              <w:spacing w:after="0" w:line="149" w:lineRule="exact"/>
              <w:rPr>
                <w:sz w:val="20"/>
                <w:szCs w:val="20"/>
                <w:color w:val="auto"/>
              </w:rPr>
            </w:pPr>
            <w:r>
              <w:rPr>
                <w:rFonts w:ascii="Arial" w:cs="Arial" w:eastAsia="Arial" w:hAnsi="Arial"/>
                <w:sz w:val="14"/>
                <w:szCs w:val="14"/>
                <w:b w:val="1"/>
                <w:bCs w:val="1"/>
                <w:color w:val="auto"/>
                <w:w w:val="89"/>
              </w:rPr>
              <w:t>Volatility</w:t>
            </w:r>
          </w:p>
        </w:tc>
        <w:tc>
          <w:tcPr>
            <w:tcW w:w="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380" w:type="dxa"/>
            <w:vAlign w:val="bottom"/>
          </w:tcPr>
          <w:p>
            <w:pPr>
              <w:spacing w:after="0"/>
              <w:rPr>
                <w:sz w:val="12"/>
                <w:szCs w:val="12"/>
                <w:color w:val="auto"/>
              </w:rPr>
            </w:pPr>
          </w:p>
        </w:tc>
        <w:tc>
          <w:tcPr>
            <w:tcW w:w="5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Yield</w:t>
            </w:r>
          </w:p>
        </w:tc>
        <w:tc>
          <w:tcPr>
            <w:tcW w:w="3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8"/>
        </w:trPr>
        <w:tc>
          <w:tcPr>
            <w:tcW w:w="2620" w:type="dxa"/>
            <w:vAlign w:val="bottom"/>
            <w:gridSpan w:val="3"/>
            <w:vMerge w:val="continue"/>
          </w:tcPr>
          <w:p>
            <w:pPr>
              <w:spacing w:after="0"/>
              <w:rPr>
                <w:sz w:val="12"/>
                <w:szCs w:val="12"/>
                <w:color w:val="auto"/>
              </w:rPr>
            </w:pPr>
          </w:p>
        </w:tc>
        <w:tc>
          <w:tcPr>
            <w:tcW w:w="2960" w:type="dxa"/>
            <w:vAlign w:val="bottom"/>
          </w:tcPr>
          <w:p>
            <w:pPr>
              <w:spacing w:after="0"/>
              <w:rPr>
                <w:sz w:val="12"/>
                <w:szCs w:val="12"/>
                <w:color w:val="auto"/>
              </w:rPr>
            </w:pPr>
          </w:p>
        </w:tc>
        <w:tc>
          <w:tcPr>
            <w:tcW w:w="660" w:type="dxa"/>
            <w:vAlign w:val="bottom"/>
            <w:gridSpan w:val="2"/>
          </w:tcPr>
          <w:p>
            <w:pPr>
              <w:jc w:val="right"/>
              <w:ind w:right="96"/>
              <w:spacing w:after="0" w:line="148"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72"/>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(Years)</w:t>
            </w:r>
          </w:p>
        </w:tc>
        <w:tc>
          <w:tcPr>
            <w:tcW w:w="960" w:type="dxa"/>
            <w:vAlign w:val="bottom"/>
            <w:gridSpan w:val="2"/>
          </w:tcPr>
          <w:p>
            <w:pPr>
              <w:jc w:val="center"/>
              <w:ind w:left="260"/>
              <w:spacing w:after="0" w:line="148"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280"/>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02/15/2017</w:t>
            </w:r>
          </w:p>
        </w:tc>
        <w:tc>
          <w:tcPr>
            <w:tcW w:w="2960" w:type="dxa"/>
            <w:vAlign w:val="bottom"/>
            <w:shd w:val="clear" w:color="auto" w:fill="CCEEFF"/>
          </w:tcPr>
          <w:p>
            <w:pPr>
              <w:ind w:left="1820"/>
              <w:spacing w:after="0" w:line="202" w:lineRule="exact"/>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81.60</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32"/>
              <w:spacing w:after="0" w:line="203" w:lineRule="exact"/>
              <w:rPr>
                <w:sz w:val="20"/>
                <w:szCs w:val="20"/>
                <w:color w:val="auto"/>
              </w:rPr>
            </w:pPr>
            <w:r>
              <w:rPr>
                <w:rFonts w:ascii="Arial" w:cs="Arial" w:eastAsia="Arial" w:hAnsi="Arial"/>
                <w:sz w:val="18"/>
                <w:szCs w:val="18"/>
                <w:color w:val="auto"/>
                <w:w w:val="84"/>
              </w:rPr>
              <w:t>26.34</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02/15/2017</w:t>
            </w:r>
          </w:p>
        </w:tc>
        <w:tc>
          <w:tcPr>
            <w:tcW w:w="2960" w:type="dxa"/>
            <w:vAlign w:val="bottom"/>
          </w:tcPr>
          <w:p>
            <w:pPr>
              <w:ind w:left="182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18"/>
                <w:szCs w:val="18"/>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03/08/2017</w:t>
            </w:r>
          </w:p>
        </w:tc>
        <w:tc>
          <w:tcPr>
            <w:tcW w:w="296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RSUs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04/17/2017</w:t>
            </w:r>
          </w:p>
        </w:tc>
        <w:tc>
          <w:tcPr>
            <w:tcW w:w="2960" w:type="dxa"/>
            <w:vAlign w:val="bottom"/>
          </w:tcPr>
          <w:p>
            <w:pPr>
              <w:ind w:left="182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4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The grant date fair value of RSUs represents the value of our common stock on the date of grant, reduced by the present value of dividends expected to be paid on our common stock prior to vesting. We compute the grant date fair value of stock options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—Critical Accounting Policies and Estimates — Stock-Based Compensation,” included in our Annual Report on Form 10-K for the year ended October 28, 2017.</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332" w:lineRule="auto"/>
        <w:rPr>
          <w:sz w:val="20"/>
          <w:szCs w:val="20"/>
          <w:color w:val="auto"/>
        </w:rPr>
      </w:pPr>
      <w:r>
        <w:rPr>
          <w:rFonts w:ascii="Arial" w:cs="Arial" w:eastAsia="Arial" w:hAnsi="Arial"/>
          <w:sz w:val="16"/>
          <w:szCs w:val="16"/>
          <w:color w:val="auto"/>
        </w:rPr>
        <w:t>We also reimburse our directors for travel to Board meetings and related expenses. Each director can elect to defer receipt of his or her fees under our DCP. See “INFORMATION ABOUT EXECUTIVE COMPENSATION — Non-Qualified Deferred Compensation Plan” below.</w:t>
      </w:r>
    </w:p>
    <w:p>
      <w:pPr>
        <w:spacing w:after="0" w:line="4"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represents payment of medical and dental insurance premiums on behalf of Mr. Stata and his spouse.</w:t>
      </w:r>
    </w:p>
    <w:p>
      <w:pPr>
        <w:spacing w:after="0" w:line="90" w:lineRule="exact"/>
        <w:rPr>
          <w:rFonts w:ascii="Arial" w:cs="Arial" w:eastAsia="Arial" w:hAnsi="Arial"/>
          <w:sz w:val="18"/>
          <w:szCs w:val="18"/>
          <w:color w:val="auto"/>
        </w:rPr>
      </w:pPr>
    </w:p>
    <w:p>
      <w:pPr>
        <w:jc w:val="both"/>
        <w:ind w:left="640" w:right="420" w:hanging="436"/>
        <w:spacing w:after="0" w:line="298"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Beyer and Mr. Hodgson served on the Board of Directors until their terms ended on March 8, 2017. Dr. Little was appointed as a director in January 2017. At the time of Dr. Little’s appointment, we granted equity awards to our non-employees as follows: 50% of the value of the award consisted of stock options and 50% of the value of the award consisted of RSUs. Commencing with the annual non-employee director awards in March 2017, our non-employee directors receive 100% of the value of their annual equity award in the form of RSUs.</w:t>
      </w:r>
    </w:p>
    <w:p>
      <w:pPr>
        <w:spacing w:after="0" w:line="31" w:lineRule="exact"/>
        <w:rPr>
          <w:rFonts w:ascii="Arial" w:cs="Arial" w:eastAsia="Arial" w:hAnsi="Arial"/>
          <w:sz w:val="16"/>
          <w:szCs w:val="16"/>
          <w:color w:val="auto"/>
        </w:rPr>
      </w:pPr>
    </w:p>
    <w:p>
      <w:pPr>
        <w:jc w:val="both"/>
        <w:ind w:left="640" w:right="140" w:hanging="436"/>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Swanson was appointed as a director in March 2017 following the closing of the Company’s acquisition of Linear Technology. On June 1, 2017, Mr. Swanson notified the Company that he had decided not to serve on the Board of Directors due to personal reasons. As a result of Mr. Swanson’s resignation, all of his outstanding and unvested RSUs were forfeited.</w:t>
      </w:r>
    </w:p>
    <w:p>
      <w:pPr>
        <w:spacing w:after="0" w:line="22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Stock Ownership Guidelines for Non-Employee Directors</w:t>
      </w:r>
    </w:p>
    <w:p>
      <w:pPr>
        <w:spacing w:after="0" w:line="9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Under our stock ownership guidelines, the target share ownership level for non-employee directors is at least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All of our non-employee directors were in compliance with our stock ownership guidelines as of the end of fiscal 2017.</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Policy for Non-Employee Directors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fiscal 2017, our equity award grant policy for non-employee directors provided for the following:</w:t>
      </w:r>
    </w:p>
    <w:p>
      <w:pPr>
        <w:spacing w:after="0" w:line="90" w:lineRule="exact"/>
        <w:rPr>
          <w:sz w:val="20"/>
          <w:szCs w:val="20"/>
          <w:color w:val="auto"/>
        </w:rPr>
      </w:pPr>
    </w:p>
    <w:p>
      <w:pPr>
        <w:ind w:left="1060" w:right="160" w:hanging="316"/>
        <w:spacing w:after="0" w:line="256"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newly elected non-employee director elected other than at an annual meeting of shareholders is automatically granted under the 2006 Stock Incentive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62" w:lineRule="exact"/>
        <w:rPr>
          <w:rFonts w:ascii="Arial" w:cs="Arial" w:eastAsia="Arial" w:hAnsi="Arial"/>
          <w:sz w:val="18"/>
          <w:szCs w:val="18"/>
          <w:color w:val="auto"/>
        </w:rPr>
      </w:pPr>
    </w:p>
    <w:p>
      <w:pPr>
        <w:jc w:val="both"/>
        <w:ind w:left="1060" w:right="200" w:hanging="316"/>
        <w:spacing w:after="0" w:line="306"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an annual basis, each non-employee director elected or re-elected at an annual meeting of shareholders is automatically granted under the 2006 Stock Incentive Plan an RSU award for a number of shares of our common stock approved by the Board of Directors, on the date of our annual meeting of shareholders, or if Nasdaq is closed on that day, the next succeeding business day that Nasdaq is open.</w:t>
      </w:r>
    </w:p>
    <w:p>
      <w:pPr>
        <w:spacing w:after="0" w:line="10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For fiscal 2017, RSUs granted to our non-employee directors under the 2006 Stock Incentive Plan vest on the earlier of the date of the Annual Meeting and the first anniversary of the date of grant, subject to acceleration as described below. Prior to the March 2017 RSU grant for non-employee directors, we granted annual equity awards to our non-employees as follows: 50% of the value of the award consisted of stock options and 50% of the value of the award consisted of RSUs. Commencing in March 2017, our non-employee directors receive 100% of the value of their annual equity award in the form of RSUs. The Board believed that this practice better aligns with market practice among our peers. The RSU awards vest in full upon the occurrence of a Change in Control Event (as defined in the 2006 Stock Incentive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During fiscal 2017, Mr. Stata, our founder and Chairman of the Board, received a cash retainer for service on the Board of $250,000. Following his retirement as an employee in 2012, the Company agreed to provide medical and dental benefits to Mr. Stata and his spouse during their lifetimes on the same basis as provided to U.S. employees of the Company. The value of those medical and dental benefits in 2017 was $12,768. On March 8, 2017, we granted 2,455 RSUs to Mr. Stata. This award is identical to the award granted to our other non-employee directors on March 8, 2017 and vests on the earlier of the date of the Annual Meeting or the first anniversary of the grant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90"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0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118"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59"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0" w:lineRule="exact"/>
        <w:rPr>
          <w:rFonts w:ascii="Arial" w:cs="Arial" w:eastAsia="Arial" w:hAnsi="Arial"/>
          <w:sz w:val="18"/>
          <w:szCs w:val="18"/>
          <w:color w:val="auto"/>
        </w:rPr>
      </w:pPr>
    </w:p>
    <w:p>
      <w:pPr>
        <w:ind w:left="1060" w:right="320" w:hanging="316"/>
        <w:spacing w:after="0" w:line="26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2" w:lineRule="exact"/>
        <w:rPr>
          <w:sz w:val="20"/>
          <w:szCs w:val="20"/>
          <w:color w:val="auto"/>
        </w:rPr>
      </w:pPr>
    </w:p>
    <w:p>
      <w:pPr>
        <w:ind w:left="200" w:right="60" w:firstLine="441"/>
        <w:spacing w:after="0" w:line="306" w:lineRule="auto"/>
        <w:rPr>
          <w:sz w:val="20"/>
          <w:szCs w:val="20"/>
          <w:color w:val="auto"/>
        </w:rPr>
      </w:pPr>
      <w:r>
        <w:rPr>
          <w:rFonts w:ascii="Arial" w:cs="Arial" w:eastAsia="Arial" w:hAnsi="Arial"/>
          <w:sz w:val="16"/>
          <w:szCs w:val="16"/>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impose any conditions on the related person transaction that it deems appropriate.</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1060" w:hanging="316"/>
        <w:spacing w:after="0" w:line="294"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34" w:lineRule="exact"/>
        <w:rPr>
          <w:rFonts w:ascii="Arial" w:cs="Arial" w:eastAsia="Arial" w:hAnsi="Arial"/>
          <w:sz w:val="16"/>
          <w:szCs w:val="16"/>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71" w:lineRule="exact"/>
        <w:rPr>
          <w:sz w:val="20"/>
          <w:szCs w:val="20"/>
          <w:color w:val="auto"/>
        </w:rPr>
      </w:pPr>
    </w:p>
    <w:p>
      <w:pPr>
        <w:ind w:left="200" w:right="640" w:firstLine="441"/>
        <w:spacing w:after="0" w:line="268"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PROPOSAL 2 — ADVISORY VOTE ON THE COMPENSATION OF OUR NAMED EXECUTIVE OFFICERS</w:t>
      </w:r>
    </w:p>
    <w:p>
      <w:pPr>
        <w:spacing w:after="0" w:line="17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are requesting shareholder approval of the compensation of the executive officers named in our Summary Compensation Table below, who we refer to as our “named executive officers” or “NEOs.” This proposal, which is commonly referred to as “say-on-pay,” is required by the Dodd-Frank Act, which added Section 14A to the Exchange Act. We are required to provide our shareholders with the opportunity to vote to approve, on an advisory (non-binding) basis, the compensation of our NEOs as disclosed in this proxy statement in accordance with the SEC’s rules. At the 2017 annual meeting of shareholders, our shareholders voted in favor of holding future “say on pay” votes every year. In accordance with the results of that vote, our Board of Directors determined to submit “say on pay” proposals to our shareholders every year.</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is asking shareholders to approve the following non-binding advisory resolution:</w:t>
      </w:r>
    </w:p>
    <w:p>
      <w:pPr>
        <w:spacing w:after="0" w:line="90" w:lineRule="exact"/>
        <w:rPr>
          <w:sz w:val="20"/>
          <w:szCs w:val="20"/>
          <w:color w:val="auto"/>
        </w:rPr>
      </w:pPr>
    </w:p>
    <w:p>
      <w:pPr>
        <w:ind w:left="200" w:right="100" w:firstLine="441"/>
        <w:spacing w:after="0" w:line="332"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8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At our 2017 annual meeting of shareholders, our compensation program for our NEOs received the support of 97.9% of the total votes cast.</w:t>
      </w:r>
    </w:p>
    <w:p>
      <w:pPr>
        <w:spacing w:after="0" w:line="194"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As described in detail in the “Compensation Discussion and Analysis”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executives that is competitive with our peers, and we believe that our executive compensation program is designed to encourage the most talented individuals to grow their careers at ADI.</w:t>
      </w:r>
    </w:p>
    <w:p>
      <w:pPr>
        <w:spacing w:after="0" w:line="11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we tie a significant percentage of each executive’s compensation to the Company’s performance, in the form of variable cash incentive bonus payments and equity awards that rise in value only if our stock price increases. In fiscal 2017, a year in which ADI exceeded both our profitability and year-over-year revenue growth targets, aggregate payments under our executive performance incentive bonus plan were made at 248% of target, compared to 85% in fiscal 2016 and 154% in fiscal 2015.</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our executive compensation program is working as intended and appropriately aligns executive pay with Company performance.</w:t>
      </w:r>
    </w:p>
    <w:p>
      <w:pPr>
        <w:spacing w:after="0" w:line="194"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approval of the compensation of our named executive officers as disclosed in this proxy statement.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200" w:right="240" w:firstLine="441"/>
        <w:spacing w:after="0" w:line="323" w:lineRule="auto"/>
        <w:rPr>
          <w:sz w:val="20"/>
          <w:szCs w:val="20"/>
          <w:color w:val="auto"/>
        </w:rPr>
      </w:pPr>
      <w:r>
        <w:rPr>
          <w:rFonts w:ascii="Arial" w:cs="Arial" w:eastAsia="Arial" w:hAnsi="Arial"/>
          <w:sz w:val="15"/>
          <w:szCs w:val="15"/>
          <w:color w:val="auto"/>
        </w:rPr>
        <w:t>We intend to provide compensation for our executives that is competitive with our peers, with an opportunity for increased compensation if the Company’s performance warrants. The elements of our executives’ total compensation are base salary, variable cash incentive awards, long-term equity compensation awards, and retirement and other employee benefits. We have designed our compensation program to make a substantial percentage of our executive pay variable, subject to increase when corporate targets are overachieved and reduction when corporate targets are not reached.</w:t>
      </w:r>
    </w:p>
    <w:p>
      <w:pPr>
        <w:spacing w:after="0" w:line="98"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This Compensation Discussion and Analysis, or CD&amp;A, and the tables and narrative that follow provide important information about our executive officer compensation program for fiscal 2017. In this proxy statement, the terms “named executive officers” or “NEOs” refer to the following individuals who served as executive officers during fiscal 2017:</w:t>
      </w:r>
    </w:p>
    <w:p>
      <w:pPr>
        <w:spacing w:after="0" w:line="59"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Vincent Roche — President and Chief Executive Officer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Prashanth Mahendra-Rajah — Senior Vice President, Finance and Chief Financial Officer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John Hassett — Senior Vice President, Global Operations and Technology</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Steve Pietkiewicz — Senior Vice President, Power Products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Peter Real — Senior Vice President and Chief Technology Officer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Rick Hess — Non-Executive Strategic Advisor to the CEO and former Executive Vice President</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Eileen Wynne — Vice President and Chief Accounting Officer and former Interim Chief Financial Officer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David Zinsner — Former Senior Vice President, Finance and Chief Financial Officer</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March 6, 2017, we announced that David Zinsner, our former Senior Vice President, Finance and Chief Financial Officer would be resigning to pursue a new role as president of a venture-backed technology company. From March 18, 2017 through September 27, 2017, Eileen Wynne, our Vice President and Chief Accounting Officer, served as Interim Chief Financial Officer. Effective September 28, 2017, Prashanth Mahendra-Rajah joined Analog Devices as our Senior Vice President, Finance and Chief Financial Officer. Ms. Wynne continues to serve as the Company’s Vice President and Chief Accounting Officer.</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acquired Linear Technology on March 10, 2017. On June 15, 2017, as part of the integration of Linear Technology, we announced the new senior</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leadership team for the combined company, resulting in changes to our executive officers, among other things. Rick Hess became a non-executive Strategic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Advisor reporting to our CEO. Greg Henderson was promoted to Senior Vice President, Automotive, Communications and Aerospace &amp; Defense, Yusuf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Jamal was promoted to Senior Vice President, Industrial, Healthcare, Consumer and IoT Solutions and Security and former Linear Technology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Steve Pietkiewicz was promoted to Senior Vice President, Power Products. In connection with the acquisition, we made commitments covering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compensation and benefits of legacy Linear Technology employees, including Mr. Pietkiewicz, through March 10, 2018, the first anniversary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closing date. We subsequently extended these commitments through May 5, 2018, the end of the second quarter of our fiscal 2018 as part of the alignment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the compensation of our executives and legacy ADI and Linear Technology employees commencing the second half of fiscal 2018. For a description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Pietkiewicz’s fiscal 2017 compensation, see “Components of Executive Compensation — Compensation for Other Active Named Executive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Officers — Fiscal 2017 Compensation of Steve Pietkiewicz, Senior Vice President, Power Products” below and in the tabular disclosures.</w:t>
      </w:r>
    </w:p>
    <w:p>
      <w:pPr>
        <w:spacing w:after="0" w:line="165"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Except as otherwise indicated, the discussion below addresses the “active” NEOs as of the end of fiscal 2017: Messrs. Roche, Mahendra-Rajah, Hassett, Pietkiewicz and Real.</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Processes and Philosophy</w:t>
      </w:r>
    </w:p>
    <w:p>
      <w:pPr>
        <w:spacing w:after="0" w:line="90" w:lineRule="exact"/>
        <w:rPr>
          <w:sz w:val="20"/>
          <w:szCs w:val="20"/>
          <w:color w:val="auto"/>
        </w:rPr>
      </w:pPr>
    </w:p>
    <w:p>
      <w:pPr>
        <w:ind w:left="200" w:right="780" w:firstLine="441"/>
        <w:spacing w:after="0" w:line="268" w:lineRule="auto"/>
        <w:rPr>
          <w:sz w:val="20"/>
          <w:szCs w:val="20"/>
          <w:color w:val="auto"/>
        </w:rPr>
      </w:pPr>
      <w:r>
        <w:rPr>
          <w:rFonts w:ascii="Arial" w:cs="Arial" w:eastAsia="Arial" w:hAnsi="Arial"/>
          <w:sz w:val="18"/>
          <w:szCs w:val="18"/>
          <w:color w:val="auto"/>
        </w:rPr>
        <w:t>Our executive compensation program is designed to attract and retain top executive talent and align the interests of our executives and our shareholders. We accomplish this through the following steps:</w:t>
      </w:r>
    </w:p>
    <w:p>
      <w:pPr>
        <w:spacing w:after="0" w:line="51" w:lineRule="exact"/>
        <w:rPr>
          <w:sz w:val="20"/>
          <w:szCs w:val="20"/>
          <w:color w:val="auto"/>
        </w:rPr>
      </w:pPr>
    </w:p>
    <w:p>
      <w:pPr>
        <w:ind w:left="1060" w:right="60" w:hanging="424"/>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we ensure our executive compensation is competitive and attracts and retains top executive talent by understanding how the total target compensation (consisting of salary, bonus and equity awards) of our active NEOs compares to the total target compensation of those in similar positions within our peer group.</w:t>
      </w:r>
    </w:p>
    <w:p>
      <w:pPr>
        <w:spacing w:after="0" w:line="59" w:lineRule="exact"/>
        <w:rPr>
          <w:rFonts w:ascii="Arial" w:cs="Arial" w:eastAsia="Arial" w:hAnsi="Arial"/>
          <w:sz w:val="18"/>
          <w:szCs w:val="18"/>
          <w:color w:val="auto"/>
        </w:rPr>
      </w:pPr>
    </w:p>
    <w:p>
      <w:pPr>
        <w:ind w:left="1060" w:right="480" w:hanging="424"/>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then consider a variety of factors, including the scope of the role, tenure in the position and the performance and experience of the individual when deciding how each active NEO’s total target compensation compares to the total target compensation of those in similar positions within our peer group.</w:t>
      </w:r>
    </w:p>
    <w:p>
      <w:pPr>
        <w:spacing w:after="0" w:line="59" w:lineRule="exact"/>
        <w:rPr>
          <w:rFonts w:ascii="Arial" w:cs="Arial" w:eastAsia="Arial" w:hAnsi="Arial"/>
          <w:sz w:val="18"/>
          <w:szCs w:val="18"/>
          <w:color w:val="auto"/>
        </w:rPr>
      </w:pPr>
    </w:p>
    <w:p>
      <w:pPr>
        <w:ind w:left="1060" w:right="60" w:hanging="424"/>
        <w:spacing w:after="0" w:line="25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structure our compensation package to align executives’ interests with those of our shareholders by tying a significant portion of their total compensation directly to ADI’s short- and long-term performance, which for the active NEOs (other than Mr. Pietkiewicz) is measured by OPBT margin, and year-over-year revenue growth, which both drive shareholder value, stock price appreciation and relative total shareholder return.</w:t>
      </w:r>
    </w:p>
    <w:p>
      <w:pPr>
        <w:spacing w:after="0" w:line="143" w:lineRule="exact"/>
        <w:rPr>
          <w:sz w:val="20"/>
          <w:szCs w:val="20"/>
          <w:color w:val="auto"/>
        </w:rPr>
      </w:pPr>
    </w:p>
    <w:p>
      <w:pPr>
        <w:ind w:left="200" w:right="140" w:firstLine="441"/>
        <w:spacing w:after="0" w:line="332" w:lineRule="auto"/>
        <w:rPr>
          <w:sz w:val="20"/>
          <w:szCs w:val="20"/>
          <w:color w:val="auto"/>
        </w:rPr>
      </w:pPr>
      <w:r>
        <w:rPr>
          <w:rFonts w:ascii="Arial" w:cs="Arial" w:eastAsia="Arial" w:hAnsi="Arial"/>
          <w:sz w:val="16"/>
          <w:szCs w:val="16"/>
          <w:color w:val="auto"/>
        </w:rPr>
        <w:t>Our Chief Executive Officer’s compensation is described in more detail below under “— Chief Executive Officer Compensation.” Our other active NEOs’ compensation is described in more detail below under “— Compensation for Other Active Named Executive Officers.”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2017 Business Results</w:t>
      </w:r>
    </w:p>
    <w:p>
      <w:pPr>
        <w:spacing w:after="0" w:line="9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Fiscal 2017 was an excellent year for Analog Devices. Our senior leadership team continued to focus on our business philosophy, which centers on: the achievement of superior financial performance; superior innovation; and diversity of products, applications and customers. The following fiscal 2017 financial, strategic and operational accomplishments reinforce our commitment to these priorities, which we believe drive long-term profitable growth, free cash flow generation and shareholder returns.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Fiscal 2017 Financial Accomplishments</w:t>
      </w:r>
      <w:r>
        <w:rPr>
          <w:rFonts w:ascii="Arial" w:cs="Arial" w:eastAsia="Arial" w:hAnsi="Arial"/>
          <w:sz w:val="11"/>
          <w:szCs w:val="11"/>
          <w:i w:val="1"/>
          <w:iCs w:val="1"/>
          <w:color w:val="auto"/>
        </w:rPr>
        <w:t>1</w:t>
      </w:r>
    </w:p>
    <w:p>
      <w:pPr>
        <w:spacing w:after="0" w:line="90"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GAAP revenue of $5.1 billion, up 49% year-over-year; Non-GAAP revenue of $5.2 billion, up 52% year-over-year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GAAP gross margins of 59.9%; Non-GAAP gross margins of 69.5%</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GAAP operating margins of 20.7%; Non-GAAP operating margins of 39.5%</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GAAP diluted earnings per share of $2.07; Non-GAAP diluted earnings per share of $4.72</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also returned approximately $602 million to shareholders in the form of dividends and increased our dividends per share paid to shareholders by</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Fiscal 2017 Strategic Accomplishments</w:t>
      </w:r>
    </w:p>
    <w:p>
      <w:pPr>
        <w:spacing w:after="0" w:line="90"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In addition to achieving excellent financial results, in fiscal 2017 we completed our acquisition of Linear Technology, a leading manufacturer of high performance analog integrated circuits with highly complementary products and customers. Our combined company has a top two market share position across all the key building blocks of the analog market, namely: data converters, power management, amplifiers, interface and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38735</wp:posOffset>
            </wp:positionV>
            <wp:extent cx="694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71" w:lineRule="exact"/>
        <w:rPr>
          <w:sz w:val="20"/>
          <w:szCs w:val="20"/>
          <w:color w:val="auto"/>
        </w:rPr>
      </w:pPr>
    </w:p>
    <w:p>
      <w:pPr>
        <w:ind w:left="520" w:right="420" w:hanging="316"/>
        <w:spacing w:after="0" w:line="186" w:lineRule="auto"/>
        <w:tabs>
          <w:tab w:leader="none" w:pos="52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See Appendix A for additional information regarding non-GAAP financial measures and reconciliations of non-GAAP financial measures to their most directly comparable GAAP financial measures.</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24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spacing w:after="0" w:line="268" w:lineRule="auto"/>
        <w:rPr>
          <w:sz w:val="20"/>
          <w:szCs w:val="20"/>
          <w:color w:val="auto"/>
        </w:rPr>
      </w:pPr>
      <w:r>
        <w:rPr>
          <w:rFonts w:ascii="Arial" w:cs="Arial" w:eastAsia="Arial" w:hAnsi="Arial"/>
          <w:sz w:val="18"/>
          <w:szCs w:val="18"/>
          <w:color w:val="auto"/>
        </w:rPr>
        <w:t>performance RF and microwave.</w:t>
      </w:r>
      <w:r>
        <w:rPr>
          <w:rFonts w:ascii="Arial" w:cs="Arial" w:eastAsia="Arial" w:hAnsi="Arial"/>
          <w:sz w:val="11"/>
          <w:szCs w:val="11"/>
          <w:color w:val="auto"/>
        </w:rPr>
        <w:t>2</w:t>
      </w:r>
      <w:r>
        <w:rPr>
          <w:rFonts w:ascii="Arial" w:cs="Arial" w:eastAsia="Arial" w:hAnsi="Arial"/>
          <w:sz w:val="18"/>
          <w:szCs w:val="18"/>
          <w:color w:val="auto"/>
        </w:rPr>
        <w:t xml:space="preserve"> In addition, we believe that our wide portfolio of products continues to deliver more value to our customers and positions us for long-term profitable growth.</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“Say on Pay” Feedback from Shareholders</w:t>
      </w:r>
    </w:p>
    <w:p>
      <w:pPr>
        <w:spacing w:after="0" w:line="171" w:lineRule="exact"/>
        <w:rPr>
          <w:sz w:val="20"/>
          <w:szCs w:val="20"/>
          <w:color w:val="auto"/>
        </w:rPr>
      </w:pPr>
    </w:p>
    <w:p>
      <w:pPr>
        <w:ind w:left="200" w:right="160" w:firstLine="441"/>
        <w:spacing w:after="0" w:line="318" w:lineRule="auto"/>
        <w:rPr>
          <w:sz w:val="20"/>
          <w:szCs w:val="20"/>
          <w:color w:val="auto"/>
        </w:rPr>
      </w:pPr>
      <w:r>
        <w:rPr>
          <w:rFonts w:ascii="Arial" w:cs="Arial" w:eastAsia="Arial" w:hAnsi="Arial"/>
          <w:sz w:val="15"/>
          <w:szCs w:val="15"/>
          <w:color w:val="auto"/>
        </w:rPr>
        <w:t>Each year we submit our executive compensation program to an advisory vote of our shareholders as required by Section 14A of the Exchange Act. Our executive compensation program received the support of 97.9% of the total votes cast at our 2017 Annual Meeting. We pay careful attention to any feedback we receive from our shareholders about our executive compensation program including the “say on pay” vote. During the course of the year, we held in-person and telephonic meetings with a number of shareholders to discuss a variety of matters, including our executive compensation program and how they evaluate it. Our Compensation Committee carefully considers this feedback when making decisions regarding executive compensation.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jc w:val="both"/>
        <w:ind w:left="200" w:right="100" w:firstLine="441"/>
        <w:spacing w:after="0" w:line="298" w:lineRule="auto"/>
        <w:rPr>
          <w:sz w:val="20"/>
          <w:szCs w:val="20"/>
          <w:color w:val="auto"/>
        </w:rPr>
      </w:pPr>
      <w:r>
        <w:rPr>
          <w:rFonts w:ascii="Arial" w:cs="Arial" w:eastAsia="Arial" w:hAnsi="Arial"/>
          <w:sz w:val="16"/>
          <w:szCs w:val="16"/>
          <w:color w:val="auto"/>
        </w:rPr>
        <w:t>A significant portion of the total target compensation for our executives is in the form of variable, performance-based incentive compensation, with only a small portion of the total target compensation provided in the form of “fixed” compensation. We believe this provides our executives an opportunity to earn above peer average compensation if ADI delivers strong results, and conversely, if the Company delivers weaker results, our executives would earn less compensation. The pay mix for our active NEOs (other than Mr. Pietkiewicz) for fiscal 2017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102235</wp:posOffset>
            </wp:positionV>
            <wp:extent cx="3944620" cy="2246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4462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pay mix charts above are based on target compensation consisting of the annual rate of base salary and short-term and long-term incentive targets approved by the Compensation Committee. The pay mix for the “Other Active NEOs” in the chart above excludes the special Linear Integration PRSUs granted to the active NEOs (other than our Chief Executive Officer) in July 2017 after the completion of the acquisition of Linear Technology, which are exclusively dependent on Company performance. If those awards were taken into account, the percentage of performance-based incentives would increase for such active NEOs. For more information about the Linear Integration PRSUs, see “Components of Executive Compensation — Equity Compensation — Special Linear Integration Performance-Based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4" w:lineRule="exact"/>
        <w:rPr>
          <w:sz w:val="20"/>
          <w:szCs w:val="20"/>
          <w:color w:val="auto"/>
        </w:rPr>
      </w:pPr>
    </w:p>
    <w:p>
      <w:pPr>
        <w:ind w:left="320" w:hanging="116"/>
        <w:spacing w:after="0" w:line="186" w:lineRule="auto"/>
        <w:tabs>
          <w:tab w:leader="none" w:pos="32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Data based on Gartner reports and Company estimates based on fiscal 2015 and fiscal 2016 data. RF/microwave is based on Company estimates and excludes consumer and cellular infrastructure power amplifiers.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u w:val="single" w:color="auto"/>
          <w:color w:val="auto"/>
        </w:rPr>
        <w:t>Variable Cash Incentive Bonus Payments</w:t>
      </w:r>
      <w:r>
        <w:rPr>
          <w:rFonts w:ascii="Arial" w:cs="Arial" w:eastAsia="Arial" w:hAnsi="Arial"/>
          <w:sz w:val="16"/>
          <w:szCs w:val="16"/>
          <w:color w:val="auto"/>
        </w:rPr>
        <w:t>. For fiscal 2017, we linked a significant portion of our executives’ cash compensation (other than for Mr. Pietkiewicz) to ADI’s performance, measured by our OPBT margin and year-over-year revenue growth on a quarterly basis, through our executive performance incentive plan. The performance metrics and targets for our executive performance incentive plan for fiscal 2017 excluded the results of Linear Technology and were identical for eligible ADI legacy employees and executives alike, which we believe drives consistent business goals. For fiscal 2017, the Compensation Committee set target percentages of 150% of base salary for our Chief Executive Officer and between 80%-100% of base salary for our remaining active NEOs (excluding Mr. Pietkiewicz). The Compensation Committee selected these target bonus percentages to ensure that a substantial portion of each executive’s cash compensation is directly linked to our business performance. For a description of Mr. Pietkiewicz’s fiscal 2017 variable cash incentive bonus payments, see “Compensation for Other Active Named Executive Officers — Fiscal 2017 Compensation of Steve Pietkiewicz, Senior Vice President, Power Products” below.</w:t>
      </w:r>
    </w:p>
    <w:p>
      <w:pPr>
        <w:spacing w:after="0" w:line="12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Our executive performance incentive plan takes into consideration our actual business results, compared to the strategic performance targets we set for our business. In setting our targets, we use an assessment of our business results relative to our peers to ensure that our performance targets are appropriately calibrated. Our Compensation Committee’s independent consultant, Pearl Meyer, conducted an analysis that compared our performance against the three-year median performance of our peers, including OPBT margin and year-over-year revenue growth, to help us determine the appropriate targets for each quarter of fiscal 2017, which were unchanged from fiscal 2016 targets. The three-year median OPBT margin for our peer group was 16%, compared to our target of 30% for each quarter of fiscal 2017, and our 30% target also exceeded the peer group median for each of the past three years. The three-year median compound annual growth rate for our peer group was 4%, compared to our target of 8% for each quarter of fiscal 2017, and our 8% target exceeded the peer group median for each of the past three years.</w:t>
      </w:r>
    </w:p>
    <w:p>
      <w:pPr>
        <w:spacing w:after="0" w:line="118"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We also link pay and performance by providing a significant amount of our executives’ compensation in the form of equity awards, the value of which is directly tied to our stock price performance over the long term. In fiscal 2017, approximately 67% of the average total target compensation of our active NEOs (other than Mr. Pietkiewicz) was in the form of equity. This figure excludes the Linear Integration PRSUs granted during fiscal 2017 to our active NEOs (other than our Chief Executive Officer) in July 2017 to promote the successful integration of Linear Technology. If those awards were taken into account, equity as a percentage of overall target compensation, would increase to approximately 74%. In fiscal 2017, the form and mix of equity awards delivered as part of our annual equity award program for our executive officers was as follows:</w:t>
      </w:r>
    </w:p>
    <w:p>
      <w:pPr>
        <w:spacing w:after="0" w:line="3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Performance-Based RSUs. </w:t>
      </w:r>
      <w:r>
        <w:rPr>
          <w:rFonts w:ascii="Arial" w:cs="Arial" w:eastAsia="Arial" w:hAnsi="Arial"/>
          <w:sz w:val="18"/>
          <w:szCs w:val="18"/>
          <w:color w:val="auto"/>
        </w:rPr>
        <w:t>Approximately 33% of the value was delivered in the form of performance-based RSUs, under which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ADI common stock received following vesting will be based on ADI’s total shareholder return, or TSR, performance (defined as share price appreciation plus cumulative cash dividend payments) measured against the median TSR of a defined comparator group of companies over a three-year period. These performance-based RSUs for our executives ensure a direct link between the value of our long-term incentives and the value that is created for our shareholders.</w:t>
      </w:r>
    </w:p>
    <w:p>
      <w:pPr>
        <w:spacing w:after="0" w:line="14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Approximately 33% of the value was delivered in the form of time-based RSUs, which increase or decrease in value depending on</w:t>
      </w:r>
      <w:r>
        <w:rPr>
          <w:rFonts w:ascii="Arial" w:cs="Arial" w:eastAsia="Arial" w:hAnsi="Arial"/>
          <w:sz w:val="18"/>
          <w:szCs w:val="18"/>
          <w:i w:val="1"/>
          <w:iCs w:val="1"/>
          <w:color w:val="auto"/>
        </w:rPr>
        <w:t xml:space="preserve"> </w:t>
      </w:r>
      <w:r>
        <w:rPr>
          <w:rFonts w:ascii="Arial" w:cs="Arial" w:eastAsia="Arial" w:hAnsi="Arial"/>
          <w:sz w:val="18"/>
          <w:szCs w:val="18"/>
          <w:color w:val="auto"/>
        </w:rPr>
        <w:t>our share performance.</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Approximately 33% of the value of our executives’ equity was delivered in the form of stock options that provide a direct link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these awards and the appreciation of the stock owned by our shareholders.</w:t>
      </w:r>
    </w:p>
    <w:p>
      <w:pPr>
        <w:spacing w:after="0" w:line="132" w:lineRule="exact"/>
        <w:rPr>
          <w:sz w:val="20"/>
          <w:szCs w:val="20"/>
          <w:color w:val="auto"/>
        </w:rPr>
      </w:pPr>
    </w:p>
    <w:p>
      <w:pPr>
        <w:jc w:val="both"/>
        <w:ind w:left="200" w:right="580" w:firstLine="441"/>
        <w:spacing w:after="0" w:line="306" w:lineRule="auto"/>
        <w:rPr>
          <w:sz w:val="20"/>
          <w:szCs w:val="20"/>
          <w:color w:val="auto"/>
        </w:rPr>
      </w:pPr>
      <w:r>
        <w:rPr>
          <w:rFonts w:ascii="Arial" w:cs="Arial" w:eastAsia="Arial" w:hAnsi="Arial"/>
          <w:sz w:val="16"/>
          <w:szCs w:val="16"/>
          <w:color w:val="auto"/>
        </w:rPr>
        <w:t>In addition to the annual equity award program described above, in July 2017, to promote the successful integration of Linear Technology and achievement of the Company’s synergy goals, the Compensation Committee approved the grant of the Linear Integration PRSUs to members of the Company’s senior executive team, including the active NEOs other than our Chief Executive Officer. For more information about the Linear</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60"/>
        <w:spacing w:after="0" w:line="268" w:lineRule="auto"/>
        <w:rPr>
          <w:sz w:val="20"/>
          <w:szCs w:val="20"/>
          <w:color w:val="auto"/>
        </w:rPr>
      </w:pPr>
      <w:r>
        <w:rPr>
          <w:rFonts w:ascii="Arial" w:cs="Arial" w:eastAsia="Arial" w:hAnsi="Arial"/>
          <w:sz w:val="18"/>
          <w:szCs w:val="18"/>
          <w:color w:val="auto"/>
        </w:rPr>
        <w:t>Integration PRSUs, see “Components of Executive Compensation — Equity Compensation — Special Linear Integration Performance-Based Restricted Stock Units.”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Total Shareholder Return</w:t>
      </w:r>
    </w:p>
    <w:p>
      <w:pPr>
        <w:spacing w:after="0" w:line="90" w:lineRule="exact"/>
        <w:rPr>
          <w:sz w:val="20"/>
          <w:szCs w:val="20"/>
          <w:color w:val="auto"/>
        </w:rPr>
      </w:pPr>
    </w:p>
    <w:p>
      <w:pPr>
        <w:jc w:val="both"/>
        <w:ind w:left="200" w:firstLine="441"/>
        <w:spacing w:after="0" w:line="298" w:lineRule="auto"/>
        <w:rPr>
          <w:sz w:val="20"/>
          <w:szCs w:val="20"/>
          <w:color w:val="auto"/>
        </w:rPr>
      </w:pPr>
      <w:r>
        <w:rPr>
          <w:rFonts w:ascii="Arial" w:cs="Arial" w:eastAsia="Arial" w:hAnsi="Arial"/>
          <w:sz w:val="16"/>
          <w:szCs w:val="16"/>
          <w:color w:val="auto"/>
        </w:rPr>
        <w:t>We calculate and evaluate our TSR performance annually in March in connection with the vesting of our performance-based RSUs. Fiscal 2014 was the first year that we included performance-based RSUs as part of our executives’ annual equity award compensation. The performance period for the 2014 performance-based RSUs ended on March 12, 2017. On a three-year cumulative basis, our TSR performance was 55.41% compared to the median TSR of a defined comparator group of companies of 54.32%, placing our TSR performance above the comparator group on a three-year basis.</w:t>
      </w:r>
    </w:p>
    <w:p>
      <w:pPr>
        <w:spacing w:after="0" w:line="11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For purposes of calculating TSR performance, we use the TSR calculation set forth in our performance-based RSU award agreements. The periods used to calculate share price appreciation and dividends paid are held constant and the beginning stock price used is the average of the closing prices of the applicable stock for the 90 calendar days starting and including the first day of the measured period and the ending stock price used is the average of the closing price of the applicable stock for the 90 calendar days up to and including the last day of the measured period. Companies in the 2014 performance-based RSU award comparator group that are not publicly traded as of the date of the TSR calculation are not included in the calculation. For more information about our performance-based RSUs, see “— Components of Executive Compensation — Equity Compensation” below.</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pay and governance practices are designed to align our executives’ interests with our shareholders. For example:</w:t>
      </w:r>
    </w:p>
    <w:p>
      <w:pPr>
        <w:sectPr>
          <w:pgSz w:w="11900" w:h="16838" w:orient="portrait"/>
          <w:cols w:equalWidth="0" w:num="1">
            <w:col w:w="11180"/>
          </w:cols>
          <w:pgMar w:left="240" w:top="459" w:right="479" w:bottom="1440" w:gutter="0" w:footer="0" w:header="0"/>
        </w:sectPr>
      </w:pPr>
    </w:p>
    <w:p>
      <w:pPr>
        <w:spacing w:after="0" w:line="144" w:lineRule="exact"/>
        <w:rPr>
          <w:sz w:val="20"/>
          <w:szCs w:val="20"/>
          <w:color w:val="auto"/>
        </w:rPr>
      </w:pPr>
    </w:p>
    <w:p>
      <w:pPr>
        <w:ind w:left="960" w:right="35" w:hanging="391"/>
        <w:spacing w:after="0" w:line="357" w:lineRule="auto"/>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do not guarantee salary increases or non-performance-based bonuses</w:t>
      </w:r>
    </w:p>
    <w:p>
      <w:pPr>
        <w:ind w:left="960" w:right="75" w:hanging="391"/>
        <w:spacing w:after="0" w:line="335" w:lineRule="auto"/>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cash incentive bonus awards for legacy ADI executives are based solely on our financial performance</w:t>
      </w:r>
    </w:p>
    <w:p>
      <w:pPr>
        <w:spacing w:after="0" w:line="7" w:lineRule="exact"/>
        <w:rPr>
          <w:rFonts w:ascii="Arial" w:cs="Arial" w:eastAsia="Arial" w:hAnsi="Arial"/>
          <w:sz w:val="15"/>
          <w:szCs w:val="15"/>
          <w:color w:val="auto"/>
        </w:rPr>
      </w:pPr>
    </w:p>
    <w:p>
      <w:pPr>
        <w:ind w:left="960" w:right="155" w:hanging="391"/>
        <w:spacing w:after="0" w:line="306"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do not modify our performance targets during the performance period, even in challenging years</w:t>
      </w:r>
    </w:p>
    <w:p>
      <w:pPr>
        <w:spacing w:after="0" w:line="25" w:lineRule="exact"/>
        <w:rPr>
          <w:rFonts w:ascii="Arial" w:cs="Arial" w:eastAsia="Arial" w:hAnsi="Arial"/>
          <w:sz w:val="16"/>
          <w:szCs w:val="16"/>
          <w:color w:val="auto"/>
        </w:rPr>
      </w:pPr>
    </w:p>
    <w:p>
      <w:pPr>
        <w:ind w:left="960" w:right="35" w:hanging="391"/>
        <w:spacing w:after="0" w:line="268"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do not provide new tax gross-ups for executive officers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85" w:hanging="385"/>
        <w:spacing w:after="0" w:line="294" w:lineRule="auto"/>
        <w:tabs>
          <w:tab w:leader="none" w:pos="3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the exception of restricted stock awards assumed in connection with the Linear Technology acquisition, we do not pay dividends on unvested equity awards</w:t>
      </w:r>
    </w:p>
    <w:p>
      <w:pPr>
        <w:spacing w:after="0" w:line="34" w:lineRule="exact"/>
        <w:rPr>
          <w:rFonts w:ascii="Arial" w:cs="Arial" w:eastAsia="Arial" w:hAnsi="Arial"/>
          <w:sz w:val="16"/>
          <w:szCs w:val="16"/>
          <w:color w:val="auto"/>
        </w:rPr>
      </w:pPr>
    </w:p>
    <w:p>
      <w:pPr>
        <w:jc w:val="both"/>
        <w:ind w:left="385" w:right="740" w:hanging="385"/>
        <w:spacing w:after="0" w:line="357" w:lineRule="auto"/>
        <w:tabs>
          <w:tab w:leader="none" w:pos="385"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do not provide extensive perquisites to our executives</w:t>
      </w:r>
    </w:p>
    <w:p>
      <w:pPr>
        <w:ind w:left="385" w:right="60" w:hanging="385"/>
        <w:spacing w:after="0" w:line="294" w:lineRule="auto"/>
        <w:tabs>
          <w:tab w:leader="none" w:pos="3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have a specific policy regarding the grant dates of stock options, RSUs and other stock-based awards for our directors, executive officers and employees.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88" w:right="60" w:hanging="388"/>
        <w:spacing w:after="0" w:line="357" w:lineRule="auto"/>
        <w:tabs>
          <w:tab w:leader="none" w:pos="388"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stock ownership guidelines for all officers and directors</w:t>
      </w:r>
    </w:p>
    <w:p>
      <w:pPr>
        <w:ind w:left="388" w:hanging="388"/>
        <w:spacing w:after="0" w:line="259" w:lineRule="auto"/>
        <w:tabs>
          <w:tab w:leader="none" w:pos="3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prohibit hedging transactions and “short sales” involving ADI securities</w:t>
      </w:r>
    </w:p>
    <w:p>
      <w:pPr>
        <w:spacing w:after="0" w:line="59" w:lineRule="exact"/>
        <w:rPr>
          <w:rFonts w:ascii="Arial" w:cs="Arial" w:eastAsia="Arial" w:hAnsi="Arial"/>
          <w:sz w:val="18"/>
          <w:szCs w:val="18"/>
          <w:color w:val="auto"/>
        </w:rPr>
      </w:pPr>
    </w:p>
    <w:p>
      <w:pPr>
        <w:ind w:left="388" w:right="140" w:hanging="388"/>
        <w:spacing w:after="0" w:line="268" w:lineRule="auto"/>
        <w:tabs>
          <w:tab w:leader="none" w:pos="3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prohibit holding ADI securities in margin accounts</w:t>
      </w:r>
    </w:p>
    <w:p>
      <w:pPr>
        <w:spacing w:after="0" w:line="50" w:lineRule="exact"/>
        <w:rPr>
          <w:rFonts w:ascii="Arial" w:cs="Arial" w:eastAsia="Arial" w:hAnsi="Arial"/>
          <w:sz w:val="18"/>
          <w:szCs w:val="18"/>
          <w:color w:val="auto"/>
        </w:rPr>
      </w:pPr>
    </w:p>
    <w:p>
      <w:pPr>
        <w:ind w:left="388" w:right="60" w:hanging="388"/>
        <w:spacing w:after="0" w:line="332" w:lineRule="auto"/>
        <w:tabs>
          <w:tab w:leader="none" w:pos="3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prohibit pledging ADI securities as collateral for a loan</w:t>
      </w:r>
    </w:p>
    <w:p>
      <w:pPr>
        <w:spacing w:after="0" w:line="4" w:lineRule="exact"/>
        <w:rPr>
          <w:rFonts w:ascii="Arial" w:cs="Arial" w:eastAsia="Arial" w:hAnsi="Arial"/>
          <w:sz w:val="16"/>
          <w:szCs w:val="16"/>
          <w:color w:val="auto"/>
        </w:rPr>
      </w:pPr>
    </w:p>
    <w:p>
      <w:pPr>
        <w:ind w:left="388" w:hanging="388"/>
        <w:spacing w:after="0"/>
        <w:tabs>
          <w:tab w:leader="none" w:pos="3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“say on pay” vote</w:t>
      </w:r>
    </w:p>
    <w:p>
      <w:pPr>
        <w:spacing w:after="0" w:line="525" w:lineRule="exact"/>
        <w:rPr>
          <w:sz w:val="20"/>
          <w:szCs w:val="20"/>
          <w:color w:val="auto"/>
        </w:rPr>
      </w:pPr>
    </w:p>
    <w:p>
      <w:pPr>
        <w:sectPr>
          <w:pgSz w:w="11900" w:h="16838" w:orient="portrait"/>
          <w:cols w:equalWidth="0" w:num="3">
            <w:col w:w="3595" w:space="720"/>
            <w:col w:w="3145" w:space="712"/>
            <w:col w:w="3008"/>
          </w:cols>
          <w:pgMar w:left="240" w:top="459" w:right="479" w:bottom="1440" w:gutter="0" w:footer="0" w:header="0"/>
          <w:type w:val="continuous"/>
        </w:sectPr>
      </w:pP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Benchmarking</w:t>
      </w:r>
    </w:p>
    <w:p>
      <w:pPr>
        <w:spacing w:after="0" w:line="90"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In making its compensation determinations, the Compensation Committee annually reviews the total compensation that each of our executives is eligible to receive against the compensation levels of comparable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positions of a peer group of companies. The Compensation Committee has sought to select peer companies that are publicly traded, headquartered in the United States, compete with us for talent, and are similar to ADI in their product and services offerings, business model, revenue size and market capitalization. The composition of the peer group is reviewed annually by the Compensation Committee. In September 2016, the Compensation Committee engaged Pearl Meyer to conduct a review of the composition of the Company’s peer group for fiscal 2017. Due to the then-pending acquisition of Linear Technology, which the Compensation Committee recognized would substantially increase the Company’s size and complexity, the Compensation Committee instructed Pearl Meyer to perform its analysis and present its recommendation on both a pre-acquisition and post-acquisition basis. As a result of rapid consolidation in the semiconductor industry over the last several years, in addition to companies that meet the criteria outlined above for our fiscal 2016 peer group, the pre-acquisition and post-acquisition peer groups for fiscal 2017 included additional semiconductor companies outside of our historic peer group, as well as companies outside of the semiconductor industry. These additional companies are similar in size and have similar gross margins and research and development spend as the Company, including peers of peers and peers of other companies in our sector.</w:t>
      </w:r>
    </w:p>
    <w:p>
      <w:pPr>
        <w:spacing w:after="0" w:line="12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March 2017, the Compensation Committee approved the post-acquisition peer group for use in reviewing market data in support of the compensation decisions for the Company’s executive officers in fiscal 2017, including base salary, cash incentive bonus awards targets and long-term equity compensation. The median annual revenue of our 2017 peer group at that time was $4.5 billion, compared to our trailing four quarters revenue at the end of our first quarter of fiscal 2017 combined with Linear Technology for the same period of $5.1 billion. The median market capitalization of our peer group at that time was $13.5 billion, compared to our market capitalization of $19.5 billion. Some companies in our peer group (such as Texas Instruments) fall outside of our selection range. We include them in the peer group, however, because they have similar product and services offerings as ADI, they are direct competitors of ADI, we compete with them for talent, and they include ADI in their own peer group. Because executive compensation comparisons are done using percentiles, rather than averages, we do not believe the data becomes skewed if a company falls outside our selection range.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peer group used by the Compensation Committee in fiscal 2017 to evaluate executive compensation consisted of the following companies:</w:t>
      </w: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760" w:type="dxa"/>
            <w:vAlign w:val="bottom"/>
          </w:tcPr>
          <w:p>
            <w:pPr>
              <w:ind w:left="380"/>
              <w:spacing w:after="0"/>
              <w:rPr>
                <w:sz w:val="20"/>
                <w:szCs w:val="20"/>
                <w:color w:val="auto"/>
              </w:rPr>
            </w:pPr>
            <w:r>
              <w:rPr>
                <w:rFonts w:ascii="Arial" w:cs="Arial" w:eastAsia="Arial" w:hAnsi="Arial"/>
                <w:sz w:val="18"/>
                <w:szCs w:val="18"/>
                <w:b w:val="1"/>
                <w:bCs w:val="1"/>
                <w:color w:val="auto"/>
              </w:rPr>
              <w:t>2017 Peer Group</w:t>
            </w: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Advanced Micro Devices, Inc.(1)</w:t>
            </w:r>
          </w:p>
        </w:tc>
        <w:tc>
          <w:tcPr>
            <w:tcW w:w="3760" w:type="dxa"/>
            <w:vAlign w:val="bottom"/>
          </w:tcPr>
          <w:p>
            <w:pPr>
              <w:ind w:left="1480"/>
              <w:spacing w:after="0"/>
              <w:rPr>
                <w:sz w:val="20"/>
                <w:szCs w:val="20"/>
                <w:color w:val="auto"/>
              </w:rPr>
            </w:pPr>
            <w:r>
              <w:rPr>
                <w:rFonts w:ascii="Arial" w:cs="Arial" w:eastAsia="Arial" w:hAnsi="Arial"/>
                <w:sz w:val="18"/>
                <w:szCs w:val="18"/>
                <w:color w:val="auto"/>
                <w:w w:val="88"/>
              </w:rPr>
              <w:t>Maxim Integrated Products, Inc.</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Agilent Technologies, Inc.(1)</w:t>
            </w:r>
          </w:p>
        </w:tc>
        <w:tc>
          <w:tcPr>
            <w:tcW w:w="3760" w:type="dxa"/>
            <w:vAlign w:val="bottom"/>
          </w:tcPr>
          <w:p>
            <w:pPr>
              <w:ind w:left="1480"/>
              <w:spacing w:after="0"/>
              <w:rPr>
                <w:sz w:val="20"/>
                <w:szCs w:val="20"/>
                <w:color w:val="auto"/>
              </w:rPr>
            </w:pPr>
            <w:r>
              <w:rPr>
                <w:rFonts w:ascii="Arial" w:cs="Arial" w:eastAsia="Arial" w:hAnsi="Arial"/>
                <w:sz w:val="18"/>
                <w:szCs w:val="18"/>
                <w:color w:val="auto"/>
              </w:rPr>
              <w:t>Microchip Technology Inc.</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Applied Materials, Inc.(1)</w:t>
            </w:r>
          </w:p>
        </w:tc>
        <w:tc>
          <w:tcPr>
            <w:tcW w:w="3760" w:type="dxa"/>
            <w:vAlign w:val="bottom"/>
          </w:tcPr>
          <w:p>
            <w:pPr>
              <w:ind w:left="1480"/>
              <w:spacing w:after="0"/>
              <w:rPr>
                <w:sz w:val="20"/>
                <w:szCs w:val="20"/>
                <w:color w:val="auto"/>
              </w:rPr>
            </w:pPr>
            <w:r>
              <w:rPr>
                <w:rFonts w:ascii="Arial" w:cs="Arial" w:eastAsia="Arial" w:hAnsi="Arial"/>
                <w:sz w:val="18"/>
                <w:szCs w:val="18"/>
                <w:color w:val="auto"/>
              </w:rPr>
              <w:t>NetApp, Inc.(1)</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Boston Scientific Corporation(1)</w:t>
            </w:r>
          </w:p>
        </w:tc>
        <w:tc>
          <w:tcPr>
            <w:tcW w:w="3760" w:type="dxa"/>
            <w:vAlign w:val="bottom"/>
          </w:tcPr>
          <w:p>
            <w:pPr>
              <w:ind w:left="1480"/>
              <w:spacing w:after="0"/>
              <w:rPr>
                <w:sz w:val="20"/>
                <w:szCs w:val="20"/>
                <w:color w:val="auto"/>
              </w:rPr>
            </w:pPr>
            <w:r>
              <w:rPr>
                <w:rFonts w:ascii="Arial" w:cs="Arial" w:eastAsia="Arial" w:hAnsi="Arial"/>
                <w:sz w:val="18"/>
                <w:szCs w:val="18"/>
                <w:color w:val="auto"/>
              </w:rPr>
              <w:t>NVIDIA Corporation</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Broadcom Limited</w:t>
            </w:r>
          </w:p>
        </w:tc>
        <w:tc>
          <w:tcPr>
            <w:tcW w:w="3760" w:type="dxa"/>
            <w:vAlign w:val="bottom"/>
          </w:tcPr>
          <w:p>
            <w:pPr>
              <w:ind w:left="1480"/>
              <w:spacing w:after="0"/>
              <w:rPr>
                <w:sz w:val="20"/>
                <w:szCs w:val="20"/>
                <w:color w:val="auto"/>
              </w:rPr>
            </w:pPr>
            <w:r>
              <w:rPr>
                <w:rFonts w:ascii="Arial" w:cs="Arial" w:eastAsia="Arial" w:hAnsi="Arial"/>
                <w:sz w:val="18"/>
                <w:szCs w:val="18"/>
                <w:color w:val="auto"/>
              </w:rPr>
              <w:t>Qorvo, Inc.</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Juniper Networks, Inc.(1)</w:t>
            </w:r>
          </w:p>
        </w:tc>
        <w:tc>
          <w:tcPr>
            <w:tcW w:w="3760" w:type="dxa"/>
            <w:vAlign w:val="bottom"/>
          </w:tcPr>
          <w:p>
            <w:pPr>
              <w:ind w:left="1480"/>
              <w:spacing w:after="0"/>
              <w:rPr>
                <w:sz w:val="20"/>
                <w:szCs w:val="20"/>
                <w:color w:val="auto"/>
              </w:rPr>
            </w:pPr>
            <w:r>
              <w:rPr>
                <w:rFonts w:ascii="Arial" w:cs="Arial" w:eastAsia="Arial" w:hAnsi="Arial"/>
                <w:sz w:val="18"/>
                <w:szCs w:val="18"/>
                <w:color w:val="auto"/>
              </w:rPr>
              <w:t>Skyworks Solutions Inc.</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Lam Research Corporation(1)</w:t>
            </w:r>
          </w:p>
        </w:tc>
        <w:tc>
          <w:tcPr>
            <w:tcW w:w="3760" w:type="dxa"/>
            <w:vAlign w:val="bottom"/>
          </w:tcPr>
          <w:p>
            <w:pPr>
              <w:ind w:left="1480"/>
              <w:spacing w:after="0"/>
              <w:rPr>
                <w:sz w:val="20"/>
                <w:szCs w:val="20"/>
                <w:color w:val="auto"/>
              </w:rPr>
            </w:pPr>
            <w:r>
              <w:rPr>
                <w:rFonts w:ascii="Arial" w:cs="Arial" w:eastAsia="Arial" w:hAnsi="Arial"/>
                <w:sz w:val="18"/>
                <w:szCs w:val="18"/>
                <w:color w:val="auto"/>
              </w:rPr>
              <w:t>Texas Instruments Inc.</w:t>
            </w: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Marvell Technology Group Ltd.</w:t>
            </w:r>
          </w:p>
        </w:tc>
        <w:tc>
          <w:tcPr>
            <w:tcW w:w="3760" w:type="dxa"/>
            <w:vAlign w:val="bottom"/>
          </w:tcPr>
          <w:p>
            <w:pPr>
              <w:ind w:left="1480"/>
              <w:spacing w:after="0"/>
              <w:rPr>
                <w:sz w:val="20"/>
                <w:szCs w:val="20"/>
                <w:color w:val="auto"/>
              </w:rPr>
            </w:pPr>
            <w:r>
              <w:rPr>
                <w:rFonts w:ascii="Arial" w:cs="Arial" w:eastAsia="Arial" w:hAnsi="Arial"/>
                <w:sz w:val="18"/>
                <w:szCs w:val="18"/>
                <w:color w:val="auto"/>
              </w:rPr>
              <w:t>Xilinx Inc.</w:t>
            </w:r>
          </w:p>
        </w:tc>
      </w:tr>
      <w:tr>
        <w:trPr>
          <w:trHeight w:val="110"/>
        </w:trPr>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3760" w:type="dxa"/>
            <w:vAlign w:val="bottom"/>
          </w:tcPr>
          <w:p>
            <w:pPr>
              <w:spacing w:after="0"/>
              <w:rPr>
                <w:sz w:val="9"/>
                <w:szCs w:val="9"/>
                <w:color w:val="auto"/>
              </w:rPr>
            </w:pPr>
          </w:p>
        </w:tc>
      </w:tr>
      <w:tr>
        <w:trPr>
          <w:trHeight w:val="235"/>
        </w:trPr>
        <w:tc>
          <w:tcPr>
            <w:tcW w:w="4500" w:type="dxa"/>
            <w:vAlign w:val="bottom"/>
            <w:gridSpan w:val="3"/>
          </w:tcPr>
          <w:p>
            <w:pPr>
              <w:spacing w:after="0"/>
              <w:rPr>
                <w:sz w:val="20"/>
                <w:szCs w:val="20"/>
                <w:color w:val="auto"/>
              </w:rPr>
            </w:pPr>
            <w:r>
              <w:rPr>
                <w:rFonts w:ascii="Arial" w:cs="Arial" w:eastAsia="Arial" w:hAnsi="Arial"/>
                <w:sz w:val="18"/>
                <w:szCs w:val="18"/>
                <w:color w:val="auto"/>
              </w:rPr>
              <w:t>(1)   Added in Fiscal 2017.</w:t>
            </w:r>
          </w:p>
        </w:tc>
        <w:tc>
          <w:tcPr>
            <w:tcW w:w="3760" w:type="dxa"/>
            <w:vAlign w:val="bottom"/>
          </w:tcPr>
          <w:p>
            <w:pPr>
              <w:spacing w:after="0"/>
              <w:rPr>
                <w:sz w:val="20"/>
                <w:szCs w:val="20"/>
                <w:color w:val="auto"/>
              </w:rPr>
            </w:pPr>
          </w:p>
        </w:tc>
      </w:tr>
    </w:tbl>
    <w:p>
      <w:pPr>
        <w:spacing w:after="0" w:line="156"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officers in positions for which the fiscal 2017 peer group companies do not publicly disclose compensation data, the Compensation Committee reviewed data collected from Radford’s Global Technology Survey. This survey depicts executive compensation levels across a wide spectrum of technology sector companies comparable in revenue size.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fiscal 2017, compensation for our executive officers (excluding Mr. Pietkiewicz), consisted of the following principal elements:</w:t>
      </w:r>
    </w:p>
    <w:p>
      <w:pPr>
        <w:spacing w:after="0" w:line="200" w:lineRule="exact"/>
        <w:rPr>
          <w:sz w:val="20"/>
          <w:szCs w:val="20"/>
          <w:color w:val="auto"/>
        </w:rPr>
      </w:pPr>
    </w:p>
    <w:tbl>
      <w:tblPr>
        <w:tblLayout w:type="fixed"/>
        <w:tblInd w:w="670" w:type="dxa"/>
        <w:tblCellMar>
          <w:top w:w="0" w:type="dxa"/>
          <w:left w:w="0" w:type="dxa"/>
          <w:bottom w:w="0" w:type="dxa"/>
          <w:right w:w="0" w:type="dxa"/>
        </w:tblCellMar>
      </w:tblPr>
      <w:tr>
        <w:trPr>
          <w:trHeight w:val="162"/>
        </w:trPr>
        <w:tc>
          <w:tcPr>
            <w:tcW w:w="158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8"/>
              </w:rPr>
              <w:t>Element</w:t>
            </w:r>
          </w:p>
        </w:tc>
        <w:tc>
          <w:tcPr>
            <w:tcW w:w="1480" w:type="dxa"/>
            <w:vAlign w:val="bottom"/>
            <w:tcBorders>
              <w:top w:val="single" w:sz="8" w:color="auto"/>
              <w:right w:val="single" w:sz="8" w:color="auto"/>
            </w:tcBorders>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Objective</w:t>
            </w:r>
          </w:p>
        </w:tc>
        <w:tc>
          <w:tcPr>
            <w:tcW w:w="2120" w:type="dxa"/>
            <w:vAlign w:val="bottom"/>
            <w:tcBorders>
              <w:top w:val="single" w:sz="8" w:color="auto"/>
              <w:right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Fixed/Variable</w:t>
            </w:r>
          </w:p>
        </w:tc>
        <w:tc>
          <w:tcPr>
            <w:tcW w:w="220" w:type="dxa"/>
            <w:vAlign w:val="bottom"/>
            <w:tcBorders>
              <w:top w:val="single" w:sz="8" w:color="auto"/>
              <w:right w:val="single" w:sz="8" w:color="auto"/>
            </w:tcBorders>
          </w:tcPr>
          <w:p>
            <w:pPr>
              <w:spacing w:after="0"/>
              <w:rPr>
                <w:sz w:val="14"/>
                <w:szCs w:val="14"/>
                <w:color w:val="auto"/>
              </w:rPr>
            </w:pPr>
          </w:p>
        </w:tc>
      </w:tr>
      <w:tr>
        <w:trPr>
          <w:trHeight w:val="20"/>
        </w:trPr>
        <w:tc>
          <w:tcPr>
            <w:tcW w:w="356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080" w:type="dxa"/>
            <w:vAlign w:val="bottom"/>
            <w:tcBorders>
              <w:bottom w:val="single" w:sz="8" w:color="auto"/>
              <w:right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35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08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w w:val="97"/>
              </w:rPr>
              <w:t>Attract and retain talent and provide stable source of income.</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20" w:type="dxa"/>
            <w:vAlign w:val="bottom"/>
            <w:tcBorders>
              <w:bottom w:val="single" w:sz="8" w:color="auto"/>
              <w:right w:val="single" w:sz="8" w:color="auto"/>
            </w:tcBorders>
          </w:tcPr>
          <w:p>
            <w:pPr>
              <w:spacing w:after="0"/>
              <w:rPr>
                <w:sz w:val="24"/>
                <w:szCs w:val="24"/>
                <w:color w:val="auto"/>
              </w:rPr>
            </w:pPr>
          </w:p>
        </w:tc>
      </w:tr>
      <w:tr>
        <w:trPr>
          <w:trHeight w:val="297"/>
        </w:trPr>
        <w:tc>
          <w:tcPr>
            <w:tcW w:w="35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08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8"/>
              </w:rPr>
              <w:t>Link pay and annual Company performance. Align executive</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20" w:type="dxa"/>
            <w:vAlign w:val="bottom"/>
            <w:tcBorders>
              <w:right w:val="single" w:sz="8" w:color="auto"/>
            </w:tcBorders>
          </w:tcPr>
          <w:p>
            <w:pPr>
              <w:spacing w:after="0"/>
              <w:rPr>
                <w:sz w:val="24"/>
                <w:szCs w:val="24"/>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0"/>
              </w:rPr>
              <w:t>compensation with the financial performance of the Company and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5"/>
              </w:rPr>
              <w:t>our achievement of OPBT margin and year-over-year revenue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23"/>
        </w:trPr>
        <w:tc>
          <w:tcPr>
            <w:tcW w:w="158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growth, which are measured quarterly.</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r>
      <w:tr>
        <w:trPr>
          <w:trHeight w:val="297"/>
        </w:trPr>
        <w:tc>
          <w:tcPr>
            <w:tcW w:w="35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Long-Term Equity Compensation</w:t>
            </w:r>
          </w:p>
        </w:tc>
        <w:tc>
          <w:tcPr>
            <w:tcW w:w="508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6"/>
              </w:rPr>
              <w:t>Link pay and long-term Company performance. Reward stock</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20" w:type="dxa"/>
            <w:vAlign w:val="bottom"/>
            <w:tcBorders>
              <w:right w:val="single" w:sz="8" w:color="auto"/>
            </w:tcBorders>
          </w:tcPr>
          <w:p>
            <w:pPr>
              <w:spacing w:after="0"/>
              <w:rPr>
                <w:sz w:val="24"/>
                <w:szCs w:val="24"/>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price appreciation, promote long-term retention and permit</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23"/>
        </w:trPr>
        <w:tc>
          <w:tcPr>
            <w:tcW w:w="158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w w:val="99"/>
              </w:rPr>
              <w:t>executives to accumulate equity ownership in the Company.</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r>
      <w:tr>
        <w:trPr>
          <w:trHeight w:val="304"/>
        </w:trPr>
        <w:tc>
          <w:tcPr>
            <w:tcW w:w="35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08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20" w:type="dxa"/>
            <w:vAlign w:val="bottom"/>
            <w:tcBorders>
              <w:bottom w:val="single" w:sz="8" w:color="auto"/>
              <w:right w:val="single" w:sz="8" w:color="auto"/>
            </w:tcBorders>
          </w:tcPr>
          <w:p>
            <w:pPr>
              <w:spacing w:after="0"/>
              <w:rPr>
                <w:sz w:val="24"/>
                <w:szCs w:val="24"/>
                <w:color w:val="auto"/>
              </w:rPr>
            </w:pPr>
          </w:p>
        </w:tc>
      </w:tr>
    </w:tbl>
    <w:p>
      <w:pPr>
        <w:spacing w:after="0" w:line="15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connection with the acquisition of Linear Technology, we made commitments covering the compensation and benefits of legacy Linear Technology employees, including Mr. Pietkiewicz, through March 10, 2018, the first anniversary of the closing date. We subsequently extended these commitments through May 5, 2018, the end of the second quarter of our fiscal 2018 as part of the alignment of the compensation of our executives and legacy ADI and Linear Technology employees, commencing the second half of fiscal 2018. For a description of Mr. Pietkiewicz’s fiscal 2017 compensation, see “Compensation for Other Active Named Executive Officers —Fiscal 2017 Compensation of Steve Pietkiewicz, Senior Vice President, Power Products” below.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use the median base salary for similar positions within our peer group as an important factor in setting a base salary that can attract and retain talent. When setting the fiscal 2017 base salary for each individual active NEO, the Compensation Committee also considered other factors, including the scope of the role and the performance and experience of the individual.</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2017 Executive Performance Incentive Plan</w:t>
      </w:r>
    </w:p>
    <w:p>
      <w:pPr>
        <w:spacing w:after="0" w:line="90" w:lineRule="exact"/>
        <w:rPr>
          <w:sz w:val="20"/>
          <w:szCs w:val="20"/>
          <w:color w:val="auto"/>
        </w:rPr>
      </w:pPr>
    </w:p>
    <w:p>
      <w:pPr>
        <w:ind w:left="200" w:right="80" w:firstLine="441"/>
        <w:spacing w:after="0" w:line="332" w:lineRule="auto"/>
        <w:rPr>
          <w:sz w:val="20"/>
          <w:szCs w:val="20"/>
          <w:color w:val="auto"/>
        </w:rPr>
      </w:pPr>
      <w:r>
        <w:rPr>
          <w:rFonts w:ascii="Arial" w:cs="Arial" w:eastAsia="Arial" w:hAnsi="Arial"/>
          <w:sz w:val="16"/>
          <w:szCs w:val="16"/>
          <w:color w:val="auto"/>
        </w:rPr>
        <w:t>In September 2016, the Compensation Committee approved the terms of our fiscal 2017 Executive Performance Incentive Plan. The plan is designed to be variable, depending on ADI’s operating results. Legacy ADI executive and employee bonuses are calculated using the same plan targets.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All executive officers, including our active NEOs (other than Mr. Pietkiewicz), participated in our fiscal 2017 executive performance incentive plan.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calculated and paid bonuses under the fiscal 2017 plan as follows:</w:t>
      </w:r>
    </w:p>
    <w:p>
      <w:pPr>
        <w:spacing w:after="0" w:line="205"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jc w:val="center"/>
              <w:ind w:left="52"/>
              <w:spacing w:after="0"/>
              <w:rPr>
                <w:sz w:val="20"/>
                <w:szCs w:val="20"/>
                <w:color w:val="auto"/>
              </w:rPr>
            </w:pPr>
            <w:r>
              <w:rPr>
                <w:rFonts w:ascii="Arial" w:cs="Arial" w:eastAsia="Arial" w:hAnsi="Arial"/>
                <w:sz w:val="18"/>
                <w:szCs w:val="18"/>
                <w:color w:val="auto"/>
                <w:w w:val="97"/>
              </w:rPr>
              <w:t>Individual</w:t>
            </w:r>
          </w:p>
        </w:tc>
        <w:tc>
          <w:tcPr>
            <w:tcW w:w="1040" w:type="dxa"/>
            <w:vAlign w:val="bottom"/>
          </w:tcPr>
          <w:p>
            <w:pPr>
              <w:spacing w:after="0"/>
              <w:rPr>
                <w:sz w:val="18"/>
                <w:szCs w:val="18"/>
                <w:color w:val="auto"/>
              </w:rPr>
            </w:pPr>
          </w:p>
        </w:tc>
        <w:tc>
          <w:tcPr>
            <w:tcW w:w="1360" w:type="dxa"/>
            <w:vAlign w:val="bottom"/>
            <w:vMerge w:val="restart"/>
          </w:tcPr>
          <w:p>
            <w:pPr>
              <w:ind w:left="460"/>
              <w:spacing w:after="0"/>
              <w:rPr>
                <w:sz w:val="20"/>
                <w:szCs w:val="20"/>
                <w:color w:val="auto"/>
              </w:rPr>
            </w:pPr>
            <w:r>
              <w:rPr>
                <w:rFonts w:ascii="Arial" w:cs="Arial" w:eastAsia="Arial" w:hAnsi="Arial"/>
                <w:sz w:val="18"/>
                <w:szCs w:val="18"/>
                <w:color w:val="auto"/>
              </w:rPr>
              <w:t>Bonus</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00" w:type="dxa"/>
            <w:vAlign w:val="bottom"/>
            <w:vMerge w:val="restart"/>
          </w:tcPr>
          <w:p>
            <w:pPr>
              <w:jc w:val="center"/>
              <w:ind w:right="452"/>
              <w:spacing w:after="0"/>
              <w:rPr>
                <w:sz w:val="20"/>
                <w:szCs w:val="20"/>
                <w:color w:val="auto"/>
              </w:rPr>
            </w:pPr>
            <w:r>
              <w:rPr>
                <w:rFonts w:ascii="Arial" w:cs="Arial" w:eastAsia="Arial" w:hAnsi="Arial"/>
                <w:sz w:val="18"/>
                <w:szCs w:val="18"/>
                <w:color w:val="auto"/>
                <w:w w:val="82"/>
              </w:rPr>
              <w:t>Base</w:t>
            </w:r>
          </w:p>
        </w:tc>
        <w:tc>
          <w:tcPr>
            <w:tcW w:w="1040" w:type="dxa"/>
            <w:vAlign w:val="bottom"/>
          </w:tcPr>
          <w:p>
            <w:pPr>
              <w:spacing w:after="0"/>
              <w:rPr>
                <w:sz w:val="9"/>
                <w:szCs w:val="9"/>
                <w:color w:val="auto"/>
              </w:rPr>
            </w:pPr>
          </w:p>
        </w:tc>
        <w:tc>
          <w:tcPr>
            <w:tcW w:w="1320" w:type="dxa"/>
            <w:vAlign w:val="bottom"/>
            <w:vMerge w:val="restart"/>
          </w:tcPr>
          <w:p>
            <w:pPr>
              <w:jc w:val="center"/>
              <w:ind w:left="52"/>
              <w:spacing w:after="0"/>
              <w:rPr>
                <w:sz w:val="20"/>
                <w:szCs w:val="20"/>
                <w:color w:val="auto"/>
              </w:rPr>
            </w:pPr>
            <w:r>
              <w:rPr>
                <w:rFonts w:ascii="Arial" w:cs="Arial" w:eastAsia="Arial" w:hAnsi="Arial"/>
                <w:sz w:val="18"/>
                <w:szCs w:val="18"/>
                <w:color w:val="auto"/>
                <w:w w:val="88"/>
              </w:rPr>
              <w:t>Target</w:t>
            </w:r>
          </w:p>
        </w:tc>
        <w:tc>
          <w:tcPr>
            <w:tcW w:w="10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vMerge w:val="restart"/>
          </w:tcPr>
          <w:p>
            <w:pPr>
              <w:ind w:left="440"/>
              <w:spacing w:after="0"/>
              <w:rPr>
                <w:sz w:val="20"/>
                <w:szCs w:val="20"/>
                <w:color w:val="auto"/>
              </w:rPr>
            </w:pPr>
            <w:r>
              <w:rPr>
                <w:rFonts w:ascii="Arial" w:cs="Arial" w:eastAsia="Arial" w:hAnsi="Arial"/>
                <w:sz w:val="18"/>
                <w:szCs w:val="18"/>
                <w:color w:val="auto"/>
                <w:w w:val="86"/>
              </w:rPr>
              <w:t>Bonus</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1040" w:type="dxa"/>
            <w:vAlign w:val="bottom"/>
            <w:vMerge w:val="restart"/>
          </w:tcPr>
          <w:p>
            <w:pPr>
              <w:ind w:left="560"/>
              <w:spacing w:after="0"/>
              <w:rPr>
                <w:sz w:val="20"/>
                <w:szCs w:val="20"/>
                <w:color w:val="auto"/>
              </w:rPr>
            </w:pPr>
            <w:r>
              <w:rPr>
                <w:rFonts w:ascii="Arial" w:cs="Arial" w:eastAsia="Arial" w:hAnsi="Arial"/>
                <w:sz w:val="18"/>
                <w:szCs w:val="18"/>
                <w:color w:val="auto"/>
              </w:rPr>
              <w:t>X</w:t>
            </w:r>
          </w:p>
        </w:tc>
        <w:tc>
          <w:tcPr>
            <w:tcW w:w="1320" w:type="dxa"/>
            <w:vAlign w:val="bottom"/>
            <w:vMerge w:val="continue"/>
          </w:tcPr>
          <w:p>
            <w:pPr>
              <w:spacing w:after="0"/>
              <w:rPr>
                <w:sz w:val="9"/>
                <w:szCs w:val="9"/>
                <w:color w:val="auto"/>
              </w:rPr>
            </w:pPr>
          </w:p>
        </w:tc>
        <w:tc>
          <w:tcPr>
            <w:tcW w:w="1040" w:type="dxa"/>
            <w:vAlign w:val="bottom"/>
            <w:vMerge w:val="restart"/>
          </w:tcPr>
          <w:p>
            <w:pPr>
              <w:jc w:val="right"/>
              <w:ind w:right="332"/>
              <w:spacing w:after="0"/>
              <w:rPr>
                <w:sz w:val="20"/>
                <w:szCs w:val="20"/>
                <w:color w:val="auto"/>
              </w:rPr>
            </w:pPr>
            <w:r>
              <w:rPr>
                <w:rFonts w:ascii="Arial" w:cs="Arial" w:eastAsia="Arial" w:hAnsi="Arial"/>
                <w:sz w:val="18"/>
                <w:szCs w:val="18"/>
                <w:color w:val="auto"/>
              </w:rPr>
              <w:t>X</w:t>
            </w:r>
          </w:p>
        </w:tc>
        <w:tc>
          <w:tcPr>
            <w:tcW w:w="1360" w:type="dxa"/>
            <w:vAlign w:val="bottom"/>
            <w:vMerge w:val="restart"/>
          </w:tcPr>
          <w:p>
            <w:pPr>
              <w:ind w:left="440"/>
              <w:spacing w:after="0"/>
              <w:rPr>
                <w:sz w:val="20"/>
                <w:szCs w:val="20"/>
                <w:color w:val="auto"/>
              </w:rPr>
            </w:pPr>
            <w:r>
              <w:rPr>
                <w:rFonts w:ascii="Arial" w:cs="Arial" w:eastAsia="Arial" w:hAnsi="Arial"/>
                <w:sz w:val="18"/>
                <w:szCs w:val="18"/>
                <w:color w:val="auto"/>
              </w:rPr>
              <w:t>Payout</w:t>
            </w:r>
          </w:p>
        </w:tc>
        <w:tc>
          <w:tcPr>
            <w:tcW w:w="960" w:type="dxa"/>
            <w:vAlign w:val="bottom"/>
            <w:vMerge w:val="restart"/>
          </w:tcPr>
          <w:p>
            <w:pPr>
              <w:jc w:val="right"/>
              <w:ind w:right="332"/>
              <w:spacing w:after="0"/>
              <w:rPr>
                <w:sz w:val="20"/>
                <w:szCs w:val="20"/>
                <w:color w:val="auto"/>
              </w:rPr>
            </w:pPr>
            <w:r>
              <w:rPr>
                <w:rFonts w:ascii="Arial" w:cs="Arial" w:eastAsia="Arial" w:hAnsi="Arial"/>
                <w:sz w:val="18"/>
                <w:szCs w:val="18"/>
                <w:color w:val="auto"/>
              </w:rPr>
              <w:t>=</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vMerge w:val="restart"/>
          </w:tcPr>
          <w:p>
            <w:pPr>
              <w:jc w:val="center"/>
              <w:ind w:right="472"/>
              <w:spacing w:after="0"/>
              <w:rPr>
                <w:sz w:val="20"/>
                <w:szCs w:val="20"/>
                <w:color w:val="auto"/>
              </w:rPr>
            </w:pPr>
            <w:r>
              <w:rPr>
                <w:rFonts w:ascii="Arial" w:cs="Arial" w:eastAsia="Arial" w:hAnsi="Arial"/>
                <w:sz w:val="18"/>
                <w:szCs w:val="18"/>
                <w:color w:val="auto"/>
                <w:w w:val="86"/>
              </w:rPr>
              <w:t>Salary</w:t>
            </w:r>
          </w:p>
        </w:tc>
        <w:tc>
          <w:tcPr>
            <w:tcW w:w="1040" w:type="dxa"/>
            <w:vAlign w:val="bottom"/>
            <w:vMerge w:val="continue"/>
          </w:tcPr>
          <w:p>
            <w:pPr>
              <w:spacing w:after="0"/>
              <w:rPr>
                <w:sz w:val="9"/>
                <w:szCs w:val="9"/>
                <w:color w:val="auto"/>
              </w:rPr>
            </w:pPr>
          </w:p>
        </w:tc>
        <w:tc>
          <w:tcPr>
            <w:tcW w:w="1320" w:type="dxa"/>
            <w:vAlign w:val="bottom"/>
            <w:vMerge w:val="restart"/>
          </w:tcPr>
          <w:p>
            <w:pPr>
              <w:jc w:val="center"/>
              <w:ind w:left="52"/>
              <w:spacing w:after="0"/>
              <w:rPr>
                <w:sz w:val="20"/>
                <w:szCs w:val="20"/>
                <w:color w:val="auto"/>
              </w:rPr>
            </w:pPr>
            <w:r>
              <w:rPr>
                <w:rFonts w:ascii="Arial" w:cs="Arial" w:eastAsia="Arial" w:hAnsi="Arial"/>
                <w:sz w:val="18"/>
                <w:szCs w:val="18"/>
                <w:color w:val="auto"/>
                <w:w w:val="90"/>
              </w:rPr>
              <w:t>Bonus</w:t>
            </w:r>
          </w:p>
        </w:tc>
        <w:tc>
          <w:tcPr>
            <w:tcW w:w="10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420"/>
              <w:spacing w:after="0"/>
              <w:rPr>
                <w:sz w:val="20"/>
                <w:szCs w:val="20"/>
                <w:color w:val="auto"/>
              </w:rPr>
            </w:pPr>
            <w:r>
              <w:rPr>
                <w:rFonts w:ascii="Arial" w:cs="Arial" w:eastAsia="Arial" w:hAnsi="Arial"/>
                <w:sz w:val="18"/>
                <w:szCs w:val="18"/>
                <w:color w:val="auto"/>
                <w:w w:val="82"/>
              </w:rPr>
              <w:t>Payout</w:t>
            </w:r>
          </w:p>
        </w:tc>
        <w:tc>
          <w:tcPr>
            <w:tcW w:w="0" w:type="dxa"/>
            <w:vAlign w:val="bottom"/>
          </w:tcPr>
          <w:p>
            <w:pPr>
              <w:spacing w:after="0"/>
              <w:rPr>
                <w:sz w:val="1"/>
                <w:szCs w:val="1"/>
                <w:color w:val="auto"/>
              </w:rPr>
            </w:pPr>
          </w:p>
        </w:tc>
      </w:tr>
      <w:tr>
        <w:trPr>
          <w:trHeight w:val="108"/>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vMerge w:val="restart"/>
          </w:tcPr>
          <w:p>
            <w:pPr>
              <w:ind w:left="460"/>
              <w:spacing w:after="0"/>
              <w:rPr>
                <w:sz w:val="20"/>
                <w:szCs w:val="20"/>
                <w:color w:val="auto"/>
              </w:rPr>
            </w:pPr>
            <w:r>
              <w:rPr>
                <w:rFonts w:ascii="Arial" w:cs="Arial" w:eastAsia="Arial" w:hAnsi="Arial"/>
                <w:sz w:val="18"/>
                <w:szCs w:val="18"/>
                <w:color w:val="auto"/>
              </w:rPr>
              <w:t>Factor</w:t>
            </w:r>
          </w:p>
        </w:tc>
        <w:tc>
          <w:tcPr>
            <w:tcW w:w="9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20" w:type="dxa"/>
            <w:vAlign w:val="bottom"/>
            <w:vMerge w:val="restart"/>
          </w:tcPr>
          <w:p>
            <w:pPr>
              <w:jc w:val="center"/>
              <w:ind w:left="52"/>
              <w:spacing w:after="0"/>
              <w:rPr>
                <w:sz w:val="20"/>
                <w:szCs w:val="20"/>
                <w:color w:val="auto"/>
              </w:rPr>
            </w:pPr>
            <w:r>
              <w:rPr>
                <w:rFonts w:ascii="Arial" w:cs="Arial" w:eastAsia="Arial" w:hAnsi="Arial"/>
                <w:sz w:val="18"/>
                <w:szCs w:val="18"/>
                <w:color w:val="auto"/>
                <w:w w:val="84"/>
              </w:rPr>
              <w:t>Percentage</w:t>
            </w:r>
          </w:p>
        </w:tc>
        <w:tc>
          <w:tcPr>
            <w:tcW w:w="10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60" w:firstLine="441"/>
        <w:spacing w:after="0" w:line="294" w:lineRule="auto"/>
        <w:rPr>
          <w:sz w:val="20"/>
          <w:szCs w:val="20"/>
          <w:color w:val="auto"/>
        </w:rPr>
      </w:pPr>
      <w:r>
        <w:rPr>
          <w:rFonts w:ascii="Arial" w:cs="Arial" w:eastAsia="Arial" w:hAnsi="Arial"/>
          <w:sz w:val="16"/>
          <w:szCs w:val="16"/>
          <w:u w:val="single" w:color="auto"/>
          <w:color w:val="auto"/>
        </w:rPr>
        <w:t>Individual Target Bonus Percentage</w:t>
      </w:r>
      <w:r>
        <w:rPr>
          <w:rFonts w:ascii="Arial" w:cs="Arial" w:eastAsia="Arial" w:hAnsi="Arial"/>
          <w:sz w:val="16"/>
          <w:szCs w:val="16"/>
          <w:color w:val="auto"/>
        </w:rPr>
        <w:t>. For fiscal 2017, the Compensation Committee set target percentages of 150% of base salary for our Chief Executive Officer and between 80%-100% of base salary for our other active NEOs (other than Mr. Pietkiewicz). The Compensation Committee selected these target bonus percentages to ensure that a substantial portion of each executive’s cash compensation is performance-based and linked directly to our business performance, and to ensure that total compensation is competitive with those in similar positions within our peer group. Our Chief Executive Officer’s target was set at 150% in order to tie the majority of his cash compensation directly to Company performance.</w:t>
      </w:r>
    </w:p>
    <w:p>
      <w:pPr>
        <w:spacing w:after="0" w:line="116" w:lineRule="exact"/>
        <w:rPr>
          <w:sz w:val="20"/>
          <w:szCs w:val="20"/>
          <w:color w:val="auto"/>
        </w:rPr>
      </w:pPr>
    </w:p>
    <w:p>
      <w:pPr>
        <w:ind w:left="200" w:right="120" w:firstLine="441"/>
        <w:spacing w:after="0" w:line="294" w:lineRule="auto"/>
        <w:rPr>
          <w:sz w:val="20"/>
          <w:szCs w:val="20"/>
          <w:color w:val="auto"/>
        </w:rPr>
      </w:pPr>
      <w:r>
        <w:rPr>
          <w:rFonts w:ascii="Arial" w:cs="Arial" w:eastAsia="Arial" w:hAnsi="Arial"/>
          <w:sz w:val="16"/>
          <w:szCs w:val="16"/>
          <w:u w:val="single" w:color="auto"/>
          <w:color w:val="auto"/>
        </w:rPr>
        <w:t>Bonus Payout Factor</w:t>
      </w:r>
      <w:r>
        <w:rPr>
          <w:rFonts w:ascii="Arial" w:cs="Arial" w:eastAsia="Arial" w:hAnsi="Arial"/>
          <w:sz w:val="16"/>
          <w:szCs w:val="16"/>
          <w:color w:val="auto"/>
        </w:rPr>
        <w:t>. For fiscal 2017, we based the Bonus Payout Factor for the applicable quarterly bonus period on our OPBT margin and year-over-year revenue growth compared to the same quarter in the prior year. While our executive performance incentive plan contains quarterly performance targets, the Compensation Committee designed this plan to drive long-term performance. The targets are directly linked to our long-term corporate strategy of profitable growth, which drives shareholder value. We believe this combination ensures that we encourage a long-term focus on our business objectives, while measuring and rewarding progress against those objectives on a quarterly basis.</w:t>
      </w:r>
    </w:p>
    <w:p>
      <w:pPr>
        <w:spacing w:after="0" w:line="11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Compensation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special items. For purposes of determining the bonus payout factor for each quarter of fiscal 2017, in addition to excluding the financial results of Linear Technology, OPBT margin was adjusted to exclude acquisition-related expenses, acquisition-related transaction costs and restructuring-related expenses, consistent with the non-GAAP adjustments included in our fiscal 2017 quarterly earnings releases.</w:t>
      </w:r>
    </w:p>
    <w:p>
      <w:pPr>
        <w:spacing w:after="0" w:line="11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Compensation Committee reviews and approves our performance targets at the beginning of each fiscal year, and historically these targets have not been re-set during the year,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margin and year-over-year revenue growth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20"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For fiscal 2017, we maintained challenging OPBT margin and year-over-year revenue growth targets of 30% and 8%, respectively, for each quarter. We selected the OPBT margin and year-over-year revenue growth targets in part based on the historical averages of those metrics for our peer group. The three-year median OPBT margin for our peer group was 16%, compared to our target of 30% for each quarter of fiscal 2017, and our 30% target also exceeded the peer group median for each of the past three years. The three-year median compounded annual growth rate for our peer group was 4%, compared to our target of 8% for each quarter of fiscal 2017, and our 8% target exceeded the peer group median for each of the past three fiscal years. We do not pay any bonus if profit margins fall to 20% or below, regardless of what revenue level we achieve. In addition, if revenue does not grow, we do not pay on that portion of the bonus. We capped the Bonus Payout Factor at 300% of target, and a 300% bonus payout would require us to achieve OPBT margins at or above 40% and year-over-year revenue growth levels at or above 28%.</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fiscal 2017, the calculated OPBT Margin, Year-Over-Year Revenue Growth and Bonus Payout Factor for each quarter were as follows:</w:t>
      </w:r>
    </w:p>
    <w:p>
      <w:pPr>
        <w:spacing w:after="0" w:line="223" w:lineRule="exact"/>
        <w:rPr>
          <w:sz w:val="20"/>
          <w:szCs w:val="20"/>
          <w:color w:val="auto"/>
        </w:rPr>
      </w:pPr>
    </w:p>
    <w:tbl>
      <w:tblPr>
        <w:tblLayout w:type="fixed"/>
        <w:tblInd w:w="670" w:type="dxa"/>
        <w:tblCellMar>
          <w:top w:w="0" w:type="dxa"/>
          <w:left w:w="0" w:type="dxa"/>
          <w:bottom w:w="0" w:type="dxa"/>
          <w:right w:w="0" w:type="dxa"/>
        </w:tblCellMar>
      </w:tblPr>
      <w:tr>
        <w:trPr>
          <w:trHeight w:val="162"/>
        </w:trPr>
        <w:tc>
          <w:tcPr>
            <w:tcW w:w="360" w:type="dxa"/>
            <w:vAlign w:val="bottom"/>
            <w:tcBorders>
              <w:top w:val="single" w:sz="8" w:color="auto"/>
              <w:left w:val="single" w:sz="8" w:color="auto"/>
              <w:right w:val="single" w:sz="8" w:color="auto"/>
            </w:tcBorders>
          </w:tcPr>
          <w:p>
            <w:pPr>
              <w:spacing w:after="0"/>
              <w:rPr>
                <w:sz w:val="14"/>
                <w:szCs w:val="14"/>
                <w:color w:val="auto"/>
              </w:rPr>
            </w:pPr>
          </w:p>
        </w:tc>
        <w:tc>
          <w:tcPr>
            <w:tcW w:w="4160" w:type="dxa"/>
            <w:vAlign w:val="bottom"/>
            <w:tcBorders>
              <w:top w:val="single" w:sz="8" w:color="auto"/>
              <w:bottom w:val="single" w:sz="8" w:color="auto"/>
              <w:right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OPBT Margin (50% weight)</w:t>
            </w:r>
          </w:p>
        </w:tc>
        <w:tc>
          <w:tcPr>
            <w:tcW w:w="3740" w:type="dxa"/>
            <w:vAlign w:val="bottom"/>
            <w:tcBorders>
              <w:top w:val="single" w:sz="8" w:color="auto"/>
              <w:bottom w:val="single" w:sz="8" w:color="auto"/>
              <w:right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Revenue Growth (50% weight)</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Quarterly Bonus</w:t>
            </w:r>
          </w:p>
        </w:tc>
      </w:tr>
      <w:tr>
        <w:trPr>
          <w:trHeight w:val="116"/>
        </w:trPr>
        <w:tc>
          <w:tcPr>
            <w:tcW w:w="360" w:type="dxa"/>
            <w:vAlign w:val="bottom"/>
            <w:tcBorders>
              <w:left w:val="single" w:sz="8" w:color="auto"/>
              <w:right w:val="single" w:sz="8" w:color="auto"/>
            </w:tcBorders>
          </w:tcPr>
          <w:p>
            <w:pPr>
              <w:spacing w:after="0"/>
              <w:rPr>
                <w:sz w:val="10"/>
                <w:szCs w:val="10"/>
                <w:color w:val="auto"/>
              </w:rPr>
            </w:pPr>
          </w:p>
        </w:tc>
        <w:tc>
          <w:tcPr>
            <w:tcW w:w="23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OPBT</w:t>
            </w:r>
          </w:p>
        </w:tc>
        <w:tc>
          <w:tcPr>
            <w:tcW w:w="1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w w:val="98"/>
              </w:rPr>
              <w:t>Bonus Payout</w:t>
            </w:r>
          </w:p>
        </w:tc>
        <w:tc>
          <w:tcPr>
            <w:tcW w:w="1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YOY Revenue</w:t>
            </w:r>
          </w:p>
        </w:tc>
        <w:tc>
          <w:tcPr>
            <w:tcW w:w="18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Bonus Payout</w:t>
            </w:r>
          </w:p>
        </w:tc>
        <w:tc>
          <w:tcPr>
            <w:tcW w:w="18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Payout Factor</w:t>
            </w:r>
          </w:p>
        </w:tc>
      </w:tr>
      <w:tr>
        <w:trPr>
          <w:trHeight w:val="164"/>
        </w:trPr>
        <w:tc>
          <w:tcPr>
            <w:tcW w:w="360" w:type="dxa"/>
            <w:vAlign w:val="bottom"/>
            <w:tcBorders>
              <w:left w:val="single" w:sz="8" w:color="auto"/>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Margin</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Factor</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Growth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Factor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73"/>
        </w:trPr>
        <w:tc>
          <w:tcPr>
            <w:tcW w:w="36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880" w:type="dxa"/>
            <w:vAlign w:val="bottom"/>
            <w:tcBorders>
              <w:bottom w:val="single" w:sz="8" w:color="auto"/>
              <w:right w:val="single" w:sz="8" w:color="auto"/>
            </w:tcBorders>
          </w:tcPr>
          <w:p>
            <w:pPr>
              <w:spacing w:after="0"/>
              <w:rPr>
                <w:sz w:val="15"/>
                <w:szCs w:val="15"/>
                <w:color w:val="auto"/>
              </w:rPr>
            </w:pPr>
          </w:p>
        </w:tc>
      </w:tr>
      <w:tr>
        <w:trPr>
          <w:trHeight w:val="210"/>
        </w:trPr>
        <w:tc>
          <w:tcPr>
            <w:tcW w:w="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83"/>
              </w:rPr>
              <w:t>Q1</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27.9%</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2.99</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2.50</w:t>
            </w:r>
          </w:p>
        </w:tc>
      </w:tr>
      <w:tr>
        <w:trPr>
          <w:trHeight w:val="210"/>
        </w:trPr>
        <w:tc>
          <w:tcPr>
            <w:tcW w:w="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83"/>
              </w:rPr>
              <w:t>Q2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35.8%</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2.16</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28.5%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2.58</w:t>
            </w:r>
          </w:p>
        </w:tc>
      </w:tr>
      <w:tr>
        <w:trPr>
          <w:trHeight w:val="210"/>
        </w:trPr>
        <w:tc>
          <w:tcPr>
            <w:tcW w:w="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83"/>
              </w:rPr>
              <w:t>Q3</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38.1%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2.62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2.45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2.54</w:t>
            </w:r>
          </w:p>
        </w:tc>
      </w:tr>
      <w:tr>
        <w:trPr>
          <w:trHeight w:val="210"/>
        </w:trPr>
        <w:tc>
          <w:tcPr>
            <w:tcW w:w="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83"/>
              </w:rPr>
              <w:t>Q4</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2.30</w:t>
            </w:r>
          </w:p>
        </w:tc>
      </w:tr>
    </w:tbl>
    <w:p>
      <w:pPr>
        <w:spacing w:after="0" w:line="154" w:lineRule="exact"/>
        <w:rPr>
          <w:sz w:val="20"/>
          <w:szCs w:val="20"/>
          <w:color w:val="auto"/>
        </w:rPr>
      </w:pPr>
    </w:p>
    <w:p>
      <w:pPr>
        <w:ind w:left="200" w:firstLine="441"/>
        <w:spacing w:after="0" w:line="332" w:lineRule="auto"/>
        <w:rPr>
          <w:sz w:val="20"/>
          <w:szCs w:val="20"/>
          <w:color w:val="auto"/>
        </w:rPr>
      </w:pPr>
      <w:r>
        <w:rPr>
          <w:rFonts w:ascii="Arial" w:cs="Arial" w:eastAsia="Arial" w:hAnsi="Arial"/>
          <w:sz w:val="16"/>
          <w:szCs w:val="16"/>
          <w:color w:val="auto"/>
        </w:rPr>
        <w:t>In fiscal 2017, a year in which we had excellent financial results and exceeded our profitability and year-over-year growth targets, aggregate payments under our executive performance incentive plan were made at 248% of target, compared to 85% in fiscal 2016 and 154% in fiscal 2015.</w:t>
      </w:r>
    </w:p>
    <w:p>
      <w:pPr>
        <w:spacing w:after="0" w:line="8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u w:val="single" w:color="auto"/>
          <w:color w:val="auto"/>
        </w:rPr>
        <w:t>Funding of Executive Performance Incentive Plan</w:t>
      </w:r>
      <w:r>
        <w:rPr>
          <w:rFonts w:ascii="Arial" w:cs="Arial" w:eastAsia="Arial" w:hAnsi="Arial"/>
          <w:sz w:val="16"/>
          <w:szCs w:val="16"/>
          <w:color w:val="auto"/>
        </w:rPr>
        <w:t>. For fiscal 2017, the Compensation Committee structured and administered the Company’s executive compensation plans and arrangements in a manner intended to mitigate the deduction limit under Section 162(m) of the Internal Revenue Code. Our Executive Section 162(m) Plan, or the 162(m) plan, is a separate plan approved by shareholders that allows for the annual bonus compensation paid to certain of our executive officers under our executive performance incentive plan to become eligible for deduction when it may not otherwise be deductible as a result of Section 162(m) as in effect for fiscal 2017. Pursuant to the 162(m) plan, at the beginning of fiscal 2017, the Compensation Committee designated Messrs. Roche, Hess and Hassett as participants in the 162(m) plan and allocated to each designated participant a portion of the annual incentive pool which is funded with 2% of the Company’s profits as described in the plan. Under the 162(m) plan, the Compensation Committee may use its discretion to decrease, but not increase, the amounts that may be paid to the participants out of their allocation of the funded incentive pool. The Compensation Committee exercised this discretion for fiscal 2017 by applying the performance goals of our executive performance incentive plan to the participants’ allocation of the funded incentive pool. For fiscal 2017, the 162(m) plan funded the incentive pool with an aggregate of $21.6 million, of which an aggregate of $4.1 million was distributed to the active NEO participants based on achievement of the performance goals under our executive performance incentive plan.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left="200" w:right="240" w:firstLine="441"/>
        <w:spacing w:after="0" w:line="256" w:lineRule="auto"/>
        <w:rPr>
          <w:sz w:val="20"/>
          <w:szCs w:val="20"/>
          <w:color w:val="auto"/>
        </w:rPr>
      </w:pPr>
      <w:r>
        <w:rPr>
          <w:rFonts w:ascii="Arial" w:cs="Arial" w:eastAsia="Arial" w:hAnsi="Arial"/>
          <w:sz w:val="18"/>
          <w:szCs w:val="18"/>
          <w:color w:val="auto"/>
        </w:rPr>
        <w:t>Our equity compensation program is a broad-based, long-term employee rewards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analog semiconductor industry. All equity awards granted to our executive officers are made under the Company’s 2006 Equity Incentive Plan.</w:t>
      </w:r>
    </w:p>
    <w:p>
      <w:pPr>
        <w:spacing w:after="0" w:line="143"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For fiscal 2017, the value of our annual equity awards to our active NEOs (other than Mr. Pietkiewicz) was comprised of approximately 33% of performance-based RSUs, which have a three-year performance period and vest in one installment 14 days after the third anniversary of the grant date subject to the achievement of applicable performance metrics, approximately 33% of time-based RSUs that vest in full on the third anniversary of the grant date, and approximately 33% of stock options that vest in equal installments over five years. Because the value of the awards is based on our stock price, stock options, time-based RSUs and performance-based RSUs encourage recipients to focus on achievement of longer-term goals, such as strategic opportunities, technological innovation and shareholder return.</w:t>
      </w:r>
    </w:p>
    <w:p>
      <w:pPr>
        <w:spacing w:after="0" w:line="120"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i w:val="1"/>
          <w:iCs w:val="1"/>
          <w:color w:val="auto"/>
        </w:rPr>
        <w:t>Performance-Based Restricted Stock Units</w:t>
      </w:r>
      <w:r>
        <w:rPr>
          <w:rFonts w:ascii="Arial" w:cs="Arial" w:eastAsia="Arial" w:hAnsi="Arial"/>
          <w:sz w:val="18"/>
          <w:szCs w:val="18"/>
          <w:color w:val="auto"/>
        </w:rPr>
        <w:t>. Our equity compensation program includes these performance-based RSUs for our executives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a direct link exists between the value of our long-term incentives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310" w:lineRule="auto"/>
        <w:rPr>
          <w:sz w:val="20"/>
          <w:szCs w:val="20"/>
          <w:color w:val="auto"/>
        </w:rPr>
      </w:pPr>
      <w:r>
        <w:rPr>
          <w:rFonts w:ascii="Arial" w:cs="Arial" w:eastAsia="Arial" w:hAnsi="Arial"/>
          <w:sz w:val="15"/>
          <w:szCs w:val="15"/>
          <w:color w:val="auto"/>
        </w:rPr>
        <w:t>and the value that is created for our shareholders. The number of shares of ADI common stock received by an executive officer following vesting of the performance-based RSUs will range from 0% to a maximum of 200% of the target amount based on ADI’s TSR performance measured against the median TSR of an established comparator group over a three-year period, capped at a maximum of 100% of the initial number of performance-based RSUs granted if the Company’s TSR is negative. The performance parameters established by the Compensation Committee are equal to 100% plus or minus two times the difference between the Company’s TSR and the comparator group median TSR. Attainment among performance parameters is subject to interpolation on a linear basis. The performance-based RSUs granted on March 12, 2014 had a three-year performance period that ended on March 12, 2017. On a three-year cumulative basis, our TSR performance was 55.41%, compared to the median peer group TSR of 54.32%. The Company’s TSR performance exceeded the peer group median TSR performance by 1.08%. Two times that difference equals 2.16%, which resulted in a payout percentage of 102.16% of target.</w:t>
      </w:r>
    </w:p>
    <w:p>
      <w:pPr>
        <w:spacing w:after="0" w:line="10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comparator group designated for the performance-based RSUs granted in fiscal 2017 consisted of the companies represented in the Philadelphia Semiconductor Index (SOX Index) as of the grant date that are included in the SOX Index for the entire performance period. The Compensation Committee chose this comparator group because it consists of publicly traded companies that compete in the semiconductor industry, are representative of likely alternative investment opportunities for our investors, compete with us for talent, and are similar to ADI in their product and services offerings and business model. Consistent with our Compensation Committee’s desire to tie pay to performance, the value of each of these awards is directly linked to the long-term performance of our stock price.</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We use stock options as a way to reward long-term value creation.</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Time-Based Restricted Stock Units. </w:t>
      </w:r>
      <w:r>
        <w:rPr>
          <w:rFonts w:ascii="Arial" w:cs="Arial" w:eastAsia="Arial" w:hAnsi="Arial"/>
          <w:sz w:val="18"/>
          <w:szCs w:val="18"/>
          <w:color w:val="auto"/>
        </w:rPr>
        <w:t>In a volatile stock market, RSUs continue to provide value when stock options may not, which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believes will be useful in retaining talented executives and employees in uncertain economic times. In this way, we use time-based RSUs as a retention tool and to enable our executives to accumulate stock ownership in the Company.</w:t>
      </w:r>
    </w:p>
    <w:p>
      <w:pPr>
        <w:spacing w:after="0" w:line="14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Linear Integration Performance-Based Restricted Stock Units. </w:t>
      </w:r>
      <w:r>
        <w:rPr>
          <w:rFonts w:ascii="Arial" w:cs="Arial" w:eastAsia="Arial" w:hAnsi="Arial"/>
          <w:sz w:val="16"/>
          <w:szCs w:val="16"/>
          <w:color w:val="auto"/>
        </w:rPr>
        <w:t>To promote the successful integration of Linear Technology and the achievement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synergy goals, in July 2017, the Compensation Committee also approved the grant of the Linear Integration PRSUs to members of the Company’s senior executive team, including the active NEOs other than our Chief Executive Officer. The Linear Integration PRSUs are subject to the achievement of a pre-established performance goal based on the trailing twelve month non-GAAP operating profit before taxes, or non-GAAP OPBT as a percentage of revenue of the Company, determined as of the end of the second quarter of the Company’s fiscal year 2020. A number of Linear Integration PRSUs equal to 120% of the target number of Linear Integration PRSUs will vest on July 17, 2020 only if the Compensation Committee has certified that the non-GAAP OPBT goal has been attained and is subject to the participant’s continued service through the vesting date. The Compensation Committee may then exercise negative discretion to reduce (but not increase) the number of Linear Integration PRSUs that would otherwise vest by considering the attainment level of the following two additional performance goals: (i) 50% of the Linear Integration PRSUs that are determined to vest based on the attainment of the OPBT goal may be reduced based on the attainment level of the pre-established net synergy goal achieved in connection with the acquisition of Linear Technology within eighteen months of the closing of the acquisition, and (ii) 50% of the Linear Integration PRSUs that are determined to vest based on the attainment of the non-GAAP OPBT goal may be reduced based on the attainment level of the pre-established three-year cumulative revenue goal of Linear Technology on a standalone basis. Attainment among performance parameters is subject to interpolation on a linear basis.</w:t>
      </w:r>
    </w:p>
    <w:p>
      <w:pPr>
        <w:spacing w:after="0" w:line="121"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We set a goal each year to keep the shareholder dilution related to our equity compensation program to a certain percentage, calculated as the total number of shares of common stock underlying new equity grants made during the year, divided by the total number of outstanding shares of our common stock at the beginning of the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60"/>
        <w:spacing w:after="0" w:line="288" w:lineRule="auto"/>
        <w:rPr>
          <w:sz w:val="20"/>
          <w:szCs w:val="20"/>
          <w:color w:val="auto"/>
        </w:rPr>
      </w:pPr>
      <w:r>
        <w:rPr>
          <w:rFonts w:ascii="Arial" w:cs="Arial" w:eastAsia="Arial" w:hAnsi="Arial"/>
          <w:sz w:val="16"/>
          <w:szCs w:val="16"/>
          <w:color w:val="auto"/>
        </w:rPr>
        <w:t>year. Our gross and net dilution rate have been consistently lower than that of our peers over the past several years. For fiscal 2017, our gross dilution percentage, excluding the equity awards assumed as part of the Linear Technology acquisition, was 1.1%, compared to an average of 1.7% for our peer group, and our net dilution percentage, excluding the equity awards assumed as part of the Linear Technology acquisition, was 1.0%, compared to an average of 1.0% for our peers. For the last five years, our gross dilution percentage, excluding the equity awards assumed as part of the Linear Technology acquisition, was 1.1% on average, compared to 1.8% on average for our peer group, and our net dilution percentage, excluding the equity awards assumed as part of the Linear Technology acquisition, was 0.9% on average, compared to 1.1% on average for our peer group. For the fiscal year ending November 3, 2018, our Board of Directors set the maximum aggregate number of shares of common stock with respect to which awards may be granted under the 2006 Stock Incentive Plan and the 2010 Stock Incentive Plan, in the aggregate, at 3.7 million shares, which equals approximately 1.0% of our outstanding common stock at the end of fiscal 2017.</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90" w:lineRule="exact"/>
        <w:rPr>
          <w:sz w:val="20"/>
          <w:szCs w:val="20"/>
          <w:color w:val="auto"/>
        </w:rPr>
      </w:pPr>
    </w:p>
    <w:p>
      <w:pPr>
        <w:ind w:left="200" w:right="80" w:firstLine="441"/>
        <w:spacing w:after="0" w:line="294" w:lineRule="auto"/>
        <w:rPr>
          <w:sz w:val="20"/>
          <w:szCs w:val="20"/>
          <w:color w:val="auto"/>
        </w:rPr>
      </w:pPr>
      <w:r>
        <w:rPr>
          <w:rFonts w:ascii="Arial" w:cs="Arial" w:eastAsia="Arial" w:hAnsi="Arial"/>
          <w:sz w:val="16"/>
          <w:szCs w:val="16"/>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will not be counted for purposes of satisfying these guidelines. RSUs (whether or not vested) are counted for purposes of satisfying the guidelines. All of our executive officers were in compliance with our stock ownership guidelines as of the end of fiscal 2017.</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90" w:lineRule="exact"/>
        <w:rPr>
          <w:sz w:val="20"/>
          <w:szCs w:val="20"/>
          <w:color w:val="auto"/>
        </w:rPr>
      </w:pPr>
    </w:p>
    <w:p>
      <w:pPr>
        <w:ind w:left="200" w:right="320" w:firstLine="441"/>
        <w:spacing w:after="0" w:line="298" w:lineRule="auto"/>
        <w:rPr>
          <w:sz w:val="20"/>
          <w:szCs w:val="20"/>
          <w:color w:val="auto"/>
        </w:rPr>
      </w:pPr>
      <w:r>
        <w:rPr>
          <w:rFonts w:ascii="Arial" w:cs="Arial" w:eastAsia="Arial" w:hAnsi="Arial"/>
          <w:sz w:val="16"/>
          <w:szCs w:val="16"/>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13"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14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the United States, we contribute to our 401(k) plan on behalf all legacy ADI participants, including our NEOs (other than Steve Pietkiewicz), amounts equal to 5% of the employee’s eligible compensation, plus matching contributions up to an additional 3%, subject to Internal Revenue Service, or IRS, limits. For those employees who also participate in the DCP described above, any compensation that is deferred under that plan is not considered eligible compensation for purposes of our Company contributions under the 401(k) plan. We also provide employees who are eligible to participate in the 401(k) plan but whose compensation is greater than the amount that may be taken into account in any plan year as a result of IRS limits ($270,000 for fiscal 2017), with a taxable payment equal to 8% of the employee’s 401(k)-eligible compensation in excess of the IRS limit.</w:t>
      </w:r>
    </w:p>
    <w:p>
      <w:pPr>
        <w:spacing w:after="0" w:line="12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Ireland, we contribute to our Irish Defined Contribution Plan on behalf of all participants. Participants who had their benefits converted from the Analog Devices International Retirement and Death Benefit Plan to our Irish Defined Contribution Plan, including Peter Real, our Senior Vice President and Chief Technology Officer, and continue to participate in the Irish Defined Contribution Plan, contribute 5% of their pensionable salary to the Irish Defined Contribution Plan and the Company, in turn, contributes 15% of the participants’ pensionable salary, subject to limits established by the Irish tax authorities. Participants who were hired by our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spacing w:after="0" w:line="256" w:lineRule="auto"/>
        <w:rPr>
          <w:sz w:val="20"/>
          <w:szCs w:val="20"/>
          <w:color w:val="auto"/>
        </w:rPr>
      </w:pPr>
      <w:r>
        <w:rPr>
          <w:rFonts w:ascii="Arial" w:cs="Arial" w:eastAsia="Arial" w:hAnsi="Arial"/>
          <w:sz w:val="18"/>
          <w:szCs w:val="18"/>
          <w:color w:val="auto"/>
        </w:rPr>
        <w:t>Irish subsidiaries after January 1, 2013 are eligible to receive amounts equal to 5% of the employee’s eligible compensation, plus matching contributions up to an additional 3% of the employee’s eligible compensation. In accordance with the plan rules, in fiscal 2016, Mr. Real opted out of the Irish Defined Contribution Plan. After opting out, he receives a taxable payment equal to 13.5% of his eligible compensation in lieu of our contributions into the Irish Defined Contribution Plan.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9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We do not award extensive perquisites to our executives. The only perquisites provided to our executives in fiscal 2017 were an executive health physical to executives who chose to take advantage of the benefit, the reimbursement for financial and tax planning services of up to $15,000 for the Chief Executive Officer and up to $10,000 for the other executive officers, and an automobile and certain commuting expenses for Mr. Real. These items are detailed in the Summary Compensation Table below.</w:t>
      </w:r>
    </w:p>
    <w:p>
      <w:pPr>
        <w:spacing w:after="0" w:line="143"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also maintain an expatriate program that provides certain benefits to our employees who accept expatriate assignments. Our executive officers are entitled to the same benefits under the Company’s expatriate program as other Company employees. Under the Company’s expatriate program, such benefits include providing gross-ups on taxable foreign assignment assistance and making tax equalization payments on behalf of (or to) expatriate employees who, as a result of their expatriate assignment, incur tax liabilities in excess of what they would have incurred had they not accepted the expatriate assignment. We did not provide tax equalization payments to any of our NEOs in fiscal 2017.</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9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Under the Sarbanes-Oxley Act, in the event of misconduct that results in a financial restatement that would have reduced a previously paid incentive amount, we can recoup those improper payments from our Chief Executive Officer and Chief Financial Officer. We will implement a broader clawback policy that is compliant with the regulations mandated under the Dodd-Frank Act when the regulations are adopted by the SEC and corresponding listing standards become effective.</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Mr. Roche has served as our Chief Executive Officer since May 2013. Under his leadership, the Company successfully executed its fiscal 2017 financial, strategic and operational objectives intended to drive long-term profitable growth and increase shareholder value. In determining Mr. Roche’s compensation as Chief Executive Officer for fiscal 2017, the Compensation Committee considered all elements of Mr. Roche’s compensation and compared his total target compensation to the median of Chief Executive Officer compensation within our peer companies. They also considered Mr. Roche’s experience, tenure, and performance executing the Company’s strategy and driving long-term shareholder value. The design of Mr. Roche’s fiscal 2017 compensation provides incentives that link realized compensation with Company performance and is comprised of the following:</w:t>
      </w:r>
    </w:p>
    <w:p>
      <w:pPr>
        <w:spacing w:after="0" w:line="39"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base salary of $900,000, an increase of 6% compared to Mr. Roche’s fiscal 2016 annual base salary of $848,000;</w:t>
      </w:r>
    </w:p>
    <w:p>
      <w:pPr>
        <w:spacing w:after="0" w:line="90" w:lineRule="exact"/>
        <w:rPr>
          <w:rFonts w:ascii="Arial" w:cs="Arial" w:eastAsia="Arial" w:hAnsi="Arial"/>
          <w:sz w:val="18"/>
          <w:szCs w:val="18"/>
          <w:color w:val="auto"/>
        </w:rPr>
      </w:pPr>
    </w:p>
    <w:p>
      <w:pPr>
        <w:ind w:left="1060" w:right="220" w:hanging="316"/>
        <w:spacing w:after="0" w:line="268"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target bonus of 150% of base salary, calculated in accordance with the terms of the Company’s executive performance incentive plan, which remain unchanged from fiscal 2016; and</w:t>
      </w:r>
    </w:p>
    <w:p>
      <w:pPr>
        <w:spacing w:after="0" w:line="50" w:lineRule="exact"/>
        <w:rPr>
          <w:rFonts w:ascii="Arial" w:cs="Arial" w:eastAsia="Arial" w:hAnsi="Arial"/>
          <w:sz w:val="18"/>
          <w:szCs w:val="18"/>
          <w:color w:val="auto"/>
        </w:rPr>
      </w:pPr>
    </w:p>
    <w:p>
      <w:pPr>
        <w:ind w:left="1060" w:hanging="316"/>
        <w:spacing w:after="0" w:line="291"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performance-based RSU grant with a Black-Scholes value of $2,358,821 (25,026 shares), a time-based RSU grant with a Black-Scholes value of $1,957,534 (25,026 shares), and an option grant with a Black-Scholes value of $1,978,473 (114,356 shares). The number of shares, if any, earned under the performance-based RSU grant will vest three years and fourteen days after its grant date, subject to the level of attainment of the performance parameters. Mr. Roche’s time-based RSU grant will vest in full on the third anniversary of its grant date. Mr. Roche’s option grant will vest 20% per year on each of the first five anniversaries of the date of grant. These vesting terms are identical to those generally contained in equity grants made to our employees in fiscal 2017.</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040"/>
        <w:spacing w:after="0"/>
        <w:rPr>
          <w:sz w:val="20"/>
          <w:szCs w:val="20"/>
          <w:color w:val="auto"/>
        </w:rPr>
      </w:pPr>
      <w:r>
        <w:rPr>
          <w:rFonts w:ascii="Arial" w:cs="Arial" w:eastAsia="Arial" w:hAnsi="Arial"/>
          <w:sz w:val="18"/>
          <w:szCs w:val="18"/>
          <w:b w:val="1"/>
          <w:bCs w:val="1"/>
          <w:color w:val="auto"/>
        </w:rPr>
        <w:t>Compensation for Other Active Named Executive Officers</w:t>
      </w:r>
    </w:p>
    <w:p>
      <w:pPr>
        <w:spacing w:after="0" w:line="96" w:lineRule="exact"/>
        <w:rPr>
          <w:sz w:val="20"/>
          <w:szCs w:val="20"/>
          <w:color w:val="auto"/>
        </w:rPr>
      </w:pPr>
    </w:p>
    <w:p>
      <w:pPr>
        <w:jc w:val="center"/>
        <w:ind w:right="6040"/>
        <w:spacing w:after="0"/>
        <w:rPr>
          <w:sz w:val="20"/>
          <w:szCs w:val="20"/>
          <w:color w:val="auto"/>
        </w:rPr>
      </w:pPr>
      <w:r>
        <w:rPr>
          <w:rFonts w:ascii="Arial" w:cs="Arial" w:eastAsia="Arial" w:hAnsi="Arial"/>
          <w:sz w:val="18"/>
          <w:szCs w:val="18"/>
          <w:b w:val="1"/>
          <w:bCs w:val="1"/>
          <w:i w:val="1"/>
          <w:iCs w:val="1"/>
          <w:color w:val="auto"/>
        </w:rPr>
        <w:t>Base Salary and Individual Target Bonus Percentages</w:t>
      </w:r>
    </w:p>
    <w:p>
      <w:pPr>
        <w:spacing w:after="0" w:line="90"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During fiscal 2017, the Compensation Committee authorized base salaries and target bonus percentages for our active NEOs (other than our Chief Executive Officer), as specified in the table below:</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2017 Individual</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2016 Individual</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3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2017 Base</w:t>
            </w: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2016 Base</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Target Bonus as</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Target Bonus as</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Salary</w:t>
            </w:r>
          </w:p>
        </w:tc>
        <w:tc>
          <w:tcPr>
            <w:tcW w:w="540" w:type="dxa"/>
            <w:vAlign w:val="bottom"/>
          </w:tcPr>
          <w:p>
            <w:pPr>
              <w:spacing w:after="0"/>
              <w:rPr>
                <w:sz w:val="13"/>
                <w:szCs w:val="13"/>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Salary</w:t>
            </w:r>
          </w:p>
        </w:tc>
        <w:tc>
          <w:tcPr>
            <w:tcW w:w="12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 Increase</w:t>
            </w:r>
          </w:p>
        </w:tc>
        <w:tc>
          <w:tcPr>
            <w:tcW w:w="1520" w:type="dxa"/>
            <w:vAlign w:val="bottom"/>
            <w:gridSpan w:val="2"/>
          </w:tcPr>
          <w:p>
            <w:pPr>
              <w:jc w:val="center"/>
              <w:ind w:left="437"/>
              <w:spacing w:after="0" w:line="148" w:lineRule="exact"/>
              <w:rPr>
                <w:sz w:val="20"/>
                <w:szCs w:val="20"/>
                <w:color w:val="auto"/>
              </w:rPr>
            </w:pPr>
            <w:r>
              <w:rPr>
                <w:rFonts w:ascii="Arial" w:cs="Arial" w:eastAsia="Arial" w:hAnsi="Arial"/>
                <w:sz w:val="14"/>
                <w:szCs w:val="14"/>
                <w:b w:val="1"/>
                <w:bCs w:val="1"/>
                <w:color w:val="auto"/>
                <w:w w:val="88"/>
              </w:rPr>
              <w:t>% of Base Salary</w:t>
            </w:r>
          </w:p>
        </w:tc>
        <w:tc>
          <w:tcPr>
            <w:tcW w:w="1520" w:type="dxa"/>
            <w:vAlign w:val="bottom"/>
            <w:gridSpan w:val="2"/>
          </w:tcPr>
          <w:p>
            <w:pPr>
              <w:jc w:val="center"/>
              <w:ind w:left="439"/>
              <w:spacing w:after="0" w:line="148" w:lineRule="exact"/>
              <w:rPr>
                <w:sz w:val="20"/>
                <w:szCs w:val="20"/>
                <w:color w:val="auto"/>
              </w:rPr>
            </w:pPr>
            <w:r>
              <w:rPr>
                <w:rFonts w:ascii="Arial" w:cs="Arial" w:eastAsia="Arial" w:hAnsi="Arial"/>
                <w:sz w:val="14"/>
                <w:szCs w:val="14"/>
                <w:b w:val="1"/>
                <w:bCs w:val="1"/>
                <w:color w:val="auto"/>
                <w:w w:val="88"/>
              </w:rPr>
              <w:t>% of Base Salary</w:t>
            </w:r>
          </w:p>
        </w:tc>
        <w:tc>
          <w:tcPr>
            <w:tcW w:w="1260" w:type="dxa"/>
            <w:vAlign w:val="bottom"/>
            <w:gridSpan w:val="3"/>
          </w:tcPr>
          <w:p>
            <w:pPr>
              <w:jc w:val="right"/>
              <w:ind w:right="80"/>
              <w:spacing w:after="0" w:line="148"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Prashanth Mahendra-Rajah, Senior Vice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Finance and Chief Financial</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$550,000</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8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6"/>
        </w:trPr>
        <w:tc>
          <w:tcPr>
            <w:tcW w:w="3360" w:type="dxa"/>
            <w:vAlign w:val="bottom"/>
            <w:gridSpan w:val="3"/>
          </w:tcPr>
          <w:p>
            <w:pPr>
              <w:spacing w:after="0"/>
              <w:rPr>
                <w:sz w:val="20"/>
                <w:szCs w:val="20"/>
                <w:color w:val="auto"/>
              </w:rPr>
            </w:pPr>
            <w:r>
              <w:rPr>
                <w:rFonts w:ascii="Arial" w:cs="Arial" w:eastAsia="Arial" w:hAnsi="Arial"/>
                <w:sz w:val="18"/>
                <w:szCs w:val="18"/>
                <w:color w:val="auto"/>
                <w:w w:val="95"/>
              </w:rPr>
              <w:t>John Hassett, Senior Vice President, Global</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Operations and Technology</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$440,000</w:t>
            </w:r>
          </w:p>
        </w:tc>
        <w:tc>
          <w:tcPr>
            <w:tcW w:w="1200" w:type="dxa"/>
            <w:vAlign w:val="bottom"/>
            <w:gridSpan w:val="2"/>
          </w:tcPr>
          <w:p>
            <w:pPr>
              <w:jc w:val="center"/>
              <w:ind w:left="432"/>
              <w:spacing w:after="0"/>
              <w:rPr>
                <w:sz w:val="20"/>
                <w:szCs w:val="20"/>
                <w:color w:val="auto"/>
              </w:rPr>
            </w:pPr>
            <w:r>
              <w:rPr>
                <w:rFonts w:ascii="Arial" w:cs="Arial" w:eastAsia="Arial" w:hAnsi="Arial"/>
                <w:sz w:val="18"/>
                <w:szCs w:val="18"/>
                <w:color w:val="auto"/>
                <w:w w:val="90"/>
              </w:rPr>
              <w:t>$400,000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520" w:type="dxa"/>
            <w:vAlign w:val="bottom"/>
            <w:gridSpan w:val="2"/>
          </w:tcPr>
          <w:p>
            <w:pPr>
              <w:jc w:val="center"/>
              <w:ind w:left="1119"/>
              <w:spacing w:after="0"/>
              <w:rPr>
                <w:sz w:val="20"/>
                <w:szCs w:val="20"/>
                <w:color w:val="auto"/>
              </w:rPr>
            </w:pPr>
            <w:r>
              <w:rPr>
                <w:rFonts w:ascii="Arial" w:cs="Arial" w:eastAsia="Arial" w:hAnsi="Arial"/>
                <w:sz w:val="18"/>
                <w:szCs w:val="18"/>
                <w:color w:val="auto"/>
                <w:w w:val="88"/>
              </w:rPr>
              <w:t>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Pietkiewicz, Senior Vice President,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Power Products</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$375,000</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8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6"/>
        </w:trPr>
        <w:tc>
          <w:tcPr>
            <w:tcW w:w="3360" w:type="dxa"/>
            <w:vAlign w:val="bottom"/>
            <w:gridSpan w:val="3"/>
          </w:tcPr>
          <w:p>
            <w:pPr>
              <w:spacing w:after="0"/>
              <w:rPr>
                <w:sz w:val="20"/>
                <w:szCs w:val="20"/>
                <w:color w:val="auto"/>
              </w:rPr>
            </w:pPr>
            <w:r>
              <w:rPr>
                <w:rFonts w:ascii="Arial" w:cs="Arial" w:eastAsia="Arial" w:hAnsi="Arial"/>
                <w:sz w:val="18"/>
                <w:szCs w:val="18"/>
                <w:color w:val="auto"/>
                <w:w w:val="95"/>
              </w:rPr>
              <w:t>Peter Real, Senior Vice President and Chief</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Technology Officer</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$440,000</w:t>
            </w:r>
          </w:p>
        </w:tc>
        <w:tc>
          <w:tcPr>
            <w:tcW w:w="1200" w:type="dxa"/>
            <w:vAlign w:val="bottom"/>
            <w:gridSpan w:val="2"/>
          </w:tcPr>
          <w:p>
            <w:pPr>
              <w:jc w:val="center"/>
              <w:ind w:left="432"/>
              <w:spacing w:after="0"/>
              <w:rPr>
                <w:sz w:val="20"/>
                <w:szCs w:val="20"/>
                <w:color w:val="auto"/>
              </w:rPr>
            </w:pPr>
            <w:r>
              <w:rPr>
                <w:rFonts w:ascii="Arial" w:cs="Arial" w:eastAsia="Arial" w:hAnsi="Arial"/>
                <w:sz w:val="18"/>
                <w:szCs w:val="18"/>
                <w:color w:val="auto"/>
                <w:w w:val="90"/>
              </w:rPr>
              <w:t>$400,000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520" w:type="dxa"/>
            <w:vAlign w:val="bottom"/>
            <w:gridSpan w:val="2"/>
          </w:tcPr>
          <w:p>
            <w:pPr>
              <w:jc w:val="center"/>
              <w:ind w:left="1119"/>
              <w:spacing w:after="0"/>
              <w:rPr>
                <w:sz w:val="20"/>
                <w:szCs w:val="20"/>
                <w:color w:val="auto"/>
              </w:rPr>
            </w:pPr>
            <w:r>
              <w:rPr>
                <w:rFonts w:ascii="Arial" w:cs="Arial" w:eastAsia="Arial" w:hAnsi="Arial"/>
                <w:sz w:val="18"/>
                <w:szCs w:val="18"/>
                <w:color w:val="auto"/>
                <w:w w:val="88"/>
              </w:rPr>
              <w:t>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March 2017, the Compensation Committee increased the base salaries of Messrs. Hassett and Real in order to maintain these aspects of their compensation within the range of comparable salaries in our peer group, which changed as a result of the acquisition of Linear Technology, which substantially increased the Company’s size and complexity. The individual target bonus percentages for Messrs. Hassett and Real remained unchanged from fiscal 2016. Messrs. Mahendra-Rajah and Pietkiewicz joined the Company during fiscal 2017, and therefore no fiscal 2016 comparable data is included in the table above. In June 2017, the Compensation Committee set the base salary of Mr. Pietkiewicz at $375,000 in connection with his promotion to Senior Vice President, Power Products to lead this business group focused on developing ADI’s power strategy and to take a lead role in the integration of Linear Technology’s and ADI’s power portfolio within ADI’s larger suite of high performance analog and mixed signal products and solutions. Mr. Pietkiewicz’s performance incentive compensation was paid in accordance with the contractual commitments made by the Company in connection with the acquisition of Linear Technology for all Linear Technology employees. Please refer to “— Fiscal 2017 Compensation of Steve Pietkiewicz, Senior Vice President, Power Products” below.</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jc w:val="both"/>
        <w:ind w:left="200" w:right="380" w:firstLine="441"/>
        <w:spacing w:after="0" w:line="259" w:lineRule="auto"/>
        <w:rPr>
          <w:sz w:val="20"/>
          <w:szCs w:val="20"/>
          <w:color w:val="auto"/>
        </w:rPr>
      </w:pPr>
      <w:r>
        <w:rPr>
          <w:rFonts w:ascii="Arial" w:cs="Arial" w:eastAsia="Arial" w:hAnsi="Arial"/>
          <w:sz w:val="18"/>
          <w:szCs w:val="18"/>
          <w:color w:val="auto"/>
        </w:rPr>
        <w:t>The size of the equity awards approved by our Compensation Committee for our executives reflect the executive’s individual responsibilities and where that person is in his or her career with ADI. In fiscal 2017, the Compensation Committee authorized grants of equity awards to our active NEOs (other than our Chief Executive Officer), as follows: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Linear Integration</w:t>
            </w:r>
          </w:p>
        </w:tc>
        <w:tc>
          <w:tcPr>
            <w:tcW w:w="0" w:type="dxa"/>
            <w:vAlign w:val="bottom"/>
          </w:tcPr>
          <w:p>
            <w:pPr>
              <w:spacing w:after="0"/>
              <w:rPr>
                <w:sz w:val="1"/>
                <w:szCs w:val="1"/>
                <w:color w:val="auto"/>
              </w:rPr>
            </w:pPr>
          </w:p>
        </w:tc>
      </w:t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Time-based</w:t>
            </w:r>
          </w:p>
        </w:tc>
        <w:tc>
          <w:tcPr>
            <w:tcW w:w="1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Performance-based</w:t>
            </w:r>
          </w:p>
        </w:tc>
        <w:tc>
          <w:tcPr>
            <w:tcW w:w="84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48"/>
        </w:trPr>
        <w:tc>
          <w:tcPr>
            <w:tcW w:w="2900" w:type="dxa"/>
            <w:vAlign w:val="bottom"/>
            <w:gridSpan w:val="3"/>
            <w:vMerge w:val="continue"/>
          </w:tcPr>
          <w:p>
            <w:pPr>
              <w:spacing w:after="0"/>
              <w:rPr>
                <w:sz w:val="12"/>
                <w:szCs w:val="12"/>
                <w:color w:val="auto"/>
              </w:rPr>
            </w:pPr>
          </w:p>
        </w:tc>
        <w:tc>
          <w:tcPr>
            <w:tcW w:w="17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Stock Options</w:t>
            </w:r>
          </w:p>
        </w:tc>
        <w:tc>
          <w:tcPr>
            <w:tcW w:w="840" w:type="dxa"/>
            <w:vAlign w:val="bottom"/>
          </w:tcPr>
          <w:p>
            <w:pPr>
              <w:spacing w:after="0"/>
              <w:rPr>
                <w:sz w:val="12"/>
                <w:szCs w:val="12"/>
                <w:color w:val="auto"/>
              </w:rPr>
            </w:pPr>
          </w:p>
        </w:tc>
        <w:tc>
          <w:tcPr>
            <w:tcW w:w="68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RSUs</w:t>
            </w:r>
          </w:p>
        </w:tc>
        <w:tc>
          <w:tcPr>
            <w:tcW w:w="840" w:type="dxa"/>
            <w:vAlign w:val="bottom"/>
          </w:tcPr>
          <w:p>
            <w:pPr>
              <w:spacing w:after="0"/>
              <w:rPr>
                <w:sz w:val="12"/>
                <w:szCs w:val="12"/>
                <w:color w:val="auto"/>
              </w:rPr>
            </w:pPr>
          </w:p>
        </w:tc>
        <w:tc>
          <w:tcPr>
            <w:tcW w:w="1140" w:type="dxa"/>
            <w:vAlign w:val="bottom"/>
          </w:tcPr>
          <w:p>
            <w:pPr>
              <w:jc w:val="right"/>
              <w:ind w:right="339"/>
              <w:spacing w:after="0" w:line="148" w:lineRule="exact"/>
              <w:rPr>
                <w:sz w:val="20"/>
                <w:szCs w:val="20"/>
                <w:color w:val="auto"/>
              </w:rPr>
            </w:pPr>
            <w:r>
              <w:rPr>
                <w:rFonts w:ascii="Arial" w:cs="Arial" w:eastAsia="Arial" w:hAnsi="Arial"/>
                <w:sz w:val="14"/>
                <w:szCs w:val="14"/>
                <w:b w:val="1"/>
                <w:bCs w:val="1"/>
                <w:color w:val="auto"/>
              </w:rPr>
              <w:t>RSUs</w:t>
            </w:r>
          </w:p>
        </w:tc>
        <w:tc>
          <w:tcPr>
            <w:tcW w:w="840" w:type="dxa"/>
            <w:vAlign w:val="bottom"/>
          </w:tcPr>
          <w:p>
            <w:pPr>
              <w:spacing w:after="0"/>
              <w:rPr>
                <w:sz w:val="12"/>
                <w:szCs w:val="12"/>
                <w:color w:val="auto"/>
              </w:rPr>
            </w:pPr>
          </w:p>
        </w:tc>
        <w:tc>
          <w:tcPr>
            <w:tcW w:w="11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4"/>
              </w:rPr>
              <w:t>Based RSUs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Prashanth Mahendra-Rajah</w:t>
            </w: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23,756</w:t>
            </w: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900" w:type="dxa"/>
            <w:vAlign w:val="bottom"/>
            <w:gridSpan w:val="3"/>
          </w:tcPr>
          <w:p>
            <w:pPr>
              <w:spacing w:after="0"/>
              <w:rPr>
                <w:sz w:val="20"/>
                <w:szCs w:val="20"/>
                <w:color w:val="auto"/>
              </w:rPr>
            </w:pPr>
            <w:r>
              <w:rPr>
                <w:rFonts w:ascii="Arial" w:cs="Arial" w:eastAsia="Arial" w:hAnsi="Arial"/>
                <w:sz w:val="18"/>
                <w:szCs w:val="18"/>
                <w:color w:val="auto"/>
              </w:rPr>
              <w:t>John Hassett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19,548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4,278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4,278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16,232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Pietkiewicz</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24,071</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00" w:type="dxa"/>
            <w:vAlign w:val="bottom"/>
            <w:gridSpan w:val="3"/>
          </w:tcPr>
          <w:p>
            <w:pPr>
              <w:spacing w:after="0"/>
              <w:rPr>
                <w:sz w:val="20"/>
                <w:szCs w:val="20"/>
                <w:color w:val="auto"/>
              </w:rPr>
            </w:pPr>
            <w:r>
              <w:rPr>
                <w:rFonts w:ascii="Arial" w:cs="Arial" w:eastAsia="Arial" w:hAnsi="Arial"/>
                <w:sz w:val="18"/>
                <w:szCs w:val="18"/>
                <w:color w:val="auto"/>
              </w:rPr>
              <w:t>Peter Real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23,458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5,134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5,134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16,232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 granting awards to Mr. Mahendra-Rajah, the Compensation Committee considered the equity compensation levels of comparable executives at our peer group. In granting awards to Messrs. Hassett and Real, the Compensation Committee considered the equity compensation levels of comparable executives at our peer group, as well as the equity already held by each executive. The time-based restricted stock units granted by the Compensation Committee to Mr. Pietkiewicz consisted of 17,356 RSUs granted in accordance with the contractual commitments made by the Company in connection with the acquisition of Linear Technology for all Linear Technology employees and 6,715 RSUs granted in connection with his promotion to Senior Vice President, Power Products. The stock options granted to Mr. Pietkiewicz were also in connection with his promotion. The Linear Integration PRSUs were granted to all active NEOs, excluding our Chief Executive Officer, to promote the successful integration of Linear Technology. For more information about the Linear Integration PRSUs see “Components of Executive Compensation — Equity Compensation — Linear Integration Performance-Based Restricted Stock Units” above.</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2017 Compensation of Steve Pietkiewicz, Senior Vice President, Power Products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acquired Linear Technology on March 10, 2017. In connection with the acquisition, we made commitments covering the compensation and benefits of legacy Linear Technology employees, including Mr. Pietkiewicz, through the first anniversary of the closing date. We subsequently extended these commitments through May 5, 2018, the end of the second quarter of fiscal 2018 as part of the alignment of the compensation of our executives and legacy ADI and Linear Technology employees, commencing the second half of fiscal 2018. Pursuant to these commitments, Mr. Pietkiewicz’s compensation was comprised of the following components in fiscal 2017:</w:t>
      </w:r>
    </w:p>
    <w:p>
      <w:pPr>
        <w:spacing w:after="0" w:line="62" w:lineRule="exact"/>
        <w:rPr>
          <w:sz w:val="20"/>
          <w:szCs w:val="20"/>
          <w:color w:val="auto"/>
        </w:rPr>
      </w:pPr>
    </w:p>
    <w:p>
      <w:pPr>
        <w:ind w:left="1060" w:right="240" w:hanging="316"/>
        <w:spacing w:after="0" w:line="357" w:lineRule="auto"/>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Base Salary</w:t>
      </w:r>
      <w:r>
        <w:rPr>
          <w:rFonts w:ascii="Arial" w:cs="Arial" w:eastAsia="Arial" w:hAnsi="Arial"/>
          <w:sz w:val="15"/>
          <w:szCs w:val="15"/>
          <w:color w:val="auto"/>
        </w:rPr>
        <w:t>. Similar to the legacy Analog Devices executives, this is annual fixed cash compensation. In connection with Mr. Pietkiewicz’s</w:t>
      </w:r>
      <w:r>
        <w:rPr>
          <w:rFonts w:ascii="Arial" w:cs="Arial" w:eastAsia="Arial" w:hAnsi="Arial"/>
          <w:sz w:val="15"/>
          <w:szCs w:val="15"/>
          <w:i w:val="1"/>
          <w:iCs w:val="1"/>
          <w:color w:val="auto"/>
        </w:rPr>
        <w:t xml:space="preserve"> </w:t>
      </w:r>
      <w:r>
        <w:rPr>
          <w:rFonts w:ascii="Arial" w:cs="Arial" w:eastAsia="Arial" w:hAnsi="Arial"/>
          <w:sz w:val="15"/>
          <w:szCs w:val="15"/>
          <w:color w:val="auto"/>
        </w:rPr>
        <w:t>promotion to Senior Vice President, Power Products during fiscal 2017, the Compensation Committee set his annual base salary at $375,000.</w:t>
      </w:r>
    </w:p>
    <w:p>
      <w:pPr>
        <w:ind w:left="1060" w:hanging="316"/>
        <w:spacing w:after="0" w:line="255"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Profit Sharing</w:t>
      </w:r>
      <w:r>
        <w:rPr>
          <w:rFonts w:ascii="Arial" w:cs="Arial" w:eastAsia="Arial" w:hAnsi="Arial"/>
          <w:sz w:val="18"/>
          <w:szCs w:val="18"/>
          <w:color w:val="auto"/>
        </w:rPr>
        <w:t>. The Company funds a profit sharing program for all eligible legacy Linear Technology employees based on the profitability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Linear Technology. The profit sharing payments made to Mr. Pietkiewicz in fiscal 2017 were calculated in the same manner as for the rest of the legacy Linear Technology eligible employees, and the percentage of base salary the payment represents is the same for all such employees. For fiscal year 2017, Mr. Pietkiewicz received profit sharing distributions equal to $64,792, of which $9,508 was contributed to Mr. Pietkiewicz’s 401(k).</w:t>
      </w:r>
    </w:p>
    <w:p>
      <w:pPr>
        <w:spacing w:after="0" w:line="61" w:lineRule="exact"/>
        <w:rPr>
          <w:rFonts w:ascii="Arial" w:cs="Arial" w:eastAsia="Arial" w:hAnsi="Arial"/>
          <w:sz w:val="18"/>
          <w:szCs w:val="18"/>
          <w:color w:val="auto"/>
        </w:rPr>
      </w:pPr>
    </w:p>
    <w:p>
      <w:pPr>
        <w:ind w:left="1060" w:right="120" w:hanging="316"/>
        <w:spacing w:after="0" w:line="256"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Opportunity. </w:t>
      </w:r>
      <w:r>
        <w:rPr>
          <w:rFonts w:ascii="Arial" w:cs="Arial" w:eastAsia="Arial" w:hAnsi="Arial"/>
          <w:sz w:val="18"/>
          <w:szCs w:val="18"/>
          <w:color w:val="auto"/>
        </w:rPr>
        <w:t>In addition to the profit sharing opportunity, Mr. Pietkiewicz was eligible for a target cash bonus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Linear Technology Corporation Executive Bonus Plan. The calculation of the cash bonus opportunity that Mr. Pietkiewicz received was based on what he received in the fiscal year prior to the acquisition. For fiscal 2017, Mr. Pietkiewicz received payments equal to $497,900 under this bonus plan.</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right="260" w:hanging="316"/>
        <w:spacing w:after="0" w:line="286"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Equity-Based Award</w:t>
      </w:r>
      <w:r>
        <w:rPr>
          <w:rFonts w:ascii="Arial" w:cs="Arial" w:eastAsia="Arial" w:hAnsi="Arial"/>
          <w:sz w:val="16"/>
          <w:szCs w:val="16"/>
          <w:color w:val="auto"/>
        </w:rPr>
        <w:t>. In fiscal 2017, Mr. Pietkiewicz was granted a long-term restricted stock unit award that vests in equal installments over</w:t>
      </w:r>
      <w:r>
        <w:rPr>
          <w:rFonts w:ascii="Arial" w:cs="Arial" w:eastAsia="Arial" w:hAnsi="Arial"/>
          <w:sz w:val="16"/>
          <w:szCs w:val="16"/>
          <w:i w:val="1"/>
          <w:iCs w:val="1"/>
          <w:color w:val="auto"/>
        </w:rPr>
        <w:t xml:space="preserve"> </w:t>
      </w:r>
      <w:r>
        <w:rPr>
          <w:rFonts w:ascii="Arial" w:cs="Arial" w:eastAsia="Arial" w:hAnsi="Arial"/>
          <w:sz w:val="16"/>
          <w:szCs w:val="16"/>
          <w:color w:val="auto"/>
        </w:rPr>
        <w:t>five years, consistent with the vesting schedule generally given to other legacy Linear Technology employees. In connection with</w:t>
      </w:r>
    </w:p>
    <w:p>
      <w:pPr>
        <w:ind w:left="1060" w:right="20"/>
        <w:spacing w:after="0" w:line="255" w:lineRule="auto"/>
        <w:rPr>
          <w:rFonts w:ascii="Arial" w:cs="Arial" w:eastAsia="Arial" w:hAnsi="Arial"/>
          <w:sz w:val="16"/>
          <w:szCs w:val="16"/>
          <w:color w:val="auto"/>
        </w:rPr>
      </w:pPr>
      <w:r>
        <w:rPr>
          <w:rFonts w:ascii="Arial" w:cs="Arial" w:eastAsia="Arial" w:hAnsi="Arial"/>
          <w:sz w:val="18"/>
          <w:szCs w:val="18"/>
          <w:color w:val="auto"/>
        </w:rPr>
        <w:t>Mr. Pietkiewicz’s promotion to Senior Vice President, Power Products, the Compensation Committee also granted him a time-based RSU award and a stock option award. The time-based RSU award vests in full on the third anniversary of its grant date and the stock option award vests in equal installments over five years.</w:t>
      </w:r>
    </w:p>
    <w:p>
      <w:pPr>
        <w:spacing w:after="0" w:line="63" w:lineRule="exact"/>
        <w:rPr>
          <w:rFonts w:ascii="Arial" w:cs="Arial" w:eastAsia="Arial" w:hAnsi="Arial"/>
          <w:sz w:val="16"/>
          <w:szCs w:val="16"/>
          <w:color w:val="auto"/>
        </w:rPr>
      </w:pPr>
    </w:p>
    <w:p>
      <w:pPr>
        <w:ind w:left="1060" w:right="20" w:hanging="316"/>
        <w:spacing w:after="0" w:line="306"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Retirement and Other Employee Benefits</w:t>
      </w:r>
      <w:r>
        <w:rPr>
          <w:rFonts w:ascii="Arial" w:cs="Arial" w:eastAsia="Arial" w:hAnsi="Arial"/>
          <w:sz w:val="16"/>
          <w:szCs w:val="16"/>
          <w:color w:val="auto"/>
        </w:rPr>
        <w:t>. We maintain broad-based benefits for legacy Linear Technology employees, including health and</w:t>
      </w:r>
      <w:r>
        <w:rPr>
          <w:rFonts w:ascii="Arial" w:cs="Arial" w:eastAsia="Arial" w:hAnsi="Arial"/>
          <w:sz w:val="16"/>
          <w:szCs w:val="16"/>
          <w:i w:val="1"/>
          <w:iCs w:val="1"/>
          <w:color w:val="auto"/>
        </w:rPr>
        <w:t xml:space="preserve"> </w:t>
      </w:r>
      <w:r>
        <w:rPr>
          <w:rFonts w:ascii="Arial" w:cs="Arial" w:eastAsia="Arial" w:hAnsi="Arial"/>
          <w:sz w:val="16"/>
          <w:szCs w:val="16"/>
          <w:color w:val="auto"/>
        </w:rPr>
        <w:t>dental insurance, life and disability insurance, and retirement plans. Mr. Pietkiewicz is eligible to participate in all of our employee benefit plans on the same basis as our other legacy Linear Technology employees, subject to applicable plan limits.</w:t>
      </w:r>
    </w:p>
    <w:p>
      <w:pPr>
        <w:spacing w:after="0" w:line="107" w:lineRule="exact"/>
        <w:rPr>
          <w:sz w:val="20"/>
          <w:szCs w:val="20"/>
          <w:color w:val="auto"/>
        </w:rPr>
      </w:pPr>
    </w:p>
    <w:p>
      <w:pPr>
        <w:ind w:left="200" w:right="140" w:firstLine="441"/>
        <w:spacing w:after="0" w:line="332" w:lineRule="auto"/>
        <w:rPr>
          <w:sz w:val="20"/>
          <w:szCs w:val="20"/>
          <w:color w:val="auto"/>
        </w:rPr>
      </w:pPr>
      <w:r>
        <w:rPr>
          <w:rFonts w:ascii="Arial" w:cs="Arial" w:eastAsia="Arial" w:hAnsi="Arial"/>
          <w:sz w:val="16"/>
          <w:szCs w:val="16"/>
          <w:color w:val="auto"/>
        </w:rPr>
        <w:t>In addition to the above, Mr. Pietkiewicz also received a Linear Integration PRSU award. For more information about the Linear Integration PRSUs, see “Components of Executive Compensation — Equity Compensation — Special Linear Integration Performance-Based Restricted Stock Units” above.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2017 Compensation of Other Named Executive Officers</w:t>
      </w:r>
    </w:p>
    <w:p>
      <w:pPr>
        <w:spacing w:after="0" w:line="9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On March 6, 2017, we announced that David Zinsner, our former Senior Vice President, Finance and Chief Financial Officer was resigning to pursue a new role as president of a venture-backed technology company. Mr. Zinsner’s resignation was not a result of any dispute or disagreement with the Company. In connection with Mr. Zinsner’s separation from the Company and in recognition of his service and contributions to the Company, effective April 18, 2017, we entered into a separation agreement with Mr. Zinsner pursuant to which, in exchange for a one-year non-competition and non-solicitation agreement, Mr. Zinsner received a payment in the amount of $598,994, which represents what he would have received under the Company’s 2017 Executive Performance Incentive Plan for the first half of fiscal 2017 absent his departure. See the Summary Compensation Table for more information regarding the fiscal 2017 compensation for Mr. Zinsner.</w:t>
      </w:r>
    </w:p>
    <w:p>
      <w:pPr>
        <w:spacing w:after="0" w:line="118"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Ms. Wynne, our Vice President and Chief Accounting Officer, served as Interim Chief Financial Officer from March 18, 2017 through September 27, 2017. See the Summary Compensation Table for more information regarding the fiscal 2017 compensation of Ms. Wynne.</w:t>
      </w:r>
    </w:p>
    <w:p>
      <w:pPr>
        <w:spacing w:after="0" w:line="132"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On June 15, 2017, Mr. Hess ceased serving as an executive officer and transitioned to non-executive Strategic Advisor to the Chief Executive Officer providing strategic advice and guidance to our Chief Executive Officer and senior executives with a primary focus on Linear Technology integration matters. In connection with Mr. Hess’ change in responsibilities and reduced schedule, the Compensation Committee approved amendments to Mr. Hess’ employment agreement to change his title, and adjust his annual base salary from $650,000 to $175,000. His target cash incentive bonus under the Company’s employee performance incentive plan remains at 100% of his annual base salary. In addition, the amended employment agreement provides that Mr. Hess’ severance protection thereunder shall remain in place and that any severance benefits that Mr. Hess is entitled to under the terms of his employment agreement, other than in connection with a change in control of the Company, will be calculated on the basis of his annual base salary and target cash incentive bonus in effect as of immediately prior to the effectiveness of the amendment. See the Summary Compensation Table, “Change in Control Benefits” and “Severance Benefits” for further information regarding the fiscal 2017 compensation of Mr. Hess and his employment agreement.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90" w:lineRule="exact"/>
        <w:rPr>
          <w:sz w:val="20"/>
          <w:szCs w:val="20"/>
          <w:color w:val="auto"/>
        </w:rPr>
      </w:pPr>
    </w:p>
    <w:p>
      <w:pPr>
        <w:jc w:val="both"/>
        <w:ind w:left="200" w:right="420" w:firstLine="441"/>
        <w:spacing w:after="0" w:line="259" w:lineRule="auto"/>
        <w:rPr>
          <w:sz w:val="20"/>
          <w:szCs w:val="20"/>
          <w:color w:val="auto"/>
        </w:rPr>
      </w:pPr>
      <w:r>
        <w:rPr>
          <w:rFonts w:ascii="Arial" w:cs="Arial" w:eastAsia="Arial" w:hAnsi="Arial"/>
          <w:sz w:val="18"/>
          <w:szCs w:val="18"/>
          <w:color w:val="auto"/>
        </w:rPr>
        <w:t>We have entered into change in control retention agreements with each of our executive officers (other than Mr. Hess) and other key employees. Among other things, these retention agreements provide for severance benefits if the employee’s service with us is terminated within 24 months after a change in control (as defined in</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color w:val="auto"/>
        </w:rPr>
        <w:t>each agreement) that was approved by our Board of Directors. In connection with our acquisition of Hittite Microwave Corporation, or Hittite, in 2014, we also entered into an employment agreement with Mr. Hess, which provides for severance benefits if Mr. Hess’ service with us is terminated within 24 months after a change in control (as defined in the agreement). See “ — Change in Control Benefits” below for additional information about these agreements.</w:t>
      </w:r>
    </w:p>
    <w:p>
      <w:pPr>
        <w:spacing w:after="0" w:line="14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We designed the change in control retention agreements and Mr. Hess’ employment agreement to help ensure that our executive team is able to evaluate objectively whether a potential change in control transaction is in the best interests of ADI and our shareholders, without having to be concerned about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2017, the Compensation Committee asked Pearl Meyer, its independent compensation consultant, to review our severance, retention and change in control arrangements and Pearl Meyer determined that those arrangements were competitive with existing market practice in the semiconductor industry and that it was appropriate to maintain the program for fiscal 2017. Change in control retention agreements entered into between the Company and eligible employees since 2009 do not contain excess parachute payment tax gross-up provisions.</w:t>
      </w:r>
    </w:p>
    <w:p>
      <w:pPr>
        <w:spacing w:after="0" w:line="127" w:lineRule="exact"/>
        <w:rPr>
          <w:sz w:val="20"/>
          <w:szCs w:val="20"/>
          <w:color w:val="auto"/>
        </w:rPr>
      </w:pPr>
    </w:p>
    <w:p>
      <w:pPr>
        <w:jc w:val="both"/>
        <w:ind w:left="200" w:right="400" w:firstLine="441"/>
        <w:spacing w:after="0" w:line="306" w:lineRule="auto"/>
        <w:rPr>
          <w:sz w:val="20"/>
          <w:szCs w:val="20"/>
          <w:color w:val="auto"/>
        </w:rPr>
      </w:pPr>
      <w:r>
        <w:rPr>
          <w:rFonts w:ascii="Arial" w:cs="Arial" w:eastAsia="Arial" w:hAnsi="Arial"/>
          <w:sz w:val="16"/>
          <w:szCs w:val="16"/>
          <w:color w:val="auto"/>
        </w:rPr>
        <w:t>Mr. Pietkiewicz also currently has a Linear Technology Change in Control Agreement that provides for severance benefits to Mr. Pietkiewicz in specified circumstances following termination of his employment within 24 months following our acquisition of Linear Technology. These benefits are described further below in “— Severance Benefits — Mr. Pietkiewicz’s Linear Technology Change in Control Agreement.”</w:t>
      </w:r>
    </w:p>
    <w:p>
      <w:pPr>
        <w:spacing w:after="0" w:line="107"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Under our 2006 Stock Incentive Plan, in the event of a change in control, all of our employees, including our active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90" w:lineRule="exact"/>
        <w:rPr>
          <w:sz w:val="20"/>
          <w:szCs w:val="20"/>
          <w:color w:val="auto"/>
        </w:rPr>
      </w:pPr>
    </w:p>
    <w:p>
      <w:pPr>
        <w:ind w:left="200" w:firstLine="441"/>
        <w:spacing w:after="0" w:line="332" w:lineRule="auto"/>
        <w:rPr>
          <w:sz w:val="20"/>
          <w:szCs w:val="20"/>
          <w:color w:val="auto"/>
        </w:rPr>
      </w:pPr>
      <w:r>
        <w:rPr>
          <w:rFonts w:ascii="Arial" w:cs="Arial" w:eastAsia="Arial" w:hAnsi="Arial"/>
          <w:sz w:val="16"/>
          <w:szCs w:val="16"/>
          <w:color w:val="auto"/>
        </w:rPr>
        <w:t>Mr. Hess’ employment agreement provides for severance benefits to Mr. Hess in specified circumstances following the termination of his employment that does not involve a change in control as described further below in “— Severance Benefits — Mr. Hess’ Employment Agreement.”</w:t>
      </w:r>
    </w:p>
    <w:p>
      <w:pPr>
        <w:spacing w:after="0" w:line="85" w:lineRule="exact"/>
        <w:rPr>
          <w:sz w:val="20"/>
          <w:szCs w:val="20"/>
          <w:color w:val="auto"/>
        </w:rPr>
      </w:pPr>
    </w:p>
    <w:p>
      <w:pPr>
        <w:ind w:left="200" w:right="120" w:firstLine="441"/>
        <w:spacing w:after="0" w:line="256" w:lineRule="auto"/>
        <w:rPr>
          <w:sz w:val="20"/>
          <w:szCs w:val="20"/>
          <w:color w:val="auto"/>
        </w:rPr>
      </w:pPr>
      <w:r>
        <w:rPr>
          <w:rFonts w:ascii="Arial" w:cs="Arial" w:eastAsia="Arial" w:hAnsi="Arial"/>
          <w:sz w:val="18"/>
          <w:szCs w:val="18"/>
          <w:color w:val="auto"/>
        </w:rPr>
        <w:t>On March 6, 2017 we announced that David Zinsner, our former Senior Vice President, Finance and Chief Financial Officer, was resigning to pursue a new role as president of a venture-backed technology company. Mr. Zinsner’s resignation was not a result of any dispute or disagreement with the Company. In connection with Mr. Zinsner’s separation from the Company, we entered into a separation agreement that provides for benefits, as described further below in “— Severance Benefits — Mr. Zinsner’s Separation Agreement.”</w:t>
      </w:r>
    </w:p>
    <w:p>
      <w:pPr>
        <w:spacing w:after="0" w:line="143"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When the employment of other executive officers terminates in a situation that does not involve a change in control, the officer is entitled to receive the same benefits as any other terminated employee in that geographical location.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Award Grant Date Policy</w:t>
      </w:r>
    </w:p>
    <w:p>
      <w:pPr>
        <w:spacing w:after="0" w:line="96"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4" w:lineRule="exact"/>
        <w:rPr>
          <w:sz w:val="20"/>
          <w:szCs w:val="20"/>
          <w:color w:val="auto"/>
        </w:rPr>
      </w:pPr>
    </w:p>
    <w:p>
      <w:pPr>
        <w:ind w:left="1060" w:right="300" w:hanging="316"/>
        <w:spacing w:after="0" w:line="33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New Hire Grants</w:t>
      </w:r>
      <w:r>
        <w:rPr>
          <w:rFonts w:ascii="Arial" w:cs="Arial" w:eastAsia="Arial" w:hAnsi="Arial"/>
          <w:sz w:val="16"/>
          <w:szCs w:val="16"/>
          <w:color w:val="auto"/>
        </w:rPr>
        <w:t>: The grant date of all awards to newly hired executive officers and employees is the 15</w:t>
      </w:r>
      <w:r>
        <w:rPr>
          <w:rFonts w:ascii="Arial" w:cs="Arial" w:eastAsia="Arial" w:hAnsi="Arial"/>
          <w:sz w:val="10"/>
          <w:szCs w:val="10"/>
          <w:color w:val="auto"/>
        </w:rPr>
        <w:t>th</w:t>
      </w:r>
      <w:r>
        <w:rPr>
          <w:rFonts w:ascii="Arial" w:cs="Arial" w:eastAsia="Arial" w:hAnsi="Arial"/>
          <w:sz w:val="16"/>
          <w:szCs w:val="16"/>
          <w:color w:val="auto"/>
        </w:rPr>
        <w:t xml:space="preserve"> day of the month after the date on which the individual commences employment with us (or the next succeeding business day that Nasdaq is open).</w:t>
      </w:r>
    </w:p>
    <w:p>
      <w:pPr>
        <w:spacing w:after="0" w:line="4" w:lineRule="exact"/>
        <w:rPr>
          <w:rFonts w:ascii="Arial" w:cs="Arial" w:eastAsia="Arial" w:hAnsi="Arial"/>
          <w:sz w:val="16"/>
          <w:szCs w:val="16"/>
          <w:color w:val="auto"/>
        </w:rPr>
      </w:pPr>
    </w:p>
    <w:p>
      <w:pPr>
        <w:ind w:left="1060" w:right="140" w:hanging="316"/>
        <w:spacing w:after="0" w:line="255"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grant date of all annual awards is the earlier to occur of (i) the scheduled date of the annual meeting of shareholders, or (ii) the first business day of April that Nasdaq is open. In connection with the harmonization of the compensation programs of Analog Devices and Linear Technology, in December 2017, the Board of Directors approved moving the grant date for the fiscal 2018 annual awards from March 14, 2018 to March 30, 2018, to align the grant date with the one-time shift in timing of the Company’s worldwide annual employee compensation review process.</w:t>
      </w:r>
    </w:p>
    <w:p>
      <w:pPr>
        <w:spacing w:after="0" w:line="61"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Grants</w:t>
      </w:r>
      <w:r>
        <w:rPr>
          <w:rFonts w:ascii="Arial" w:cs="Arial" w:eastAsia="Arial" w:hAnsi="Arial"/>
          <w:sz w:val="18"/>
          <w:szCs w:val="18"/>
          <w:color w:val="auto"/>
        </w:rPr>
        <w:t>: All other awards granted to existing executive officers and employees throughout the year (off-cycle awards) have a grant date of the 15</w:t>
      </w:r>
      <w:r>
        <w:rPr>
          <w:rFonts w:ascii="Arial" w:cs="Arial" w:eastAsia="Arial" w:hAnsi="Arial"/>
          <w:sz w:val="11"/>
          <w:szCs w:val="11"/>
          <w:color w:val="auto"/>
        </w:rPr>
        <w:t>th</w:t>
      </w:r>
      <w:r>
        <w:rPr>
          <w:rFonts w:ascii="Arial" w:cs="Arial" w:eastAsia="Arial" w:hAnsi="Arial"/>
          <w:sz w:val="18"/>
          <w:szCs w:val="18"/>
          <w:color w:val="auto"/>
        </w:rPr>
        <w:t xml:space="preserve"> day of the month (or the next succeeding business day that Nasdaq is open) provided the award is approved on or prior to such grant date.</w:t>
      </w:r>
    </w:p>
    <w:p>
      <w:pPr>
        <w:spacing w:after="0" w:line="59" w:lineRule="exact"/>
        <w:rPr>
          <w:rFonts w:ascii="Arial" w:cs="Arial" w:eastAsia="Arial" w:hAnsi="Arial"/>
          <w:sz w:val="18"/>
          <w:szCs w:val="18"/>
          <w:color w:val="auto"/>
        </w:rPr>
      </w:pPr>
    </w:p>
    <w:p>
      <w:pPr>
        <w:ind w:left="1060" w:right="20" w:hanging="316"/>
        <w:spacing w:after="0" w:line="33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Foreign Registrations</w:t>
      </w:r>
      <w:r>
        <w:rPr>
          <w:rFonts w:ascii="Arial" w:cs="Arial" w:eastAsia="Arial" w:hAnsi="Arial"/>
          <w:sz w:val="16"/>
          <w:szCs w:val="16"/>
          <w:color w:val="auto"/>
        </w:rPr>
        <w:t>: 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4" w:lineRule="exact"/>
        <w:rPr>
          <w:rFonts w:ascii="Arial" w:cs="Arial" w:eastAsia="Arial" w:hAnsi="Arial"/>
          <w:sz w:val="16"/>
          <w:szCs w:val="16"/>
          <w:color w:val="auto"/>
        </w:rPr>
      </w:pPr>
    </w:p>
    <w:p>
      <w:pPr>
        <w:ind w:left="1060" w:right="240" w:hanging="316"/>
        <w:spacing w:after="0" w:line="306"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Blackout Periods</w:t>
      </w:r>
      <w:r>
        <w:rPr>
          <w:rFonts w:ascii="Arial" w:cs="Arial" w:eastAsia="Arial" w:hAnsi="Arial"/>
          <w:sz w:val="16"/>
          <w:szCs w:val="16"/>
          <w:color w:val="auto"/>
        </w:rPr>
        <w:t>: Our Compensation Committee does not approve off-cycle awards to our executive officers during the quarterly and annual blackout periods under our insider trading policy. The quarterly and annual blackout periods begin three weeks before the end of each fiscal quarter and end at the beginning of the second full trading day after we announce our quarterly earnings.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describe the equity award grant date policy for our non-employee directors above under “Corporate Governance — Director Compensation.”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and Accounting Considerations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5"/>
          <w:szCs w:val="15"/>
          <w:color w:val="auto"/>
        </w:rPr>
        <w:t>Section 162(m) of the Internal Revenue Code, generally disallows a tax deduction to public companies for compensation in excess of $1 million paid to a company’s chief executive officer and its three most-highly compensated executive officers (other than the chief executive officer and the chief financial officer) whose compensation is required to be disclosed to our shareholders under the Exchange Act. Pursuant to the 2017 Tax Cuts and Jobs Act, signed into law on December 22, 2017 (the “Tax Act”), for fiscal years beginning after December 31, 2017, the compensation of the chief financial officer is also subject to the deduction limitation. For fiscal years beginning on or before December 31, 2017, certain compensation, including qualified performance-based compensation, will not be subject to the deduction limit if certain requirements are met. Pursuant to the Tax Act, subject to certain transition rules, for fiscal years beginning after December 31, 2017, the performance-based compensation exception to the deduction limitations under Section 162(m) will no longer be available. As a result, for fiscal years beginning after December 31, 2017, all compensation in excess of $1 million paid to the specified executives will not be deductible. For fiscal 2018 (which began before the Tax Act changes to Section 162(m) became effective), the Compensation Committee intends to structure the annual bonus compensation program for its executives in a manner similar to the fiscal 2017 bonus program so that compensation will not be subject to the deduction limitation under Section 162(m), however, the Compensation Committee reserves the right for fiscal 2018 and for future fiscal years to use its business judgment to authorize compensation payments to the Company’s executives that may be subject to the Section 162(m) deduction limit when the Compensation Committee believes such payments are appropriate and in the best interests of ADI and our shareholders.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441"/>
        <w:spacing w:after="0" w:line="332" w:lineRule="auto"/>
        <w:rPr>
          <w:sz w:val="20"/>
          <w:szCs w:val="20"/>
          <w:color w:val="auto"/>
        </w:rPr>
      </w:pPr>
      <w:r>
        <w:rPr>
          <w:rFonts w:ascii="Arial" w:cs="Arial" w:eastAsia="Arial" w:hAnsi="Arial"/>
          <w:sz w:val="16"/>
          <w:szCs w:val="16"/>
          <w:color w:val="auto"/>
        </w:rPr>
        <w:t>Mr. Roche has a change in control retention agreement that contain provisions regarding Section 280G of the Internal Revenue Code. Since 2009, any new executive compensation arrangements for new executives do not contain tax gross up provisions for excess parachute payments.</w:t>
      </w:r>
    </w:p>
    <w:p>
      <w:pPr>
        <w:spacing w:after="0" w:line="8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the 2005 Plan and 2010 Plan (the latter two of which we assumed in the Linear Technology acquisition), as well as all predecessor plans, in accordance with U.S. generally accepted accounting principles.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96"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In fiscal 2017, our Compensation Committee reviewed our incentive compensation programs, discussed the concept of risk as it relates to our compensation program, considered various mitigating factors and reviewed these items with its independent consultant, Pearl Meyer. In addition, our Compensation Committee asked Pearl Meyer to conduct an independent risk assessment of our executive compensation program. Based on these reviews and discussions, the Compensation Committee does not believe our compensation program encourages excessive or inappropriate risk taking for the following reasons:</w:t>
      </w:r>
    </w:p>
    <w:p>
      <w:pPr>
        <w:spacing w:after="0" w:line="62" w:lineRule="exact"/>
        <w:rPr>
          <w:sz w:val="20"/>
          <w:szCs w:val="20"/>
          <w:color w:val="auto"/>
        </w:rPr>
      </w:pPr>
    </w:p>
    <w:p>
      <w:pPr>
        <w:ind w:left="1060" w:hanging="316"/>
        <w:spacing w:after="0" w:line="285"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structure our pay to consist of both fixed and variable compensation with short- and long-term horizons. The fixed (salary) portion of compensation is designed to provide a steady income regardless of ADI’s stock price performance. The variable (cash bonus, stock option, time-based RSU and performance-based RSU) portions of compensation are designed to reward both short- and long-term corporate performance. For short-term performance, our cash bonus is awarded based on OPBT margin and year-over-year revenue growth targets. For long-term performance, our employee stock option awards generally vest in equal installments over five years and our time-based RSUs generally vest in full on the third anniversary of the grant date. For our fiscal 2017 annual equity award cycle, our active NEOs, excluding Messrs. Mahendra-Rajah and Pietkiewicz, received approximately 33% of the value of their equity grants in the form of performance-based RSUs, which will vest based on our TSR over a three-year period as compared to a selected group of peer companies. The value of all of their equity grants is exclusively dependent on our stock price performance. In fiscal 2017, the Compensation Committee also granted Linear Integration PRSUs to our active NEOs other than our Chief Executive Officer, which will vest only if the Company achieves specified performance targets. The value of this equity grant is exclusively dependent on company performance. For more information on the Linear Integration PRSUs please see “Components of Executive Compensation — Equity Compensation —Linear Integration Performance-Based Restricted Stock Units.” We feel that these variable elements of compensation are a sufficient percentage of overall compensation to motivate executives to produce superior short- and long-term corporate results and to achieve Company goals, while the fixed element is also sufficiently high that the executives are not encouraged to take unnecessary or excessive risks in doing so.</w:t>
      </w:r>
    </w:p>
    <w:p>
      <w:pPr>
        <w:spacing w:after="0" w:line="45" w:lineRule="exact"/>
        <w:rPr>
          <w:rFonts w:ascii="Arial" w:cs="Arial" w:eastAsia="Arial" w:hAnsi="Arial"/>
          <w:sz w:val="16"/>
          <w:szCs w:val="16"/>
          <w:color w:val="auto"/>
        </w:rPr>
      </w:pPr>
    </w:p>
    <w:p>
      <w:pPr>
        <w:ind w:left="1060" w:right="60" w:hanging="316"/>
        <w:spacing w:after="0" w:line="298"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Because OPBT margin and year-over-year revenue growth are the performance measures for determining our variable cash incentive payments, we believe our executives are encouraged to take a balanced approach that focuses on profitable growth. If we do not achieve positive year-over-year revenue growth, bonus payments for that element of the executive performance incentive are not paid, and no payments are made under the program in fiscal 2017 if we achieve OPBT margin of 20% or less.</w:t>
      </w:r>
    </w:p>
    <w:p>
      <w:pPr>
        <w:spacing w:after="0" w:line="31" w:lineRule="exact"/>
        <w:rPr>
          <w:rFonts w:ascii="Arial" w:cs="Arial" w:eastAsia="Arial" w:hAnsi="Arial"/>
          <w:sz w:val="16"/>
          <w:szCs w:val="16"/>
          <w:color w:val="auto"/>
        </w:rPr>
      </w:pPr>
    </w:p>
    <w:p>
      <w:pPr>
        <w:ind w:left="1060" w:right="300" w:hanging="316"/>
        <w:spacing w:after="0" w:line="306"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believe that our focus on both OPBT margin and year-over-year revenue growth through our executive performance incentive plan, and stock price performance through our equity compensation program provides a check on excessive risk taking. That is, even if our executives could inappropriately increase OPBT margin or revenue by excessively reducing expenses or adding new</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spacing w:after="0" w:line="298" w:lineRule="auto"/>
        <w:rPr>
          <w:sz w:val="20"/>
          <w:szCs w:val="20"/>
          <w:color w:val="auto"/>
        </w:rPr>
      </w:pPr>
      <w:r>
        <w:rPr>
          <w:rFonts w:ascii="Arial" w:cs="Arial" w:eastAsia="Arial" w:hAnsi="Arial"/>
          <w:sz w:val="16"/>
          <w:szCs w:val="16"/>
          <w:color w:val="auto"/>
        </w:rPr>
        <w:t>revenue sources that are inconsistent with our business model, this would be detrimental to ADI in the long run and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As a result, we believe our compensation program has appropriate balance and incentives to produce superior short- and long-term corporate results.</w:t>
      </w:r>
    </w:p>
    <w:p>
      <w:pPr>
        <w:spacing w:after="0" w:line="32" w:lineRule="exact"/>
        <w:rPr>
          <w:sz w:val="20"/>
          <w:szCs w:val="20"/>
          <w:color w:val="auto"/>
        </w:rPr>
      </w:pPr>
    </w:p>
    <w:p>
      <w:pPr>
        <w:ind w:left="1060" w:right="40" w:hanging="316"/>
        <w:spacing w:after="0" w:line="298"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OPBT margin and year-over-year revenue targets are applicable to our legacy ADI executives and employees alike across the organization. We believe this encourages consistent behavior across the organization. Commencing in the second half of fiscal 2018, in connection with the integration of Linear Technology and the harmonization of our compensation programs, the targets set by the Compensation Committee and Board of Directors will be applicable to all of our executives and employees across the organization.</w:t>
      </w:r>
    </w:p>
    <w:p>
      <w:pPr>
        <w:spacing w:after="0" w:line="31" w:lineRule="exact"/>
        <w:rPr>
          <w:rFonts w:ascii="Arial" w:cs="Arial" w:eastAsia="Arial" w:hAnsi="Arial"/>
          <w:sz w:val="16"/>
          <w:szCs w:val="16"/>
          <w:color w:val="auto"/>
        </w:rPr>
      </w:pPr>
    </w:p>
    <w:p>
      <w:pPr>
        <w:ind w:left="1060" w:right="220" w:hanging="316"/>
        <w:spacing w:after="0" w:line="291"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cap our bonus payout factors at 300% of target and for fiscal 2017, our bonus payouts are also subject to the 162(m) plan limitations for participants in that plan. To achieve a 300% bonus payout in a quarter, we would have to achieve both OPBT margin at or above 40% and year-to-year revenue growth at or above 28%, which were determined by the Compensation Committee to be very challenging. Even if we dramatically exceed our OPBT margin or year-over-year revenue growth targets, bonus payments are limited. Conversely, we have a floor on the OPBT margin target so that profitability below a certain level will result in no bonus payments, regardless of revenue growth levels. We believe this avoids incentivizing management to drive revenue levels without regard to profitability.</w:t>
      </w:r>
    </w:p>
    <w:p>
      <w:pPr>
        <w:spacing w:after="0" w:line="39" w:lineRule="exact"/>
        <w:rPr>
          <w:rFonts w:ascii="Arial" w:cs="Arial" w:eastAsia="Arial" w:hAnsi="Arial"/>
          <w:sz w:val="16"/>
          <w:szCs w:val="16"/>
          <w:color w:val="auto"/>
        </w:rPr>
      </w:pPr>
    </w:p>
    <w:p>
      <w:pPr>
        <w:ind w:left="1060" w:right="60" w:hanging="316"/>
        <w:spacing w:after="0" w:line="259"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strict accounting policies and internal controls over the measurement and calculation of OPBT margin and revenue. For example, we do not recognize product revenue until our distributors sell those products to their customers. As a result, our product revenue fully reflects end customer purchases and is not impacted by distributor inventory levels.</w:t>
      </w:r>
    </w:p>
    <w:p>
      <w:pPr>
        <w:spacing w:after="0" w:line="59" w:lineRule="exact"/>
        <w:rPr>
          <w:rFonts w:ascii="Arial" w:cs="Arial" w:eastAsia="Arial" w:hAnsi="Arial"/>
          <w:sz w:val="18"/>
          <w:szCs w:val="18"/>
          <w:color w:val="auto"/>
        </w:rPr>
      </w:pPr>
    </w:p>
    <w:p>
      <w:pPr>
        <w:ind w:left="1060" w:right="20" w:hanging="316"/>
        <w:spacing w:after="0" w:line="259"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59" w:lineRule="exact"/>
        <w:rPr>
          <w:rFonts w:ascii="Arial" w:cs="Arial" w:eastAsia="Arial" w:hAnsi="Arial"/>
          <w:sz w:val="18"/>
          <w:szCs w:val="18"/>
          <w:color w:val="auto"/>
        </w:rPr>
      </w:pPr>
    </w:p>
    <w:p>
      <w:pPr>
        <w:ind w:left="1060" w:right="180" w:hanging="316"/>
        <w:spacing w:after="0" w:line="268"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holding any Company securities in a margin account, and, since 2013, from pledging their Company securities as collateral for a loan.</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equity award grant date guidelines that prohibit the timing or coordination of grants with the release of material information.</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w:t>
      </w:r>
    </w:p>
    <w:p>
      <w:pPr>
        <w:spacing w:after="0" w:line="96"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named executive officers earned in fiscal 2017, fiscal 2016 and the fiscal year ended October 31, 2015, or fiscal 2015.</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Non-Equity</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All Other</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860" w:type="dxa"/>
            <w:vAlign w:val="bottom"/>
            <w:gridSpan w:val="3"/>
            <w:vMerge w:val="continue"/>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rPr>
              <w:t>Fiscal</w:t>
            </w:r>
          </w:p>
        </w:tc>
        <w:tc>
          <w:tcPr>
            <w:tcW w:w="6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Salary</w:t>
            </w: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91"/>
              </w:rPr>
              <w:t>Bonus</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Awards</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5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50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2"/>
                <w:szCs w:val="12"/>
                <w:color w:val="auto"/>
              </w:rPr>
            </w:pPr>
          </w:p>
        </w:tc>
        <w:tc>
          <w:tcPr>
            <w:tcW w:w="50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($)(3a)</w:t>
            </w: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($)(3b)</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($)(4)</w:t>
            </w:r>
          </w:p>
        </w:tc>
        <w:tc>
          <w:tcPr>
            <w:tcW w:w="14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($)(5)(6)</w:t>
            </w:r>
          </w:p>
        </w:tc>
        <w:tc>
          <w:tcPr>
            <w:tcW w:w="140" w:type="dxa"/>
            <w:vAlign w:val="bottom"/>
          </w:tcPr>
          <w:p>
            <w:pPr>
              <w:spacing w:after="0"/>
              <w:rPr>
                <w:sz w:val="12"/>
                <w:szCs w:val="12"/>
                <w:color w:val="auto"/>
              </w:rPr>
            </w:pPr>
          </w:p>
        </w:tc>
        <w:tc>
          <w:tcPr>
            <w:tcW w:w="70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104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Roche</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878,000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4,316,355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1,978,473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3,268,693</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70,240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10,511,761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827,692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3,572,511</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1,633,514</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1,050,092</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66,215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7,150,024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785,192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3,405,368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1,696,291</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1,803,254</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124,081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7,814,186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860" w:type="dxa"/>
            <w:vAlign w:val="bottom"/>
            <w:gridSpan w:val="3"/>
          </w:tcPr>
          <w:p>
            <w:pPr>
              <w:spacing w:after="0"/>
              <w:rPr>
                <w:sz w:val="20"/>
                <w:szCs w:val="20"/>
                <w:color w:val="auto"/>
              </w:rPr>
            </w:pPr>
            <w:r>
              <w:rPr>
                <w:rFonts w:ascii="Arial" w:cs="Arial" w:eastAsia="Arial" w:hAnsi="Arial"/>
                <w:sz w:val="14"/>
                <w:szCs w:val="14"/>
                <w:color w:val="auto"/>
              </w:rPr>
              <w:t>Prashanth Mahendra-Rajah</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35,962</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500,000</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3,746,541</w:t>
            </w:r>
          </w:p>
        </w:tc>
        <w:tc>
          <w:tcPr>
            <w:tcW w:w="16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82,712</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65,895</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4,431,110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Finance and Chief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gridSpan w:val="2"/>
          </w:tcPr>
          <w:p>
            <w:pPr>
              <w:ind w:left="200"/>
              <w:spacing w:after="0"/>
              <w:rPr>
                <w:sz w:val="20"/>
                <w:szCs w:val="20"/>
                <w:color w:val="auto"/>
              </w:rPr>
            </w:pPr>
            <w:r>
              <w:rPr>
                <w:rFonts w:ascii="Arial" w:cs="Arial" w:eastAsia="Arial" w:hAnsi="Arial"/>
                <w:sz w:val="14"/>
                <w:szCs w:val="14"/>
                <w:color w:val="auto"/>
              </w:rPr>
              <w:t>Financial Officer(7)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John Hassett</w:t>
            </w:r>
          </w:p>
        </w:tc>
        <w:tc>
          <w:tcPr>
            <w:tcW w:w="4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0"/>
              </w:rPr>
              <w:t>423,077</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2,132,825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338,200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839,803</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39,948</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3,773,853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Global</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 and Technology</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860" w:type="dxa"/>
            <w:vAlign w:val="bottom"/>
            <w:gridSpan w:val="3"/>
          </w:tcPr>
          <w:p>
            <w:pPr>
              <w:spacing w:after="0"/>
              <w:rPr>
                <w:sz w:val="20"/>
                <w:szCs w:val="20"/>
                <w:color w:val="auto"/>
              </w:rPr>
            </w:pPr>
            <w:r>
              <w:rPr>
                <w:rFonts w:ascii="Arial" w:cs="Arial" w:eastAsia="Arial" w:hAnsi="Arial"/>
                <w:sz w:val="14"/>
                <w:szCs w:val="14"/>
                <w:color w:val="auto"/>
              </w:rPr>
              <w:t>Steve Pietkiewicz</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215,926</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3,288,608</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476,470</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553,183</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39,111</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4,573,298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 Power</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gridSpan w:val="2"/>
          </w:tcPr>
          <w:p>
            <w:pPr>
              <w:ind w:left="200"/>
              <w:spacing w:after="0"/>
              <w:rPr>
                <w:sz w:val="20"/>
                <w:szCs w:val="20"/>
                <w:color w:val="auto"/>
              </w:rPr>
            </w:pPr>
            <w:r>
              <w:rPr>
                <w:rFonts w:ascii="Arial" w:cs="Arial" w:eastAsia="Arial" w:hAnsi="Arial"/>
                <w:sz w:val="14"/>
                <w:szCs w:val="14"/>
                <w:color w:val="auto"/>
              </w:rPr>
              <w:t>Products(7)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420,119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2,280,463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405,847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833,910</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98,224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4,038,563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Chief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376,008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786,048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359,372</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263,742</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81,134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1,866,304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Technology Officer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323,428</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570,274</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405,947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379,513</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1,380,405</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3,059,567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60" w:type="dxa"/>
            <w:vAlign w:val="bottom"/>
            <w:gridSpan w:val="3"/>
          </w:tcPr>
          <w:p>
            <w:pPr>
              <w:spacing w:after="0"/>
              <w:rPr>
                <w:sz w:val="20"/>
                <w:szCs w:val="20"/>
                <w:color w:val="auto"/>
              </w:rPr>
            </w:pPr>
            <w:r>
              <w:rPr>
                <w:rFonts w:ascii="Arial" w:cs="Arial" w:eastAsia="Arial" w:hAnsi="Arial"/>
                <w:sz w:val="14"/>
                <w:szCs w:val="14"/>
                <w:color w:val="auto"/>
              </w:rPr>
              <w:t>Rick D. Hess</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471,346</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1,623,333</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744,047</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1,186,642</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43,117</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4,068,485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Non-Executive Strategic Advisor</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519,231</w:t>
            </w:r>
          </w:p>
        </w:tc>
        <w:tc>
          <w:tcPr>
            <w:tcW w:w="1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1,429,070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653,406</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443,452</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46,875</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3,092,034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gridSpan w:val="2"/>
          </w:tcPr>
          <w:p>
            <w:pPr>
              <w:ind w:left="200"/>
              <w:spacing w:after="0"/>
              <w:rPr>
                <w:sz w:val="20"/>
                <w:szCs w:val="20"/>
                <w:color w:val="auto"/>
              </w:rPr>
            </w:pPr>
            <w:r>
              <w:rPr>
                <w:rFonts w:ascii="Arial" w:cs="Arial" w:eastAsia="Arial" w:hAnsi="Arial"/>
                <w:sz w:val="14"/>
                <w:szCs w:val="14"/>
                <w:color w:val="auto"/>
              </w:rPr>
              <w:t>to the CEO and former</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500,000</w:t>
            </w: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681,291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339,237</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763,269</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40,739</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2,324,536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gridSpan w:val="2"/>
          </w:tcPr>
          <w:p>
            <w:pPr>
              <w:ind w:left="200"/>
              <w:spacing w:after="0"/>
              <w:rPr>
                <w:sz w:val="20"/>
                <w:szCs w:val="20"/>
                <w:color w:val="auto"/>
              </w:rPr>
            </w:pPr>
            <w:r>
              <w:rPr>
                <w:rFonts w:ascii="Arial" w:cs="Arial" w:eastAsia="Arial" w:hAnsi="Arial"/>
                <w:sz w:val="14"/>
                <w:szCs w:val="14"/>
                <w:color w:val="auto"/>
              </w:rPr>
              <w:t>Executive Vice President(7)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Eileen Wynne</w:t>
            </w:r>
          </w:p>
        </w:tc>
        <w:tc>
          <w:tcPr>
            <w:tcW w:w="4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0"/>
              </w:rPr>
              <w:t>300,385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969,981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236,747</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418,889</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40,035</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1,966,037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 Chief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Accounting Officer and former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Interim Chief Financial Officer(7)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86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236,635</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648,876</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885,511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Senior Vice President,</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526,238</w:t>
            </w:r>
          </w:p>
        </w:tc>
        <w:tc>
          <w:tcPr>
            <w:tcW w:w="1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1,429,070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653,406</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443,663</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45,273</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3,097,650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Finance and Chief</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2015</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504,423</w:t>
            </w:r>
          </w:p>
        </w:tc>
        <w:tc>
          <w:tcPr>
            <w:tcW w:w="1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1,362,039</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678,579</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772,552</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43,954</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3,361,547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gridSpan w:val="2"/>
          </w:tcPr>
          <w:p>
            <w:pPr>
              <w:ind w:left="200"/>
              <w:spacing w:after="0"/>
              <w:rPr>
                <w:sz w:val="20"/>
                <w:szCs w:val="20"/>
                <w:color w:val="auto"/>
              </w:rPr>
            </w:pPr>
            <w:r>
              <w:rPr>
                <w:rFonts w:ascii="Arial" w:cs="Arial" w:eastAsia="Arial" w:hAnsi="Arial"/>
                <w:sz w:val="14"/>
                <w:szCs w:val="14"/>
                <w:color w:val="auto"/>
              </w:rPr>
              <w:t>Financial Officer(7)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694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1" w:lineRule="exact"/>
        <w:rPr>
          <w:sz w:val="20"/>
          <w:szCs w:val="20"/>
          <w:color w:val="auto"/>
        </w:rPr>
      </w:pPr>
    </w:p>
    <w:p>
      <w:pPr>
        <w:ind w:left="640" w:right="140" w:hanging="436"/>
        <w:spacing w:after="0" w:line="268"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Real’s salary is denominated in euros. We calculate the U.S. dollar equivalent by using the average yearly exchange rate, or 0.8995 euro per U.S. dollar for fiscal 2017.</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 reported for Mr. Mahendra-Rajah for fiscal 2017 represents a hiring bonus paid pursuant to his offer letter dated August 4, 2017.</w:t>
      </w:r>
    </w:p>
    <w:p>
      <w:pPr>
        <w:spacing w:after="0" w:line="113" w:lineRule="exact"/>
        <w:rPr>
          <w:rFonts w:ascii="Arial" w:cs="Arial" w:eastAsia="Arial" w:hAnsi="Arial"/>
          <w:sz w:val="16"/>
          <w:szCs w:val="16"/>
          <w:color w:val="auto"/>
        </w:rPr>
      </w:pPr>
    </w:p>
    <w:p>
      <w:pPr>
        <w:ind w:left="1080" w:right="500" w:hanging="876"/>
        <w:spacing w:after="0" w:line="268" w:lineRule="auto"/>
        <w:tabs>
          <w:tab w:leader="none" w:pos="6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a.Amounts represent the aggregate grant date fair value of time-based and performance-based RSUs granted in fiscal 2017, 2016 and 2015, respectively and Linear Integration PRSUs granted in fiscal 2017.</w:t>
      </w:r>
    </w:p>
    <w:p>
      <w:pPr>
        <w:spacing w:after="0" w:line="50" w:lineRule="exact"/>
        <w:rPr>
          <w:rFonts w:ascii="Arial" w:cs="Arial" w:eastAsia="Arial" w:hAnsi="Arial"/>
          <w:sz w:val="18"/>
          <w:szCs w:val="18"/>
          <w:color w:val="auto"/>
        </w:rPr>
      </w:pPr>
    </w:p>
    <w:p>
      <w:pPr>
        <w:ind w:left="1060" w:hanging="424"/>
        <w:spacing w:after="0"/>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stock options granted in fiscal 2017, 2016 and 2015, respectively.</w:t>
      </w:r>
    </w:p>
    <w:p>
      <w:pPr>
        <w:spacing w:after="0" w:line="90" w:lineRule="exact"/>
        <w:rPr>
          <w:rFonts w:ascii="Arial" w:cs="Arial" w:eastAsia="Arial" w:hAnsi="Arial"/>
          <w:sz w:val="18"/>
          <w:szCs w:val="18"/>
          <w:color w:val="auto"/>
        </w:rPr>
      </w:pPr>
    </w:p>
    <w:p>
      <w:pPr>
        <w:jc w:val="both"/>
        <w:ind w:left="1080" w:right="460"/>
        <w:spacing w:after="0" w:line="259" w:lineRule="auto"/>
        <w:rPr>
          <w:rFonts w:ascii="Arial" w:cs="Arial" w:eastAsia="Arial" w:hAnsi="Arial"/>
          <w:sz w:val="18"/>
          <w:szCs w:val="18"/>
          <w:color w:val="auto"/>
        </w:rPr>
      </w:pPr>
      <w:r>
        <w:rPr>
          <w:rFonts w:ascii="Arial" w:cs="Arial" w:eastAsia="Arial" w:hAnsi="Arial"/>
          <w:sz w:val="18"/>
          <w:szCs w:val="18"/>
          <w:color w:val="auto"/>
        </w:rPr>
        <w:t>These amounts do not represent the actual amounts paid to or realized by the NEO for these awards during the respective fiscal years. We recognize the value as of the grant date for stock options and time-based and performance-based RSUs over the number of days of service required for the grant to become vested.</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The following table includes the assumptions, rounded to the nearest hundredth, that we used to calculate the grant date fair value reported for fiscal years 2017, 2016 and 2015 on a grant-by-grant basis, the grant date fair value of performance-based RSUs, assuming the achievement of the maximum level of performance conditions and the grant date fair value of the Linear Integration PRSUs granted at the service inception date, based upon the probable outcome of the performance conditions.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Assumptions</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Grant</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Options/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Date</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Fair</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Achievement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Expected</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Risk-Free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Dividend</w:t>
            </w:r>
          </w:p>
        </w:tc>
        <w:tc>
          <w:tcPr>
            <w:tcW w:w="58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Level for</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Granted</w:t>
            </w:r>
          </w:p>
        </w:tc>
        <w:tc>
          <w:tcPr>
            <w:tcW w:w="180" w:type="dxa"/>
            <w:vAlign w:val="bottom"/>
          </w:tcPr>
          <w:p>
            <w:pPr>
              <w:spacing w:after="0"/>
              <w:rPr>
                <w:sz w:val="12"/>
                <w:szCs w:val="12"/>
                <w:color w:val="auto"/>
              </w:rPr>
            </w:pPr>
          </w:p>
        </w:tc>
        <w:tc>
          <w:tcPr>
            <w:tcW w:w="4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Price</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Volatility</w:t>
            </w:r>
          </w:p>
        </w:tc>
        <w:tc>
          <w:tcPr>
            <w:tcW w:w="22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2"/>
                <w:szCs w:val="12"/>
                <w:color w:val="auto"/>
              </w:rPr>
            </w:pPr>
          </w:p>
        </w:tc>
        <w:tc>
          <w:tcPr>
            <w:tcW w:w="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Per</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5"/>
        </w:trPr>
        <w:tc>
          <w:tcPr>
            <w:tcW w:w="34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center"/>
              <w:ind w:left="132"/>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660" w:type="dxa"/>
            <w:vAlign w:val="bottom"/>
            <w:gridSpan w:val="2"/>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54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3"/>
                <w:szCs w:val="13"/>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Rate (%)</w:t>
            </w:r>
          </w:p>
        </w:tc>
        <w:tc>
          <w:tcPr>
            <w:tcW w:w="740" w:type="dxa"/>
            <w:vAlign w:val="bottom"/>
            <w:gridSpan w:val="2"/>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5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Share</w:t>
            </w:r>
          </w:p>
        </w:tc>
        <w:tc>
          <w:tcPr>
            <w:tcW w:w="12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Based RSUs ($)</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Roche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31,315*</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52.57</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31,315**</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56.18</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3,518,553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162,410</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10.44</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32,796*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49.98</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32,796**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25.11</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58.95</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3,866,648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127,305</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34.36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12.83</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25,026*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78.22</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25,026**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25.97</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94.25</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4,717,401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114,356</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26.42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17.30</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20" w:type="dxa"/>
            <w:vAlign w:val="bottom"/>
            <w:gridSpan w:val="3"/>
          </w:tcPr>
          <w:p>
            <w:pPr>
              <w:spacing w:after="0"/>
              <w:rPr>
                <w:sz w:val="20"/>
                <w:szCs w:val="20"/>
                <w:color w:val="auto"/>
              </w:rPr>
            </w:pPr>
            <w:r>
              <w:rPr>
                <w:rFonts w:ascii="Arial" w:cs="Arial" w:eastAsia="Arial" w:hAnsi="Arial"/>
                <w:sz w:val="14"/>
                <w:szCs w:val="14"/>
                <w:color w:val="auto"/>
              </w:rPr>
              <w:t>Prashanth Mahendra-Rajah</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10/16/2017</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23,756*</w:t>
            </w:r>
          </w:p>
        </w:tc>
        <w:tc>
          <w:tcPr>
            <w:tcW w:w="18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540" w:type="dxa"/>
            <w:vAlign w:val="bottom"/>
          </w:tcPr>
          <w:p>
            <w:pPr>
              <w:jc w:val="center"/>
              <w:ind w:left="192"/>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2.05</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85"/>
              </w:rPr>
              <w:t>85.31</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10/16/2017</w:t>
            </w: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20,013***</w:t>
            </w:r>
          </w:p>
        </w:tc>
        <w:tc>
          <w:tcPr>
            <w:tcW w:w="18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40" w:type="dxa"/>
            <w:vAlign w:val="bottom"/>
          </w:tcPr>
          <w:p>
            <w:pPr>
              <w:jc w:val="center"/>
              <w:ind w:left="192"/>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1.97</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85"/>
              </w:rPr>
              <w:t>85.94</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2,063,901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104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Hassett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4,278*</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78.22</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4,278**</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25.97</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94.25</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806,403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19,548</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26.42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17.30</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7/17/2017</w:t>
            </w:r>
          </w:p>
        </w:tc>
        <w:tc>
          <w:tcPr>
            <w:tcW w:w="10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16,232***</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85.94</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1,673,974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20" w:type="dxa"/>
            <w:vAlign w:val="bottom"/>
            <w:gridSpan w:val="3"/>
          </w:tcPr>
          <w:p>
            <w:pPr>
              <w:spacing w:after="0"/>
              <w:rPr>
                <w:sz w:val="20"/>
                <w:szCs w:val="20"/>
                <w:color w:val="auto"/>
              </w:rPr>
            </w:pPr>
            <w:r>
              <w:rPr>
                <w:rFonts w:ascii="Arial" w:cs="Arial" w:eastAsia="Arial" w:hAnsi="Arial"/>
                <w:sz w:val="14"/>
                <w:szCs w:val="14"/>
                <w:color w:val="auto"/>
              </w:rPr>
              <w:t>Steve Pietkiewicz</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6/15/2017</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6,715*</w:t>
            </w:r>
          </w:p>
        </w:tc>
        <w:tc>
          <w:tcPr>
            <w:tcW w:w="18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540" w:type="dxa"/>
            <w:vAlign w:val="bottom"/>
          </w:tcPr>
          <w:p>
            <w:pPr>
              <w:jc w:val="center"/>
              <w:ind w:left="192"/>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2.26</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85"/>
              </w:rPr>
              <w:t>74.48</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6/15/2017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30,391</w:t>
            </w:r>
          </w:p>
        </w:tc>
        <w:tc>
          <w:tcPr>
            <w:tcW w:w="2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79.75</w:t>
            </w:r>
          </w:p>
        </w:tc>
        <w:tc>
          <w:tcPr>
            <w:tcW w:w="760" w:type="dxa"/>
            <w:vAlign w:val="bottom"/>
            <w:gridSpan w:val="2"/>
          </w:tcPr>
          <w:p>
            <w:pPr>
              <w:jc w:val="center"/>
              <w:ind w:left="392"/>
              <w:spacing w:after="0" w:line="149" w:lineRule="exact"/>
              <w:rPr>
                <w:sz w:val="20"/>
                <w:szCs w:val="20"/>
                <w:color w:val="auto"/>
              </w:rPr>
            </w:pPr>
            <w:r>
              <w:rPr>
                <w:rFonts w:ascii="Arial" w:cs="Arial" w:eastAsia="Arial" w:hAnsi="Arial"/>
                <w:sz w:val="14"/>
                <w:szCs w:val="14"/>
                <w:color w:val="auto"/>
                <w:w w:val="85"/>
              </w:rPr>
              <w:t>26.10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15.68</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7/17/2017</w:t>
            </w:r>
          </w:p>
        </w:tc>
        <w:tc>
          <w:tcPr>
            <w:tcW w:w="10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15,218***</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85.94</w:t>
            </w: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1,569,402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10/16/2017</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17,356*</w:t>
            </w:r>
          </w:p>
        </w:tc>
        <w:tc>
          <w:tcPr>
            <w:tcW w:w="18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40" w:type="dxa"/>
            <w:vAlign w:val="bottom"/>
          </w:tcPr>
          <w:p>
            <w:pPr>
              <w:jc w:val="center"/>
              <w:ind w:left="192"/>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2.05</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85"/>
              </w:rPr>
              <w:t>85.31</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104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3,130*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52.57</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19.97</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56.18</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16,240</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25.87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10.44</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7,216*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49.98</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7,216**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25.11</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58.95</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850,766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28,007</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34.36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12.83</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5,134*</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78.22</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5,134**</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25.97</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94.25</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967,759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23,458</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26.42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17.30</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7/17/2017</w:t>
            </w: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16,232***</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85.94</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1,673,974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20" w:type="dxa"/>
            <w:vAlign w:val="bottom"/>
            <w:gridSpan w:val="3"/>
          </w:tcPr>
          <w:p>
            <w:pPr>
              <w:spacing w:after="0"/>
              <w:rPr>
                <w:sz w:val="20"/>
                <w:szCs w:val="20"/>
                <w:color w:val="auto"/>
              </w:rPr>
            </w:pPr>
            <w:r>
              <w:rPr>
                <w:rFonts w:ascii="Arial" w:cs="Arial" w:eastAsia="Arial" w:hAnsi="Arial"/>
                <w:sz w:val="14"/>
                <w:szCs w:val="14"/>
                <w:color w:val="auto"/>
              </w:rPr>
              <w:t>Rick D. Hess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3/11/2015</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6,265*</w:t>
            </w:r>
          </w:p>
        </w:tc>
        <w:tc>
          <w:tcPr>
            <w:tcW w:w="18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540" w:type="dxa"/>
            <w:vAlign w:val="bottom"/>
          </w:tcPr>
          <w:p>
            <w:pPr>
              <w:jc w:val="center"/>
              <w:ind w:left="192"/>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2.79</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85"/>
              </w:rPr>
              <w:t>52.57</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3/11/2015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6,265**</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left="392"/>
              <w:spacing w:after="0" w:line="149" w:lineRule="exact"/>
              <w:rPr>
                <w:sz w:val="20"/>
                <w:szCs w:val="20"/>
                <w:color w:val="auto"/>
              </w:rPr>
            </w:pPr>
            <w:r>
              <w:rPr>
                <w:rFonts w:ascii="Arial" w:cs="Arial" w:eastAsia="Arial" w:hAnsi="Arial"/>
                <w:sz w:val="14"/>
                <w:szCs w:val="14"/>
                <w:color w:val="auto"/>
                <w:w w:val="85"/>
              </w:rPr>
              <w:t>19.97</w:t>
            </w:r>
          </w:p>
        </w:tc>
        <w:tc>
          <w:tcPr>
            <w:tcW w:w="2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56.18</w:t>
            </w: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703,935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3/11/2015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32,480</w:t>
            </w:r>
          </w:p>
        </w:tc>
        <w:tc>
          <w:tcPr>
            <w:tcW w:w="2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57.29</w:t>
            </w:r>
          </w:p>
        </w:tc>
        <w:tc>
          <w:tcPr>
            <w:tcW w:w="760" w:type="dxa"/>
            <w:vAlign w:val="bottom"/>
            <w:gridSpan w:val="2"/>
          </w:tcPr>
          <w:p>
            <w:pPr>
              <w:jc w:val="center"/>
              <w:ind w:left="392"/>
              <w:spacing w:after="0" w:line="149" w:lineRule="exact"/>
              <w:rPr>
                <w:sz w:val="20"/>
                <w:szCs w:val="20"/>
                <w:color w:val="auto"/>
              </w:rPr>
            </w:pPr>
            <w:r>
              <w:rPr>
                <w:rFonts w:ascii="Arial" w:cs="Arial" w:eastAsia="Arial" w:hAnsi="Arial"/>
                <w:sz w:val="14"/>
                <w:szCs w:val="14"/>
                <w:color w:val="auto"/>
                <w:w w:val="85"/>
              </w:rPr>
              <w:t>25.87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10.44</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3/9/2016</w:t>
            </w: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13,119*</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49.98</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3/9/2016</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13,119**</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left="392"/>
              <w:spacing w:after="0" w:line="149" w:lineRule="exact"/>
              <w:rPr>
                <w:sz w:val="20"/>
                <w:szCs w:val="20"/>
                <w:color w:val="auto"/>
              </w:rPr>
            </w:pPr>
            <w:r>
              <w:rPr>
                <w:rFonts w:ascii="Arial" w:cs="Arial" w:eastAsia="Arial" w:hAnsi="Arial"/>
                <w:sz w:val="14"/>
                <w:szCs w:val="14"/>
                <w:color w:val="auto"/>
                <w:w w:val="85"/>
              </w:rPr>
              <w:t>25.11</w:t>
            </w:r>
          </w:p>
        </w:tc>
        <w:tc>
          <w:tcPr>
            <w:tcW w:w="2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58.95</w:t>
            </w: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1,546,730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3/9/2016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50,922</w:t>
            </w:r>
          </w:p>
        </w:tc>
        <w:tc>
          <w:tcPr>
            <w:tcW w:w="2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54.93</w:t>
            </w:r>
          </w:p>
        </w:tc>
        <w:tc>
          <w:tcPr>
            <w:tcW w:w="760" w:type="dxa"/>
            <w:vAlign w:val="bottom"/>
            <w:gridSpan w:val="2"/>
          </w:tcPr>
          <w:p>
            <w:pPr>
              <w:jc w:val="center"/>
              <w:ind w:left="392"/>
              <w:spacing w:after="0" w:line="149" w:lineRule="exact"/>
              <w:rPr>
                <w:sz w:val="20"/>
                <w:szCs w:val="20"/>
                <w:color w:val="auto"/>
              </w:rPr>
            </w:pPr>
            <w:r>
              <w:rPr>
                <w:rFonts w:ascii="Arial" w:cs="Arial" w:eastAsia="Arial" w:hAnsi="Arial"/>
                <w:sz w:val="14"/>
                <w:szCs w:val="14"/>
                <w:color w:val="auto"/>
                <w:w w:val="85"/>
              </w:rPr>
              <w:t>34.36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12.83</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3/8/2017</w:t>
            </w: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9,412*</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78.22</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3/8/2017</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9,412**</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left="392"/>
              <w:spacing w:after="0" w:line="149" w:lineRule="exact"/>
              <w:rPr>
                <w:sz w:val="20"/>
                <w:szCs w:val="20"/>
                <w:color w:val="auto"/>
              </w:rPr>
            </w:pPr>
            <w:r>
              <w:rPr>
                <w:rFonts w:ascii="Arial" w:cs="Arial" w:eastAsia="Arial" w:hAnsi="Arial"/>
                <w:sz w:val="14"/>
                <w:szCs w:val="14"/>
                <w:color w:val="auto"/>
                <w:w w:val="85"/>
              </w:rPr>
              <w:t>25.97</w:t>
            </w:r>
          </w:p>
        </w:tc>
        <w:tc>
          <w:tcPr>
            <w:tcW w:w="2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85"/>
              </w:rPr>
              <w:t>94.25</w:t>
            </w: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1,774,162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3/8/2017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43,006</w:t>
            </w:r>
          </w:p>
        </w:tc>
        <w:tc>
          <w:tcPr>
            <w:tcW w:w="2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83.48</w:t>
            </w:r>
          </w:p>
        </w:tc>
        <w:tc>
          <w:tcPr>
            <w:tcW w:w="760" w:type="dxa"/>
            <w:vAlign w:val="bottom"/>
            <w:gridSpan w:val="2"/>
          </w:tcPr>
          <w:p>
            <w:pPr>
              <w:jc w:val="center"/>
              <w:ind w:left="392"/>
              <w:spacing w:after="0"/>
              <w:rPr>
                <w:sz w:val="20"/>
                <w:szCs w:val="20"/>
                <w:color w:val="auto"/>
              </w:rPr>
            </w:pPr>
            <w:r>
              <w:rPr>
                <w:rFonts w:ascii="Arial" w:cs="Arial" w:eastAsia="Arial" w:hAnsi="Arial"/>
                <w:sz w:val="14"/>
                <w:szCs w:val="14"/>
                <w:color w:val="auto"/>
                <w:w w:val="85"/>
              </w:rPr>
              <w:t>26.42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2.16</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85"/>
              </w:rPr>
              <w:t>17.30</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104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Eileen Wynne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2,995*</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78.22</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2,995**</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25.97</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94.25</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564,558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13,684</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760" w:type="dxa"/>
            <w:vAlign w:val="bottom"/>
            <w:gridSpan w:val="2"/>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85"/>
              </w:rPr>
              <w:t>26.42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17.30</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7/17/2017</w:t>
            </w:r>
          </w:p>
        </w:tc>
        <w:tc>
          <w:tcPr>
            <w:tcW w:w="10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5,276***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85.94</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544,103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-3712845</wp:posOffset>
            </wp:positionV>
            <wp:extent cx="35179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1790" cy="18859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-1645920</wp:posOffset>
            </wp:positionV>
            <wp:extent cx="506095" cy="283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6095" cy="283210"/>
                    </a:xfrm>
                    <a:prstGeom prst="rect">
                      <a:avLst/>
                    </a:prstGeom>
                    <a:noFill/>
                  </pic:spPr>
                </pic:pic>
              </a:graphicData>
            </a:graphic>
          </wp:anchor>
        </w:drawing>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Assumptions</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Options/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Date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Fair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Value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Achievement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Units</w:t>
            </w:r>
          </w:p>
        </w:tc>
        <w:tc>
          <w:tcPr>
            <w:tcW w:w="60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Expected</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Risk-Free</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Dividend</w:t>
            </w:r>
          </w:p>
        </w:tc>
        <w:tc>
          <w:tcPr>
            <w:tcW w:w="58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Level for</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Granted</w:t>
            </w: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Volatility</w:t>
            </w:r>
          </w:p>
        </w:tc>
        <w:tc>
          <w:tcPr>
            <w:tcW w:w="22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5"/>
        </w:trPr>
        <w:tc>
          <w:tcPr>
            <w:tcW w:w="3620" w:type="dxa"/>
            <w:vAlign w:val="bottom"/>
            <w:tcBorders>
              <w:bottom w:val="single" w:sz="8" w:color="auto"/>
            </w:tcBorders>
            <w:gridSpan w:val="2"/>
            <w:vMerge w:val="continue"/>
          </w:tcPr>
          <w:p>
            <w:pPr>
              <w:spacing w:after="0"/>
              <w:rPr>
                <w:sz w:val="13"/>
                <w:szCs w:val="13"/>
                <w:color w:val="auto"/>
              </w:rPr>
            </w:pPr>
          </w:p>
        </w:tc>
        <w:tc>
          <w:tcPr>
            <w:tcW w:w="600" w:type="dxa"/>
            <w:vAlign w:val="bottom"/>
            <w:tcBorders>
              <w:bottom w:val="single" w:sz="8" w:color="auto"/>
            </w:tcBorders>
          </w:tcPr>
          <w:p>
            <w:pPr>
              <w:jc w:val="right"/>
              <w:ind w:right="112"/>
              <w:spacing w:after="0" w:line="148" w:lineRule="exact"/>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3"/>
                <w:szCs w:val="13"/>
                <w:color w:val="auto"/>
              </w:rPr>
            </w:pPr>
          </w:p>
        </w:tc>
        <w:tc>
          <w:tcPr>
            <w:tcW w:w="600" w:type="dxa"/>
            <w:vAlign w:val="bottom"/>
            <w:tcBorders>
              <w:bottom w:val="single" w:sz="8" w:color="auto"/>
            </w:tcBorders>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540" w:type="dxa"/>
            <w:vAlign w:val="bottom"/>
            <w:tcBorders>
              <w:bottom w:val="single" w:sz="8" w:color="auto"/>
            </w:tcBorders>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6"/>
              </w:rPr>
              <w:t>(Years)</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2"/>
              </w:rPr>
              <w:t>Rate (%)</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3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Based RSUs ($)</w:t>
            </w:r>
          </w:p>
        </w:tc>
        <w:tc>
          <w:tcPr>
            <w:tcW w:w="0" w:type="dxa"/>
            <w:vAlign w:val="bottom"/>
          </w:tcPr>
          <w:p>
            <w:pPr>
              <w:spacing w:after="0"/>
              <w:rPr>
                <w:sz w:val="1"/>
                <w:szCs w:val="1"/>
                <w:color w:val="auto"/>
              </w:rPr>
            </w:pPr>
          </w:p>
        </w:tc>
      </w:tr>
      <w:tr>
        <w:trPr>
          <w:trHeight w:val="232"/>
        </w:trPr>
        <w:tc>
          <w:tcPr>
            <w:tcW w:w="3620" w:type="dxa"/>
            <w:vAlign w:val="bottom"/>
            <w:gridSpan w:val="2"/>
          </w:tcPr>
          <w:p>
            <w:pPr>
              <w:spacing w:after="0"/>
              <w:rPr>
                <w:sz w:val="20"/>
                <w:szCs w:val="20"/>
                <w:color w:val="auto"/>
              </w:rPr>
            </w:pPr>
            <w:r>
              <w:rPr>
                <w:rFonts w:ascii="Arial" w:cs="Arial" w:eastAsia="Arial" w:hAnsi="Arial"/>
                <w:sz w:val="14"/>
                <w:szCs w:val="14"/>
                <w:color w:val="auto"/>
              </w:rPr>
              <w:t>David A. Zinsner</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3/11/2015</w:t>
            </w:r>
          </w:p>
        </w:tc>
        <w:tc>
          <w:tcPr>
            <w:tcW w:w="1060" w:type="dxa"/>
            <w:vAlign w:val="bottom"/>
            <w:gridSpan w:val="3"/>
          </w:tcPr>
          <w:p>
            <w:pPr>
              <w:ind w:left="440"/>
              <w:spacing w:after="0"/>
              <w:rPr>
                <w:sz w:val="20"/>
                <w:szCs w:val="20"/>
                <w:color w:val="auto"/>
              </w:rPr>
            </w:pPr>
            <w:r>
              <w:rPr>
                <w:rFonts w:ascii="Arial" w:cs="Arial" w:eastAsia="Arial" w:hAnsi="Arial"/>
                <w:sz w:val="14"/>
                <w:szCs w:val="14"/>
                <w:color w:val="auto"/>
              </w:rPr>
              <w:t>12,525*</w:t>
            </w:r>
          </w:p>
        </w:tc>
        <w:tc>
          <w:tcPr>
            <w:tcW w:w="120" w:type="dxa"/>
            <w:vAlign w:val="bottom"/>
          </w:tcPr>
          <w:p>
            <w:pPr>
              <w:spacing w:after="0"/>
              <w:rPr>
                <w:sz w:val="20"/>
                <w:szCs w:val="20"/>
                <w:color w:val="auto"/>
              </w:rPr>
            </w:pPr>
          </w:p>
        </w:tc>
        <w:tc>
          <w:tcPr>
            <w:tcW w:w="480" w:type="dxa"/>
            <w:vAlign w:val="bottom"/>
          </w:tcPr>
          <w:p>
            <w:pPr>
              <w:jc w:val="center"/>
              <w:ind w:left="152"/>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0"/>
                <w:szCs w:val="20"/>
                <w:color w:val="auto"/>
              </w:rPr>
            </w:pPr>
          </w:p>
        </w:tc>
        <w:tc>
          <w:tcPr>
            <w:tcW w:w="540" w:type="dxa"/>
            <w:vAlign w:val="bottom"/>
          </w:tcPr>
          <w:p>
            <w:pPr>
              <w:jc w:val="center"/>
              <w:ind w:left="172"/>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2.79</w:t>
            </w:r>
          </w:p>
        </w:tc>
        <w:tc>
          <w:tcPr>
            <w:tcW w:w="580" w:type="dxa"/>
            <w:vAlign w:val="bottom"/>
            <w:gridSpan w:val="2"/>
          </w:tcPr>
          <w:p>
            <w:pPr>
              <w:ind w:left="280"/>
              <w:spacing w:after="0"/>
              <w:rPr>
                <w:sz w:val="20"/>
                <w:szCs w:val="20"/>
                <w:color w:val="auto"/>
              </w:rPr>
            </w:pPr>
            <w:r>
              <w:rPr>
                <w:rFonts w:ascii="Arial" w:cs="Arial" w:eastAsia="Arial" w:hAnsi="Arial"/>
                <w:sz w:val="14"/>
                <w:szCs w:val="14"/>
                <w:color w:val="auto"/>
                <w:w w:val="79"/>
              </w:rPr>
              <w:t>52.57</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3/11/2015</w:t>
            </w:r>
          </w:p>
        </w:tc>
        <w:tc>
          <w:tcPr>
            <w:tcW w:w="10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12,525**</w:t>
            </w:r>
          </w:p>
        </w:tc>
        <w:tc>
          <w:tcPr>
            <w:tcW w:w="120" w:type="dxa"/>
            <w:vAlign w:val="bottom"/>
          </w:tcPr>
          <w:p>
            <w:pPr>
              <w:spacing w:after="0"/>
              <w:rPr>
                <w:sz w:val="12"/>
                <w:szCs w:val="12"/>
                <w:color w:val="auto"/>
              </w:rPr>
            </w:pPr>
          </w:p>
        </w:tc>
        <w:tc>
          <w:tcPr>
            <w:tcW w:w="4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5"/>
              </w:rPr>
              <w:t>19.97</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w:t>
            </w: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9"/>
              </w:rPr>
              <w:t>56.18</w:t>
            </w: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1,407,309</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3/11/2015</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83"/>
              </w:rPr>
              <w:t>64,970</w:t>
            </w:r>
          </w:p>
        </w:tc>
        <w:tc>
          <w:tcPr>
            <w:tcW w:w="240" w:type="dxa"/>
            <w:vAlign w:val="bottom"/>
          </w:tcPr>
          <w:p>
            <w:pPr>
              <w:spacing w:after="0"/>
              <w:rPr>
                <w:sz w:val="12"/>
                <w:szCs w:val="12"/>
                <w:color w:val="auto"/>
              </w:rPr>
            </w:pPr>
          </w:p>
        </w:tc>
        <w:tc>
          <w:tcPr>
            <w:tcW w:w="6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57.29</w:t>
            </w:r>
          </w:p>
        </w:tc>
        <w:tc>
          <w:tcPr>
            <w:tcW w:w="7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5"/>
              </w:rPr>
              <w:t>25.87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w:t>
            </w: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9"/>
              </w:rPr>
              <w:t>10.44</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3/9/2016</w:t>
            </w:r>
          </w:p>
        </w:tc>
        <w:tc>
          <w:tcPr>
            <w:tcW w:w="10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13,119*</w:t>
            </w:r>
          </w:p>
        </w:tc>
        <w:tc>
          <w:tcPr>
            <w:tcW w:w="120" w:type="dxa"/>
            <w:vAlign w:val="bottom"/>
          </w:tcPr>
          <w:p>
            <w:pPr>
              <w:spacing w:after="0"/>
              <w:rPr>
                <w:sz w:val="12"/>
                <w:szCs w:val="12"/>
                <w:color w:val="auto"/>
              </w:rPr>
            </w:pPr>
          </w:p>
        </w:tc>
        <w:tc>
          <w:tcPr>
            <w:tcW w:w="4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w:t>
            </w: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9"/>
              </w:rPr>
              <w:t>49.98</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3/9/2016</w:t>
            </w:r>
          </w:p>
        </w:tc>
        <w:tc>
          <w:tcPr>
            <w:tcW w:w="10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13,119**</w:t>
            </w:r>
          </w:p>
        </w:tc>
        <w:tc>
          <w:tcPr>
            <w:tcW w:w="120" w:type="dxa"/>
            <w:vAlign w:val="bottom"/>
          </w:tcPr>
          <w:p>
            <w:pPr>
              <w:spacing w:after="0"/>
              <w:rPr>
                <w:sz w:val="12"/>
                <w:szCs w:val="12"/>
                <w:color w:val="auto"/>
              </w:rPr>
            </w:pPr>
          </w:p>
        </w:tc>
        <w:tc>
          <w:tcPr>
            <w:tcW w:w="48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5"/>
              </w:rPr>
              <w:t>25.11</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w:t>
            </w: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9"/>
              </w:rPr>
              <w:t>58.95</w:t>
            </w:r>
          </w:p>
        </w:tc>
        <w:tc>
          <w:tcPr>
            <w:tcW w:w="2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1,546,730</w:t>
            </w: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3/9/2016</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w w:val="83"/>
              </w:rPr>
              <w:t>50,922</w:t>
            </w:r>
          </w:p>
        </w:tc>
        <w:tc>
          <w:tcPr>
            <w:tcW w:w="240" w:type="dxa"/>
            <w:vAlign w:val="bottom"/>
          </w:tcPr>
          <w:p>
            <w:pPr>
              <w:spacing w:after="0"/>
              <w:rPr>
                <w:sz w:val="14"/>
                <w:szCs w:val="14"/>
                <w:color w:val="auto"/>
              </w:rPr>
            </w:pPr>
          </w:p>
        </w:tc>
        <w:tc>
          <w:tcPr>
            <w:tcW w:w="600" w:type="dxa"/>
            <w:vAlign w:val="bottom"/>
            <w:gridSpan w:val="2"/>
          </w:tcPr>
          <w:p>
            <w:pPr>
              <w:jc w:val="center"/>
              <w:ind w:left="232"/>
              <w:spacing w:after="0"/>
              <w:rPr>
                <w:sz w:val="20"/>
                <w:szCs w:val="20"/>
                <w:color w:val="auto"/>
              </w:rPr>
            </w:pPr>
            <w:r>
              <w:rPr>
                <w:rFonts w:ascii="Arial" w:cs="Arial" w:eastAsia="Arial" w:hAnsi="Arial"/>
                <w:sz w:val="14"/>
                <w:szCs w:val="14"/>
                <w:color w:val="auto"/>
                <w:w w:val="85"/>
              </w:rPr>
              <w:t>54.93</w:t>
            </w:r>
          </w:p>
        </w:tc>
        <w:tc>
          <w:tcPr>
            <w:tcW w:w="780" w:type="dxa"/>
            <w:vAlign w:val="bottom"/>
            <w:gridSpan w:val="2"/>
          </w:tcPr>
          <w:p>
            <w:pPr>
              <w:jc w:val="center"/>
              <w:ind w:left="372"/>
              <w:spacing w:after="0"/>
              <w:rPr>
                <w:sz w:val="20"/>
                <w:szCs w:val="20"/>
                <w:color w:val="auto"/>
              </w:rPr>
            </w:pPr>
            <w:r>
              <w:rPr>
                <w:rFonts w:ascii="Arial" w:cs="Arial" w:eastAsia="Arial" w:hAnsi="Arial"/>
                <w:sz w:val="14"/>
                <w:szCs w:val="14"/>
                <w:color w:val="auto"/>
                <w:w w:val="85"/>
              </w:rPr>
              <w:t>34.36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1.41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3.06</w:t>
            </w:r>
          </w:p>
        </w:tc>
        <w:tc>
          <w:tcPr>
            <w:tcW w:w="580" w:type="dxa"/>
            <w:vAlign w:val="bottom"/>
            <w:gridSpan w:val="2"/>
          </w:tcPr>
          <w:p>
            <w:pPr>
              <w:ind w:left="280"/>
              <w:spacing w:after="0"/>
              <w:rPr>
                <w:sz w:val="20"/>
                <w:szCs w:val="20"/>
                <w:color w:val="auto"/>
              </w:rPr>
            </w:pPr>
            <w:r>
              <w:rPr>
                <w:rFonts w:ascii="Arial" w:cs="Arial" w:eastAsia="Arial" w:hAnsi="Arial"/>
                <w:sz w:val="14"/>
                <w:szCs w:val="14"/>
                <w:color w:val="auto"/>
                <w:w w:val="79"/>
              </w:rPr>
              <w:t>12.83</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4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7" w:lineRule="exact"/>
        <w:rPr>
          <w:sz w:val="20"/>
          <w:szCs w:val="20"/>
          <w:color w:val="auto"/>
        </w:rPr>
      </w:pPr>
    </w:p>
    <w:p>
      <w:pPr>
        <w:ind w:left="640" w:right="20"/>
        <w:spacing w:after="0" w:line="286" w:lineRule="auto"/>
        <w:rPr>
          <w:sz w:val="20"/>
          <w:szCs w:val="20"/>
          <w:color w:val="auto"/>
        </w:rPr>
      </w:pPr>
      <w:r>
        <w:rPr>
          <w:rFonts w:ascii="Arial" w:cs="Arial" w:eastAsia="Arial" w:hAnsi="Arial"/>
          <w:sz w:val="16"/>
          <w:szCs w:val="16"/>
          <w:color w:val="auto"/>
        </w:rPr>
        <w:t>Entries above with single asterisks (*) are time-based RSUs, entries with double asterisks (**) are performance-based RSUs, entries with triple asterisks (***) are Linear Integration PRSUs and entries without asterisks are stock options. The grant date fair value of time-based RSUs represents the value of our common stock on the date of grant, reduced by the present value of dividends expected to be paid on our common stock prior to vesting. The grant date fair value of the 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Linear Integration PRSUs represents the value of our common stock as of October 28, 2017, reduced by the present value of dividends expected to be paid on our common stock prior to vesting based upon the then-probable outcome of the performance conditions. The grant date fair value of stock options is computed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October 28, 2017.</w:t>
      </w:r>
    </w:p>
    <w:p>
      <w:pPr>
        <w:spacing w:after="0" w:line="40" w:lineRule="exact"/>
        <w:rPr>
          <w:sz w:val="20"/>
          <w:szCs w:val="20"/>
          <w:color w:val="auto"/>
        </w:rPr>
      </w:pPr>
    </w:p>
    <w:p>
      <w:pPr>
        <w:ind w:left="640" w:right="40" w:hanging="436"/>
        <w:spacing w:after="0" w:line="294"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amounts earned under our executive performance incentive plan in fiscal 2017, 2016 and 2015. For Mr. Pietkiewicz, reflects the amounts earned in fiscal 2017 after the closing of the Company’s acquisition of Linear Technology under the legacy Linear Technology profit sharing program and Linear Technology Corporation Executive Bonus Plan. See “Compensation Discussion and Analysis” above for a discussion of how these amounts were determined. Mr. Real’s amounts are denominated in euros. We calculate the U.S. dollars equivalent by using the monthly average exchange rate of the two quarters in which the bonus is earned.</w:t>
      </w:r>
    </w:p>
    <w:p>
      <w:pPr>
        <w:spacing w:after="0" w:line="34" w:lineRule="exact"/>
        <w:rPr>
          <w:rFonts w:ascii="Arial" w:cs="Arial" w:eastAsia="Arial" w:hAnsi="Arial"/>
          <w:sz w:val="16"/>
          <w:szCs w:val="16"/>
          <w:color w:val="auto"/>
        </w:rPr>
      </w:pPr>
    </w:p>
    <w:p>
      <w:pPr>
        <w:ind w:left="640" w:right="20" w:hanging="436"/>
        <w:spacing w:after="0" w:line="289"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October 2015, the Company converted the benefits provided to active and deferred participants under the Company’s Irish defined benefits pension plan, or DB Plan, to benefits provided under the Company’s Irish defined contribution plan, or Irish DC Plan and terminated the DB Plan. These amounts include lump sum contributions from Analog Devices into individual accounts in the Irish DC Plan in fiscal 2015 for Messrs. Roche and Real in the amount of $61,266 and $1,339,723, respectively. These contributions were made in connection with the conversion of the benefits provided to active and deferred participants under the DB Plan to benefits provided under the Irish DC Plan. The actuarial calculations used to calculate the conversion payments for our participating executive officers were identical to the calculations used for all other active and deferred members. The contributions were made in euros. We calculated the U.S. dollar equivalent by using the average yearly exchange rate, or 0.8801 euro per U.S. dollar for fiscal 2015.</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addition to amounts detailed above in footnote 5, the amounts shown in the “All Other Compensation” column are comprised of the following:</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3"/>
          </w:tcPr>
          <w:p>
            <w:pPr>
              <w:ind w:left="240"/>
              <w:spacing w:after="0"/>
              <w:rPr>
                <w:sz w:val="20"/>
                <w:szCs w:val="20"/>
                <w:color w:val="auto"/>
              </w:rPr>
            </w:pPr>
            <w:r>
              <w:rPr>
                <w:rFonts w:ascii="Arial" w:cs="Arial" w:eastAsia="Arial" w:hAnsi="Arial"/>
                <w:sz w:val="14"/>
                <w:szCs w:val="14"/>
                <w:b w:val="1"/>
                <w:bCs w:val="1"/>
                <w:color w:val="auto"/>
                <w:w w:val="84"/>
              </w:rPr>
              <w:t>Company</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401(k),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DCP and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Irish DC</w:t>
            </w:r>
          </w:p>
        </w:tc>
        <w:tc>
          <w:tcPr>
            <w:tcW w:w="82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4"/>
              </w:rPr>
              <w:t>Employee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Company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Plan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Service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9"/>
              </w:rPr>
              <w:t>Cash</w:t>
            </w:r>
          </w:p>
        </w:tc>
        <w:tc>
          <w:tcPr>
            <w:tcW w:w="80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2"/>
              </w:rPr>
              <w:t>Executive</w:t>
            </w:r>
          </w:p>
        </w:tc>
        <w:tc>
          <w:tcPr>
            <w:tcW w:w="88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6"/>
              </w:rPr>
              <w:t>Healthcare</w:t>
            </w:r>
          </w:p>
        </w:tc>
        <w:tc>
          <w:tcPr>
            <w:tcW w:w="8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6"/>
              </w:rPr>
              <w:t>Relocation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Owned</w:t>
            </w:r>
          </w:p>
        </w:tc>
        <w:tc>
          <w:tcPr>
            <w:tcW w:w="8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5"/>
              </w:rPr>
              <w:t>Separation</w:t>
            </w:r>
          </w:p>
        </w:tc>
        <w:tc>
          <w:tcPr>
            <w:tcW w:w="76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5"/>
              </w:rPr>
              <w:t>Vacation</w:t>
            </w:r>
          </w:p>
        </w:tc>
        <w:tc>
          <w:tcPr>
            <w:tcW w:w="84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9"/>
        </w:trPr>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Fiscal</w:t>
            </w:r>
          </w:p>
        </w:tc>
        <w:tc>
          <w:tcPr>
            <w:tcW w:w="80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1"/>
              </w:rPr>
              <w:t>Payments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Award</w:t>
            </w:r>
          </w:p>
        </w:tc>
        <w:tc>
          <w:tcPr>
            <w:tcW w:w="22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Award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Health</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6"/>
              </w:rPr>
              <w:t>Savings</w:t>
            </w:r>
          </w:p>
        </w:tc>
        <w:tc>
          <w:tcPr>
            <w:tcW w:w="24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5"/>
              </w:rPr>
              <w:t>Expenses</w:t>
            </w:r>
          </w:p>
        </w:tc>
        <w:tc>
          <w:tcPr>
            <w:tcW w:w="9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84"/>
              </w:rPr>
              <w:t>Automobiles</w:t>
            </w:r>
          </w:p>
        </w:tc>
        <w:tc>
          <w:tcPr>
            <w:tcW w:w="220" w:type="dxa"/>
            <w:vAlign w:val="bottom"/>
          </w:tcPr>
          <w:p>
            <w:pPr>
              <w:spacing w:after="0"/>
              <w:rPr>
                <w:sz w:val="12"/>
                <w:szCs w:val="12"/>
                <w:color w:val="auto"/>
              </w:rPr>
            </w:pPr>
          </w:p>
        </w:tc>
        <w:tc>
          <w:tcPr>
            <w:tcW w:w="6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2"/>
              </w:rPr>
              <w:t>Payment</w:t>
            </w:r>
          </w:p>
        </w:tc>
        <w:tc>
          <w:tcPr>
            <w:tcW w:w="240" w:type="dxa"/>
            <w:vAlign w:val="bottom"/>
          </w:tcPr>
          <w:p>
            <w:pPr>
              <w:spacing w:after="0"/>
              <w:rPr>
                <w:sz w:val="12"/>
                <w:szCs w:val="12"/>
                <w:color w:val="auto"/>
              </w:rPr>
            </w:pP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Payout</w:t>
            </w:r>
          </w:p>
        </w:tc>
        <w:tc>
          <w:tcPr>
            <w:tcW w:w="24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on RSAs</w:t>
            </w:r>
          </w:p>
        </w:tc>
        <w:tc>
          <w:tcPr>
            <w:tcW w:w="0" w:type="dxa"/>
            <w:vAlign w:val="bottom"/>
          </w:tcPr>
          <w:p>
            <w:pPr>
              <w:spacing w:after="0"/>
              <w:rPr>
                <w:sz w:val="1"/>
                <w:szCs w:val="1"/>
                <w:color w:val="auto"/>
              </w:rPr>
            </w:pPr>
          </w:p>
        </w:tc>
      </w:tr>
      <w:tr>
        <w:trPr>
          <w:trHeight w:val="155"/>
        </w:trPr>
        <w:tc>
          <w:tcPr>
            <w:tcW w:w="13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(c)</w:t>
            </w:r>
          </w:p>
        </w:tc>
        <w:tc>
          <w:tcPr>
            <w:tcW w:w="240" w:type="dxa"/>
            <w:vAlign w:val="bottom"/>
          </w:tcPr>
          <w:p>
            <w:pPr>
              <w:spacing w:after="0"/>
              <w:rPr>
                <w:sz w:val="13"/>
                <w:szCs w:val="13"/>
                <w:color w:val="auto"/>
              </w:rPr>
            </w:pPr>
          </w:p>
        </w:tc>
        <w:tc>
          <w:tcPr>
            <w:tcW w:w="5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4"/>
              </w:rPr>
              <w:t>Physical</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6"/>
              </w:rPr>
              <w:t>Account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93"/>
              </w:rPr>
              <w:t>(e)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Roche</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70,240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66,215</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62,815</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1380" w:type="dxa"/>
            <w:vAlign w:val="bottom"/>
            <w:gridSpan w:val="3"/>
          </w:tcPr>
          <w:p>
            <w:pPr>
              <w:spacing w:after="0"/>
              <w:rPr>
                <w:sz w:val="20"/>
                <w:szCs w:val="20"/>
                <w:color w:val="auto"/>
              </w:rPr>
            </w:pPr>
            <w:r>
              <w:rPr>
                <w:rFonts w:ascii="Arial" w:cs="Arial" w:eastAsia="Arial" w:hAnsi="Arial"/>
                <w:sz w:val="14"/>
                <w:szCs w:val="14"/>
                <w:color w:val="auto"/>
              </w:rPr>
              <w:t>Prashanth Mahendra-</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color w:val="auto"/>
              </w:rPr>
              <w:t>Rajah</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2,433</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center"/>
              <w:ind w:left="152"/>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center"/>
              <w:ind w:left="232"/>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80" w:type="dxa"/>
            <w:vAlign w:val="bottom"/>
          </w:tcPr>
          <w:p>
            <w:pPr>
              <w:ind w:left="100"/>
              <w:spacing w:after="0"/>
              <w:rPr>
                <w:sz w:val="20"/>
                <w:szCs w:val="20"/>
                <w:color w:val="auto"/>
              </w:rPr>
            </w:pPr>
            <w:r>
              <w:rPr>
                <w:rFonts w:ascii="Arial" w:cs="Arial" w:eastAsia="Arial" w:hAnsi="Arial"/>
                <w:sz w:val="14"/>
                <w:szCs w:val="14"/>
                <w:color w:val="auto"/>
                <w:w w:val="83"/>
              </w:rPr>
              <w:t>63,462</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Hassett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33,846</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740</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4,162</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380" w:type="dxa"/>
            <w:vAlign w:val="bottom"/>
            <w:gridSpan w:val="3"/>
          </w:tcPr>
          <w:p>
            <w:pPr>
              <w:spacing w:after="0"/>
              <w:rPr>
                <w:sz w:val="20"/>
                <w:szCs w:val="20"/>
                <w:color w:val="auto"/>
              </w:rPr>
            </w:pPr>
            <w:r>
              <w:rPr>
                <w:rFonts w:ascii="Arial" w:cs="Arial" w:eastAsia="Arial" w:hAnsi="Arial"/>
                <w:sz w:val="14"/>
                <w:szCs w:val="14"/>
                <w:color w:val="auto"/>
              </w:rPr>
              <w:t>Steve Pietkiewicz</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9,508</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center"/>
              <w:ind w:left="152"/>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center"/>
              <w:ind w:left="232"/>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40" w:type="dxa"/>
            <w:vAlign w:val="bottom"/>
          </w:tcPr>
          <w:p>
            <w:pPr>
              <w:ind w:left="60"/>
              <w:spacing w:after="0"/>
              <w:rPr>
                <w:sz w:val="20"/>
                <w:szCs w:val="20"/>
                <w:color w:val="auto"/>
              </w:rPr>
            </w:pPr>
            <w:r>
              <w:rPr>
                <w:rFonts w:ascii="Arial" w:cs="Arial" w:eastAsia="Arial" w:hAnsi="Arial"/>
                <w:sz w:val="14"/>
                <w:szCs w:val="14"/>
                <w:color w:val="auto"/>
                <w:w w:val="83"/>
              </w:rPr>
              <w:t>31,502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53,964</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3"/>
              </w:rPr>
              <w:t>44,260</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39,177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3"/>
              </w:rPr>
              <w:t>41,957</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3"/>
              </w:rPr>
              <w:t>36,545</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1380" w:type="dxa"/>
            <w:vAlign w:val="bottom"/>
            <w:gridSpan w:val="3"/>
          </w:tcPr>
          <w:p>
            <w:pPr>
              <w:spacing w:after="0"/>
              <w:rPr>
                <w:sz w:val="20"/>
                <w:szCs w:val="20"/>
                <w:color w:val="auto"/>
              </w:rPr>
            </w:pPr>
            <w:r>
              <w:rPr>
                <w:rFonts w:ascii="Arial" w:cs="Arial" w:eastAsia="Arial" w:hAnsi="Arial"/>
                <w:sz w:val="14"/>
                <w:szCs w:val="14"/>
                <w:color w:val="auto"/>
              </w:rPr>
              <w:t>Rick D. Hess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37,708</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4,209</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center"/>
              <w:ind w:left="212"/>
              <w:spacing w:after="0"/>
              <w:rPr>
                <w:sz w:val="20"/>
                <w:szCs w:val="20"/>
                <w:color w:val="auto"/>
              </w:rPr>
            </w:pPr>
            <w:r>
              <w:rPr>
                <w:rFonts w:ascii="Arial" w:cs="Arial" w:eastAsia="Arial" w:hAnsi="Arial"/>
                <w:sz w:val="14"/>
                <w:szCs w:val="14"/>
                <w:color w:val="auto"/>
                <w:w w:val="85"/>
              </w:rPr>
              <w:t>1,200</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41,538</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5"/>
              </w:rPr>
              <w:t>4,137</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37,692</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1,847</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center"/>
              <w:ind w:left="212"/>
              <w:spacing w:after="0"/>
              <w:rPr>
                <w:sz w:val="20"/>
                <w:szCs w:val="20"/>
                <w:color w:val="auto"/>
              </w:rPr>
            </w:pPr>
            <w:r>
              <w:rPr>
                <w:rFonts w:ascii="Arial" w:cs="Arial" w:eastAsia="Arial" w:hAnsi="Arial"/>
                <w:sz w:val="14"/>
                <w:szCs w:val="14"/>
                <w:color w:val="auto"/>
                <w:w w:val="85"/>
              </w:rPr>
              <w:t>1,200</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Eileen Wynne</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24,031</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9"/>
              </w:rPr>
              <w:t>14,804</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138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10,700</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center"/>
              <w:ind w:left="152"/>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center"/>
              <w:ind w:left="212"/>
              <w:spacing w:after="0"/>
              <w:rPr>
                <w:sz w:val="20"/>
                <w:szCs w:val="20"/>
                <w:color w:val="auto"/>
              </w:rPr>
            </w:pPr>
            <w:r>
              <w:rPr>
                <w:rFonts w:ascii="Arial" w:cs="Arial" w:eastAsia="Arial" w:hAnsi="Arial"/>
                <w:sz w:val="14"/>
                <w:szCs w:val="14"/>
                <w:color w:val="auto"/>
                <w:w w:val="85"/>
              </w:rPr>
              <w:t>1,200</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598,994</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ind w:left="40"/>
              <w:spacing w:after="0"/>
              <w:rPr>
                <w:sz w:val="20"/>
                <w:szCs w:val="20"/>
                <w:color w:val="auto"/>
              </w:rPr>
            </w:pPr>
            <w:r>
              <w:rPr>
                <w:rFonts w:ascii="Arial" w:cs="Arial" w:eastAsia="Arial" w:hAnsi="Arial"/>
                <w:sz w:val="14"/>
                <w:szCs w:val="14"/>
                <w:color w:val="auto"/>
                <w:w w:val="83"/>
              </w:rPr>
              <w:t>37,982</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42,123</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5"/>
              </w:rPr>
              <w:t>1,950</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85"/>
              </w:rPr>
              <w:t>1,200</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40,354</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2,400</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center"/>
              <w:ind w:left="212"/>
              <w:spacing w:after="0"/>
              <w:rPr>
                <w:sz w:val="20"/>
                <w:szCs w:val="20"/>
                <w:color w:val="auto"/>
              </w:rPr>
            </w:pPr>
            <w:r>
              <w:rPr>
                <w:rFonts w:ascii="Arial" w:cs="Arial" w:eastAsia="Arial" w:hAnsi="Arial"/>
                <w:sz w:val="14"/>
                <w:szCs w:val="14"/>
                <w:color w:val="auto"/>
                <w:w w:val="85"/>
              </w:rPr>
              <w:t>1,200</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4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7" w:lineRule="exact"/>
        <w:rPr>
          <w:sz w:val="20"/>
          <w:szCs w:val="20"/>
          <w:color w:val="auto"/>
        </w:rPr>
      </w:pPr>
    </w:p>
    <w:p>
      <w:pPr>
        <w:ind w:left="1060" w:hanging="424"/>
        <w:spacing w:after="0" w:line="255"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paid to Messrs. Roche, Mahendra-Rajah, Hassett, Pietkiewicz, Hess and Zinsner and Ms. Wynne consist of the Company contribution into 401(k) and DCP accounts up to the permissible IRS limit and the taxable Company contribution in excess of IRS limits described under “Retirement and Other Employee Benefits” above. The amount for Mr. Real consists of the Company’s contribution into the Irish DC Plan and the taxable payment in lieu of its contribution into the Irish DC Plan, as described more fully under “— Retirement and Other Employee Benefits” above.</w:t>
      </w:r>
    </w:p>
    <w:p>
      <w:pPr>
        <w:spacing w:after="0" w:line="61"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Paid in connection with our Employee Service Award Program.</w:t>
      </w:r>
    </w:p>
    <w:p>
      <w:pPr>
        <w:spacing w:after="0" w:line="9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award paid in connection with the acquisition of Linear Technology.</w:t>
      </w:r>
    </w:p>
    <w:p>
      <w:pPr>
        <w:spacing w:after="0" w:line="9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paid to Mr. Mahendra-Rajah in connection with his relocation from Belgium to the United States.</w:t>
      </w:r>
    </w:p>
    <w:p>
      <w:pPr>
        <w:spacing w:after="0" w:line="9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relate to repairs, gas, tax, insurance, and certain commuting expenses related to Mr. Real’s use of a Company-owned automobile.</w:t>
      </w:r>
    </w:p>
    <w:p>
      <w:pPr>
        <w:spacing w:after="0" w:line="113" w:lineRule="exact"/>
        <w:rPr>
          <w:rFonts w:ascii="Arial" w:cs="Arial" w:eastAsia="Arial" w:hAnsi="Arial"/>
          <w:sz w:val="16"/>
          <w:szCs w:val="16"/>
          <w:color w:val="auto"/>
        </w:rPr>
      </w:pPr>
    </w:p>
    <w:p>
      <w:pPr>
        <w:ind w:left="1060" w:right="220" w:hanging="424"/>
        <w:spacing w:after="0" w:line="298"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connection with Mr. Zinsner’s separation from the Company and in recognition of his service and contributions to the Company, effective April 18, 2017, we entered into a separation agreement with Mr. Zinsner pursuant to which, in exchange for a one-year non-competition and non-solicitation agreement, Mr. Zinsner received a payment in the amount of $598,994, which represents the payment that he would have received under the Company’s 2017 Executive Performance Incentive Plan for the first half of fiscal 2017 absent his departure.</w:t>
      </w:r>
    </w:p>
    <w:p>
      <w:pPr>
        <w:spacing w:after="0" w:line="31" w:lineRule="exact"/>
        <w:rPr>
          <w:rFonts w:ascii="Arial" w:cs="Arial" w:eastAsia="Arial" w:hAnsi="Arial"/>
          <w:sz w:val="16"/>
          <w:szCs w:val="16"/>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Paid in connection with Mr. Zinsner’s termination of employment in April 2017.</w:t>
      </w:r>
    </w:p>
    <w:p>
      <w:pPr>
        <w:spacing w:after="0" w:line="9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dividends paid on unvested restricted stock awards assumed as part of the Company’s acquisition of Linear Technology.</w:t>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436"/>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Zinsner resigned from the Company, effective April 1, 2017, to pursue a new role as president of a venture-backed technology company.</w:t>
      </w:r>
    </w:p>
    <w:p>
      <w:pPr>
        <w:spacing w:after="0" w:line="38" w:lineRule="exact"/>
        <w:rPr>
          <w:rFonts w:ascii="Arial" w:cs="Arial" w:eastAsia="Arial" w:hAnsi="Arial"/>
          <w:sz w:val="16"/>
          <w:szCs w:val="16"/>
          <w:color w:val="auto"/>
        </w:rPr>
      </w:pPr>
    </w:p>
    <w:p>
      <w:pPr>
        <w:ind w:left="640" w:right="120"/>
        <w:spacing w:after="0" w:line="281" w:lineRule="auto"/>
        <w:rPr>
          <w:rFonts w:ascii="Arial" w:cs="Arial" w:eastAsia="Arial" w:hAnsi="Arial"/>
          <w:sz w:val="16"/>
          <w:szCs w:val="16"/>
          <w:color w:val="auto"/>
        </w:rPr>
      </w:pPr>
      <w:r>
        <w:rPr>
          <w:rFonts w:ascii="Arial" w:cs="Arial" w:eastAsia="Arial" w:hAnsi="Arial"/>
          <w:sz w:val="16"/>
          <w:szCs w:val="16"/>
          <w:color w:val="auto"/>
        </w:rPr>
        <w:t>Ms. Wynne, our Vice President and Chief Accounting Officer, served as Interim Chief Financial Officer from March 18, 2017 through September 27, 2017. Mr. Mahendra-Rajah joined the Company as Senior Vice President, Finance and Chief Financial Officer, effective September 28, 2017.</w:t>
      </w:r>
    </w:p>
    <w:p>
      <w:pPr>
        <w:spacing w:after="0" w:line="1" w:lineRule="exact"/>
        <w:rPr>
          <w:rFonts w:ascii="Arial" w:cs="Arial" w:eastAsia="Arial" w:hAnsi="Arial"/>
          <w:sz w:val="16"/>
          <w:szCs w:val="16"/>
          <w:color w:val="auto"/>
        </w:rPr>
      </w:pPr>
    </w:p>
    <w:p>
      <w:pPr>
        <w:ind w:left="640" w:right="80"/>
        <w:spacing w:after="0" w:line="261" w:lineRule="auto"/>
        <w:rPr>
          <w:rFonts w:ascii="Arial" w:cs="Arial" w:eastAsia="Arial" w:hAnsi="Arial"/>
          <w:sz w:val="16"/>
          <w:szCs w:val="16"/>
          <w:color w:val="auto"/>
        </w:rPr>
      </w:pPr>
      <w:r>
        <w:rPr>
          <w:rFonts w:ascii="Arial" w:cs="Arial" w:eastAsia="Arial" w:hAnsi="Arial"/>
          <w:sz w:val="18"/>
          <w:szCs w:val="18"/>
          <w:color w:val="auto"/>
        </w:rPr>
        <w:t>Mr. Pietkiewicz was promoted to Senior Vice President, Power Products, effective June 15, 2017. Mr. Hess ceased serving as an executive officer and transitioned to non-executive Strategic Advisor to the Chief Executive Officer, effective June 15, 2017.</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Grants of Plan-Based Awards in Fiscal 2017</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on plan-based awards in fiscal 2017 to our NEOs: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Estimated Future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80" w:type="dxa"/>
            <w:vAlign w:val="bottom"/>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7"/>
                <w:szCs w:val="7"/>
                <w:color w:val="auto"/>
              </w:rPr>
            </w:pPr>
          </w:p>
        </w:tc>
        <w:tc>
          <w:tcPr>
            <w:tcW w:w="5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7"/>
                <w:szCs w:val="7"/>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14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Estimated Possible</w:t>
            </w:r>
          </w:p>
        </w:tc>
        <w:tc>
          <w:tcPr>
            <w:tcW w:w="180" w:type="dxa"/>
            <w:vAlign w:val="bottom"/>
          </w:tcPr>
          <w:p>
            <w:pPr>
              <w:spacing w:after="0"/>
              <w:rPr>
                <w:sz w:val="5"/>
                <w:szCs w:val="5"/>
                <w:color w:val="auto"/>
              </w:rPr>
            </w:pPr>
          </w:p>
        </w:tc>
        <w:tc>
          <w:tcPr>
            <w:tcW w:w="19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020" w:type="dxa"/>
            <w:vAlign w:val="bottom"/>
            <w:gridSpan w:val="2"/>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1100" w:type="dxa"/>
            <w:vAlign w:val="bottom"/>
            <w:gridSpan w:val="2"/>
            <w:vMerge w:val="restart"/>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80" w:type="dxa"/>
            <w:vAlign w:val="bottom"/>
          </w:tcPr>
          <w:p>
            <w:pPr>
              <w:spacing w:after="0"/>
              <w:rPr>
                <w:sz w:val="7"/>
                <w:szCs w:val="7"/>
                <w:color w:val="auto"/>
              </w:rPr>
            </w:pPr>
          </w:p>
        </w:tc>
        <w:tc>
          <w:tcPr>
            <w:tcW w:w="5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9"/>
              </w:rPr>
              <w:t>Price of</w:t>
            </w:r>
          </w:p>
        </w:tc>
        <w:tc>
          <w:tcPr>
            <w:tcW w:w="160" w:type="dxa"/>
            <w:vAlign w:val="bottom"/>
          </w:tcPr>
          <w:p>
            <w:pPr>
              <w:spacing w:after="0"/>
              <w:rPr>
                <w:sz w:val="7"/>
                <w:szCs w:val="7"/>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14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Payouts Under Non-Equity</w:t>
            </w:r>
          </w:p>
        </w:tc>
        <w:tc>
          <w:tcPr>
            <w:tcW w:w="180" w:type="dxa"/>
            <w:vAlign w:val="bottom"/>
          </w:tcPr>
          <w:p>
            <w:pPr>
              <w:spacing w:after="0"/>
              <w:rPr>
                <w:sz w:val="5"/>
                <w:szCs w:val="5"/>
                <w:color w:val="auto"/>
              </w:rPr>
            </w:pPr>
          </w:p>
        </w:tc>
        <w:tc>
          <w:tcPr>
            <w:tcW w:w="19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02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7"/>
                <w:szCs w:val="7"/>
                <w:color w:val="auto"/>
              </w:rPr>
            </w:pPr>
          </w:p>
        </w:tc>
        <w:tc>
          <w:tcPr>
            <w:tcW w:w="540" w:type="dxa"/>
            <w:vAlign w:val="bottom"/>
            <w:vMerge w:val="restart"/>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Awards(1)</w:t>
            </w:r>
          </w:p>
        </w:tc>
        <w:tc>
          <w:tcPr>
            <w:tcW w:w="180" w:type="dxa"/>
            <w:vAlign w:val="bottom"/>
          </w:tcPr>
          <w:p>
            <w:pPr>
              <w:spacing w:after="0"/>
              <w:rPr>
                <w:sz w:val="5"/>
                <w:szCs w:val="5"/>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Plan Awards(2)</w:t>
            </w: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40" w:type="dxa"/>
            <w:vAlign w:val="bottom"/>
            <w:tcBorders>
              <w:bottom w:val="single" w:sz="8" w:color="auto"/>
            </w:tcBorders>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960" w:type="dxa"/>
            <w:vAlign w:val="bottom"/>
            <w:tcBorders>
              <w:bottom w:val="single" w:sz="8" w:color="auto"/>
            </w:tcBorders>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180" w:type="dxa"/>
            <w:vAlign w:val="bottom"/>
          </w:tcPr>
          <w:p>
            <w:pPr>
              <w:spacing w:after="0"/>
              <w:rPr>
                <w:sz w:val="8"/>
                <w:szCs w:val="8"/>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80" w:type="dxa"/>
            <w:vAlign w:val="bottom"/>
          </w:tcPr>
          <w:p>
            <w:pPr>
              <w:spacing w:after="0"/>
              <w:rPr>
                <w:sz w:val="8"/>
                <w:szCs w:val="8"/>
                <w:color w:val="auto"/>
              </w:rPr>
            </w:pPr>
          </w:p>
        </w:tc>
        <w:tc>
          <w:tcPr>
            <w:tcW w:w="5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8"/>
                <w:szCs w:val="8"/>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Grant</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Threshold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102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Stock or Units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Per</w:t>
            </w:r>
          </w:p>
        </w:tc>
        <w:tc>
          <w:tcPr>
            <w:tcW w:w="16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Awards</w:t>
            </w:r>
          </w:p>
        </w:tc>
        <w:tc>
          <w:tcPr>
            <w:tcW w:w="0" w:type="dxa"/>
            <w:vAlign w:val="bottom"/>
          </w:tcPr>
          <w:p>
            <w:pPr>
              <w:spacing w:after="0"/>
              <w:rPr>
                <w:sz w:val="1"/>
                <w:szCs w:val="1"/>
                <w:color w:val="auto"/>
              </w:rPr>
            </w:pPr>
          </w:p>
        </w:tc>
      </w:tr>
      <w:tr>
        <w:trPr>
          <w:trHeight w:val="148"/>
        </w:trPr>
        <w:tc>
          <w:tcPr>
            <w:tcW w:w="2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32"/>
              <w:spacing w:after="0" w:line="148" w:lineRule="exact"/>
              <w:rPr>
                <w:sz w:val="20"/>
                <w:szCs w:val="20"/>
                <w:color w:val="auto"/>
              </w:rPr>
            </w:pPr>
            <w:r>
              <w:rPr>
                <w:rFonts w:ascii="Arial" w:cs="Arial" w:eastAsia="Arial" w:hAnsi="Arial"/>
                <w:sz w:val="14"/>
                <w:szCs w:val="14"/>
                <w:b w:val="1"/>
                <w:bCs w:val="1"/>
                <w:color w:val="auto"/>
              </w:rPr>
              <w:t>Date</w:t>
            </w:r>
          </w:p>
        </w:tc>
        <w:tc>
          <w:tcPr>
            <w:tcW w:w="760" w:type="dxa"/>
            <w:vAlign w:val="bottom"/>
            <w:gridSpan w:val="2"/>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gridSpan w:val="2"/>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780" w:type="dxa"/>
            <w:vAlign w:val="bottom"/>
            <w:gridSpan w:val="2"/>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93"/>
              </w:rPr>
              <w:t>(3)</w:t>
            </w:r>
          </w:p>
        </w:tc>
        <w:tc>
          <w:tcPr>
            <w:tcW w:w="18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Options(4)</w:t>
            </w:r>
          </w:p>
        </w:tc>
        <w:tc>
          <w:tcPr>
            <w:tcW w:w="7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Share)(5)</w:t>
            </w:r>
          </w:p>
        </w:tc>
        <w:tc>
          <w:tcPr>
            <w:tcW w:w="74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9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Vincent Roche</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1,317,000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3,951,000</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25,026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50,052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25,026</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1,957,534(7)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114,356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1,978,473(8)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tcPr>
          <w:p>
            <w:pPr>
              <w:spacing w:after="0" w:line="138" w:lineRule="exact"/>
              <w:rPr>
                <w:sz w:val="20"/>
                <w:szCs w:val="20"/>
                <w:color w:val="auto"/>
              </w:rPr>
            </w:pPr>
            <w:r>
              <w:rPr>
                <w:rFonts w:ascii="Arial" w:cs="Arial" w:eastAsia="Arial" w:hAnsi="Arial"/>
                <w:sz w:val="14"/>
                <w:szCs w:val="14"/>
                <w:color w:val="auto"/>
              </w:rPr>
              <w:t>Prashanth Mahendra-Rajah</w:t>
            </w: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78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35,962</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107,886</w:t>
            </w:r>
          </w:p>
        </w:tc>
        <w:tc>
          <w:tcPr>
            <w:tcW w:w="180" w:type="dxa"/>
            <w:vAlign w:val="bottom"/>
          </w:tcPr>
          <w:p>
            <w:pPr>
              <w:spacing w:after="0"/>
              <w:rPr>
                <w:sz w:val="11"/>
                <w:szCs w:val="11"/>
                <w:color w:val="auto"/>
              </w:rPr>
            </w:pPr>
          </w:p>
        </w:tc>
        <w:tc>
          <w:tcPr>
            <w:tcW w:w="76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10/16/2017</w:t>
            </w:r>
          </w:p>
        </w:tc>
        <w:tc>
          <w:tcPr>
            <w:tcW w:w="16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20,013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24,016</w:t>
            </w:r>
          </w:p>
        </w:tc>
        <w:tc>
          <w:tcPr>
            <w:tcW w:w="1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1,719,917(6)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10/16/2017</w:t>
            </w:r>
          </w:p>
        </w:tc>
        <w:tc>
          <w:tcPr>
            <w:tcW w:w="160" w:type="dxa"/>
            <w:vAlign w:val="bottom"/>
          </w:tcPr>
          <w:p>
            <w:pPr>
              <w:spacing w:after="0"/>
              <w:rPr>
                <w:sz w:val="13"/>
                <w:szCs w:val="13"/>
                <w:color w:val="auto"/>
              </w:rPr>
            </w:pPr>
          </w:p>
        </w:tc>
        <w:tc>
          <w:tcPr>
            <w:tcW w:w="78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23,756</w:t>
            </w:r>
          </w:p>
        </w:tc>
        <w:tc>
          <w:tcPr>
            <w:tcW w:w="180" w:type="dxa"/>
            <w:vAlign w:val="bottom"/>
          </w:tcPr>
          <w:p>
            <w:pPr>
              <w:spacing w:after="0"/>
              <w:rPr>
                <w:sz w:val="13"/>
                <w:szCs w:val="13"/>
                <w:color w:val="auto"/>
              </w:rPr>
            </w:pPr>
          </w:p>
        </w:tc>
        <w:tc>
          <w:tcPr>
            <w:tcW w:w="9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2,026,624(7)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Hassett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338,462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1,015,386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8,556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403,222(6)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7/17/2017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16,232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19,478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1,394,978(6)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4,278</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334,625(7)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19,548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338,200(8)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tcPr>
          <w:p>
            <w:pPr>
              <w:spacing w:after="0" w:line="138" w:lineRule="exact"/>
              <w:rPr>
                <w:sz w:val="20"/>
                <w:szCs w:val="20"/>
                <w:color w:val="auto"/>
              </w:rPr>
            </w:pPr>
            <w:r>
              <w:rPr>
                <w:rFonts w:ascii="Arial" w:cs="Arial" w:eastAsia="Arial" w:hAnsi="Arial"/>
                <w:sz w:val="14"/>
                <w:szCs w:val="14"/>
                <w:color w:val="auto"/>
              </w:rPr>
              <w:t>Steve Pietkiewicz</w:t>
            </w: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78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829,852</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5,000,000</w:t>
            </w:r>
          </w:p>
        </w:tc>
        <w:tc>
          <w:tcPr>
            <w:tcW w:w="180" w:type="dxa"/>
            <w:vAlign w:val="bottom"/>
          </w:tcPr>
          <w:p>
            <w:pPr>
              <w:spacing w:after="0"/>
              <w:rPr>
                <w:sz w:val="11"/>
                <w:szCs w:val="11"/>
                <w:color w:val="auto"/>
              </w:rPr>
            </w:pPr>
          </w:p>
        </w:tc>
        <w:tc>
          <w:tcPr>
            <w:tcW w:w="76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7/17/2017</w:t>
            </w:r>
          </w:p>
        </w:tc>
        <w:tc>
          <w:tcPr>
            <w:tcW w:w="16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15,218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18,262</w:t>
            </w:r>
          </w:p>
        </w:tc>
        <w:tc>
          <w:tcPr>
            <w:tcW w:w="1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1,307,835(6)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6/15/2017</w:t>
            </w:r>
          </w:p>
        </w:tc>
        <w:tc>
          <w:tcPr>
            <w:tcW w:w="16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6,715</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500,133(7)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10/16/2017</w:t>
            </w:r>
          </w:p>
        </w:tc>
        <w:tc>
          <w:tcPr>
            <w:tcW w:w="16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17,356</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1,480,640(7)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6/15/2017</w:t>
            </w:r>
          </w:p>
        </w:tc>
        <w:tc>
          <w:tcPr>
            <w:tcW w:w="160" w:type="dxa"/>
            <w:vAlign w:val="bottom"/>
          </w:tcPr>
          <w:p>
            <w:pPr>
              <w:spacing w:after="0"/>
              <w:rPr>
                <w:sz w:val="13"/>
                <w:szCs w:val="13"/>
                <w:color w:val="auto"/>
              </w:rPr>
            </w:pPr>
          </w:p>
        </w:tc>
        <w:tc>
          <w:tcPr>
            <w:tcW w:w="78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30,391</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79.75</w:t>
            </w:r>
          </w:p>
        </w:tc>
        <w:tc>
          <w:tcPr>
            <w:tcW w:w="9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476,470(8)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336,095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1,008,285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10,268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483,904(6)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7/17/2017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16,232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19,478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1,394,978(6)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5,134</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401,581(7)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23,458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405,847(8)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tcPr>
          <w:p>
            <w:pPr>
              <w:spacing w:after="0" w:line="138" w:lineRule="exact"/>
              <w:rPr>
                <w:sz w:val="20"/>
                <w:szCs w:val="20"/>
                <w:color w:val="auto"/>
              </w:rPr>
            </w:pPr>
            <w:r>
              <w:rPr>
                <w:rFonts w:ascii="Arial" w:cs="Arial" w:eastAsia="Arial" w:hAnsi="Arial"/>
                <w:sz w:val="14"/>
                <w:szCs w:val="14"/>
                <w:color w:val="auto"/>
              </w:rPr>
              <w:t>Rick D. Hess</w:t>
            </w: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78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471,346</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1,414,038</w:t>
            </w:r>
          </w:p>
        </w:tc>
        <w:tc>
          <w:tcPr>
            <w:tcW w:w="180" w:type="dxa"/>
            <w:vAlign w:val="bottom"/>
          </w:tcPr>
          <w:p>
            <w:pPr>
              <w:spacing w:after="0"/>
              <w:rPr>
                <w:sz w:val="11"/>
                <w:szCs w:val="11"/>
                <w:color w:val="auto"/>
              </w:rPr>
            </w:pPr>
          </w:p>
        </w:tc>
        <w:tc>
          <w:tcPr>
            <w:tcW w:w="76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9,412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18,824</w:t>
            </w:r>
          </w:p>
        </w:tc>
        <w:tc>
          <w:tcPr>
            <w:tcW w:w="1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887,126(6)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9,412</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736,207(7)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3/8/2017</w:t>
            </w:r>
          </w:p>
        </w:tc>
        <w:tc>
          <w:tcPr>
            <w:tcW w:w="160" w:type="dxa"/>
            <w:vAlign w:val="bottom"/>
          </w:tcPr>
          <w:p>
            <w:pPr>
              <w:spacing w:after="0"/>
              <w:rPr>
                <w:sz w:val="13"/>
                <w:szCs w:val="13"/>
                <w:color w:val="auto"/>
              </w:rPr>
            </w:pPr>
          </w:p>
        </w:tc>
        <w:tc>
          <w:tcPr>
            <w:tcW w:w="78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43,006</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83.48</w:t>
            </w:r>
          </w:p>
        </w:tc>
        <w:tc>
          <w:tcPr>
            <w:tcW w:w="9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744,047(8)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Eileen Wynne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180,231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540,693</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5,990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282,293(6)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7/17/2017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6,331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2,995</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234,269(7)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13,684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236,747(8)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David A. Zinsner</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236,635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709,905</w:t>
            </w:r>
          </w:p>
        </w:tc>
        <w:tc>
          <w:tcPr>
            <w:tcW w:w="18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96" w:lineRule="exact"/>
        <w:rPr>
          <w:sz w:val="20"/>
          <w:szCs w:val="20"/>
          <w:color w:val="auto"/>
        </w:rPr>
      </w:pPr>
    </w:p>
    <w:p>
      <w:pPr>
        <w:ind w:left="640" w:right="120" w:hanging="436"/>
        <w:spacing w:after="0" w:line="318" w:lineRule="auto"/>
        <w:tabs>
          <w:tab w:leader="none" w:pos="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amounts shown for Messrs. Roche, Mahendra-Rajah, Hassett, Real, Hess and Zinsner and Ms. Wynne in the threshold, target and maximum columns reflect the minimum, target and maximum amounts payable under our executive performance incentive plan, respectively. Amounts in the maximum column above reflect 300% of the executive’s target bonus, which is the cap under the plan. Mr. Pietkiewicz did not participate in the Corporation’s 2017 Executive Performance Incentive Plan as he participated in the Linear Technology profit sharing program and Linear Technology Corporation Executive Bonus Plan. Amounts for Mr. Pietkiewicz represent the minimum, target and maximum amounts payable under the Linear</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Technology profit sharing program and the Linear Technology Executive Bonus Plan. The actual amounts earned in fiscal 2017 are reflected in the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Summary Compensation Table above and were as follows:</w:t>
      </w:r>
    </w:p>
    <w:p>
      <w:pPr>
        <w:spacing w:after="0" w:line="188"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Actual Payout under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80" w:type="dxa"/>
            <w:vAlign w:val="bottom"/>
            <w:vMerge w:val="restart"/>
          </w:tcPr>
          <w:p>
            <w:pPr>
              <w:spacing w:after="0"/>
              <w:rPr>
                <w:sz w:val="12"/>
                <w:szCs w:val="12"/>
                <w:color w:val="auto"/>
              </w:rPr>
            </w:pPr>
          </w:p>
        </w:tc>
        <w:tc>
          <w:tcPr>
            <w:tcW w:w="3440" w:type="dxa"/>
            <w:vAlign w:val="bottom"/>
            <w:gridSpan w:val="4"/>
          </w:tcPr>
          <w:p>
            <w:pPr>
              <w:ind w:left="2140"/>
              <w:spacing w:after="0" w:line="149" w:lineRule="exact"/>
              <w:rPr>
                <w:sz w:val="20"/>
                <w:szCs w:val="20"/>
                <w:color w:val="auto"/>
              </w:rPr>
            </w:pPr>
            <w:r>
              <w:rPr>
                <w:rFonts w:ascii="Arial" w:cs="Arial" w:eastAsia="Arial" w:hAnsi="Arial"/>
                <w:sz w:val="14"/>
                <w:szCs w:val="14"/>
                <w:b w:val="1"/>
                <w:bCs w:val="1"/>
                <w:color w:val="auto"/>
                <w:w w:val="91"/>
              </w:rPr>
              <w:t>Non-Equity Incentive</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3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0"/>
              </w:rPr>
              <w:t>Plans for Fiscal 2017</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2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3,268,693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Prashanth Mahendra-Rajah</w:t>
            </w:r>
          </w:p>
        </w:tc>
        <w:tc>
          <w:tcPr>
            <w:tcW w:w="246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Hassett</w:t>
            </w:r>
          </w:p>
        </w:tc>
        <w:tc>
          <w:tcPr>
            <w:tcW w:w="24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Steve Pietkiewicz</w:t>
            </w:r>
          </w:p>
        </w:tc>
        <w:tc>
          <w:tcPr>
            <w:tcW w:w="246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24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Rick D. Hess</w:t>
            </w:r>
          </w:p>
        </w:tc>
        <w:tc>
          <w:tcPr>
            <w:tcW w:w="246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1,186,642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Eileen Wynne</w:t>
            </w:r>
          </w:p>
        </w:tc>
        <w:tc>
          <w:tcPr>
            <w:tcW w:w="24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46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40" w:right="320"/>
        <w:spacing w:after="0" w:line="268"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executive performance incentive plan. These amounts are included in the Summary Compensation Table.</w:t>
      </w:r>
    </w:p>
    <w:p>
      <w:pPr>
        <w:spacing w:after="0" w:line="51" w:lineRule="exact"/>
        <w:rPr>
          <w:sz w:val="20"/>
          <w:szCs w:val="20"/>
          <w:color w:val="auto"/>
        </w:rPr>
      </w:pPr>
    </w:p>
    <w:p>
      <w:pPr>
        <w:ind w:left="640" w:right="60" w:hanging="436"/>
        <w:spacing w:after="0" w:line="308" w:lineRule="auto"/>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Represents performance-based RSUs granted under our 2006 Stock Incentive Plan. Awards granted on March 8, 2017 are performance-based RSUs have both a market condition and a service condition and vest, so long as the executive continues to be employed with us, after the applicable three-year performance period. The number of shares of the Company’s common stock to be issued upon vesting of performance-based RSUs will range from 0% to 200% of the target amount, based on the comparison of the Company’s total shareholder return (TSR) to the median TSR of a specified peer group over a three-year period. Awards granted on July 17, 2017 and the award granted to Mr. Mahendra-Rajah on October 16, 2017 are Linear Integration PRSUs. The Linear Integration PRSUs are subject to the achievement of a pre-established performance conditions and a service condition and vest, so long as the executive continues to be employed with us, on July 17, 2020, so long as the Compensation Committee has certified the performance conditions have been achieved. The number of shares of the Company’s common stock to be issued upon vesting of the Linear Integration PRSUs will range from 0% to 120% of the target number, based on the attainment of the performance conditions. For more information about the performance-based RSUs and the Linear Integration PRSUs see “Components of Executive Compensation — Equity Awards” above.</w:t>
      </w:r>
    </w:p>
    <w:p>
      <w:pPr>
        <w:spacing w:after="0" w:line="28" w:lineRule="exact"/>
        <w:rPr>
          <w:rFonts w:ascii="Arial" w:cs="Arial" w:eastAsia="Arial" w:hAnsi="Arial"/>
          <w:sz w:val="15"/>
          <w:szCs w:val="15"/>
          <w:color w:val="auto"/>
        </w:rPr>
      </w:pPr>
    </w:p>
    <w:p>
      <w:pPr>
        <w:ind w:left="640" w:right="520" w:hanging="436"/>
        <w:spacing w:after="0" w:line="332"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time-based RSUs granted under our 2006 Stock Incentive Plan. The time-based RSUs vest, so long as the executive continues to be employed with us, in one installment on the third anniversary of the grant date. Dividends are not payable on unvested RSUs.</w:t>
      </w:r>
    </w:p>
    <w:p>
      <w:pPr>
        <w:spacing w:after="0" w:line="4" w:lineRule="exact"/>
        <w:rPr>
          <w:rFonts w:ascii="Arial" w:cs="Arial" w:eastAsia="Arial" w:hAnsi="Arial"/>
          <w:sz w:val="16"/>
          <w:szCs w:val="16"/>
          <w:color w:val="auto"/>
        </w:rPr>
      </w:pPr>
    </w:p>
    <w:p>
      <w:pPr>
        <w:ind w:left="640" w:right="280" w:hanging="436"/>
        <w:spacing w:after="0" w:line="332"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stock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90" w:lineRule="exact"/>
        <w:rPr>
          <w:rFonts w:ascii="Arial" w:cs="Arial" w:eastAsia="Arial" w:hAnsi="Arial"/>
          <w:sz w:val="18"/>
          <w:szCs w:val="18"/>
          <w:color w:val="auto"/>
        </w:rPr>
      </w:pPr>
    </w:p>
    <w:p>
      <w:pPr>
        <w:ind w:left="640" w:hanging="436"/>
        <w:spacing w:after="0" w:line="287"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performance-based RSUs. The grant date fair value of the performance-based RSUs granted on March 8, 2017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performance-based RSU awards granted to Messrs. Roche, Hassett, Real and Hess and Ms. Wynne on March 8, 2017 was $94.25. The grant date fair value per share of the Linear Integration PRSU awards granted to Messrs. Hassett, Real and Pietkiewicz and Ms. Wynne on July 17, 2017 and Mr. Mahendra-Rajah on October 16, 2017 was $85.94. The grant date fair value of the Linear Integration PRSUs represents the estimated value of the grant date expense as of October 28, 2017 and will be re-assessed at each reporting period based upon an evaluation of the performance conditions.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60" w:hanging="436"/>
        <w:spacing w:after="0" w:line="291" w:lineRule="auto"/>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time-based RSUs. The grant date fair of the time-based RSUs is the value of our common stock on the date of grant, reduced by the present value of dividends expected to be paid on our common stock prior to vesting. The grant date fair value per share of the time-based RSU awards granted to Messrs. Roche, Hassett, Real and Hess and Ms. Wynne on March 8, 2017 was $78.22. The grant date fair value per share of the time-based RSU awards granted to Mr. Pietkiewicz on June 15, 2017 was $74.48. The grant date fair value per share of the time-based RSU awards granted to Messrs. Mahendra-Rajah and Pietkiewicz on October 16, 2017 was $85.31.</w:t>
      </w:r>
    </w:p>
    <w:p>
      <w:pPr>
        <w:spacing w:after="0" w:line="39" w:lineRule="exact"/>
        <w:rPr>
          <w:rFonts w:ascii="Arial" w:cs="Arial" w:eastAsia="Arial" w:hAnsi="Arial"/>
          <w:sz w:val="16"/>
          <w:szCs w:val="16"/>
          <w:color w:val="auto"/>
        </w:rPr>
      </w:pPr>
    </w:p>
    <w:p>
      <w:pPr>
        <w:ind w:left="640" w:right="320" w:hanging="436"/>
        <w:spacing w:after="0" w:line="303" w:lineRule="auto"/>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This amount does not represent the actual amount paid to or realized by the executives for these awards during the fiscal year. The grant date fair value of these stock options granted on March 8, 2017 was $17.30 per share and was computed using a Black-Scholes valuation methodology. We estimated the full grant date fair value of these stock options using the following assumptions: 2.08% risk free interest rate; 2.16% dividend yield;</w:t>
      </w:r>
    </w:p>
    <w:p>
      <w:pPr>
        <w:spacing w:after="0" w:line="1" w:lineRule="exact"/>
        <w:rPr>
          <w:rFonts w:ascii="Arial" w:cs="Arial" w:eastAsia="Arial" w:hAnsi="Arial"/>
          <w:sz w:val="15"/>
          <w:szCs w:val="15"/>
          <w:color w:val="auto"/>
        </w:rPr>
      </w:pPr>
    </w:p>
    <w:p>
      <w:pPr>
        <w:ind w:left="640"/>
        <w:spacing w:after="0" w:line="253" w:lineRule="auto"/>
        <w:rPr>
          <w:rFonts w:ascii="Arial" w:cs="Arial" w:eastAsia="Arial" w:hAnsi="Arial"/>
          <w:sz w:val="15"/>
          <w:szCs w:val="15"/>
          <w:color w:val="auto"/>
        </w:rPr>
      </w:pPr>
      <w:r>
        <w:rPr>
          <w:rFonts w:ascii="Arial" w:cs="Arial" w:eastAsia="Arial" w:hAnsi="Arial"/>
          <w:sz w:val="18"/>
          <w:szCs w:val="18"/>
          <w:color w:val="auto"/>
        </w:rPr>
        <w:t>26.42% expected volatility; and a 5-year expected life. The grant date fair value of these stock options granted on June 15, 2017 was $15.68 per share and was computed using a Black-Scholes valuation methodology. We estimated the full grant date fair value of these stock options using the following assumptions: 1.76% risk free interest rate; 2.26% dividend yield; 26.10% expected volatility; and a 5-year expected life. The grant date fair value is generally the amount that we would expense in our financial statements over the award’s service period, but does not include a reduction for forfeitures.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 2017</w:t>
      </w:r>
    </w:p>
    <w:p>
      <w:pPr>
        <w:spacing w:after="0" w:line="9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following table provides information with respect to outstanding stock options and unvested time-based and performance-based RSUs for each of our named executive officers as of October 28, 2017. Mr. Zinsner resigned from the Company effective April 1, 2017. As a result of Mr. Zinsner’s resignation, all of his outstanding and unvested RSUs, PRSUs and stock options were forfeited.</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w w:val="92"/>
              </w:rPr>
              <w:t>Stock Awards</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82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Unearned</w:t>
            </w:r>
          </w:p>
        </w:tc>
        <w:tc>
          <w:tcPr>
            <w:tcW w:w="88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4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 Units/</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Units, or</w:t>
            </w:r>
          </w:p>
        </w:tc>
        <w:tc>
          <w:tcPr>
            <w:tcW w:w="2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Awards of</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Units/Awards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That</w:t>
            </w:r>
          </w:p>
        </w:tc>
        <w:tc>
          <w:tcPr>
            <w:tcW w:w="2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c>
          <w:tcPr>
            <w:tcW w:w="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Exercisable</w:t>
            </w:r>
          </w:p>
        </w:tc>
        <w:tc>
          <w:tcPr>
            <w:tcW w:w="12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Unexercisable(1)</w:t>
            </w:r>
          </w:p>
        </w:tc>
        <w:tc>
          <w:tcPr>
            <w:tcW w:w="240" w:type="dxa"/>
            <w:vAlign w:val="bottom"/>
          </w:tcPr>
          <w:p>
            <w:pPr>
              <w:spacing w:after="0"/>
              <w:rPr>
                <w:sz w:val="12"/>
                <w:szCs w:val="12"/>
                <w:color w:val="auto"/>
              </w:rPr>
            </w:pPr>
          </w:p>
        </w:tc>
        <w:tc>
          <w:tcPr>
            <w:tcW w:w="7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u w:val="single" w:color="auto"/>
                <w:color w:val="auto"/>
                <w:w w:val="89"/>
              </w:rPr>
              <w:t>Price($</w:t>
            </w:r>
            <w:r>
              <w:rPr>
                <w:rFonts w:ascii="Arial" w:cs="Arial" w:eastAsia="Arial" w:hAnsi="Arial"/>
                <w:sz w:val="14"/>
                <w:szCs w:val="14"/>
                <w:b w:val="1"/>
                <w:bCs w:val="1"/>
                <w:color w:val="auto"/>
                <w:w w:val="89"/>
              </w:rPr>
              <w:t>)</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Date(2)</w:t>
            </w:r>
          </w:p>
        </w:tc>
        <w:tc>
          <w:tcPr>
            <w:tcW w:w="22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Vested(#)(3)</w:t>
            </w:r>
          </w:p>
        </w:tc>
        <w:tc>
          <w:tcPr>
            <w:tcW w:w="820" w:type="dxa"/>
            <w:vAlign w:val="bottom"/>
            <w:gridSpan w:val="2"/>
          </w:tcPr>
          <w:p>
            <w:pPr>
              <w:jc w:val="center"/>
              <w:ind w:left="152"/>
              <w:spacing w:after="0" w:line="148" w:lineRule="exact"/>
              <w:rPr>
                <w:sz w:val="20"/>
                <w:szCs w:val="20"/>
                <w:color w:val="auto"/>
              </w:rPr>
            </w:pPr>
            <w:r>
              <w:rPr>
                <w:rFonts w:ascii="Arial" w:cs="Arial" w:eastAsia="Arial" w:hAnsi="Arial"/>
                <w:sz w:val="14"/>
                <w:szCs w:val="14"/>
                <w:b w:val="1"/>
                <w:bCs w:val="1"/>
                <w:color w:val="auto"/>
                <w:w w:val="93"/>
              </w:rPr>
              <w:t>($)(4)</w:t>
            </w:r>
          </w:p>
        </w:tc>
        <w:tc>
          <w:tcPr>
            <w:tcW w:w="820" w:type="dxa"/>
            <w:vAlign w:val="bottom"/>
            <w:gridSpan w:val="2"/>
          </w:tcPr>
          <w:p>
            <w:pPr>
              <w:jc w:val="center"/>
              <w:ind w:left="172"/>
              <w:spacing w:after="0" w:line="148" w:lineRule="exact"/>
              <w:rPr>
                <w:sz w:val="20"/>
                <w:szCs w:val="20"/>
                <w:color w:val="auto"/>
              </w:rPr>
            </w:pPr>
            <w:r>
              <w:rPr>
                <w:rFonts w:ascii="Arial" w:cs="Arial" w:eastAsia="Arial" w:hAnsi="Arial"/>
                <w:sz w:val="14"/>
                <w:szCs w:val="14"/>
                <w:b w:val="1"/>
                <w:bCs w:val="1"/>
                <w:color w:val="auto"/>
                <w:w w:val="87"/>
              </w:rPr>
              <w:t>(#)(5)</w:t>
            </w:r>
          </w:p>
        </w:tc>
        <w:tc>
          <w:tcPr>
            <w:tcW w:w="840" w:type="dxa"/>
            <w:vAlign w:val="bottom"/>
            <w:gridSpan w:val="2"/>
          </w:tcPr>
          <w:p>
            <w:pPr>
              <w:jc w:val="center"/>
              <w:ind w:left="172"/>
              <w:spacing w:after="0" w:line="148" w:lineRule="exact"/>
              <w:rPr>
                <w:sz w:val="20"/>
                <w:szCs w:val="20"/>
                <w:color w:val="auto"/>
              </w:rPr>
            </w:pPr>
            <w:r>
              <w:rPr>
                <w:rFonts w:ascii="Arial" w:cs="Arial" w:eastAsia="Arial" w:hAnsi="Arial"/>
                <w:sz w:val="14"/>
                <w:szCs w:val="14"/>
                <w:b w:val="1"/>
                <w:bCs w:val="1"/>
                <w:color w:val="auto"/>
                <w:w w:val="93"/>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Vincent Roche</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3/15/2012</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31,656</w:t>
            </w: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12"/>
              <w:spacing w:after="0" w:line="136" w:lineRule="exact"/>
              <w:rPr>
                <w:sz w:val="20"/>
                <w:szCs w:val="20"/>
                <w:color w:val="auto"/>
              </w:rPr>
            </w:pPr>
            <w:r>
              <w:rPr>
                <w:rFonts w:ascii="Arial" w:cs="Arial" w:eastAsia="Arial" w:hAnsi="Arial"/>
                <w:sz w:val="14"/>
                <w:szCs w:val="14"/>
                <w:color w:val="auto"/>
                <w:w w:val="85"/>
              </w:rPr>
              <w:t>39.79</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3/15/2022</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10/15/2012</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144,000</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38.56</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10/15/2022</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6/17/2013</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82,152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20,538</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45.95</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6/17/2023</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88,140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58,760</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51.73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3/12/2024</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64,964</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97,446</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57.29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3/11/2025</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31,315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2,856,241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31,315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2,856,241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25,461</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101,844</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54.93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3/9/2026</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32,796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2,991,323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32,796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2,991,323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114,356</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83.48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3/8/2027</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2,282,621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2,282,621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460" w:type="dxa"/>
            <w:vAlign w:val="bottom"/>
            <w:gridSpan w:val="3"/>
          </w:tcPr>
          <w:p>
            <w:pPr>
              <w:spacing w:after="0"/>
              <w:rPr>
                <w:sz w:val="20"/>
                <w:szCs w:val="20"/>
                <w:color w:val="auto"/>
              </w:rPr>
            </w:pPr>
            <w:r>
              <w:rPr>
                <w:rFonts w:ascii="Arial" w:cs="Arial" w:eastAsia="Arial" w:hAnsi="Arial"/>
                <w:sz w:val="14"/>
                <w:szCs w:val="14"/>
                <w:color w:val="auto"/>
              </w:rPr>
              <w:t>Prashanth Mahendra-Rajah</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10/16/2017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23,756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2,166,785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20,013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1,825,386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Hassett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3/15/2012</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18,400</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39.79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3/15/2022</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13,720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3,430</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46.48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3/12/2023</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13,224</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8,816</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51.73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3/12/2024</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8,772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13,158</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57.29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3/11/2025</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4,230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385,818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4,073</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16,296</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54.93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3/9/2026</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5,248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478,670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5,248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478,670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19,548</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83.48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3/8/2027</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4,278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390,196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4,278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390,196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7/17/2017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16,232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1,480,521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gridSpan w:val="3"/>
          </w:tcPr>
          <w:p>
            <w:pPr>
              <w:spacing w:after="0"/>
              <w:rPr>
                <w:sz w:val="20"/>
                <w:szCs w:val="20"/>
                <w:color w:val="auto"/>
              </w:rPr>
            </w:pPr>
            <w:r>
              <w:rPr>
                <w:rFonts w:ascii="Arial" w:cs="Arial" w:eastAsia="Arial" w:hAnsi="Arial"/>
                <w:sz w:val="14"/>
                <w:szCs w:val="14"/>
                <w:color w:val="auto"/>
              </w:rPr>
              <w:t>Steve Pietkiewicz</w:t>
            </w: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3/10/2017(6)</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31,160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2,842,104</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6/15/2017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30,391</w:t>
            </w:r>
          </w:p>
        </w:tc>
        <w:tc>
          <w:tcPr>
            <w:tcW w:w="720" w:type="dxa"/>
            <w:vAlign w:val="bottom"/>
            <w:gridSpan w:val="2"/>
          </w:tcPr>
          <w:p>
            <w:pPr>
              <w:jc w:val="center"/>
              <w:ind w:left="352"/>
              <w:spacing w:after="0" w:line="149" w:lineRule="exact"/>
              <w:rPr>
                <w:sz w:val="20"/>
                <w:szCs w:val="20"/>
                <w:color w:val="auto"/>
              </w:rPr>
            </w:pPr>
            <w:r>
              <w:rPr>
                <w:rFonts w:ascii="Arial" w:cs="Arial" w:eastAsia="Arial" w:hAnsi="Arial"/>
                <w:sz w:val="14"/>
                <w:szCs w:val="14"/>
                <w:color w:val="auto"/>
                <w:w w:val="85"/>
              </w:rPr>
              <w:t>79.75</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6/15/2027</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612,475</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7/17/2017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15,218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1,388,034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10/16/2017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17,356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1,583,041</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Real</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3/15/2012</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18,380</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39.79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3/15/2022</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14,920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3,730</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46.48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3/12/2023</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11,370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7,580</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51.73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3/12/2024</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11/17/2014</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50.35</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11/17/2024</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456,050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6,496</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9,744</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57.29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3/11/2025</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285,487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285,487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5,601</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22,406</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54.93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3/9/2026</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658,171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658,171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23,458</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83.48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3/8/2027</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468,272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468,272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7/17/2017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16,232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1,480,521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gridSpan w:val="3"/>
          </w:tcPr>
          <w:p>
            <w:pPr>
              <w:spacing w:after="0"/>
              <w:rPr>
                <w:sz w:val="20"/>
                <w:szCs w:val="20"/>
                <w:color w:val="auto"/>
              </w:rPr>
            </w:pPr>
            <w:r>
              <w:rPr>
                <w:rFonts w:ascii="Arial" w:cs="Arial" w:eastAsia="Arial" w:hAnsi="Arial"/>
                <w:sz w:val="14"/>
                <w:szCs w:val="14"/>
                <w:color w:val="auto"/>
              </w:rPr>
              <w:t>Rick D. Hess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7/25/2014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7,823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713,536</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3/11/2015</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12,992</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19,488</w:t>
            </w:r>
          </w:p>
        </w:tc>
        <w:tc>
          <w:tcPr>
            <w:tcW w:w="720" w:type="dxa"/>
            <w:vAlign w:val="bottom"/>
            <w:gridSpan w:val="2"/>
          </w:tcPr>
          <w:p>
            <w:pPr>
              <w:jc w:val="center"/>
              <w:ind w:left="352"/>
              <w:spacing w:after="0" w:line="149" w:lineRule="exact"/>
              <w:rPr>
                <w:sz w:val="20"/>
                <w:szCs w:val="20"/>
                <w:color w:val="auto"/>
              </w:rPr>
            </w:pPr>
            <w:r>
              <w:rPr>
                <w:rFonts w:ascii="Arial" w:cs="Arial" w:eastAsia="Arial" w:hAnsi="Arial"/>
                <w:sz w:val="14"/>
                <w:szCs w:val="14"/>
                <w:color w:val="auto"/>
                <w:w w:val="85"/>
              </w:rPr>
              <w:t>57.29</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3/11/2025</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6,265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571,431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6,265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571,431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3/9/2016</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10,184</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40,738</w:t>
            </w:r>
          </w:p>
        </w:tc>
        <w:tc>
          <w:tcPr>
            <w:tcW w:w="720" w:type="dxa"/>
            <w:vAlign w:val="bottom"/>
            <w:gridSpan w:val="2"/>
          </w:tcPr>
          <w:p>
            <w:pPr>
              <w:jc w:val="center"/>
              <w:ind w:left="352"/>
              <w:spacing w:after="0" w:line="149" w:lineRule="exact"/>
              <w:rPr>
                <w:sz w:val="20"/>
                <w:szCs w:val="20"/>
                <w:color w:val="auto"/>
              </w:rPr>
            </w:pPr>
            <w:r>
              <w:rPr>
                <w:rFonts w:ascii="Arial" w:cs="Arial" w:eastAsia="Arial" w:hAnsi="Arial"/>
                <w:sz w:val="14"/>
                <w:szCs w:val="14"/>
                <w:color w:val="auto"/>
                <w:w w:val="85"/>
              </w:rPr>
              <w:t>54.93</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3/9/2026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13,119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1,196,584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13,119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1,196,584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3/8/2017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43,006</w:t>
            </w:r>
          </w:p>
        </w:tc>
        <w:tc>
          <w:tcPr>
            <w:tcW w:w="720" w:type="dxa"/>
            <w:vAlign w:val="bottom"/>
            <w:gridSpan w:val="2"/>
          </w:tcPr>
          <w:p>
            <w:pPr>
              <w:jc w:val="center"/>
              <w:ind w:left="352"/>
              <w:spacing w:after="0"/>
              <w:rPr>
                <w:sz w:val="20"/>
                <w:szCs w:val="20"/>
                <w:color w:val="auto"/>
              </w:rPr>
            </w:pPr>
            <w:r>
              <w:rPr>
                <w:rFonts w:ascii="Arial" w:cs="Arial" w:eastAsia="Arial" w:hAnsi="Arial"/>
                <w:sz w:val="14"/>
                <w:szCs w:val="14"/>
                <w:color w:val="auto"/>
                <w:w w:val="85"/>
              </w:rPr>
              <w:t>83.48</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3/8/2027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9,412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858,469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9,412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858,469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Eileen Wynne</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46.48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3/12/2023</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2,940</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51.73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3/12/2024</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3,900</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57.29</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3/11/2025</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114,469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114,469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5,093</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54.93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3/9/2026</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149,584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149,584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13,684</w:t>
            </w:r>
          </w:p>
        </w:tc>
        <w:tc>
          <w:tcPr>
            <w:tcW w:w="72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5"/>
              </w:rPr>
              <w:t>83.48</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3/8/2027</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273,174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7/17/2017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5,276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481,224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4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unexercisable options held by these officers vest, subject to continued employment, as follows:</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Vincent</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John</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Steve</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Peter</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Rick D.</w:t>
            </w: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Eileen</w:t>
            </w:r>
          </w:p>
        </w:tc>
        <w:tc>
          <w:tcPr>
            <w:tcW w:w="0" w:type="dxa"/>
            <w:vAlign w:val="bottom"/>
          </w:tcPr>
          <w:p>
            <w:pPr>
              <w:spacing w:after="0"/>
              <w:rPr>
                <w:sz w:val="1"/>
                <w:szCs w:val="1"/>
                <w:color w:val="auto"/>
              </w:rPr>
            </w:pPr>
          </w:p>
        </w:tc>
      </w:tr>
      <w:tr>
        <w:trPr>
          <w:trHeight w:val="168"/>
        </w:trPr>
        <w:tc>
          <w:tcPr>
            <w:tcW w:w="38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32"/>
              <w:spacing w:after="0" w:line="148" w:lineRule="exact"/>
              <w:rPr>
                <w:sz w:val="20"/>
                <w:szCs w:val="20"/>
                <w:color w:val="auto"/>
              </w:rPr>
            </w:pPr>
            <w:r>
              <w:rPr>
                <w:rFonts w:ascii="Arial" w:cs="Arial" w:eastAsia="Arial" w:hAnsi="Arial"/>
                <w:sz w:val="14"/>
                <w:szCs w:val="14"/>
                <w:b w:val="1"/>
                <w:bCs w:val="1"/>
                <w:color w:val="auto"/>
                <w:w w:val="97"/>
              </w:rPr>
              <w:t>Vest Date</w:t>
            </w:r>
          </w:p>
        </w:tc>
        <w:tc>
          <w:tcPr>
            <w:tcW w:w="340" w:type="dxa"/>
            <w:vAlign w:val="bottom"/>
          </w:tcPr>
          <w:p>
            <w:pPr>
              <w:spacing w:after="0"/>
              <w:rPr>
                <w:sz w:val="14"/>
                <w:szCs w:val="14"/>
                <w:color w:val="auto"/>
              </w:rPr>
            </w:pPr>
          </w:p>
        </w:tc>
        <w:tc>
          <w:tcPr>
            <w:tcW w:w="8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93"/>
              </w:rPr>
              <w:t>Roche</w:t>
            </w:r>
          </w:p>
        </w:tc>
        <w:tc>
          <w:tcPr>
            <w:tcW w:w="8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Hassett</w:t>
            </w: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8"/>
              </w:rPr>
              <w:t>Pietkiewicz</w:t>
            </w:r>
          </w:p>
        </w:tc>
        <w:tc>
          <w:tcPr>
            <w:tcW w:w="7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Real</w:t>
            </w:r>
          </w:p>
        </w:tc>
        <w:tc>
          <w:tcPr>
            <w:tcW w:w="8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Hess</w:t>
            </w:r>
          </w:p>
        </w:tc>
        <w:tc>
          <w:tcPr>
            <w:tcW w:w="5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Wynne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top w:val="single" w:sz="8" w:color="auto"/>
            </w:tcBorders>
            <w:shd w:val="clear" w:color="auto" w:fill="CCEEFF"/>
          </w:tcPr>
          <w:p>
            <w:pPr>
              <w:jc w:val="right"/>
              <w:ind w:right="72"/>
              <w:spacing w:after="0" w:line="136" w:lineRule="exact"/>
              <w:rPr>
                <w:sz w:val="20"/>
                <w:szCs w:val="20"/>
                <w:color w:val="auto"/>
              </w:rPr>
            </w:pPr>
            <w:r>
              <w:rPr>
                <w:rFonts w:ascii="Arial" w:cs="Arial" w:eastAsia="Arial" w:hAnsi="Arial"/>
                <w:sz w:val="14"/>
                <w:szCs w:val="14"/>
                <w:color w:val="auto"/>
                <w:w w:val="83"/>
              </w:rPr>
              <w:t>3/12/2013</w:t>
            </w:r>
          </w:p>
        </w:tc>
        <w:tc>
          <w:tcPr>
            <w:tcW w:w="3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3/12/2018</w:t>
            </w: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center"/>
              <w:ind w:left="112"/>
              <w:spacing w:after="0" w:line="136" w:lineRule="exact"/>
              <w:rPr>
                <w:sz w:val="20"/>
                <w:szCs w:val="20"/>
                <w:color w:val="auto"/>
              </w:rPr>
            </w:pPr>
            <w:r>
              <w:rPr>
                <w:rFonts w:ascii="Arial" w:cs="Arial" w:eastAsia="Arial" w:hAnsi="Arial"/>
                <w:sz w:val="14"/>
                <w:szCs w:val="14"/>
                <w:color w:val="auto"/>
                <w:w w:val="85"/>
              </w:rPr>
              <w:t>3,430</w:t>
            </w:r>
          </w:p>
        </w:tc>
        <w:tc>
          <w:tcPr>
            <w:tcW w:w="3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center"/>
              <w:ind w:left="412"/>
              <w:spacing w:after="0" w:line="136" w:lineRule="exact"/>
              <w:rPr>
                <w:sz w:val="20"/>
                <w:szCs w:val="20"/>
                <w:color w:val="auto"/>
              </w:rPr>
            </w:pPr>
            <w:r>
              <w:rPr>
                <w:rFonts w:ascii="Arial" w:cs="Arial" w:eastAsia="Arial" w:hAnsi="Arial"/>
                <w:sz w:val="14"/>
                <w:szCs w:val="14"/>
                <w:color w:val="auto"/>
                <w:w w:val="99"/>
              </w:rPr>
              <w:t>—</w:t>
            </w:r>
          </w:p>
        </w:tc>
        <w:tc>
          <w:tcPr>
            <w:tcW w:w="3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3,730</w:t>
            </w: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1,166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72"/>
              <w:spacing w:after="0"/>
              <w:rPr>
                <w:sz w:val="20"/>
                <w:szCs w:val="20"/>
                <w:color w:val="auto"/>
              </w:rPr>
            </w:pPr>
            <w:r>
              <w:rPr>
                <w:rFonts w:ascii="Arial" w:cs="Arial" w:eastAsia="Arial" w:hAnsi="Arial"/>
                <w:sz w:val="14"/>
                <w:szCs w:val="14"/>
                <w:color w:val="auto"/>
                <w:w w:val="86"/>
              </w:rPr>
              <w:t>6/17/2013</w:t>
            </w:r>
          </w:p>
        </w:tc>
        <w:tc>
          <w:tcPr>
            <w:tcW w:w="316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6/17/2018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20,538</w:t>
            </w:r>
          </w:p>
        </w:tc>
        <w:tc>
          <w:tcPr>
            <w:tcW w:w="340" w:type="dxa"/>
            <w:vAlign w:val="bottom"/>
          </w:tcPr>
          <w:p>
            <w:pPr>
              <w:spacing w:after="0"/>
              <w:rPr>
                <w:sz w:val="23"/>
                <w:szCs w:val="2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3"/>
              </w:rPr>
              <w:t>3/12/2014</w:t>
            </w:r>
          </w:p>
        </w:tc>
        <w:tc>
          <w:tcPr>
            <w:tcW w:w="3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29,380</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4,408</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3/12/2019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29,380</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4,408</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700" w:type="dxa"/>
            <w:vAlign w:val="bottom"/>
            <w:gridSpan w:val="2"/>
          </w:tcPr>
          <w:p>
            <w:pPr>
              <w:spacing w:after="0"/>
              <w:rPr>
                <w:sz w:val="20"/>
                <w:szCs w:val="20"/>
                <w:color w:val="auto"/>
              </w:rPr>
            </w:pPr>
            <w:r>
              <w:rPr>
                <w:rFonts w:ascii="Arial" w:cs="Arial" w:eastAsia="Arial" w:hAnsi="Arial"/>
                <w:sz w:val="14"/>
                <w:szCs w:val="14"/>
                <w:color w:val="auto"/>
                <w:w w:val="96"/>
              </w:rPr>
              <w:t>11/17/2014</w:t>
            </w:r>
          </w:p>
        </w:tc>
        <w:tc>
          <w:tcPr>
            <w:tcW w:w="3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11/17/2017</w:t>
            </w:r>
          </w:p>
        </w:tc>
        <w:tc>
          <w:tcPr>
            <w:tcW w:w="340" w:type="dxa"/>
            <w:vAlign w:val="bottom"/>
          </w:tcPr>
          <w:p>
            <w:pPr>
              <w:spacing w:after="0"/>
              <w:rPr>
                <w:sz w:val="21"/>
                <w:szCs w:val="21"/>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6,000</w:t>
            </w:r>
          </w:p>
        </w:tc>
        <w:tc>
          <w:tcPr>
            <w:tcW w:w="340" w:type="dxa"/>
            <w:vAlign w:val="bottom"/>
          </w:tcPr>
          <w:p>
            <w:pPr>
              <w:spacing w:after="0"/>
              <w:rPr>
                <w:sz w:val="21"/>
                <w:szCs w:val="2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11/17/2018</w:t>
            </w:r>
          </w:p>
        </w:tc>
        <w:tc>
          <w:tcPr>
            <w:tcW w:w="34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08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34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11/17/2019</w:t>
            </w:r>
          </w:p>
        </w:tc>
        <w:tc>
          <w:tcPr>
            <w:tcW w:w="34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6,000</w:t>
            </w:r>
          </w:p>
        </w:tc>
        <w:tc>
          <w:tcPr>
            <w:tcW w:w="34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3"/>
              </w:rPr>
              <w:t>3/11/2015</w:t>
            </w:r>
          </w:p>
        </w:tc>
        <w:tc>
          <w:tcPr>
            <w:tcW w:w="3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32,482</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4,386</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3,248</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6,496</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32,482</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4,386</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3,248</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6,496</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3/11/2020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32,482</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4,386</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3,248</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6,496</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700" w:type="dxa"/>
            <w:vAlign w:val="bottom"/>
            <w:gridSpan w:val="2"/>
          </w:tcPr>
          <w:p>
            <w:pPr>
              <w:jc w:val="right"/>
              <w:ind w:right="152"/>
              <w:spacing w:after="0"/>
              <w:rPr>
                <w:sz w:val="20"/>
                <w:szCs w:val="20"/>
                <w:color w:val="auto"/>
              </w:rPr>
            </w:pPr>
            <w:r>
              <w:rPr>
                <w:rFonts w:ascii="Arial" w:cs="Arial" w:eastAsia="Arial" w:hAnsi="Arial"/>
                <w:sz w:val="14"/>
                <w:szCs w:val="14"/>
                <w:color w:val="auto"/>
                <w:w w:val="84"/>
              </w:rPr>
              <w:t>3/9/2016</w:t>
            </w:r>
          </w:p>
        </w:tc>
        <w:tc>
          <w:tcPr>
            <w:tcW w:w="3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3/9/2018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25,461</w:t>
            </w:r>
          </w:p>
        </w:tc>
        <w:tc>
          <w:tcPr>
            <w:tcW w:w="340" w:type="dxa"/>
            <w:vAlign w:val="bottom"/>
          </w:tcPr>
          <w:p>
            <w:pPr>
              <w:spacing w:after="0"/>
              <w:rPr>
                <w:sz w:val="21"/>
                <w:szCs w:val="21"/>
                <w:color w:val="auto"/>
              </w:rPr>
            </w:pP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4,074</w:t>
            </w:r>
          </w:p>
        </w:tc>
        <w:tc>
          <w:tcPr>
            <w:tcW w:w="340" w:type="dxa"/>
            <w:vAlign w:val="bottom"/>
          </w:tcPr>
          <w:p>
            <w:pPr>
              <w:spacing w:after="0"/>
              <w:rPr>
                <w:sz w:val="21"/>
                <w:szCs w:val="21"/>
                <w:color w:val="auto"/>
              </w:rPr>
            </w:pPr>
          </w:p>
        </w:tc>
        <w:tc>
          <w:tcPr>
            <w:tcW w:w="108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5,601</w:t>
            </w: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10,184</w:t>
            </w: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3/9/2019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25,461</w:t>
            </w:r>
          </w:p>
        </w:tc>
        <w:tc>
          <w:tcPr>
            <w:tcW w:w="340" w:type="dxa"/>
            <w:vAlign w:val="bottom"/>
          </w:tcPr>
          <w:p>
            <w:pPr>
              <w:spacing w:after="0"/>
              <w:rPr>
                <w:sz w:val="12"/>
                <w:szCs w:val="12"/>
                <w:color w:val="auto"/>
              </w:rPr>
            </w:pPr>
          </w:p>
        </w:tc>
        <w:tc>
          <w:tcPr>
            <w:tcW w:w="48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5"/>
              </w:rPr>
              <w:t>4,074</w:t>
            </w:r>
          </w:p>
        </w:tc>
        <w:tc>
          <w:tcPr>
            <w:tcW w:w="340" w:type="dxa"/>
            <w:vAlign w:val="bottom"/>
          </w:tcPr>
          <w:p>
            <w:pPr>
              <w:spacing w:after="0"/>
              <w:rPr>
                <w:sz w:val="12"/>
                <w:szCs w:val="12"/>
                <w:color w:val="auto"/>
              </w:rPr>
            </w:pPr>
          </w:p>
        </w:tc>
        <w:tc>
          <w:tcPr>
            <w:tcW w:w="108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5,602</w:t>
            </w:r>
          </w:p>
        </w:tc>
        <w:tc>
          <w:tcPr>
            <w:tcW w:w="3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10,185</w:t>
            </w:r>
          </w:p>
        </w:tc>
        <w:tc>
          <w:tcPr>
            <w:tcW w:w="3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3/9/2020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25,461</w:t>
            </w:r>
          </w:p>
        </w:tc>
        <w:tc>
          <w:tcPr>
            <w:tcW w:w="340" w:type="dxa"/>
            <w:vAlign w:val="bottom"/>
          </w:tcPr>
          <w:p>
            <w:pPr>
              <w:spacing w:after="0"/>
              <w:rPr>
                <w:sz w:val="12"/>
                <w:szCs w:val="12"/>
                <w:color w:val="auto"/>
              </w:rPr>
            </w:pPr>
          </w:p>
        </w:tc>
        <w:tc>
          <w:tcPr>
            <w:tcW w:w="48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5"/>
              </w:rPr>
              <w:t>4,074</w:t>
            </w:r>
          </w:p>
        </w:tc>
        <w:tc>
          <w:tcPr>
            <w:tcW w:w="340" w:type="dxa"/>
            <w:vAlign w:val="bottom"/>
          </w:tcPr>
          <w:p>
            <w:pPr>
              <w:spacing w:after="0"/>
              <w:rPr>
                <w:sz w:val="12"/>
                <w:szCs w:val="12"/>
                <w:color w:val="auto"/>
              </w:rPr>
            </w:pPr>
          </w:p>
        </w:tc>
        <w:tc>
          <w:tcPr>
            <w:tcW w:w="108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5,601</w:t>
            </w:r>
          </w:p>
        </w:tc>
        <w:tc>
          <w:tcPr>
            <w:tcW w:w="3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10,184</w:t>
            </w:r>
          </w:p>
        </w:tc>
        <w:tc>
          <w:tcPr>
            <w:tcW w:w="3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3/9/2021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25,461</w:t>
            </w:r>
          </w:p>
        </w:tc>
        <w:tc>
          <w:tcPr>
            <w:tcW w:w="340" w:type="dxa"/>
            <w:vAlign w:val="bottom"/>
          </w:tcPr>
          <w:p>
            <w:pPr>
              <w:spacing w:after="0"/>
              <w:rPr>
                <w:sz w:val="14"/>
                <w:szCs w:val="14"/>
                <w:color w:val="auto"/>
              </w:rPr>
            </w:pPr>
          </w:p>
        </w:tc>
        <w:tc>
          <w:tcPr>
            <w:tcW w:w="480" w:type="dxa"/>
            <w:vAlign w:val="bottom"/>
          </w:tcPr>
          <w:p>
            <w:pPr>
              <w:jc w:val="center"/>
              <w:ind w:left="112"/>
              <w:spacing w:after="0"/>
              <w:rPr>
                <w:sz w:val="20"/>
                <w:szCs w:val="20"/>
                <w:color w:val="auto"/>
              </w:rPr>
            </w:pPr>
            <w:r>
              <w:rPr>
                <w:rFonts w:ascii="Arial" w:cs="Arial" w:eastAsia="Arial" w:hAnsi="Arial"/>
                <w:sz w:val="14"/>
                <w:szCs w:val="14"/>
                <w:color w:val="auto"/>
                <w:w w:val="85"/>
              </w:rPr>
              <w:t>4,074</w:t>
            </w:r>
          </w:p>
        </w:tc>
        <w:tc>
          <w:tcPr>
            <w:tcW w:w="340" w:type="dxa"/>
            <w:vAlign w:val="bottom"/>
          </w:tcPr>
          <w:p>
            <w:pPr>
              <w:spacing w:after="0"/>
              <w:rPr>
                <w:sz w:val="14"/>
                <w:szCs w:val="14"/>
                <w:color w:val="auto"/>
              </w:rPr>
            </w:pPr>
          </w:p>
        </w:tc>
        <w:tc>
          <w:tcPr>
            <w:tcW w:w="108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5,602</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10,185</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0"/>
              </w:rPr>
              <w:t>3/8/2017</w:t>
            </w:r>
          </w:p>
        </w:tc>
        <w:tc>
          <w:tcPr>
            <w:tcW w:w="3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3/8/2018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22,871</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3,909</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8,601</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22,871</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3,910</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8,601</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22,871</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3,909</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8,601</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3/8/2021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22,871</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3,910</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8,601</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3/8/2022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22,872</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5"/>
              </w:rPr>
              <w:t>3,910</w:t>
            </w: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8,602</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jc w:val="right"/>
              <w:ind w:right="72"/>
              <w:spacing w:after="0" w:line="138" w:lineRule="exact"/>
              <w:rPr>
                <w:sz w:val="20"/>
                <w:szCs w:val="20"/>
                <w:color w:val="auto"/>
              </w:rPr>
            </w:pPr>
            <w:r>
              <w:rPr>
                <w:rFonts w:ascii="Arial" w:cs="Arial" w:eastAsia="Arial" w:hAnsi="Arial"/>
                <w:sz w:val="14"/>
                <w:szCs w:val="14"/>
                <w:color w:val="auto"/>
                <w:w w:val="83"/>
              </w:rPr>
              <w:t>6/15/2017</w:t>
            </w:r>
          </w:p>
        </w:tc>
        <w:tc>
          <w:tcPr>
            <w:tcW w:w="3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6/15/2018</w:t>
            </w:r>
          </w:p>
        </w:tc>
        <w:tc>
          <w:tcPr>
            <w:tcW w:w="340" w:type="dxa"/>
            <w:vAlign w:val="bottom"/>
          </w:tcPr>
          <w:p>
            <w:pPr>
              <w:spacing w:after="0"/>
              <w:rPr>
                <w:sz w:val="11"/>
                <w:szCs w:val="11"/>
                <w:color w:val="auto"/>
              </w:rPr>
            </w:pPr>
          </w:p>
        </w:tc>
        <w:tc>
          <w:tcPr>
            <w:tcW w:w="84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ind w:left="372"/>
              <w:spacing w:after="0" w:line="138" w:lineRule="exact"/>
              <w:rPr>
                <w:sz w:val="20"/>
                <w:szCs w:val="20"/>
                <w:color w:val="auto"/>
              </w:rPr>
            </w:pPr>
            <w:r>
              <w:rPr>
                <w:rFonts w:ascii="Arial" w:cs="Arial" w:eastAsia="Arial" w:hAnsi="Arial"/>
                <w:sz w:val="14"/>
                <w:szCs w:val="14"/>
                <w:color w:val="auto"/>
                <w:w w:val="85"/>
              </w:rPr>
              <w:t>6,078</w:t>
            </w:r>
          </w:p>
        </w:tc>
        <w:tc>
          <w:tcPr>
            <w:tcW w:w="340" w:type="dxa"/>
            <w:vAlign w:val="bottom"/>
          </w:tcPr>
          <w:p>
            <w:pPr>
              <w:spacing w:after="0"/>
              <w:rPr>
                <w:sz w:val="11"/>
                <w:szCs w:val="11"/>
                <w:color w:val="auto"/>
              </w:rPr>
            </w:pPr>
          </w:p>
        </w:tc>
        <w:tc>
          <w:tcPr>
            <w:tcW w:w="74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6/15/2019</w:t>
            </w:r>
          </w:p>
        </w:tc>
        <w:tc>
          <w:tcPr>
            <w:tcW w:w="34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5"/>
              </w:rPr>
              <w:t>6,078</w:t>
            </w:r>
          </w:p>
        </w:tc>
        <w:tc>
          <w:tcPr>
            <w:tcW w:w="34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6/15/2020</w:t>
            </w:r>
          </w:p>
        </w:tc>
        <w:tc>
          <w:tcPr>
            <w:tcW w:w="34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5"/>
              </w:rPr>
              <w:t>6,078</w:t>
            </w:r>
          </w:p>
        </w:tc>
        <w:tc>
          <w:tcPr>
            <w:tcW w:w="34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6/15/2021</w:t>
            </w:r>
          </w:p>
        </w:tc>
        <w:tc>
          <w:tcPr>
            <w:tcW w:w="34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ind w:left="372"/>
              <w:spacing w:after="0" w:line="149" w:lineRule="exact"/>
              <w:rPr>
                <w:sz w:val="20"/>
                <w:szCs w:val="20"/>
                <w:color w:val="auto"/>
              </w:rPr>
            </w:pPr>
            <w:r>
              <w:rPr>
                <w:rFonts w:ascii="Arial" w:cs="Arial" w:eastAsia="Arial" w:hAnsi="Arial"/>
                <w:sz w:val="14"/>
                <w:szCs w:val="14"/>
                <w:color w:val="auto"/>
                <w:w w:val="85"/>
              </w:rPr>
              <w:t>6,078</w:t>
            </w:r>
          </w:p>
        </w:tc>
        <w:tc>
          <w:tcPr>
            <w:tcW w:w="34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6/15/2022</w:t>
            </w:r>
          </w:p>
        </w:tc>
        <w:tc>
          <w:tcPr>
            <w:tcW w:w="34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ind w:left="372"/>
              <w:spacing w:after="0"/>
              <w:rPr>
                <w:sz w:val="20"/>
                <w:szCs w:val="20"/>
                <w:color w:val="auto"/>
              </w:rPr>
            </w:pPr>
            <w:r>
              <w:rPr>
                <w:rFonts w:ascii="Arial" w:cs="Arial" w:eastAsia="Arial" w:hAnsi="Arial"/>
                <w:sz w:val="14"/>
                <w:szCs w:val="14"/>
                <w:color w:val="auto"/>
                <w:w w:val="85"/>
              </w:rPr>
              <w:t>6,079</w:t>
            </w:r>
          </w:p>
        </w:tc>
        <w:tc>
          <w:tcPr>
            <w:tcW w:w="34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time-based RSUs granted vest in one installment on the third anniversary of the grant date.</w:t>
      </w:r>
    </w:p>
    <w:p>
      <w:pPr>
        <w:spacing w:after="0" w:line="90" w:lineRule="exact"/>
        <w:rPr>
          <w:rFonts w:ascii="Arial" w:cs="Arial" w:eastAsia="Arial" w:hAnsi="Arial"/>
          <w:sz w:val="18"/>
          <w:szCs w:val="18"/>
          <w:color w:val="auto"/>
        </w:rPr>
      </w:pPr>
    </w:p>
    <w:p>
      <w:pPr>
        <w:ind w:left="640" w:hanging="436"/>
        <w:spacing w:after="0" w:line="268"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market value was calculated based on $91.21, the closing price per share of our common stock on October 27, 2017, the last trading day of fiscal 2017.</w:t>
      </w:r>
    </w:p>
    <w:p>
      <w:pPr>
        <w:spacing w:after="0" w:line="50" w:lineRule="exact"/>
        <w:rPr>
          <w:rFonts w:ascii="Arial" w:cs="Arial" w:eastAsia="Arial" w:hAnsi="Arial"/>
          <w:sz w:val="18"/>
          <w:szCs w:val="18"/>
          <w:color w:val="auto"/>
        </w:rPr>
      </w:pPr>
    </w:p>
    <w:p>
      <w:pPr>
        <w:jc w:val="both"/>
        <w:ind w:left="640" w:right="340" w:hanging="436"/>
        <w:spacing w:after="0" w:line="259"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awards granted on March 8, 2017, the number of shares, if any, earned under the performance-based RSU award will vest in one installment fourteen days after the third anniversary of the grant date. For the Linear Integration PRSUs granted on July 17, 2017 and October 16, 2017, the number of shares, if any, earned will vest in one installment on July 17, 2020.</w:t>
      </w:r>
    </w:p>
    <w:p>
      <w:pPr>
        <w:spacing w:after="0" w:line="59" w:lineRule="exact"/>
        <w:rPr>
          <w:rFonts w:ascii="Arial" w:cs="Arial" w:eastAsia="Arial" w:hAnsi="Arial"/>
          <w:sz w:val="18"/>
          <w:szCs w:val="18"/>
          <w:color w:val="auto"/>
        </w:rPr>
      </w:pPr>
    </w:p>
    <w:p>
      <w:pPr>
        <w:ind w:left="640" w:right="340" w:hanging="436"/>
        <w:spacing w:after="0" w:line="268"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equity awards granted in connection with the Linear Technology acquisition in replacement of outstanding Linear Technology equity awards. These awards vest, subject to continued employment as follows: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1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Vest Date</w:t>
            </w:r>
          </w:p>
        </w:tc>
        <w:tc>
          <w:tcPr>
            <w:tcW w:w="25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r>
      <w:tr>
        <w:trPr>
          <w:trHeight w:val="210"/>
        </w:trPr>
        <w:tc>
          <w:tcPr>
            <w:tcW w:w="326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3/10/2017</w:t>
            </w:r>
          </w:p>
        </w:tc>
        <w:tc>
          <w:tcPr>
            <w:tcW w:w="55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1/21/2018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1,787</w:t>
            </w:r>
          </w:p>
        </w:tc>
        <w:tc>
          <w:tcPr>
            <w:tcW w:w="6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1/21/2019</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1,323</w:t>
            </w:r>
          </w:p>
        </w:tc>
        <w:tc>
          <w:tcPr>
            <w:tcW w:w="6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4/21/2018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1,392</w:t>
            </w:r>
          </w:p>
        </w:tc>
        <w:tc>
          <w:tcPr>
            <w:tcW w:w="6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4/21/2019</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1,393</w:t>
            </w:r>
          </w:p>
        </w:tc>
        <w:tc>
          <w:tcPr>
            <w:tcW w:w="6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4/21/2020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1,392</w:t>
            </w:r>
          </w:p>
        </w:tc>
        <w:tc>
          <w:tcPr>
            <w:tcW w:w="6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7/21/2018</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5,968</w:t>
            </w:r>
          </w:p>
        </w:tc>
        <w:tc>
          <w:tcPr>
            <w:tcW w:w="6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7/21/2019</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5,969</w:t>
            </w:r>
          </w:p>
        </w:tc>
        <w:tc>
          <w:tcPr>
            <w:tcW w:w="6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7/21/2020</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5,968</w:t>
            </w:r>
          </w:p>
        </w:tc>
        <w:tc>
          <w:tcPr>
            <w:tcW w:w="6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7/21/2021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5,968</w:t>
            </w:r>
          </w:p>
        </w:tc>
        <w:tc>
          <w:tcPr>
            <w:tcW w:w="60" w:type="dxa"/>
            <w:vAlign w:val="bottom"/>
            <w:shd w:val="clear" w:color="auto" w:fill="CCEEFF"/>
          </w:tcPr>
          <w:p>
            <w:pPr>
              <w:spacing w:after="0"/>
              <w:rPr>
                <w:sz w:val="18"/>
                <w:szCs w:val="18"/>
                <w:color w:val="auto"/>
              </w:rPr>
            </w:pPr>
          </w:p>
        </w:tc>
      </w:tr>
      <w:tr>
        <w:trPr>
          <w:trHeight w:val="363"/>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tcPr>
          <w:p>
            <w:pPr>
              <w:jc w:val="right"/>
              <w:ind w:right="892"/>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 During Fiscal 2017</w:t>
      </w:r>
    </w:p>
    <w:p>
      <w:pPr>
        <w:spacing w:after="0" w:line="96"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The following table provides information on the aggregate value realized by each named executive officer upon the exercise of stock options and the vesting of restricted stock units/awards, time-based RSUs and performance-based RSU awards during fiscal 2017:</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168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84"/>
              </w:rPr>
              <w:t>Stock Awards</w:t>
            </w: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Number of Shares</w:t>
            </w:r>
          </w:p>
        </w:tc>
        <w:tc>
          <w:tcPr>
            <w:tcW w:w="15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Value Realized</w:t>
            </w:r>
          </w:p>
        </w:tc>
        <w:tc>
          <w:tcPr>
            <w:tcW w:w="680" w:type="dxa"/>
            <w:vAlign w:val="bottom"/>
          </w:tcPr>
          <w:p>
            <w:pPr>
              <w:spacing w:after="0"/>
              <w:rPr>
                <w:sz w:val="11"/>
                <w:szCs w:val="11"/>
                <w:color w:val="auto"/>
              </w:rPr>
            </w:pPr>
          </w:p>
        </w:tc>
        <w:tc>
          <w:tcPr>
            <w:tcW w:w="1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 of Shares</w:t>
            </w: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 Name</w:t>
            </w:r>
          </w:p>
        </w:tc>
        <w:tc>
          <w:tcPr>
            <w:tcW w:w="1180" w:type="dxa"/>
            <w:vAlign w:val="bottom"/>
          </w:tcPr>
          <w:p>
            <w:pPr>
              <w:spacing w:after="0"/>
              <w:rPr>
                <w:sz w:val="12"/>
                <w:szCs w:val="12"/>
                <w:color w:val="auto"/>
              </w:rPr>
            </w:pPr>
          </w:p>
        </w:tc>
        <w:tc>
          <w:tcPr>
            <w:tcW w:w="104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Acquired</w:t>
            </w:r>
          </w:p>
        </w:tc>
        <w:tc>
          <w:tcPr>
            <w:tcW w:w="6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on Exercise</w:t>
            </w:r>
          </w:p>
        </w:tc>
        <w:tc>
          <w:tcPr>
            <w:tcW w:w="680" w:type="dxa"/>
            <w:vAlign w:val="bottom"/>
          </w:tcPr>
          <w:p>
            <w:pPr>
              <w:spacing w:after="0"/>
              <w:rPr>
                <w:sz w:val="12"/>
                <w:szCs w:val="12"/>
                <w:color w:val="auto"/>
              </w:rPr>
            </w:pPr>
          </w:p>
        </w:tc>
        <w:tc>
          <w:tcPr>
            <w:tcW w:w="16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Acquired</w:t>
            </w:r>
          </w:p>
        </w:tc>
        <w:tc>
          <w:tcPr>
            <w:tcW w:w="2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48"/>
        </w:trPr>
        <w:tc>
          <w:tcPr>
            <w:tcW w:w="310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jc w:val="right"/>
              <w:ind w:right="122"/>
              <w:spacing w:after="0" w:line="148" w:lineRule="exact"/>
              <w:rPr>
                <w:sz w:val="20"/>
                <w:szCs w:val="20"/>
                <w:color w:val="auto"/>
              </w:rPr>
            </w:pPr>
            <w:r>
              <w:rPr>
                <w:rFonts w:ascii="Arial" w:cs="Arial" w:eastAsia="Arial" w:hAnsi="Arial"/>
                <w:sz w:val="14"/>
                <w:szCs w:val="14"/>
                <w:b w:val="1"/>
                <w:bCs w:val="1"/>
                <w:color w:val="auto"/>
              </w:rPr>
              <w:t>on Exercise</w:t>
            </w:r>
          </w:p>
        </w:tc>
        <w:tc>
          <w:tcPr>
            <w:tcW w:w="1520" w:type="dxa"/>
            <w:vAlign w:val="bottom"/>
            <w:gridSpan w:val="2"/>
          </w:tcPr>
          <w:p>
            <w:pPr>
              <w:jc w:val="right"/>
              <w:ind w:right="196"/>
              <w:spacing w:after="0" w:line="148" w:lineRule="exact"/>
              <w:rPr>
                <w:sz w:val="20"/>
                <w:szCs w:val="20"/>
                <w:color w:val="auto"/>
              </w:rPr>
            </w:pPr>
            <w:r>
              <w:rPr>
                <w:rFonts w:ascii="Arial" w:cs="Arial" w:eastAsia="Arial" w:hAnsi="Arial"/>
                <w:sz w:val="14"/>
                <w:szCs w:val="14"/>
                <w:b w:val="1"/>
                <w:bCs w:val="1"/>
                <w:color w:val="auto"/>
              </w:rPr>
              <w:t>($)(1)</w:t>
            </w:r>
          </w:p>
        </w:tc>
        <w:tc>
          <w:tcPr>
            <w:tcW w:w="680" w:type="dxa"/>
            <w:vAlign w:val="bottom"/>
          </w:tcPr>
          <w:p>
            <w:pPr>
              <w:spacing w:after="0"/>
              <w:rPr>
                <w:sz w:val="12"/>
                <w:szCs w:val="12"/>
                <w:color w:val="auto"/>
              </w:rPr>
            </w:pPr>
          </w:p>
        </w:tc>
        <w:tc>
          <w:tcPr>
            <w:tcW w:w="16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on Vesting</w:t>
            </w:r>
          </w:p>
        </w:tc>
        <w:tc>
          <w:tcPr>
            <w:tcW w:w="9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74,084</w:t>
            </w: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3,413,136</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56,806</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4,662,224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100" w:type="dxa"/>
            <w:vAlign w:val="bottom"/>
            <w:gridSpan w:val="3"/>
          </w:tcPr>
          <w:p>
            <w:pPr>
              <w:spacing w:after="0"/>
              <w:rPr>
                <w:sz w:val="20"/>
                <w:szCs w:val="20"/>
                <w:color w:val="auto"/>
              </w:rPr>
            </w:pPr>
            <w:r>
              <w:rPr>
                <w:rFonts w:ascii="Arial" w:cs="Arial" w:eastAsia="Arial" w:hAnsi="Arial"/>
                <w:sz w:val="18"/>
                <w:szCs w:val="18"/>
                <w:color w:val="auto"/>
              </w:rPr>
              <w:t>Prashanth Mahendra-Rajah</w:t>
            </w:r>
          </w:p>
        </w:tc>
        <w:tc>
          <w:tcPr>
            <w:tcW w:w="118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Hassett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930,880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00" w:type="dxa"/>
            <w:vAlign w:val="bottom"/>
            <w:gridSpan w:val="3"/>
          </w:tcPr>
          <w:p>
            <w:pPr>
              <w:spacing w:after="0"/>
              <w:rPr>
                <w:sz w:val="20"/>
                <w:szCs w:val="20"/>
                <w:color w:val="auto"/>
              </w:rPr>
            </w:pPr>
            <w:r>
              <w:rPr>
                <w:rFonts w:ascii="Arial" w:cs="Arial" w:eastAsia="Arial" w:hAnsi="Arial"/>
                <w:sz w:val="18"/>
                <w:szCs w:val="18"/>
                <w:color w:val="auto"/>
              </w:rPr>
              <w:t>Steve Pietkiewicz</w:t>
            </w:r>
          </w:p>
        </w:tc>
        <w:tc>
          <w:tcPr>
            <w:tcW w:w="118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8,220</w:t>
            </w:r>
          </w:p>
        </w:tc>
        <w:tc>
          <w:tcPr>
            <w:tcW w:w="6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655,625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1,707,610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00" w:type="dxa"/>
            <w:vAlign w:val="bottom"/>
            <w:gridSpan w:val="3"/>
          </w:tcPr>
          <w:p>
            <w:pPr>
              <w:spacing w:after="0"/>
              <w:rPr>
                <w:sz w:val="20"/>
                <w:szCs w:val="20"/>
                <w:color w:val="auto"/>
              </w:rPr>
            </w:pPr>
            <w:r>
              <w:rPr>
                <w:rFonts w:ascii="Arial" w:cs="Arial" w:eastAsia="Arial" w:hAnsi="Arial"/>
                <w:sz w:val="18"/>
                <w:szCs w:val="18"/>
                <w:color w:val="auto"/>
              </w:rPr>
              <w:t>Rick D. Hess</w:t>
            </w:r>
          </w:p>
        </w:tc>
        <w:tc>
          <w:tcPr>
            <w:tcW w:w="118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35,392</w:t>
            </w:r>
          </w:p>
        </w:tc>
        <w:tc>
          <w:tcPr>
            <w:tcW w:w="6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2,890,421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Eileen Wynne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202,563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00" w:type="dxa"/>
            <w:vAlign w:val="bottom"/>
            <w:gridSpan w:val="3"/>
          </w:tcPr>
          <w:p>
            <w:pPr>
              <w:spacing w:after="0"/>
              <w:rPr>
                <w:sz w:val="20"/>
                <w:szCs w:val="20"/>
                <w:color w:val="auto"/>
              </w:rPr>
            </w:pPr>
            <w:r>
              <w:rPr>
                <w:rFonts w:ascii="Arial" w:cs="Arial" w:eastAsia="Arial" w:hAnsi="Arial"/>
                <w:sz w:val="18"/>
                <w:szCs w:val="18"/>
                <w:color w:val="auto"/>
              </w:rPr>
              <w:t>David A. Zinsner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223,226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7,833,585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28,403</w:t>
            </w:r>
          </w:p>
        </w:tc>
        <w:tc>
          <w:tcPr>
            <w:tcW w:w="6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2,331,112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2" w:lineRule="exact"/>
        <w:rPr>
          <w:sz w:val="20"/>
          <w:szCs w:val="20"/>
          <w:color w:val="auto"/>
        </w:rPr>
      </w:pPr>
    </w:p>
    <w:p>
      <w:pPr>
        <w:ind w:left="640" w:right="280" w:hanging="436"/>
        <w:spacing w:after="0" w:line="268"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9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 Before January 1, 2005, participants could also defer gains on stock options and restricted stock awards that were granted before July 23, 1997.</w:t>
      </w:r>
    </w:p>
    <w:p>
      <w:pPr>
        <w:spacing w:after="0" w:line="116"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12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Mr. Real was not eligible to participate in the DCP in fiscal 2017 because it is available only to U.S. taxpayers. Mr. Pietkiewicz did not participate in the DCP in fiscal 2017 because was is not available to legacy Linear Technology employees in fiscal 2017. The following table shows the non-qualified deferred compensation activity for the other named executive officers during fiscal 2017:</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 for Fiscal 2017</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1460" w:type="dxa"/>
            <w:vAlign w:val="bottom"/>
            <w:gridSpan w:val="2"/>
          </w:tcPr>
          <w:p>
            <w:pPr>
              <w:jc w:val="center"/>
              <w:ind w:left="462"/>
              <w:spacing w:after="0"/>
              <w:rPr>
                <w:sz w:val="20"/>
                <w:szCs w:val="20"/>
                <w:color w:val="auto"/>
              </w:rPr>
            </w:pPr>
            <w:r>
              <w:rPr>
                <w:rFonts w:ascii="Arial" w:cs="Arial" w:eastAsia="Arial" w:hAnsi="Arial"/>
                <w:sz w:val="14"/>
                <w:szCs w:val="14"/>
                <w:b w:val="1"/>
                <w:bCs w:val="1"/>
                <w:color w:val="auto"/>
                <w:w w:val="84"/>
              </w:rPr>
              <w:t>Analog Devices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200" w:type="dxa"/>
            <w:vAlign w:val="bottom"/>
            <w:gridSpan w:val="2"/>
          </w:tcPr>
          <w:p>
            <w:pPr>
              <w:jc w:val="center"/>
              <w:ind w:left="1242"/>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Last</w:t>
            </w:r>
          </w:p>
        </w:tc>
        <w:tc>
          <w:tcPr>
            <w:tcW w:w="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Last Fiscal</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560" w:type="dxa"/>
            <w:vAlign w:val="bottom"/>
          </w:tcPr>
          <w:p>
            <w:pPr>
              <w:spacing w:after="0"/>
              <w:rPr>
                <w:sz w:val="12"/>
                <w:szCs w:val="12"/>
                <w:color w:val="auto"/>
              </w:rPr>
            </w:pP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Aggregate</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Last</w:t>
            </w:r>
          </w:p>
        </w:tc>
        <w:tc>
          <w:tcPr>
            <w:tcW w:w="0" w:type="dxa"/>
            <w:vAlign w:val="bottom"/>
          </w:tcPr>
          <w:p>
            <w:pPr>
              <w:spacing w:after="0"/>
              <w:rPr>
                <w:sz w:val="1"/>
                <w:szCs w:val="1"/>
                <w:color w:val="auto"/>
              </w:rPr>
            </w:pPr>
          </w:p>
        </w:tc>
      </w:tr>
      <w:tr>
        <w:trPr>
          <w:trHeight w:val="149"/>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1180" w:type="dxa"/>
            <w:vAlign w:val="bottom"/>
            <w:gridSpan w:val="2"/>
          </w:tcPr>
          <w:p>
            <w:pPr>
              <w:jc w:val="center"/>
              <w:ind w:left="439"/>
              <w:spacing w:after="0" w:line="149" w:lineRule="exact"/>
              <w:rPr>
                <w:sz w:val="20"/>
                <w:szCs w:val="20"/>
                <w:color w:val="auto"/>
              </w:rPr>
            </w:pPr>
            <w:r>
              <w:rPr>
                <w:rFonts w:ascii="Arial" w:cs="Arial" w:eastAsia="Arial" w:hAnsi="Arial"/>
                <w:sz w:val="14"/>
                <w:szCs w:val="14"/>
                <w:b w:val="1"/>
                <w:bCs w:val="1"/>
                <w:color w:val="auto"/>
                <w:w w:val="85"/>
              </w:rPr>
              <w:t>Last Fiscal</w:t>
            </w:r>
          </w:p>
        </w:tc>
        <w:tc>
          <w:tcPr>
            <w:tcW w:w="560" w:type="dxa"/>
            <w:vAlign w:val="bottom"/>
          </w:tcPr>
          <w:p>
            <w:pPr>
              <w:spacing w:after="0"/>
              <w:rPr>
                <w:sz w:val="12"/>
                <w:szCs w:val="12"/>
                <w:color w:val="auto"/>
              </w:rPr>
            </w:pPr>
          </w:p>
        </w:tc>
        <w:tc>
          <w:tcPr>
            <w:tcW w:w="15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48"/>
        </w:trPr>
        <w:tc>
          <w:tcPr>
            <w:tcW w:w="3260" w:type="dxa"/>
            <w:vAlign w:val="bottom"/>
            <w:gridSpan w:val="3"/>
            <w:vMerge w:val="continue"/>
          </w:tcPr>
          <w:p>
            <w:pPr>
              <w:spacing w:after="0"/>
              <w:rPr>
                <w:sz w:val="12"/>
                <w:szCs w:val="12"/>
                <w:color w:val="auto"/>
              </w:rPr>
            </w:pPr>
          </w:p>
        </w:tc>
        <w:tc>
          <w:tcPr>
            <w:tcW w:w="2200" w:type="dxa"/>
            <w:vAlign w:val="bottom"/>
            <w:gridSpan w:val="2"/>
          </w:tcPr>
          <w:p>
            <w:pPr>
              <w:jc w:val="center"/>
              <w:ind w:left="1282"/>
              <w:spacing w:after="0" w:line="148" w:lineRule="exact"/>
              <w:rPr>
                <w:sz w:val="20"/>
                <w:szCs w:val="20"/>
                <w:color w:val="auto"/>
              </w:rPr>
            </w:pPr>
            <w:r>
              <w:rPr>
                <w:rFonts w:ascii="Arial" w:cs="Arial" w:eastAsia="Arial" w:hAnsi="Arial"/>
                <w:sz w:val="14"/>
                <w:szCs w:val="14"/>
                <w:b w:val="1"/>
                <w:bCs w:val="1"/>
                <w:color w:val="auto"/>
                <w:w w:val="93"/>
              </w:rPr>
              <w:t>($)</w:t>
            </w:r>
          </w:p>
        </w:tc>
        <w:tc>
          <w:tcPr>
            <w:tcW w:w="1460" w:type="dxa"/>
            <w:vAlign w:val="bottom"/>
            <w:gridSpan w:val="2"/>
          </w:tcPr>
          <w:p>
            <w:pPr>
              <w:jc w:val="center"/>
              <w:ind w:left="462"/>
              <w:spacing w:after="0" w:line="148" w:lineRule="exact"/>
              <w:rPr>
                <w:sz w:val="20"/>
                <w:szCs w:val="20"/>
                <w:color w:val="auto"/>
              </w:rPr>
            </w:pPr>
            <w:r>
              <w:rPr>
                <w:rFonts w:ascii="Arial" w:cs="Arial" w:eastAsia="Arial" w:hAnsi="Arial"/>
                <w:sz w:val="14"/>
                <w:szCs w:val="14"/>
                <w:b w:val="1"/>
                <w:bCs w:val="1"/>
                <w:color w:val="auto"/>
                <w:w w:val="93"/>
              </w:rPr>
              <w:t>($)(1)</w:t>
            </w:r>
          </w:p>
        </w:tc>
        <w:tc>
          <w:tcPr>
            <w:tcW w:w="5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 xml:space="preserve">Year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w:t>
            </w:r>
          </w:p>
        </w:tc>
        <w:tc>
          <w:tcPr>
            <w:tcW w:w="21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7"/>
              </w:rPr>
              <w:t xml:space="preserve">Distributions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9"/>
              </w:rPr>
              <w:t>End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1,884,538</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1,304</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686,889</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4,462,701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Prashanth Mahendra-Rajah</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2,538</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w w:val="86"/>
              </w:rPr>
              <w:t>203</w:t>
            </w:r>
          </w:p>
        </w:tc>
        <w:tc>
          <w:tcPr>
            <w:tcW w:w="5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Hassett</w:t>
            </w: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Rick D. Hess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135,678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34,246</w:t>
            </w:r>
          </w:p>
        </w:tc>
        <w:tc>
          <w:tcPr>
            <w:tcW w:w="56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Eileen Wynne</w:t>
            </w: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36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12,582</w:t>
            </w:r>
          </w:p>
        </w:tc>
        <w:tc>
          <w:tcPr>
            <w:tcW w:w="2120" w:type="dxa"/>
            <w:vAlign w:val="bottom"/>
            <w:gridSpan w:val="3"/>
          </w:tcPr>
          <w:p>
            <w:pPr>
              <w:jc w:val="right"/>
              <w:ind w:right="560"/>
              <w:spacing w:after="0"/>
              <w:rPr>
                <w:sz w:val="20"/>
                <w:szCs w:val="20"/>
                <w:color w:val="auto"/>
              </w:rPr>
            </w:pPr>
            <w:r>
              <w:rPr>
                <w:rFonts w:ascii="Arial" w:cs="Arial" w:eastAsia="Arial" w:hAnsi="Arial"/>
                <w:sz w:val="18"/>
                <w:szCs w:val="18"/>
                <w:color w:val="auto"/>
              </w:rPr>
              <w:t>(101,861)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694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4"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90" w:lineRule="exact"/>
        <w:rPr>
          <w:rFonts w:ascii="Arial" w:cs="Arial" w:eastAsia="Arial" w:hAnsi="Arial"/>
          <w:sz w:val="18"/>
          <w:szCs w:val="18"/>
          <w:color w:val="auto"/>
        </w:rPr>
      </w:pPr>
    </w:p>
    <w:p>
      <w:pPr>
        <w:ind w:left="640" w:right="400" w:hanging="436"/>
        <w:spacing w:after="0" w:line="268"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above in accordance with SEC regulations, as we did not pay above-market earnings on deferred compensation in fiscal 2017.</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Of the amounts in this column, the following amounts have also been reported in the Summary Compensation Table for fiscal 2016 and 2015:</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Previously Reported for</w:t>
            </w:r>
          </w:p>
        </w:tc>
        <w:tc>
          <w:tcPr>
            <w:tcW w:w="2660" w:type="dxa"/>
            <w:vAlign w:val="bottom"/>
            <w:gridSpan w:val="3"/>
          </w:tcPr>
          <w:p>
            <w:pPr>
              <w:ind w:left="1220"/>
              <w:spacing w:after="0"/>
              <w:rPr>
                <w:sz w:val="20"/>
                <w:szCs w:val="20"/>
                <w:color w:val="auto"/>
              </w:rPr>
            </w:pPr>
            <w:r>
              <w:rPr>
                <w:rFonts w:ascii="Arial" w:cs="Arial" w:eastAsia="Arial" w:hAnsi="Arial"/>
                <w:sz w:val="14"/>
                <w:szCs w:val="14"/>
                <w:b w:val="1"/>
                <w:bCs w:val="1"/>
                <w:color w:val="auto"/>
                <w:w w:val="89"/>
              </w:rPr>
              <w:t>Previously Reported for</w:t>
            </w:r>
          </w:p>
        </w:tc>
        <w:tc>
          <w:tcPr>
            <w:tcW w:w="0" w:type="dxa"/>
            <w:vAlign w:val="bottom"/>
          </w:tcPr>
          <w:p>
            <w:pPr>
              <w:spacing w:after="0"/>
              <w:rPr>
                <w:sz w:val="1"/>
                <w:szCs w:val="1"/>
                <w:color w:val="auto"/>
              </w:rPr>
            </w:pPr>
          </w:p>
        </w:tc>
      </w:tr>
      <w:tr>
        <w:trPr>
          <w:trHeight w:val="148"/>
        </w:trPr>
        <w:tc>
          <w:tcPr>
            <w:tcW w:w="31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ind w:left="280"/>
              <w:spacing w:after="0" w:line="148" w:lineRule="exact"/>
              <w:rPr>
                <w:sz w:val="20"/>
                <w:szCs w:val="20"/>
                <w:color w:val="auto"/>
              </w:rPr>
            </w:pPr>
            <w:r>
              <w:rPr>
                <w:rFonts w:ascii="Arial" w:cs="Arial" w:eastAsia="Arial" w:hAnsi="Arial"/>
                <w:sz w:val="14"/>
                <w:szCs w:val="14"/>
                <w:b w:val="1"/>
                <w:bCs w:val="1"/>
                <w:color w:val="auto"/>
              </w:rPr>
              <w:t>Fiscal 2016 ($)</w:t>
            </w:r>
          </w:p>
        </w:tc>
        <w:tc>
          <w:tcPr>
            <w:tcW w:w="1220" w:type="dxa"/>
            <w:vAlign w:val="bottom"/>
          </w:tcPr>
          <w:p>
            <w:pPr>
              <w:spacing w:after="0"/>
              <w:rPr>
                <w:sz w:val="12"/>
                <w:szCs w:val="12"/>
                <w:color w:val="auto"/>
              </w:rPr>
            </w:pPr>
          </w:p>
        </w:tc>
        <w:tc>
          <w:tcPr>
            <w:tcW w:w="144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Fiscal 2015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1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72,776</w:t>
            </w:r>
          </w:p>
        </w:tc>
        <w:tc>
          <w:tcPr>
            <w:tcW w:w="1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1,092,730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Prashanth Mahendra-Rajah</w:t>
            </w:r>
          </w:p>
        </w:tc>
        <w:tc>
          <w:tcPr>
            <w:tcW w:w="1200" w:type="dxa"/>
            <w:vAlign w:val="bottom"/>
          </w:tcPr>
          <w:p>
            <w:pPr>
              <w:spacing w:after="0"/>
              <w:rPr>
                <w:sz w:val="18"/>
                <w:szCs w:val="18"/>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Hassett</w:t>
            </w:r>
          </w:p>
        </w:tc>
        <w:tc>
          <w:tcPr>
            <w:tcW w:w="120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Rick D. Hess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84,144</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22,846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Eileen Wynne</w:t>
            </w:r>
          </w:p>
        </w:tc>
        <w:tc>
          <w:tcPr>
            <w:tcW w:w="120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200" w:type="dxa"/>
            <w:vAlign w:val="bottom"/>
          </w:tcPr>
          <w:p>
            <w:pPr>
              <w:spacing w:after="0"/>
              <w:rPr>
                <w:sz w:val="19"/>
                <w:szCs w:val="19"/>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Control Benefits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 in Control Retention Agreements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entered into change in control retention agreements with each of our executive officers (other than Mr. Hess) and other key employees.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agreements provide for severance benefits if any of the following occurs:</w:t>
      </w:r>
    </w:p>
    <w:p>
      <w:pPr>
        <w:spacing w:after="0" w:line="84" w:lineRule="exact"/>
        <w:rPr>
          <w:sz w:val="20"/>
          <w:szCs w:val="20"/>
          <w:color w:val="auto"/>
        </w:rPr>
      </w:pPr>
    </w:p>
    <w:p>
      <w:pPr>
        <w:ind w:left="1060" w:right="560" w:hanging="316"/>
        <w:spacing w:after="0" w:line="33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4" w:lineRule="exact"/>
        <w:rPr>
          <w:rFonts w:ascii="Arial" w:cs="Arial" w:eastAsia="Arial" w:hAnsi="Arial"/>
          <w:sz w:val="16"/>
          <w:szCs w:val="16"/>
          <w:color w:val="auto"/>
        </w:rPr>
      </w:pPr>
    </w:p>
    <w:p>
      <w:pPr>
        <w:ind w:left="1060" w:right="340" w:hanging="316"/>
        <w:spacing w:after="0" w:line="268"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50" w:lineRule="exact"/>
        <w:rPr>
          <w:rFonts w:ascii="Arial" w:cs="Arial" w:eastAsia="Arial" w:hAnsi="Arial"/>
          <w:sz w:val="18"/>
          <w:szCs w:val="18"/>
          <w:color w:val="auto"/>
        </w:rPr>
      </w:pPr>
    </w:p>
    <w:p>
      <w:pPr>
        <w:ind w:left="1060" w:right="460" w:hanging="316"/>
        <w:spacing w:after="0" w:line="33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 the employee’s employment with us for a reason other than “cause” (as defined in the agreement) or the employee’s death or disability.</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90"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These agreements provide for the following severance benefits in the event of termination following a change in control approved by the Board of</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w:t>
      </w:r>
    </w:p>
    <w:p>
      <w:pPr>
        <w:spacing w:after="0" w:line="84" w:lineRule="exact"/>
        <w:rPr>
          <w:sz w:val="20"/>
          <w:szCs w:val="20"/>
          <w:color w:val="auto"/>
        </w:rPr>
      </w:pPr>
    </w:p>
    <w:p>
      <w:pPr>
        <w:ind w:left="1060" w:right="80" w:hanging="316"/>
        <w:spacing w:after="0" w:line="298"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w:t>
      </w:r>
    </w:p>
    <w:p>
      <w:pPr>
        <w:spacing w:after="0" w:line="31" w:lineRule="exact"/>
        <w:rPr>
          <w:rFonts w:ascii="Arial" w:cs="Arial" w:eastAsia="Arial" w:hAnsi="Arial"/>
          <w:sz w:val="16"/>
          <w:szCs w:val="16"/>
          <w:color w:val="auto"/>
        </w:rPr>
      </w:pPr>
    </w:p>
    <w:p>
      <w:pPr>
        <w:ind w:left="1060" w:right="240" w:hanging="316"/>
        <w:spacing w:after="0" w:line="256"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71" w:lineRule="exact"/>
        <w:rPr>
          <w:sz w:val="20"/>
          <w:szCs w:val="20"/>
          <w:color w:val="auto"/>
        </w:rPr>
      </w:pPr>
    </w:p>
    <w:p>
      <w:pPr>
        <w:ind w:left="200" w:firstLine="441"/>
        <w:spacing w:after="0" w:line="318" w:lineRule="auto"/>
        <w:rPr>
          <w:sz w:val="20"/>
          <w:szCs w:val="20"/>
          <w:color w:val="auto"/>
        </w:rPr>
      </w:pPr>
      <w:r>
        <w:rPr>
          <w:rFonts w:ascii="Arial" w:cs="Arial" w:eastAsia="Arial" w:hAnsi="Arial"/>
          <w:sz w:val="15"/>
          <w:szCs w:val="15"/>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Committee eliminated this provision from any new employee retention agreements.</w:t>
      </w:r>
    </w:p>
    <w:p>
      <w:pPr>
        <w:spacing w:after="0" w:line="10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43" w:lineRule="exact"/>
        <w:rPr>
          <w:sz w:val="20"/>
          <w:szCs w:val="20"/>
          <w:color w:val="auto"/>
        </w:rPr>
      </w:pPr>
    </w:p>
    <w:p>
      <w:pPr>
        <w:ind w:left="200" w:right="180" w:firstLine="441"/>
        <w:spacing w:after="0" w:line="294" w:lineRule="auto"/>
        <w:rPr>
          <w:sz w:val="20"/>
          <w:szCs w:val="20"/>
          <w:color w:val="auto"/>
        </w:rPr>
      </w:pPr>
      <w:r>
        <w:rPr>
          <w:rFonts w:ascii="Arial" w:cs="Arial" w:eastAsia="Arial" w:hAnsi="Arial"/>
          <w:sz w:val="16"/>
          <w:szCs w:val="16"/>
          <w:color w:val="auto"/>
        </w:rPr>
        <w:t>Mr. Pietkiewicz’s Analog Devices Change in Control Retention Agreement also provides that if a termination of his employment occurs under circumstances that would entitle him to receive severance benefits under such agreement as well as severance benefits under his Linear Technology Corporation Change of Control Severance Agreement (described below), then he is entitled to receive the greater of the severance benefits provided for in the Analog Devices Change in Control Retention Agreement and any similar severance benefits (accrued compensation, base salary, cash bonuses and insurance benefits) of the Linear Technology Corporation Change in Control Severance Agreement, as applicable.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Mr. Pietkiewicz’s Linear Technology Corporation Change in Control Severance Agreement.</w:t>
      </w:r>
    </w:p>
    <w:p>
      <w:pPr>
        <w:spacing w:after="0" w:line="90"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Mr. Pietkiewicz is also party to a Linear Technology Change in Control Agreement, which provides that, if the Company terminates his employment without “cause” (as defined in the agreement) or he terminates his employment for “good reason” (also as defined in the agreement) and, in either case, such termination occurs on or before March 10, 2019 (the second anniversary of Linear Technology’s change in control), then, subject to</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780"/>
        <w:spacing w:after="0" w:line="268" w:lineRule="auto"/>
        <w:rPr>
          <w:sz w:val="20"/>
          <w:szCs w:val="20"/>
          <w:color w:val="auto"/>
        </w:rPr>
      </w:pPr>
      <w:r>
        <w:rPr>
          <w:rFonts w:ascii="Arial" w:cs="Arial" w:eastAsia="Arial" w:hAnsi="Arial"/>
          <w:sz w:val="18"/>
          <w:szCs w:val="18"/>
          <w:color w:val="auto"/>
        </w:rPr>
        <w:t>Mr. Pietkiewicz signing and not revoking a separation agreement and mutual release of claims and his continued compliance with the terms of his confidential information and invention assignment agreement, he will receive:</w:t>
      </w:r>
    </w:p>
    <w:p>
      <w:pPr>
        <w:spacing w:after="0" w:line="51" w:lineRule="exact"/>
        <w:rPr>
          <w:sz w:val="20"/>
          <w:szCs w:val="20"/>
          <w:color w:val="auto"/>
        </w:rPr>
      </w:pPr>
    </w:p>
    <w:p>
      <w:pPr>
        <w:ind w:left="1060" w:hanging="316"/>
        <w:spacing w:after="0" w:line="332"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lump sum payment (less applicable withholding taxes) equal to 100% of Mr. Pietkiewicz’s annual base salary as in effect immediately prior to his termination date or, if greater, at the level in effect immediately prior to the change of control of Linear Technology;</w:t>
      </w:r>
    </w:p>
    <w:p>
      <w:pPr>
        <w:spacing w:after="0" w:line="4" w:lineRule="exact"/>
        <w:rPr>
          <w:rFonts w:ascii="Arial" w:cs="Arial" w:eastAsia="Arial" w:hAnsi="Arial"/>
          <w:sz w:val="16"/>
          <w:szCs w:val="16"/>
          <w:color w:val="auto"/>
        </w:rPr>
      </w:pPr>
    </w:p>
    <w:p>
      <w:pPr>
        <w:ind w:left="1060" w:right="140" w:hanging="316"/>
        <w:spacing w:after="0" w:line="294"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lump sum payment (less applicable withholding taxes) equal to 100% of Mr. Pietkiewicz’s bonus amount, which is generally defined as the annualized average of the bonuses paid to Mr. Pietkiewicz over two years of completed bonus periods prior to his termination (or prior to the Linear Technology change of control, if a higher average), or if Mr. Pietkiewicz has held his current position for less than the duration of those bonus periods, then the annualized average of the bonuses paid to Mr. Pietkiewicz for those bonus periods during which he held that position actually completed prior to his termination (or prior to the Linear Technology change of control, if a higher average);</w:t>
      </w:r>
    </w:p>
    <w:p>
      <w:pPr>
        <w:spacing w:after="0" w:line="34" w:lineRule="exact"/>
        <w:rPr>
          <w:rFonts w:ascii="Arial" w:cs="Arial" w:eastAsia="Arial" w:hAnsi="Arial"/>
          <w:sz w:val="16"/>
          <w:szCs w:val="16"/>
          <w:color w:val="auto"/>
        </w:rPr>
      </w:pPr>
    </w:p>
    <w:p>
      <w:pPr>
        <w:ind w:left="1060" w:right="540" w:hanging="316"/>
        <w:spacing w:after="0" w:line="268"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Accelerated vesting of 75% of Mr. Pietkiewicz’s then-unvested equity awards that were assumed by the Company in connection with the acquisition of Linear Technology; and</w:t>
      </w:r>
    </w:p>
    <w:p>
      <w:pPr>
        <w:spacing w:after="0" w:line="50" w:lineRule="exact"/>
        <w:rPr>
          <w:rFonts w:ascii="Arial" w:cs="Arial" w:eastAsia="Arial" w:hAnsi="Arial"/>
          <w:sz w:val="18"/>
          <w:szCs w:val="18"/>
          <w:color w:val="auto"/>
        </w:rPr>
      </w:pPr>
    </w:p>
    <w:p>
      <w:pPr>
        <w:ind w:left="1060" w:right="420" w:hanging="316"/>
        <w:spacing w:after="0" w:line="268"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Reimbursement of Mr. Pietkiewicz’s COBRA premiums for himself and his eligible dependents for a maximum period of 12 months, if he elects continuation coverage pursuant to COBRA.</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Mr. Hess’ Employment Agreement</w:t>
      </w:r>
    </w:p>
    <w:p>
      <w:pPr>
        <w:spacing w:after="0" w:line="90"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In connection with our acquisition of Hittite, we entered into an employment agreement with Mr. Hess that provides for severance benefits if any of the following occurs:</w:t>
      </w:r>
    </w:p>
    <w:p>
      <w:pPr>
        <w:spacing w:after="0" w:line="51" w:lineRule="exact"/>
        <w:rPr>
          <w:sz w:val="20"/>
          <w:szCs w:val="20"/>
          <w:color w:val="auto"/>
        </w:rPr>
      </w:pPr>
    </w:p>
    <w:p>
      <w:pPr>
        <w:ind w:left="1060" w:right="620" w:hanging="316"/>
        <w:spacing w:after="0" w:line="268"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the agreement), we terminate Mr. Hess’ employment for any reason other than “misconduct” (as defined in the agreement) or Mr. Hess’ death or disability; or</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within 24 months after a change in control, Mr. Hess terminates his employment for “good reason” (as defined in the agreement).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Mr. Hess’ employment agreement, a “change in control” occurs:</w:t>
      </w:r>
    </w:p>
    <w:p>
      <w:pPr>
        <w:spacing w:after="0" w:line="90"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 any person or entity becomes the beneficial owner of 50% or more of the combined voting power of our outstanding securities;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the closing of specified mergers of ADI with another entity;</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 our shareholders approve a plan of liquidation;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the closing of the sale of all, or substantially all, of ADI’s assets.</w:t>
      </w:r>
    </w:p>
    <w:p>
      <w:pPr>
        <w:spacing w:after="0" w:line="171" w:lineRule="exact"/>
        <w:rPr>
          <w:sz w:val="20"/>
          <w:szCs w:val="20"/>
          <w:color w:val="auto"/>
        </w:rPr>
      </w:pPr>
    </w:p>
    <w:p>
      <w:pPr>
        <w:ind w:left="200" w:right="380" w:firstLine="441"/>
        <w:spacing w:after="0" w:line="268" w:lineRule="auto"/>
        <w:rPr>
          <w:sz w:val="20"/>
          <w:szCs w:val="20"/>
          <w:color w:val="auto"/>
        </w:rPr>
      </w:pPr>
      <w:r>
        <w:rPr>
          <w:rFonts w:ascii="Arial" w:cs="Arial" w:eastAsia="Arial" w:hAnsi="Arial"/>
          <w:sz w:val="18"/>
          <w:szCs w:val="18"/>
          <w:color w:val="auto"/>
        </w:rPr>
        <w:t>Certain transactions described above may not be treated as a change in control where necessary for compliance with Section 409A of the Internal Revenue Code.</w:t>
      </w:r>
    </w:p>
    <w:p>
      <w:pPr>
        <w:spacing w:after="0" w:line="13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Mr. Hess’ employment agreement provides for the following severance benefits in the event of termination following a change in control (in addition, except as noted, to those due under his general severance benefits described below), conditioned on his execution and delivery of a release of all potential claims against us:</w:t>
      </w:r>
    </w:p>
    <w:p>
      <w:pPr>
        <w:spacing w:after="0" w:line="59" w:lineRule="exact"/>
        <w:rPr>
          <w:sz w:val="20"/>
          <w:szCs w:val="20"/>
          <w:color w:val="auto"/>
        </w:rPr>
      </w:pPr>
    </w:p>
    <w:p>
      <w:pPr>
        <w:jc w:val="both"/>
        <w:ind w:left="1060" w:right="20" w:hanging="316"/>
        <w:spacing w:after="0" w:line="259"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payment in an amount equal to the excess, if any, of 299% of Mr. Hess’ annual base salary (as of the date of termination or the date of the change of control, whichever is higher) over the amount equal to the salary component of Mr. Hess’ severance benefit outside of a change in control (i.e., the higher of his annual base salary or $650,000);</w:t>
      </w:r>
    </w:p>
    <w:p>
      <w:pPr>
        <w:spacing w:after="0" w:line="59"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payment of the excess, if any, of (x) 299% of the aggregate cash bonuses paid or awarded to Mr. Hess for the four fiscal quarters preceding the effective date of termination (or $650,000, whichever is higher), over (y) the amount equal to the product of Mr. Hess’ target cash incentive bonus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for the year in which termination occurs (or $650,000, whichever is higher), multiplied by the sum of 1.0 plus a fraction equal to the quotient of the number of days during such year in which he was employed by us, divided by 365;</w:t>
      </w:r>
    </w:p>
    <w:p>
      <w:pPr>
        <w:spacing w:after="0" w:line="51" w:lineRule="exact"/>
        <w:rPr>
          <w:sz w:val="20"/>
          <w:szCs w:val="20"/>
          <w:color w:val="auto"/>
        </w:rPr>
      </w:pPr>
    </w:p>
    <w:p>
      <w:pPr>
        <w:ind w:left="1060" w:right="300" w:hanging="316"/>
        <w:spacing w:after="0" w:line="256"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payment of all legal fees (excluding taxes) incurred by Mr. Hess as a result of such termination (including all such fees and expenses, if any, incurred in disputing such termination or seeking to obtain or enforce any right or benefit provided by the employment agreement or in connection with tax audit or proceeding to the extent attributable to the application of Section 4999 of the Internal Revenue Code to any payment or benefit provided under the agreement); and</w:t>
      </w:r>
    </w:p>
    <w:p>
      <w:pPr>
        <w:spacing w:after="0" w:line="62" w:lineRule="exact"/>
        <w:rPr>
          <w:rFonts w:ascii="Arial" w:cs="Arial" w:eastAsia="Arial" w:hAnsi="Arial"/>
          <w:sz w:val="18"/>
          <w:szCs w:val="18"/>
          <w:color w:val="auto"/>
        </w:rPr>
      </w:pPr>
    </w:p>
    <w:p>
      <w:pPr>
        <w:ind w:left="1060" w:right="580" w:hanging="316"/>
        <w:spacing w:after="0" w:line="332"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lieu of the COBRA benefits under the general severance benefits, the continuation of life, disability, dental, accident and group health insurance benefits for a period of 24 months, except where continued coverage may result in penalties.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Severance Benefits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Mr. Hess’ Employment Agreement</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Pursuant to Mr. Hess’ employment agreement and in addition to the change in control severance benefits that Mr. Hess may be entitled to as described above under “Change in Control Benefits — Mr. Hess’ Employment Agreement”:</w:t>
      </w:r>
    </w:p>
    <w:p>
      <w:pPr>
        <w:spacing w:after="0" w:line="51" w:lineRule="exact"/>
        <w:rPr>
          <w:sz w:val="20"/>
          <w:szCs w:val="20"/>
          <w:color w:val="auto"/>
        </w:rPr>
      </w:pPr>
    </w:p>
    <w:p>
      <w:pPr>
        <w:ind w:left="1060" w:hanging="316"/>
        <w:spacing w:after="0"/>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we terminate Mr. Hess’ employment for a reason other than “misconduct” (as defined in the agreement) or his death or disability;</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Mr. Hess terminates his employment for “good reason” (as defined in the agreement);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Mr. Hess resigns voluntarily at any time after the second anniversary of the closing date of our acquisition of Hittite,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then, conditioned on his execution and delivery of a release of all potential claims against us, Mr. Hess will be entitled to receive a payment equal to:</w:t>
      </w:r>
    </w:p>
    <w:p>
      <w:pPr>
        <w:spacing w:after="0" w:line="113" w:lineRule="exact"/>
        <w:rPr>
          <w:sz w:val="20"/>
          <w:szCs w:val="20"/>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Hess’ annual base salary (or $650,000, whichever is higher), plus</w:t>
      </w:r>
    </w:p>
    <w:p>
      <w:pPr>
        <w:spacing w:after="0" w:line="9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product of Mr. Hess’ target cash incentive bonus for the year in which termination of employment occurs (or $650,000, whichever is higher), multiplied by the sum of 1.0 plus a fraction equal to the quotient of the number of days during such year in which he was employed by us, divided by 365, plus</w:t>
      </w:r>
    </w:p>
    <w:p>
      <w:pPr>
        <w:spacing w:after="0" w:line="59" w:lineRule="exact"/>
        <w:rPr>
          <w:rFonts w:ascii="Arial" w:cs="Arial" w:eastAsia="Arial" w:hAnsi="Arial"/>
          <w:sz w:val="18"/>
          <w:szCs w:val="18"/>
          <w:color w:val="auto"/>
        </w:rPr>
      </w:pPr>
    </w:p>
    <w:p>
      <w:pPr>
        <w:ind w:left="1060" w:hanging="316"/>
        <w:spacing w:after="0" w:line="332"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difference between the cost of COBRA continuation coverage for Mr. Hess and any dependent who received health insurance coverage prior to such termination for one year and any premium contribution amount applicable to him as of such termination.</w:t>
      </w:r>
    </w:p>
    <w:p>
      <w:pPr>
        <w:spacing w:after="0" w:line="8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in the event of Mr. Hess’ involuntary termination (other than for misconduct) or Mr. Hess’ resignation with good reason, the remaining unvested portion of the equity awards we granted in replacement of Hittite awards in connection with our acquisition of Hittite will be accelerated such that all such awards are fully vested.</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Mr. Zinsner’s Separation Agreement</w:t>
      </w:r>
    </w:p>
    <w:p>
      <w:pPr>
        <w:spacing w:after="0" w:line="9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On March 6, 2017, we announced that David Zinsner, our former Senior Vice President, Finance and Chief Financial Officer was resigning to pursue a new role as president of a venture-backed technology company. Mr. Zinsner’s resignation was not a result of any dispute or disagreement with the Company. In connection with Mr. Zinsner’s separation from the Company and in recognition of his service and contributions to the Company, effective April 18, 2017, we entered into a separation agreement with Mr. Zinsner pursuant to which, in exchange for a one-year non-competition and non-solicitation agreement, Mr. Zinsner received a payment in the amount of</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spacing w:after="0" w:line="332" w:lineRule="auto"/>
        <w:rPr>
          <w:sz w:val="20"/>
          <w:szCs w:val="20"/>
          <w:color w:val="auto"/>
        </w:rPr>
      </w:pPr>
      <w:r>
        <w:rPr>
          <w:rFonts w:ascii="Arial" w:cs="Arial" w:eastAsia="Arial" w:hAnsi="Arial"/>
          <w:sz w:val="16"/>
          <w:szCs w:val="16"/>
          <w:color w:val="auto"/>
        </w:rPr>
        <w:t>$598,994, which represents the payment that he would have received under the Company’s 2017 Executive Performance Incentive Plan for the first half of fiscal 2017 absent his departure. See the Summary Compensation Table for more information regarding the fiscal 2017 compensation for Mr. Zinsner.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Payments upon a change in control for our NEOs (other than Mr. Hess) are calculated based upon the change-in-control retention agreements described above under “Change in Control Benefits — Change in Control Retention Agreements” or “Change in Control Benefits — Mr. Pietkiewicz’s Linear Technology Change in Control Severance Agreement” and, in the case of Mr. Hess, his employment agreement described above under “Change in Control Benefits —Mr. Hess’ Employment Agreement.” Under our 2006 Stock Incentive Plan, in the event of a change in control, employees who have outstanding and unvested awards under our 2006 Stock Incentive Plan, including our NEOs, if they remain employed by ADI, would have one-half of the shares of common stock subject to their then-outstanding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a change in control approved by the Board of Directors (for all executive officers other than Mr. Hess) or a change in control in the case of</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Hess, if we terminate an executive officer’s employment for cause (or “misconduct” in the case of Mr. Hess) or if the executive officer terminates his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her employment other than for good reason (other than Mr. Hess), then the executive officer will receive his or her full base salary and all other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compensation through the date of termination at the rate in effect at the time that the termination notice is given and we will have no further obligations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executive officer. When the employment of an executive officer (other than Mr. Hess) terminates in a situation that does not involve a change in control,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officer is entitled to receive the same benefits as any other terminating employee. This applies regardless of the reason for termination. Mr. Hess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entitled to severance benefits in specified circumstances following the termination of his employment that does not involve a change in control, as described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above in “— Severance Benefits —Mr. Hess’ Employment Agreement.”</w:t>
      </w:r>
    </w:p>
    <w:p>
      <w:pPr>
        <w:spacing w:after="0" w:line="16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On March 6, 2017, we announced that David Zinsner, our former Senior Vice President, Finance and Chief Financial Officer, was resigning to pursue a new role as president of a venture-backed technology company. See “Severance Benefits — Mr. Zinsner’s Separation Agreement” for a description of the severance benefits he received.</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following tables quantify the amounts that would be payable to the NEOs named in the Summary Compensation Table upon termination of their employment. The amounts shown assume that the terminations were effective on the last day of our fiscal year, or October 28, 2017. Mr. Zinsner is not included in the table below as he was not employed by the Company on October 28, 2017. The tables do not include the accumulated benefit under our DCP that would be paid to our NEOs described above under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October 28, 2017. The actual amounts that would be paid out would depend on which options were exercised and, therefore, can only be determined at the time of the executive officer’s termination of employment.</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by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us for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Cause or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any reason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the Named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other than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Misconduct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Officer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by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the Named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Executive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40" w:type="dxa"/>
            <w:vAlign w:val="bottom"/>
            <w:gridSpan w:val="15"/>
          </w:tcPr>
          <w:p>
            <w:pPr>
              <w:jc w:val="center"/>
              <w:spacing w:after="0" w:line="149" w:lineRule="exact"/>
              <w:rPr>
                <w:sz w:val="20"/>
                <w:szCs w:val="20"/>
                <w:color w:val="auto"/>
              </w:rPr>
            </w:pPr>
            <w:r>
              <w:rPr>
                <w:rFonts w:ascii="Arial" w:cs="Arial" w:eastAsia="Arial" w:hAnsi="Arial"/>
                <w:sz w:val="14"/>
                <w:szCs w:val="14"/>
                <w:b w:val="1"/>
                <w:bCs w:val="1"/>
                <w:color w:val="auto"/>
                <w:w w:val="87"/>
              </w:rPr>
              <w:t>Termination by us without Cause or by the Named Executive Officer with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Officer for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March 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86"/>
              </w:rPr>
              <w:t>Good Reason Following a Change in Control</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any Reason</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auto"/>
                <w:w w:val="86"/>
              </w:rPr>
              <w:t>Vincent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4"/>
              </w:rPr>
              <w:t>Prashanth</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Steve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rPr>
              <w:t>Rick 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Eileen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4"/>
              </w:rPr>
              <w:t>Roche</w:t>
            </w:r>
          </w:p>
        </w:tc>
        <w:tc>
          <w:tcPr>
            <w:tcW w:w="1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Mahendra-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John</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Pietkiewicz</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Peter Real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Hess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5"/>
              </w:rPr>
              <w:t>Wynne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Rick 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Steve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60" w:type="dxa"/>
            <w:vAlign w:val="bottom"/>
            <w:gridSpan w:val="3"/>
          </w:tcPr>
          <w:p>
            <w:pPr>
              <w:jc w:val="right"/>
              <w:ind w:right="12"/>
              <w:spacing w:after="0" w:line="149" w:lineRule="exact"/>
              <w:rPr>
                <w:sz w:val="20"/>
                <w:szCs w:val="20"/>
                <w:color w:val="auto"/>
              </w:rPr>
            </w:pPr>
            <w:r>
              <w:rPr>
                <w:rFonts w:ascii="Arial" w:cs="Arial" w:eastAsia="Arial" w:hAnsi="Arial"/>
                <w:sz w:val="14"/>
                <w:szCs w:val="14"/>
                <w:b w:val="1"/>
                <w:bCs w:val="1"/>
                <w:color w:val="auto"/>
              </w:rPr>
              <w:t>(1)(2)(3)(4)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Rajah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Hassett</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(1)(2)(3)(4)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(1)(2)(3)(4)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(1)(2)(3)(4)</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(1)(2)(3)(4)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Hess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Pietkiewicz</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(5)(6)</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(1)(2)(3)(4)</w:t>
            </w:r>
          </w:p>
        </w:tc>
        <w:tc>
          <w:tcPr>
            <w:tcW w:w="86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93"/>
              </w:rPr>
              <w:t>(1)</w:t>
            </w:r>
            <w:r>
              <w:rPr>
                <w:rFonts w:ascii="Arial" w:cs="Arial" w:eastAsia="Arial" w:hAnsi="Arial"/>
                <w:sz w:val="14"/>
                <w:szCs w:val="14"/>
                <w:b w:val="1"/>
                <w:bCs w:val="1"/>
                <w:u w:val="single" w:color="auto"/>
                <w:color w:val="auto"/>
                <w:w w:val="93"/>
              </w:rPr>
              <w:t>(2)(3)(4)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Severance</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2,691,000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1,644,500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1,315,600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1,121,250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1,315,600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650,000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986,700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650,000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Cash Bonus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8,921,135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2,155,247</w:t>
            </w:r>
          </w:p>
        </w:tc>
        <w:tc>
          <w:tcPr>
            <w:tcW w:w="28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1,682,446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2,229,657</w:t>
            </w:r>
          </w:p>
        </w:tc>
        <w:tc>
          <w:tcPr>
            <w:tcW w:w="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3,839,189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1,070,112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1,300,000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562,691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Value of Accelerated Vesting of Stock Awards</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27,394,007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3,992,170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5,294,196</w:t>
            </w:r>
          </w:p>
        </w:tc>
        <w:tc>
          <w:tcPr>
            <w:tcW w:w="28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6,063,408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7,286,750</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8,437,946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2,146,744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713,536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2,131,578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w w:val="93"/>
              </w:rPr>
              <w:t>Value of Accelerated Vesting of Cash Awards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1,083,300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1,083,300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Value of Medical and Other Benefits</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28,860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43,456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42,208</w:t>
            </w:r>
          </w:p>
        </w:tc>
        <w:tc>
          <w:tcPr>
            <w:tcW w:w="28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26,872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7,140</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29,932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Excise Tax Gross Up</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7,655,878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46,690,880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5,680,126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8,807,251</w:t>
            </w:r>
          </w:p>
        </w:tc>
        <w:tc>
          <w:tcPr>
            <w:tcW w:w="28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9,977,276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10,839,147</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12,957,067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4,234,672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2,677,743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4,166,005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4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0" w:lineRule="exact"/>
        <w:rPr>
          <w:sz w:val="20"/>
          <w:szCs w:val="20"/>
          <w:color w:val="auto"/>
        </w:rPr>
      </w:pPr>
    </w:p>
    <w:p>
      <w:pPr>
        <w:jc w:val="both"/>
        <w:ind w:left="640" w:right="160" w:hanging="436"/>
        <w:spacing w:after="0" w:line="306"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Cash severance based upon a multiplier of 299% of the executive officer’s base salary (other than Mr. Hess). For Mr. Hess the amount is equal to his annual base salary plus a lump sum payment in an amount equal to the excess of 299% of his annual base salary over the amount equal to the salary component of Mr. Hess’ severance benefits outside of a change in control (i.e., the higher of his annual base salary or $650,000).</w:t>
      </w:r>
    </w:p>
    <w:p>
      <w:pPr>
        <w:spacing w:after="0" w:line="25" w:lineRule="exact"/>
        <w:rPr>
          <w:rFonts w:ascii="Arial" w:cs="Arial" w:eastAsia="Arial" w:hAnsi="Arial"/>
          <w:sz w:val="16"/>
          <w:szCs w:val="16"/>
          <w:color w:val="auto"/>
        </w:rPr>
      </w:pPr>
    </w:p>
    <w:p>
      <w:pPr>
        <w:ind w:left="640" w:right="60" w:hanging="436"/>
        <w:spacing w:after="0" w:line="291"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Cash bonus based upon a multiplier of 299% of the sum of the executive officer’s total cash bonuses awarded to him in the four fiscal quarters preceding termination (other than Mr. Hess). For Mr. Hess, the amount is equal to the excess, if any, over the amount equal to bonus component of Mr. Hess’ severance benefits outside of a change in control of (x) 299% of the aggregate cash bonuses paid or awarded to Mr. Hess for the four fiscal quarters preceding the effective date of termination (or $650,000, whichever is higher), over (y) the amount equal to the product of Mr. Hess’ target cash incentive bonus for the year in which termination occurs (or $650,000, whichever is higher), multiplied by the sum of 1.0 plus a fraction equal to the quotient of the number of days during such year in which he was employed by us, divided by 365.</w:t>
      </w:r>
    </w:p>
    <w:p>
      <w:pPr>
        <w:spacing w:after="0" w:line="39" w:lineRule="exact"/>
        <w:rPr>
          <w:rFonts w:ascii="Arial" w:cs="Arial" w:eastAsia="Arial" w:hAnsi="Arial"/>
          <w:sz w:val="16"/>
          <w:szCs w:val="16"/>
          <w:color w:val="auto"/>
        </w:rPr>
      </w:pPr>
    </w:p>
    <w:p>
      <w:pPr>
        <w:ind w:left="640" w:right="60" w:hanging="436"/>
        <w:spacing w:after="0" w:line="294"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value of accelerated unvested options as of October 28, 2017 is calculated by taking the difference between the closing price of our common stock on Nasdaq on the last trading day of the fiscal year ($91.21 on October 27, 2017) and the option exercise price and multiplying it by the number of accelerated options. For time- and performance-based RSUs/RSAs the value represents the closing price of our common stock on the last trading day of the fiscal year multiplied by the number of accelerated units. For performance-based RSUs, the number of accelerated units assumes vesting at the target level. Accelerated cash awards are equal to 100% of the award.</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0" w:hanging="436"/>
        <w:spacing w:after="0" w:line="323" w:lineRule="auto"/>
        <w:tabs>
          <w:tab w:leader="none" w:pos="6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As of October 28, 2017, upon termination by us without cause or by the NEO for good reason after a change in control event, the officer would be entitled to acceleration of vesting of all outstanding unvested stock options or time-based and performance-based RSUs granted under the Company’s 2006 Stock Incentive Plan. RSAs assumed by the Company in connection with the acquisition of Linear Technology for Mr. Pietkiewicz were granted under the Linear 2010 Equity Plan and 75% would accelerate upon a change in control. The number of accelerated units/awards would be as follows: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tcPr>
          <w:p>
            <w:pPr>
              <w:spacing w:after="0"/>
              <w:rPr>
                <w:sz w:val="14"/>
                <w:szCs w:val="14"/>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Unvested Cash</w:t>
            </w:r>
          </w:p>
        </w:tc>
        <w:tc>
          <w:tcPr>
            <w:tcW w:w="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Unvested Option</w:t>
            </w: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Unvested Time-</w:t>
            </w:r>
          </w:p>
        </w:tc>
        <w:tc>
          <w:tcPr>
            <w:tcW w:w="21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Unvested 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Awards that</w:t>
            </w:r>
          </w:p>
        </w:tc>
        <w:tc>
          <w:tcPr>
            <w:tcW w:w="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Awards that</w:t>
            </w: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Based RSUs/</w:t>
            </w:r>
          </w:p>
        </w:tc>
        <w:tc>
          <w:tcPr>
            <w:tcW w:w="680" w:type="dxa"/>
            <w:vAlign w:val="bottom"/>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Based RSUs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Accelerate upon</w:t>
            </w:r>
          </w:p>
        </w:tc>
        <w:tc>
          <w:tcPr>
            <w:tcW w:w="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RSAs that</w:t>
            </w:r>
          </w:p>
        </w:tc>
        <w:tc>
          <w:tcPr>
            <w:tcW w:w="680" w:type="dxa"/>
            <w:vAlign w:val="bottom"/>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Accelerate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0" w:type="dxa"/>
            <w:vAlign w:val="bottom"/>
            <w:gridSpan w:val="2"/>
          </w:tcPr>
          <w:p>
            <w:pPr>
              <w:jc w:val="center"/>
              <w:ind w:left="642"/>
              <w:spacing w:after="0" w:line="149" w:lineRule="exact"/>
              <w:rPr>
                <w:sz w:val="20"/>
                <w:szCs w:val="20"/>
                <w:color w:val="auto"/>
              </w:rPr>
            </w:pPr>
            <w:r>
              <w:rPr>
                <w:rFonts w:ascii="Arial" w:cs="Arial" w:eastAsia="Arial" w:hAnsi="Arial"/>
                <w:sz w:val="14"/>
                <w:szCs w:val="14"/>
                <w:b w:val="1"/>
                <w:bCs w:val="1"/>
                <w:color w:val="auto"/>
                <w:w w:val="89"/>
              </w:rPr>
              <w:t>Termination After</w:t>
            </w:r>
          </w:p>
        </w:tc>
        <w:tc>
          <w:tcPr>
            <w:tcW w:w="1720" w:type="dxa"/>
            <w:vAlign w:val="bottom"/>
            <w:gridSpan w:val="2"/>
          </w:tcPr>
          <w:p>
            <w:pPr>
              <w:jc w:val="center"/>
              <w:ind w:left="576"/>
              <w:spacing w:after="0" w:line="149" w:lineRule="exact"/>
              <w:rPr>
                <w:sz w:val="20"/>
                <w:szCs w:val="20"/>
                <w:color w:val="auto"/>
              </w:rPr>
            </w:pPr>
            <w:r>
              <w:rPr>
                <w:rFonts w:ascii="Arial" w:cs="Arial" w:eastAsia="Arial" w:hAnsi="Arial"/>
                <w:sz w:val="14"/>
                <w:szCs w:val="14"/>
                <w:b w:val="1"/>
                <w:bCs w:val="1"/>
                <w:color w:val="auto"/>
                <w:w w:val="90"/>
              </w:rPr>
              <w:t>Termination After</w:t>
            </w: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Accelerate upon</w:t>
            </w:r>
          </w:p>
        </w:tc>
        <w:tc>
          <w:tcPr>
            <w:tcW w:w="680" w:type="dxa"/>
            <w:vAlign w:val="bottom"/>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Termination After a</w:t>
            </w:r>
          </w:p>
        </w:tc>
        <w:tc>
          <w:tcPr>
            <w:tcW w:w="0" w:type="dxa"/>
            <w:vAlign w:val="bottom"/>
          </w:tcPr>
          <w:p>
            <w:pPr>
              <w:spacing w:after="0"/>
              <w:rPr>
                <w:sz w:val="1"/>
                <w:szCs w:val="1"/>
                <w:color w:val="auto"/>
              </w:rPr>
            </w:pPr>
          </w:p>
        </w:tc>
      </w:tr>
      <w:tr>
        <w:trPr>
          <w:trHeight w:val="149"/>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 Change in</w:t>
            </w:r>
          </w:p>
        </w:tc>
        <w:tc>
          <w:tcPr>
            <w:tcW w:w="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Change in</w:t>
            </w:r>
          </w:p>
        </w:tc>
        <w:tc>
          <w:tcPr>
            <w:tcW w:w="1840" w:type="dxa"/>
            <w:vAlign w:val="bottom"/>
            <w:gridSpan w:val="2"/>
          </w:tcPr>
          <w:p>
            <w:pPr>
              <w:jc w:val="center"/>
              <w:ind w:left="595"/>
              <w:spacing w:after="0" w:line="149" w:lineRule="exact"/>
              <w:rPr>
                <w:sz w:val="20"/>
                <w:szCs w:val="20"/>
                <w:color w:val="auto"/>
              </w:rPr>
            </w:pPr>
            <w:r>
              <w:rPr>
                <w:rFonts w:ascii="Arial" w:cs="Arial" w:eastAsia="Arial" w:hAnsi="Arial"/>
                <w:sz w:val="14"/>
                <w:szCs w:val="14"/>
                <w:b w:val="1"/>
                <w:bCs w:val="1"/>
                <w:color w:val="auto"/>
                <w:w w:val="90"/>
              </w:rPr>
              <w:t>Termination After a</w:t>
            </w:r>
          </w:p>
        </w:tc>
        <w:tc>
          <w:tcPr>
            <w:tcW w:w="680" w:type="dxa"/>
            <w:vAlign w:val="bottom"/>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Change in Control at</w:t>
            </w:r>
          </w:p>
        </w:tc>
        <w:tc>
          <w:tcPr>
            <w:tcW w:w="0" w:type="dxa"/>
            <w:vAlign w:val="bottom"/>
          </w:tcPr>
          <w:p>
            <w:pPr>
              <w:spacing w:after="0"/>
              <w:rPr>
                <w:sz w:val="1"/>
                <w:szCs w:val="1"/>
                <w:color w:val="auto"/>
              </w:rPr>
            </w:pPr>
          </w:p>
        </w:tc>
      </w:tr>
      <w:tr>
        <w:trPr>
          <w:trHeight w:val="148"/>
        </w:trPr>
        <w:tc>
          <w:tcPr>
            <w:tcW w:w="2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Control</w:t>
            </w:r>
          </w:p>
        </w:tc>
        <w:tc>
          <w:tcPr>
            <w:tcW w:w="66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Control</w:t>
            </w:r>
          </w:p>
        </w:tc>
        <w:tc>
          <w:tcPr>
            <w:tcW w:w="70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Change in Control</w:t>
            </w:r>
          </w:p>
        </w:tc>
        <w:tc>
          <w:tcPr>
            <w:tcW w:w="680" w:type="dxa"/>
            <w:vAlign w:val="bottom"/>
          </w:tcPr>
          <w:p>
            <w:pPr>
              <w:spacing w:after="0"/>
              <w:rPr>
                <w:sz w:val="12"/>
                <w:szCs w:val="12"/>
                <w:color w:val="auto"/>
              </w:rPr>
            </w:pPr>
          </w:p>
        </w:tc>
        <w:tc>
          <w:tcPr>
            <w:tcW w:w="14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6"/>
              </w:rPr>
              <w:t>Target Achievement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Roche</w:t>
            </w: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392,944</w:t>
            </w: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89,137</w:t>
            </w:r>
          </w:p>
        </w:tc>
        <w:tc>
          <w:tcPr>
            <w:tcW w:w="6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89,137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Prashanth Mahendra-Rajah</w:t>
            </w:r>
          </w:p>
        </w:tc>
        <w:tc>
          <w:tcPr>
            <w:tcW w:w="74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6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23,756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Hassett</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61,248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Steve Pietkiewicz</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1,083,100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30,391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47,441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Real</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84,918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Rick D. Hess</w:t>
            </w:r>
          </w:p>
        </w:tc>
        <w:tc>
          <w:tcPr>
            <w:tcW w:w="74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103,232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36,619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Eileen Wynne</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26,783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40" w:right="40" w:hanging="436"/>
        <w:spacing w:after="0" w:line="286" w:lineRule="auto"/>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include life, disability, dental, accident and group health insurance benefit continuation for 24 months after a termination in connection with a change in control. The annual benefit costs for each executive are: $14,430 for Mr. Roche, $21,728 for Mr. Mahendra-Rajah, $21,104 for</w:t>
      </w:r>
    </w:p>
    <w:p>
      <w:pPr>
        <w:ind w:left="640"/>
        <w:spacing w:after="0"/>
        <w:rPr>
          <w:rFonts w:ascii="Arial" w:cs="Arial" w:eastAsia="Arial" w:hAnsi="Arial"/>
          <w:sz w:val="16"/>
          <w:szCs w:val="16"/>
          <w:color w:val="auto"/>
        </w:rPr>
      </w:pPr>
      <w:r>
        <w:rPr>
          <w:rFonts w:ascii="Arial" w:cs="Arial" w:eastAsia="Arial" w:hAnsi="Arial"/>
          <w:sz w:val="18"/>
          <w:szCs w:val="18"/>
          <w:color w:val="auto"/>
        </w:rPr>
        <w:t>Mr. Hassett, $13,436 for Mr. Pietkiewicz, $3,570 for Mr. Real, $14,966 for Mr. Hess, and $15,558 for Ms. Wynne.</w:t>
      </w:r>
    </w:p>
    <w:p>
      <w:pPr>
        <w:spacing w:after="0" w:line="83" w:lineRule="exact"/>
        <w:rPr>
          <w:rFonts w:ascii="Arial" w:cs="Arial" w:eastAsia="Arial" w:hAnsi="Arial"/>
          <w:sz w:val="16"/>
          <w:szCs w:val="16"/>
          <w:color w:val="auto"/>
        </w:rPr>
      </w:pPr>
    </w:p>
    <w:p>
      <w:pPr>
        <w:ind w:left="640" w:right="60" w:hanging="436"/>
        <w:spacing w:after="0" w:line="253"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calculating the excise tax gross-up amounts, we take into account Mr. Roche’s earnings from ADI for the prior five years. We include the change-in-control cash severance and bonus, valuations of unvested stock options that become vested upon a change-in-control (using the fiscal 2017 year-end closing stock price), valuations of time-based and performance-based RSUs that become vested upon a change-in-control (using the fiscal 2017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66" w:lineRule="exact"/>
        <w:rPr>
          <w:rFonts w:ascii="Arial" w:cs="Arial" w:eastAsia="Arial" w:hAnsi="Arial"/>
          <w:sz w:val="18"/>
          <w:szCs w:val="18"/>
          <w:color w:val="auto"/>
        </w:rPr>
      </w:pPr>
    </w:p>
    <w:p>
      <w:pPr>
        <w:ind w:left="640" w:hanging="436"/>
        <w:spacing w:after="0" w:line="291" w:lineRule="auto"/>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the terms of his employment agreement, if Mr. Hess is terminated by us for any reason other than misconduct, or Mr. Hess resigns for any reason, Mr. Hess will be entitled cash severance equal the higher of his annual base salary or $650,000; a cash bonus equal to the product of Mr. Hess’ target cash incentive bonus for the year in which termination of employment occurs (or 650,000, whichever is higher), plus 650,000 multiplied by the sum of 1.0 plus a fraction equal to the quotient of the number of days during such year in which he was employed by us. ; acceleration of the vesting of 7,823 unvested time-based RSUs that were granted to him in connection with our acquisition of Hittite in replacement of Hittite equity awards; and the reimbursement for the difference between the cost of COBRA coverage and Mr. Hess’s annual premium for one year.</w:t>
      </w:r>
    </w:p>
    <w:p>
      <w:pPr>
        <w:spacing w:after="0" w:line="39" w:lineRule="exact"/>
        <w:rPr>
          <w:rFonts w:ascii="Arial" w:cs="Arial" w:eastAsia="Arial" w:hAnsi="Arial"/>
          <w:sz w:val="16"/>
          <w:szCs w:val="16"/>
          <w:color w:val="auto"/>
        </w:rPr>
      </w:pPr>
    </w:p>
    <w:p>
      <w:pPr>
        <w:ind w:left="640" w:right="100" w:hanging="436"/>
        <w:spacing w:after="0" w:line="291" w:lineRule="auto"/>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the terms of the Linear Technology Change in Control Agreement, if the Company terminates Mr. Pietkiewicz’s employment without cause or he terminates his employment for good reason on or before March 10, 2019 (the second anniversary of Linear Technology’s change in control), then he will receive: a lump sum payment equal to 100% of his annual base salary as in effect immediately prior to his termination date; a lump sum payment equal to 100% of his bonus amount; accelerated vesting of 75% of his unvested equity awards assumed by the Company in connection with the acquisition of Linear Technology; and life, disability, dental, accident and group health insurance benefit continuation for 12 months after a termination in connection with a change in control.</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Award Program Description</w:t>
      </w:r>
    </w:p>
    <w:p>
      <w:pPr>
        <w:spacing w:after="0" w:line="96"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for employees, generally vest in five equal installments on each of the first, second, third, fourth and fifth anniversaries of the date of grant, subject to full or partial acceleration upon death, disability or a change in control. The 2006 Stock Incentive Plan does not permit us to grant options at exercise prices that are below the fair market value of our common stock on the date of grant. Generally, our employee time-based RSUs vest in full on the third anniversary of the grant date (or five-year graded vesting for Mr. Pietkiewicz and other legacy Linear Technology employees). Our performance-based RSUs have three year performance periods under which the number of shares of ADI common stock received following vesting, if any, will be based on ADI’s TSR performance measured against the median TSR of a comparator group of companies over the three-year period. Our RSUs are subject to full or partial acceleration upon death, disability or a change in control.</w:t>
      </w:r>
    </w:p>
    <w:p>
      <w:pPr>
        <w:spacing w:after="0" w:line="123" w:lineRule="exact"/>
        <w:rPr>
          <w:sz w:val="20"/>
          <w:szCs w:val="20"/>
          <w:color w:val="auto"/>
        </w:rPr>
      </w:pPr>
    </w:p>
    <w:p>
      <w:pPr>
        <w:ind w:left="200" w:right="560" w:firstLine="441"/>
        <w:spacing w:after="0" w:line="370" w:lineRule="auto"/>
        <w:rPr>
          <w:sz w:val="20"/>
          <w:szCs w:val="20"/>
          <w:color w:val="auto"/>
        </w:rPr>
      </w:pPr>
      <w:r>
        <w:rPr>
          <w:rFonts w:ascii="Arial" w:cs="Arial" w:eastAsia="Arial" w:hAnsi="Arial"/>
          <w:sz w:val="15"/>
          <w:szCs w:val="15"/>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jc w:val="both"/>
        <w:ind w:left="200" w:right="640" w:firstLine="441"/>
        <w:spacing w:after="0" w:line="259" w:lineRule="auto"/>
        <w:rPr>
          <w:sz w:val="20"/>
          <w:szCs w:val="20"/>
          <w:color w:val="auto"/>
        </w:rPr>
      </w:pPr>
      <w:r>
        <w:rPr>
          <w:rFonts w:ascii="Arial" w:cs="Arial" w:eastAsia="Arial" w:hAnsi="Arial"/>
          <w:sz w:val="18"/>
          <w:szCs w:val="18"/>
          <w:color w:val="auto"/>
        </w:rPr>
        <w:t>The following table provides information as of October 28, 2017 about the securities which are either already issued, or authorized for future issuance, under our 2006 Stock Incentive Plan, as well as our 2005 Plan and our 2010 Plan, which were both assumed in connection with the Linear Technology acquisition.</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(b)</w:t>
            </w:r>
          </w:p>
        </w:tc>
        <w:tc>
          <w:tcPr>
            <w:tcW w:w="46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 Securities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440" w:type="dxa"/>
            <w:vAlign w:val="bottom"/>
          </w:tcPr>
          <w:p>
            <w:pPr>
              <w:spacing w:after="0"/>
              <w:rPr>
                <w:sz w:val="12"/>
                <w:szCs w:val="12"/>
                <w:color w:val="auto"/>
              </w:rPr>
            </w:pPr>
          </w:p>
        </w:tc>
        <w:tc>
          <w:tcPr>
            <w:tcW w:w="23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Weighted-Average Exercise</w:t>
            </w:r>
          </w:p>
        </w:tc>
        <w:tc>
          <w:tcPr>
            <w:tcW w:w="460" w:type="dxa"/>
            <w:vAlign w:val="bottom"/>
          </w:tcPr>
          <w:p>
            <w:pPr>
              <w:spacing w:after="0"/>
              <w:rPr>
                <w:sz w:val="12"/>
                <w:szCs w:val="12"/>
                <w:color w:val="auto"/>
              </w:rPr>
            </w:pPr>
          </w:p>
        </w:tc>
        <w:tc>
          <w:tcPr>
            <w:tcW w:w="2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3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40" w:type="dxa"/>
            <w:vAlign w:val="bottom"/>
          </w:tcPr>
          <w:p>
            <w:pPr>
              <w:spacing w:after="0"/>
              <w:rPr>
                <w:sz w:val="12"/>
                <w:szCs w:val="12"/>
                <w:color w:val="auto"/>
              </w:rPr>
            </w:pPr>
          </w:p>
        </w:tc>
        <w:tc>
          <w:tcPr>
            <w:tcW w:w="2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820" w:type="dxa"/>
            <w:vAlign w:val="bottom"/>
            <w:gridSpan w:val="4"/>
          </w:tcPr>
          <w:p>
            <w:pPr>
              <w:ind w:left="440"/>
              <w:spacing w:after="0" w:line="149" w:lineRule="exact"/>
              <w:rPr>
                <w:sz w:val="20"/>
                <w:szCs w:val="20"/>
                <w:color w:val="auto"/>
              </w:rPr>
            </w:pPr>
            <w:r>
              <w:rPr>
                <w:rFonts w:ascii="Arial" w:cs="Arial" w:eastAsia="Arial" w:hAnsi="Arial"/>
                <w:sz w:val="14"/>
                <w:szCs w:val="14"/>
                <w:b w:val="1"/>
                <w:bCs w:val="1"/>
                <w:color w:val="auto"/>
              </w:rPr>
              <w:t>Price of Outstanding Options,</w:t>
            </w:r>
          </w:p>
        </w:tc>
        <w:tc>
          <w:tcPr>
            <w:tcW w:w="2540" w:type="dxa"/>
            <w:vAlign w:val="bottom"/>
            <w:gridSpan w:val="3"/>
          </w:tcPr>
          <w:p>
            <w:pPr>
              <w:jc w:val="center"/>
              <w:ind w:left="99"/>
              <w:spacing w:after="0" w:line="149" w:lineRule="exact"/>
              <w:rPr>
                <w:sz w:val="20"/>
                <w:szCs w:val="20"/>
                <w:color w:val="auto"/>
              </w:rPr>
            </w:pPr>
            <w:r>
              <w:rPr>
                <w:rFonts w:ascii="Arial" w:cs="Arial" w:eastAsia="Arial" w:hAnsi="Arial"/>
                <w:sz w:val="14"/>
                <w:szCs w:val="14"/>
                <w:b w:val="1"/>
                <w:bCs w:val="1"/>
                <w:color w:val="auto"/>
                <w:w w:val="85"/>
              </w:rPr>
              <w:t>(Excluding Securities Reflected</w:t>
            </w:r>
          </w:p>
        </w:tc>
        <w:tc>
          <w:tcPr>
            <w:tcW w:w="0" w:type="dxa"/>
            <w:vAlign w:val="bottom"/>
          </w:tcPr>
          <w:p>
            <w:pPr>
              <w:spacing w:after="0"/>
              <w:rPr>
                <w:sz w:val="1"/>
                <w:szCs w:val="1"/>
                <w:color w:val="auto"/>
              </w:rPr>
            </w:pPr>
          </w:p>
        </w:tc>
      </w:tr>
      <w:tr>
        <w:trPr>
          <w:trHeight w:val="148"/>
        </w:trPr>
        <w:tc>
          <w:tcPr>
            <w:tcW w:w="304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220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460" w:type="dxa"/>
            <w:vAlign w:val="bottom"/>
          </w:tcPr>
          <w:p>
            <w:pPr>
              <w:spacing w:after="0"/>
              <w:rPr>
                <w:sz w:val="12"/>
                <w:szCs w:val="12"/>
                <w:color w:val="auto"/>
              </w:rPr>
            </w:pPr>
          </w:p>
        </w:tc>
        <w:tc>
          <w:tcPr>
            <w:tcW w:w="20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by shareholders</w:t>
            </w:r>
          </w:p>
        </w:tc>
        <w:tc>
          <w:tcPr>
            <w:tcW w:w="2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12,006,628(1)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52.27(2)</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12,595,602(3)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gridSpan w:val="3"/>
          </w:tcPr>
          <w:p>
            <w:pPr>
              <w:ind w:left="200"/>
              <w:spacing w:after="0"/>
              <w:rPr>
                <w:sz w:val="20"/>
                <w:szCs w:val="20"/>
                <w:color w:val="auto"/>
              </w:rPr>
            </w:pPr>
            <w:r>
              <w:rPr>
                <w:rFonts w:ascii="Arial" w:cs="Arial" w:eastAsia="Arial" w:hAnsi="Arial"/>
                <w:sz w:val="18"/>
                <w:szCs w:val="18"/>
                <w:color w:val="auto"/>
              </w:rPr>
              <w:t>approved by shareholders(4)</w:t>
            </w:r>
          </w:p>
        </w:tc>
        <w:tc>
          <w:tcPr>
            <w:tcW w:w="440" w:type="dxa"/>
            <w:vAlign w:val="bottom"/>
          </w:tcPr>
          <w:p>
            <w:pPr>
              <w:spacing w:after="0"/>
              <w:rPr>
                <w:sz w:val="20"/>
                <w:szCs w:val="20"/>
                <w:color w:val="auto"/>
              </w:rPr>
            </w:pPr>
          </w:p>
        </w:tc>
        <w:tc>
          <w:tcPr>
            <w:tcW w:w="2200" w:type="dxa"/>
            <w:vAlign w:val="bottom"/>
            <w:gridSpan w:val="2"/>
          </w:tcPr>
          <w:p>
            <w:pPr>
              <w:jc w:val="right"/>
              <w:ind w:right="460"/>
              <w:spacing w:after="0"/>
              <w:rPr>
                <w:sz w:val="20"/>
                <w:szCs w:val="20"/>
                <w:color w:val="auto"/>
              </w:rPr>
            </w:pPr>
            <w:r>
              <w:rPr>
                <w:rFonts w:ascii="Arial" w:cs="Arial" w:eastAsia="Arial" w:hAnsi="Arial"/>
                <w:sz w:val="18"/>
                <w:szCs w:val="18"/>
                <w:color w:val="auto"/>
              </w:rPr>
              <w:t>3,021,034(4)</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2,051,605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15,027,662</w:t>
            </w:r>
          </w:p>
        </w:tc>
        <w:tc>
          <w:tcPr>
            <w:tcW w:w="6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44.43(2)</w:t>
            </w:r>
          </w:p>
        </w:tc>
        <w:tc>
          <w:tcPr>
            <w:tcW w:w="460" w:type="dxa"/>
            <w:vAlign w:val="bottom"/>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14,647,207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2,467,316 RSUs under our 2006 Stock Incentive Plan that were outstanding on October 28, 2017.</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weighted average exercise price of outstanding options, warrants and rights excludes RSUs, which do not have an exercise price.</w:t>
      </w:r>
    </w:p>
    <w:p>
      <w:pPr>
        <w:spacing w:after="0" w:line="113" w:lineRule="exact"/>
        <w:rPr>
          <w:rFonts w:ascii="Arial" w:cs="Arial" w:eastAsia="Arial" w:hAnsi="Arial"/>
          <w:sz w:val="16"/>
          <w:szCs w:val="16"/>
          <w:color w:val="auto"/>
        </w:rPr>
      </w:pPr>
    </w:p>
    <w:p>
      <w:pPr>
        <w:ind w:left="640" w:right="140" w:hanging="436"/>
        <w:spacing w:after="0" w:line="255"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2006 Stock Incentive Plan, which was approved by shareholders in March 2014, allows for the issuance of 34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on options or stock appreciation rights, or surrendered but not issued as new awards under a shareholder approved option exchange program are not available for use under the plan.</w:t>
      </w:r>
    </w:p>
    <w:p>
      <w:pPr>
        <w:spacing w:after="0" w:line="61" w:lineRule="exact"/>
        <w:rPr>
          <w:rFonts w:ascii="Arial" w:cs="Arial" w:eastAsia="Arial" w:hAnsi="Arial"/>
          <w:sz w:val="18"/>
          <w:szCs w:val="18"/>
          <w:color w:val="auto"/>
        </w:rPr>
      </w:pPr>
    </w:p>
    <w:p>
      <w:pPr>
        <w:ind w:left="640" w:right="40" w:hanging="436"/>
        <w:spacing w:after="0" w:line="259"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connection with the acquisition of Linear Technology in March 2017, we assumed the 2005 Plan and the 2010 Plan and issued 2.8 million RSU and RSA awards, in the aggregate, in replacement of outstanding and unvested Linear Technology equity awards under such plans. The 2010 Plan allows for the future issuance of up to 2.9 million additional shares of our common stock.</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9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Employee Service Award Program is designed to recognize and thank employees for their long-term working relationship with ADI. All regular employees other than executive officers are eligible to receive these awards in the form of shares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Nasdaq on a specified date. The shares awarded are issued under our 2006 Stock Incentive Plan. Our Board of Directors may terminate, amend or suspend the program at any time at its discretion.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200" w:right="160" w:firstLine="441"/>
        <w:spacing w:after="0" w:line="306" w:lineRule="auto"/>
        <w:rPr>
          <w:sz w:val="20"/>
          <w:szCs w:val="20"/>
          <w:color w:val="auto"/>
        </w:rPr>
      </w:pPr>
      <w:r>
        <w:rPr>
          <w:rFonts w:ascii="Arial" w:cs="Arial" w:eastAsia="Arial" w:hAnsi="Arial"/>
          <w:sz w:val="16"/>
          <w:szCs w:val="16"/>
          <w:color w:val="auto"/>
        </w:rPr>
        <w:t>During fiscal 2017, Messrs. Novich and Beyer and Drs. Frank and Su served as members of our Compensation Committee. No member of our Compensation Committee was at any time during fiscal 2017, or formerly, an officer or employee of ADI or any subsidiary of ADI. No member of our Compensation Committee had any relationship with us during fiscal 2017 requiring disclosure under Item 404 of Regulation S-K under the Exchange Act.</w:t>
      </w:r>
    </w:p>
    <w:p>
      <w:pPr>
        <w:spacing w:after="0" w:line="107" w:lineRule="exact"/>
        <w:rPr>
          <w:sz w:val="20"/>
          <w:szCs w:val="20"/>
          <w:color w:val="auto"/>
        </w:rPr>
      </w:pPr>
    </w:p>
    <w:p>
      <w:pPr>
        <w:jc w:val="both"/>
        <w:ind w:left="200" w:right="460" w:firstLine="441"/>
        <w:spacing w:after="0" w:line="259" w:lineRule="auto"/>
        <w:rPr>
          <w:sz w:val="20"/>
          <w:szCs w:val="20"/>
          <w:color w:val="auto"/>
        </w:rPr>
      </w:pPr>
      <w:r>
        <w:rPr>
          <w:rFonts w:ascii="Arial" w:cs="Arial" w:eastAsia="Arial" w:hAnsi="Arial"/>
          <w:sz w:val="18"/>
          <w:szCs w:val="18"/>
          <w:color w:val="auto"/>
        </w:rPr>
        <w:t>During fiscal 2017,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Neil Novich, </w:t>
      </w:r>
      <w:r>
        <w:rPr>
          <w:rFonts w:ascii="Arial" w:cs="Arial" w:eastAsia="Arial" w:hAnsi="Arial"/>
          <w:sz w:val="18"/>
          <w:szCs w:val="18"/>
          <w:i w:val="1"/>
          <w:iCs w:val="1"/>
          <w:color w:val="auto"/>
        </w:rPr>
        <w:t>Chairman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Edward H. Frank</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Lisa T. Su</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3 — RATIFICATION OF SELECTION OF INDEPENDENT REGISTERED PUBLIC ACCOUNTING FIRM</w:t>
      </w:r>
    </w:p>
    <w:p>
      <w:pPr>
        <w:spacing w:after="0" w:line="177"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the Company’s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 of the Company and our shareholders.</w:t>
      </w:r>
    </w:p>
    <w:p>
      <w:pPr>
        <w:spacing w:after="0" w:line="14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Audit Committee has selected the firm of Ernst &amp; Young LLP, independent registered public accounting firm, as our auditors for the 2018 fiscal year. Ernst &amp; Young LLP, or its predecessor firms, has served as our independent registered public accounting firm continuously since 1965. Through Ernst &amp; Young’s years of experience with ADI, Ernst &amp; Young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Chairman are directly involved in the selection of Ernst &amp; Young LLP’s lead engagement partner. The Audit Committee also has the sole authority to approve all engagement fees paid to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6958330</wp:posOffset>
            </wp:positionH>
            <wp:positionV relativeFrom="paragraph">
              <wp:posOffset>-459105</wp:posOffset>
            </wp:positionV>
            <wp:extent cx="279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98"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Audit Committee and the Board of Directors believe that the continued retention of Ernst &amp; Young LLP as our independent registered public accounting firm is in the best interest of the Company and our shareholders, and we are asking our shareholders to ratify the selection of Ernst &amp; Young LLP as our independent registered public accounting firm for the 2018 fiscal year.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 of the Company and our shareholders.</w:t>
      </w:r>
    </w:p>
    <w:p>
      <w:pPr>
        <w:spacing w:after="0" w:line="118"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They will have the opportunity to make a statement if they desire to do so and will also be available to respond to appropriate questions from shareholders.</w:t>
      </w:r>
    </w:p>
    <w:p>
      <w:pPr>
        <w:spacing w:after="0" w:line="213" w:lineRule="exact"/>
        <w:rPr>
          <w:sz w:val="20"/>
          <w:szCs w:val="20"/>
          <w:color w:val="auto"/>
        </w:rPr>
      </w:pPr>
    </w:p>
    <w:p>
      <w:pPr>
        <w:ind w:left="200" w:right="380" w:firstLine="441"/>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2018 fiscal year.</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ELECTRONIC VOTING</w:t>
      </w:r>
    </w:p>
    <w:p>
      <w:pPr>
        <w:spacing w:after="0" w:line="17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Notice or proxy card. Proxies submitted over the Internet or by telephone must be received by 11:59 p.m. Eastern Time on March 13, 2018.</w:t>
      </w:r>
    </w:p>
    <w:p>
      <w:pPr>
        <w:spacing w:after="0" w:line="140" w:lineRule="exact"/>
        <w:rPr>
          <w:sz w:val="20"/>
          <w:szCs w:val="20"/>
          <w:color w:val="auto"/>
        </w:rPr>
      </w:pPr>
    </w:p>
    <w:p>
      <w:pPr>
        <w:ind w:left="200" w:right="620" w:firstLine="441"/>
        <w:spacing w:after="0" w:line="268" w:lineRule="auto"/>
        <w:rPr>
          <w:sz w:val="20"/>
          <w:szCs w:val="20"/>
          <w:color w:val="auto"/>
        </w:rPr>
      </w:pPr>
      <w:r>
        <w:rPr>
          <w:rFonts w:ascii="Arial" w:cs="Arial" w:eastAsia="Arial" w:hAnsi="Arial"/>
          <w:sz w:val="18"/>
          <w:szCs w:val="18"/>
          <w:color w:val="auto"/>
        </w:rPr>
        <w:t>If the shares you own are held in “street name” by a bank, broker or other nominee, your bank, broker or other nominee will provide a voting instruction form to you with this proxy statement, which you may use to</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1" w:lineRule="auto"/>
        <w:rPr>
          <w:sz w:val="20"/>
          <w:szCs w:val="20"/>
          <w:color w:val="auto"/>
        </w:rPr>
      </w:pPr>
      <w:r>
        <w:rPr>
          <w:rFonts w:ascii="Arial" w:cs="Arial" w:eastAsia="Arial" w:hAnsi="Arial"/>
          <w:sz w:val="16"/>
          <w:szCs w:val="16"/>
          <w:color w:val="auto"/>
        </w:rPr>
        <w:t xml:space="preserve">direct how your shares will be voted. </w:t>
      </w:r>
      <w:r>
        <w:rPr>
          <w:rFonts w:ascii="Arial" w:cs="Arial" w:eastAsia="Arial" w:hAnsi="Arial"/>
          <w:sz w:val="16"/>
          <w:szCs w:val="16"/>
          <w:b w:val="1"/>
          <w:bCs w:val="1"/>
          <w:color w:val="auto"/>
        </w:rPr>
        <w:t>You must instruct your bank, broker or other nominee how to vote with respect to the election of directors,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“say on pay” advisory vote and the approval of the Analog Devices, Inc. Amended &amp; Restated Executive Section 162(m) Plan; your bank, broker or other nominee cannot exercise its discretion to vote on these matters on your behalf. </w:t>
      </w:r>
      <w:r>
        <w:rPr>
          <w:rFonts w:ascii="Arial" w:cs="Arial" w:eastAsia="Arial" w:hAnsi="Arial"/>
          <w:sz w:val="16"/>
          <w:szCs w:val="16"/>
          <w:color w:val="auto"/>
        </w:rPr>
        <w:t>Many banks and brokers also offer the option of voting 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Internet or by telephone, instructions for which would be provided by your bank or broker on your voting instruction form.</w:t>
      </w:r>
    </w:p>
    <w:p>
      <w:pPr>
        <w:spacing w:after="0" w:line="103" w:lineRule="exact"/>
        <w:rPr>
          <w:sz w:val="20"/>
          <w:szCs w:val="20"/>
          <w:color w:val="auto"/>
        </w:rPr>
      </w:pPr>
    </w:p>
    <w:p>
      <w:pPr>
        <w:ind w:left="200" w:firstLine="441"/>
        <w:spacing w:after="0" w:line="301" w:lineRule="auto"/>
        <w:rPr>
          <w:sz w:val="20"/>
          <w:szCs w:val="20"/>
          <w:color w:val="auto"/>
        </w:rPr>
      </w:pPr>
      <w:r>
        <w:rPr>
          <w:rFonts w:ascii="Arial" w:cs="Arial" w:eastAsia="Arial" w:hAnsi="Arial"/>
          <w:sz w:val="16"/>
          <w:szCs w:val="16"/>
          <w:b w:val="1"/>
          <w:bCs w:val="1"/>
          <w:color w:val="auto"/>
        </w:rPr>
        <w:t>We hope that shareholders will attend the Annual Meeting. Whether or not you plan to attend, we urge you to vote your shares over the Internet or by telephone, or complete, date, sign and return the proxy card in the accompanying postage-prepaid envelope if you received a printed proxy card. A prompt response will greatly facilitate arrangements for the Annual Meeting and your cooperation will be appreciated. Shareholders who attend the Annual Meeting may vote their shares personally even though they have previously sent in their proxies.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Reconciliation from GAAP to Non-GAAP Revenue and Earnings Measures</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per-share amounts)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Months Ended</w:t>
            </w:r>
          </w:p>
        </w:tc>
      </w:tr>
      <w:tr>
        <w:trPr>
          <w:trHeight w:val="129"/>
        </w:trPr>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0"/>
              </w:rPr>
              <w:t>FY 17</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96"/>
              </w:rPr>
              <w:t>FY 16</w:t>
            </w:r>
          </w:p>
        </w:tc>
        <w:tc>
          <w:tcPr>
            <w:tcW w:w="200" w:type="dxa"/>
            <w:vAlign w:val="bottom"/>
          </w:tcPr>
          <w:p>
            <w:pPr>
              <w:spacing w:after="0"/>
              <w:rPr>
                <w:sz w:val="11"/>
                <w:szCs w:val="11"/>
                <w:color w:val="auto"/>
              </w:rPr>
            </w:pP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Oct. 28,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Oct. 29,</w:t>
            </w:r>
          </w:p>
        </w:tc>
      </w:tr>
      <w:tr>
        <w:trPr>
          <w:trHeight w:val="161"/>
        </w:trPr>
        <w:tc>
          <w:tcPr>
            <w:tcW w:w="44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2017</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440" w:type="dxa"/>
            <w:vAlign w:val="bottom"/>
          </w:tcPr>
          <w:p>
            <w:pPr>
              <w:spacing w:after="0"/>
              <w:rPr>
                <w:sz w:val="18"/>
                <w:szCs w:val="18"/>
                <w:color w:val="auto"/>
              </w:rPr>
            </w:pPr>
          </w:p>
        </w:tc>
        <w:tc>
          <w:tcPr>
            <w:tcW w:w="7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GAAP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5,107,503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3,421,409</w:t>
            </w:r>
          </w:p>
        </w:tc>
        <w:tc>
          <w:tcPr>
            <w:tcW w:w="2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i w:val="1"/>
                <w:iCs w:val="1"/>
                <w:color w:val="auto"/>
              </w:rPr>
              <w:t>Y/Y Revenue growth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49.3%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i w:val="1"/>
                <w:iCs w:val="1"/>
                <w:color w:val="auto"/>
              </w:rPr>
              <w:t>— %</w:t>
            </w: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Deferred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8080" w:type="dxa"/>
            <w:vAlign w:val="bottom"/>
            <w:gridSpan w:val="3"/>
          </w:tcPr>
          <w:p>
            <w:pPr>
              <w:ind w:left="420"/>
              <w:spacing w:after="0"/>
              <w:rPr>
                <w:sz w:val="20"/>
                <w:szCs w:val="20"/>
                <w:color w:val="auto"/>
              </w:rPr>
            </w:pPr>
            <w:r>
              <w:rPr>
                <w:rFonts w:ascii="Arial" w:cs="Arial" w:eastAsia="Arial" w:hAnsi="Arial"/>
                <w:sz w:val="18"/>
                <w:szCs w:val="18"/>
                <w:color w:val="auto"/>
              </w:rPr>
              <w:t>Non-GAAP Revenue</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5,192,837</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3,421,409</w:t>
            </w:r>
          </w:p>
        </w:tc>
        <w:tc>
          <w:tcPr>
            <w:tcW w:w="2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4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Y/Y Revenue growth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51.8%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i w:val="1"/>
                <w:iCs w:val="1"/>
                <w:color w:val="auto"/>
              </w:rPr>
              <w:t>— %</w:t>
            </w:r>
          </w:p>
        </w:tc>
      </w:tr>
      <w:tr>
        <w:trPr>
          <w:trHeight w:val="216"/>
        </w:trPr>
        <w:tc>
          <w:tcPr>
            <w:tcW w:w="4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GAAP Gross Margin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3,061,596</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2,227,173</w:t>
            </w:r>
          </w:p>
        </w:tc>
        <w:tc>
          <w:tcPr>
            <w:tcW w:w="2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Percentage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65.1%</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Acquisition-Related Deferred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66,261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480,438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200" w:type="dxa"/>
            <w:vAlign w:val="bottom"/>
            <w:shd w:val="clear" w:color="auto" w:fill="CCEEFF"/>
          </w:tcPr>
          <w:p>
            <w:pPr>
              <w:spacing w:after="0"/>
              <w:rPr>
                <w:sz w:val="18"/>
                <w:szCs w:val="18"/>
                <w:color w:val="auto"/>
              </w:rPr>
            </w:pPr>
          </w:p>
        </w:tc>
      </w:tr>
      <w:tr>
        <w:trPr>
          <w:trHeight w:val="222"/>
        </w:trPr>
        <w:tc>
          <w:tcPr>
            <w:tcW w:w="8080" w:type="dxa"/>
            <w:vAlign w:val="bottom"/>
            <w:gridSpan w:val="3"/>
          </w:tcPr>
          <w:p>
            <w:pPr>
              <w:ind w:left="420"/>
              <w:spacing w:after="0"/>
              <w:rPr>
                <w:sz w:val="20"/>
                <w:szCs w:val="20"/>
                <w:color w:val="auto"/>
              </w:rPr>
            </w:pPr>
            <w:r>
              <w:rPr>
                <w:rFonts w:ascii="Arial" w:cs="Arial" w:eastAsia="Arial" w:hAnsi="Arial"/>
                <w:sz w:val="18"/>
                <w:szCs w:val="18"/>
                <w:color w:val="auto"/>
              </w:rPr>
              <w:t>Non-GAAP Gross Margin</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3,608,295</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2,234,022</w:t>
            </w:r>
          </w:p>
        </w:tc>
        <w:tc>
          <w:tcPr>
            <w:tcW w:w="2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4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Percentage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69.5%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65.3%</w:t>
            </w:r>
          </w:p>
        </w:tc>
      </w:tr>
      <w:tr>
        <w:trPr>
          <w:trHeight w:val="216"/>
        </w:trPr>
        <w:tc>
          <w:tcPr>
            <w:tcW w:w="44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GAAP Operating Income/Margin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1,055,134</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1,028,112</w:t>
            </w:r>
          </w:p>
        </w:tc>
        <w:tc>
          <w:tcPr>
            <w:tcW w:w="2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Percent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20.7%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30.0%</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Acquisition-Related Deferred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66,261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808,497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77,404</w:t>
            </w:r>
          </w:p>
        </w:tc>
        <w:tc>
          <w:tcPr>
            <w:tcW w:w="2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Acquisition-Related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70,401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13,519</w:t>
            </w:r>
          </w:p>
        </w:tc>
        <w:tc>
          <w:tcPr>
            <w:tcW w:w="2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Restructuring-Related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13,684</w:t>
            </w:r>
          </w:p>
        </w:tc>
        <w:tc>
          <w:tcPr>
            <w:tcW w:w="200" w:type="dxa"/>
            <w:vAlign w:val="bottom"/>
            <w:shd w:val="clear" w:color="auto" w:fill="CCEEFF"/>
          </w:tcPr>
          <w:p>
            <w:pPr>
              <w:spacing w:after="0"/>
              <w:rPr>
                <w:sz w:val="18"/>
                <w:szCs w:val="18"/>
                <w:color w:val="auto"/>
              </w:rPr>
            </w:pPr>
          </w:p>
        </w:tc>
      </w:tr>
      <w:tr>
        <w:trPr>
          <w:trHeight w:val="222"/>
        </w:trPr>
        <w:tc>
          <w:tcPr>
            <w:tcW w:w="8080" w:type="dxa"/>
            <w:vAlign w:val="bottom"/>
            <w:gridSpan w:val="3"/>
          </w:tcPr>
          <w:p>
            <w:pPr>
              <w:ind w:left="420"/>
              <w:spacing w:after="0"/>
              <w:rPr>
                <w:sz w:val="20"/>
                <w:szCs w:val="20"/>
                <w:color w:val="auto"/>
              </w:rPr>
            </w:pPr>
            <w:r>
              <w:rPr>
                <w:rFonts w:ascii="Arial" w:cs="Arial" w:eastAsia="Arial" w:hAnsi="Arial"/>
                <w:sz w:val="18"/>
                <w:szCs w:val="18"/>
                <w:color w:val="auto"/>
              </w:rPr>
              <w:t>Non-GAAP Operating Income/Margin</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2,049,756</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1,132,719</w:t>
            </w:r>
          </w:p>
        </w:tc>
        <w:tc>
          <w:tcPr>
            <w:tcW w:w="2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4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Percent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39.5%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33.1%</w:t>
            </w:r>
          </w:p>
        </w:tc>
      </w:tr>
      <w:tr>
        <w:trPr>
          <w:trHeight w:val="431"/>
        </w:trPr>
        <w:tc>
          <w:tcPr>
            <w:tcW w:w="8080" w:type="dxa"/>
            <w:vAlign w:val="bottom"/>
            <w:gridSpan w:val="3"/>
          </w:tcPr>
          <w:p>
            <w:pPr>
              <w:ind w:left="420"/>
              <w:spacing w:after="0"/>
              <w:rPr>
                <w:sz w:val="20"/>
                <w:szCs w:val="20"/>
                <w:color w:val="auto"/>
              </w:rPr>
            </w:pPr>
            <w:r>
              <w:rPr>
                <w:rFonts w:ascii="Arial" w:cs="Arial" w:eastAsia="Arial" w:hAnsi="Arial"/>
                <w:sz w:val="18"/>
                <w:szCs w:val="18"/>
                <w:b w:val="1"/>
                <w:bCs w:val="1"/>
                <w:color w:val="auto"/>
              </w:rPr>
              <w:t>GAAP Diluted EPS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4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00" w:type="dxa"/>
            <w:vAlign w:val="bottom"/>
          </w:tcPr>
          <w:p>
            <w:pPr>
              <w:spacing w:after="0"/>
              <w:rPr>
                <w:sz w:val="24"/>
                <w:szCs w:val="24"/>
                <w:color w:val="auto"/>
              </w:rPr>
            </w:pPr>
          </w:p>
        </w:tc>
      </w:tr>
      <w:tr>
        <w:trPr>
          <w:trHeight w:val="217"/>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Loss on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Acquisition-Related 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Acquisition-Related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Restructuring-Related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Above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Impact of State Tax Valuation Release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Adjustments to Prior Period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Impact of the Reinstatement of the R&amp;D Tax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r>
      <w:tr>
        <w:trPr>
          <w:trHeight w:val="216"/>
        </w:trPr>
        <w:tc>
          <w:tcPr>
            <w:tcW w:w="44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Tax Remittance for Linear Integration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gridSpan w:val="3"/>
          </w:tcPr>
          <w:p>
            <w:pPr>
              <w:ind w:left="420"/>
              <w:spacing w:after="0"/>
              <w:rPr>
                <w:sz w:val="20"/>
                <w:szCs w:val="20"/>
                <w:color w:val="auto"/>
              </w:rPr>
            </w:pPr>
            <w:r>
              <w:rPr>
                <w:rFonts w:ascii="Arial" w:cs="Arial" w:eastAsia="Arial" w:hAnsi="Arial"/>
                <w:sz w:val="18"/>
                <w:szCs w:val="18"/>
                <w:b w:val="1"/>
                <w:bCs w:val="1"/>
                <w:color w:val="auto"/>
              </w:rPr>
              <w:t>Non-GAAP Diluted EPS(1)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2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sum of the individual per share amounts may not equal the total due to rounding.</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Non-GAAP financial measures included in this Proxy Statement are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240" w:top="459"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believes that the presentation of these non-GAAP measures is useful to investors because it provides investors with the operating results that management uses to manage the Company and enables investors and analysts to evaluate the Company’s core business.</w:t>
      </w:r>
    </w:p>
    <w:p>
      <w:pPr>
        <w:spacing w:after="0" w:line="195" w:lineRule="exact"/>
        <w:rPr>
          <w:sz w:val="20"/>
          <w:szCs w:val="20"/>
          <w:color w:val="auto"/>
        </w:rPr>
      </w:pPr>
    </w:p>
    <w:p>
      <w:pPr>
        <w:ind w:left="200" w:right="620"/>
        <w:spacing w:after="0" w:line="275" w:lineRule="auto"/>
        <w:rPr>
          <w:sz w:val="20"/>
          <w:szCs w:val="20"/>
          <w:color w:val="auto"/>
        </w:rPr>
      </w:pPr>
      <w:r>
        <w:rPr>
          <w:rFonts w:ascii="Arial" w:cs="Arial" w:eastAsia="Arial" w:hAnsi="Arial"/>
          <w:sz w:val="18"/>
          <w:szCs w:val="18"/>
          <w:b w:val="1"/>
          <w:bCs w:val="1"/>
          <w:color w:val="auto"/>
        </w:rPr>
        <w:t>The following items are included in our Non-GAAP revenue, non-GAAP gross margin, non-GAAP operating income, non-GAAP operating margin, and non-GAAP diluted earnings per share:</w:t>
      </w:r>
    </w:p>
    <w:p>
      <w:pPr>
        <w:spacing w:after="0" w:line="45" w:lineRule="exact"/>
        <w:rPr>
          <w:sz w:val="20"/>
          <w:szCs w:val="20"/>
          <w:color w:val="auto"/>
        </w:rPr>
      </w:pPr>
    </w:p>
    <w:p>
      <w:pPr>
        <w:ind w:left="200" w:right="280" w:firstLine="441"/>
        <w:spacing w:after="0" w:line="256" w:lineRule="auto"/>
        <w:rPr>
          <w:sz w:val="20"/>
          <w:szCs w:val="20"/>
          <w:color w:val="auto"/>
        </w:rPr>
      </w:pPr>
      <w:r>
        <w:rPr>
          <w:rFonts w:ascii="Arial" w:cs="Arial" w:eastAsia="Arial" w:hAnsi="Arial"/>
          <w:sz w:val="18"/>
          <w:szCs w:val="18"/>
          <w:i w:val="1"/>
          <w:iCs w:val="1"/>
          <w:color w:val="auto"/>
        </w:rPr>
        <w:t>Acquisition-Related Deferred Revenue</w:t>
      </w:r>
      <w:r>
        <w:rPr>
          <w:rFonts w:ascii="Arial" w:cs="Arial" w:eastAsia="Arial" w:hAnsi="Arial"/>
          <w:sz w:val="18"/>
          <w:szCs w:val="18"/>
          <w:color w:val="auto"/>
        </w:rPr>
        <w:t>: Deferred revenue related to shipments of Linear Technology products by distributors to end customers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received by the distributors prior to the Company’s acquisition of Linear Technology. Business combination accounting principles require the write down of deferred revenue in conjunction with the acquisition. We included these revenues in our non-GAAP measures because they relate to a specific transaction and are reflective of our ongoing financial performance.</w:t>
      </w:r>
    </w:p>
    <w:p>
      <w:pPr>
        <w:spacing w:after="0" w:line="218" w:lineRule="exact"/>
        <w:rPr>
          <w:sz w:val="20"/>
          <w:szCs w:val="20"/>
          <w:color w:val="auto"/>
        </w:rPr>
      </w:pPr>
    </w:p>
    <w:p>
      <w:pPr>
        <w:ind w:left="200" w:right="120"/>
        <w:spacing w:after="0" w:line="275" w:lineRule="auto"/>
        <w:rPr>
          <w:sz w:val="20"/>
          <w:szCs w:val="20"/>
          <w:color w:val="auto"/>
        </w:rPr>
      </w:pPr>
      <w:r>
        <w:rPr>
          <w:rFonts w:ascii="Arial" w:cs="Arial" w:eastAsia="Arial" w:hAnsi="Arial"/>
          <w:sz w:val="18"/>
          <w:szCs w:val="18"/>
          <w:b w:val="1"/>
          <w:bCs w:val="1"/>
          <w:color w:val="auto"/>
        </w:rPr>
        <w:t>The following items are excluded from our non-GAAP gross margin, non-GAAP operating income, non-GAAP operating margin, and non-GAAP diluted earnings per share:</w:t>
      </w:r>
    </w:p>
    <w:p>
      <w:pPr>
        <w:spacing w:after="0" w:line="45"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i w:val="1"/>
          <w:iCs w:val="1"/>
          <w:color w:val="auto"/>
        </w:rPr>
        <w:t>Acquisition-Related Expenses</w:t>
      </w:r>
      <w:r>
        <w:rPr>
          <w:rFonts w:ascii="Arial" w:cs="Arial" w:eastAsia="Arial" w:hAnsi="Arial"/>
          <w:sz w:val="16"/>
          <w:szCs w:val="16"/>
          <w:color w:val="auto"/>
        </w:rPr>
        <w:t>: Expenses incurred as a result of current and prior period acquisitions and primarily include expenses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 acquisition. We excluded these costs from our non-GAAP measures because they relate to specific transactions and are not reflective of our ongoing financial performance.</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The following items are excluded from our non-GAAP operating income, non-GAAP operating margin, and non-GAAP diluted earnings per share:</w:t>
      </w:r>
    </w:p>
    <w:p>
      <w:pPr>
        <w:spacing w:after="0" w:line="13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Acquisition-Related Transaction Costs: </w:t>
      </w:r>
      <w:r>
        <w:rPr>
          <w:rFonts w:ascii="Arial" w:cs="Arial" w:eastAsia="Arial" w:hAnsi="Arial"/>
          <w:sz w:val="18"/>
          <w:szCs w:val="18"/>
          <w:color w:val="auto"/>
        </w:rPr>
        <w:t>Costs directly related to the Linear Technology acquisition, including legal, accounting and other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fees, as well as integration-related costs. We excluded these costs from our non-GAAP measures because they relate to a specific transaction and are not reflective of our ongoing financial performance.</w:t>
      </w:r>
    </w:p>
    <w:p>
      <w:pPr>
        <w:spacing w:after="0" w:line="140" w:lineRule="exact"/>
        <w:rPr>
          <w:sz w:val="20"/>
          <w:szCs w:val="20"/>
          <w:color w:val="auto"/>
        </w:rPr>
      </w:pPr>
    </w:p>
    <w:p>
      <w:pPr>
        <w:ind w:left="200" w:right="280" w:firstLine="441"/>
        <w:spacing w:after="0" w:line="306" w:lineRule="auto"/>
        <w:rPr>
          <w:sz w:val="20"/>
          <w:szCs w:val="20"/>
          <w:color w:val="auto"/>
        </w:rPr>
      </w:pPr>
      <w:r>
        <w:rPr>
          <w:rFonts w:ascii="Arial" w:cs="Arial" w:eastAsia="Arial" w:hAnsi="Arial"/>
          <w:sz w:val="16"/>
          <w:szCs w:val="16"/>
          <w:i w:val="1"/>
          <w:iCs w:val="1"/>
          <w:color w:val="auto"/>
        </w:rPr>
        <w:t xml:space="preserve">Restructuring-Related Expenses: </w:t>
      </w:r>
      <w:r>
        <w:rPr>
          <w:rFonts w:ascii="Arial" w:cs="Arial" w:eastAsia="Arial" w:hAnsi="Arial"/>
          <w:sz w:val="16"/>
          <w:szCs w:val="16"/>
          <w:color w:val="auto"/>
        </w:rPr>
        <w:t>These expenses are incurred in connection with facility closures, consolidation of manufacturing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and other cost reduction efforts. We excluded these expenses from our non-GAAP measures because apart from ongoing expense savings as a result of such items, these expenses and the related tax effects have no direct correlation to the operation of our business in the future.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following items are excluded from our non-GAAP diluted earnings per share:</w:t>
      </w:r>
    </w:p>
    <w:p>
      <w:pPr>
        <w:spacing w:after="0" w:line="96"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In the first quarter of fiscal 2016, the Company redeemed its outstanding 3.0% senior unsecured notes due April 15,</w:t>
      </w:r>
      <w:r>
        <w:rPr>
          <w:rFonts w:ascii="Arial" w:cs="Arial" w:eastAsia="Arial" w:hAnsi="Arial"/>
          <w:sz w:val="18"/>
          <w:szCs w:val="18"/>
          <w:i w:val="1"/>
          <w:iCs w:val="1"/>
          <w:color w:val="auto"/>
        </w:rPr>
        <w:t xml:space="preserve"> </w:t>
      </w:r>
      <w:r>
        <w:rPr>
          <w:rFonts w:ascii="Arial" w:cs="Arial" w:eastAsia="Arial" w:hAnsi="Arial"/>
          <w:sz w:val="18"/>
          <w:szCs w:val="18"/>
          <w:color w:val="auto"/>
        </w:rPr>
        <w:t>2016. The Company recognized a net loss on debt extinguishment of approximately $3.3 million, which was comprised of a make-whole premium and the write off of unamortized debt issuance and discount costs. We excluded these costs from our non-GAAP measures because they are not reflective of our ongoing financial performance.</w:t>
      </w:r>
    </w:p>
    <w:p>
      <w:pPr>
        <w:spacing w:after="0" w:line="143"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i w:val="1"/>
          <w:iCs w:val="1"/>
          <w:color w:val="auto"/>
        </w:rPr>
        <w:t xml:space="preserve">Amortization of Deferred Financing Costs: </w:t>
      </w:r>
      <w:r>
        <w:rPr>
          <w:rFonts w:ascii="Arial" w:cs="Arial" w:eastAsia="Arial" w:hAnsi="Arial"/>
          <w:sz w:val="18"/>
          <w:szCs w:val="18"/>
          <w:color w:val="auto"/>
        </w:rPr>
        <w:t>In the third quarter of fiscal 2016, in connection with the Linear Technology acquisition,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bridge financing commitments and incurred financing fees which will be amortized into interest expense over the term of the bridge financing commitments. In the first quarter of</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fiscal 2017, the Company replaced a portion of the bridge financing commitments with proceeds from the issuance of $2.1 billion of senior unsecured notes. As a result, the Company accelerated $7.2 million of the unamortized bridge financing commitment fees into interest expense. In the fourth quarter of 2016, the Company replaced a portion of the bridge financing commitments with a 3-year and 5-year unsecured term loan facility. As a result, the Company accelerated $13.7 million of the unamortized bridge financing commitment fees into interest expense. We excluded these costs from our non-GAAP measures because they are not reflective of our ongoing financial performance.</w:t>
      </w:r>
    </w:p>
    <w:p>
      <w:pPr>
        <w:spacing w:after="0" w:line="116"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i w:val="1"/>
          <w:iCs w:val="1"/>
          <w:color w:val="auto"/>
        </w:rPr>
        <w:t xml:space="preserve">Tax-Related Items: </w:t>
      </w:r>
      <w:r>
        <w:rPr>
          <w:rFonts w:ascii="Arial" w:cs="Arial" w:eastAsia="Arial" w:hAnsi="Arial"/>
          <w:sz w:val="16"/>
          <w:szCs w:val="16"/>
          <w:color w:val="auto"/>
        </w:rPr>
        <w:t>Tax adjustments associated with the non-GAAP items discussed above. In the fourth quarter of 2017, the Company recorded a</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tax expense associated with a prior period tax liability. In addition, in the third quarter of fiscal 2017, the Company released $50 million of reserves associated with a favorable ruling on its petition with the U.S. Tax Court regarding the beneficial treatment of dividends paid from foreign owned companies under The American Jobs Creation Act. Also, in the third quarter of fiscal 2017, the Company recorded $98 million of tax expense associated with the remittance of cash held outside of the United States related to the post-acquisition integration of Linear Technology. In the second quarter of 2017, the Company also recorded a discrete tax item related to the release of a state tax credit valuation allowance resulting from the Company’s acquisition of Linear Technology. Finally, in the first quarter of 2016, the Company recorded a $7.5 million tax benefit related to the reinstatement of the R&amp;D tax credit in December 2015, retroactive to January 1, 2015. We excluded these tax-related items from our non-GAAP measures because they are not associated with the tax expense on our current operating results.</w:t>
      </w:r>
    </w:p>
    <w:p>
      <w:pPr>
        <w:spacing w:after="0" w:line="12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Analog Devices believes that non-GAAP measures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 Investors should consider our non-GAAP financial measures in conjunction with the corresponding GAAP measures.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3" w:name="page84"/>
    <w:bookmarkEnd w:id="83"/>
    <w:p>
      <w:pPr>
        <w:spacing w:after="0" w:line="191" w:lineRule="auto"/>
        <w:framePr w:w="1680" w:h="128" w:wrap="auto" w:vAnchor="page" w:hAnchor="page" w:x="4060" w:y="7129"/>
        <w:rPr>
          <w:rFonts w:ascii="Arial" w:cs="Arial" w:eastAsia="Arial" w:hAnsi="Arial"/>
          <w:sz w:val="14"/>
          <w:szCs w:val="14"/>
          <w:b w:val="1"/>
          <w:bCs w:val="1"/>
          <w:color w:val="auto"/>
        </w:rPr>
      </w:pPr>
      <w:r>
        <w:rPr>
          <w:rFonts w:ascii="Arial" w:cs="Arial" w:eastAsia="Arial" w:hAnsi="Arial"/>
          <w:sz w:val="14"/>
          <w:szCs w:val="14"/>
          <w:b w:val="1"/>
          <w:bCs w:val="1"/>
          <w:color w:val="auto"/>
        </w:rPr>
        <w:t>For   Against   Abstain</w:t>
      </w:r>
    </w:p>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236855</wp:posOffset>
            </wp:positionH>
            <wp:positionV relativeFrom="paragraph">
              <wp:posOffset>240030</wp:posOffset>
            </wp:positionV>
            <wp:extent cx="1243330" cy="360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43330" cy="360045"/>
                    </a:xfrm>
                    <a:prstGeom prst="rect">
                      <a:avLst/>
                    </a:prstGeom>
                    <a:noFill/>
                  </pic:spPr>
                </pic:pic>
              </a:graphicData>
            </a:graphic>
          </wp:anchor>
        </w:drawing>
      </w:r>
    </w:p>
    <w:p>
      <w:pPr>
        <w:spacing w:after="0" w:line="200" w:lineRule="exact"/>
        <w:rPr>
          <w:rFonts w:ascii="Arial" w:cs="Arial" w:eastAsia="Arial" w:hAnsi="Arial"/>
          <w:sz w:val="14"/>
          <w:szCs w:val="14"/>
          <w:b w:val="1"/>
          <w:bCs w:val="1"/>
          <w:color w:val="auto"/>
        </w:rPr>
      </w:pPr>
    </w:p>
    <w:p>
      <w:pPr>
        <w:spacing w:after="0" w:line="235"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6060" w:type="dxa"/>
            <w:vAlign w:val="bottom"/>
            <w:gridSpan w:val="4"/>
          </w:tcPr>
          <w:p>
            <w:pPr>
              <w:ind w:left="4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06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7"/>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5"/>
        </w:trPr>
        <w:tc>
          <w:tcPr>
            <w:tcW w:w="5360" w:type="dxa"/>
            <w:vAlign w:val="bottom"/>
          </w:tcPr>
          <w:p>
            <w:pPr>
              <w:spacing w:after="0"/>
              <w:rPr>
                <w:sz w:val="12"/>
                <w:szCs w:val="12"/>
                <w:color w:val="auto"/>
              </w:rPr>
            </w:pPr>
          </w:p>
        </w:tc>
        <w:tc>
          <w:tcPr>
            <w:tcW w:w="6060" w:type="dxa"/>
            <w:vAlign w:val="bottom"/>
            <w:gridSpan w:val="4"/>
          </w:tcPr>
          <w:p>
            <w:pPr>
              <w:ind w:left="460"/>
              <w:spacing w:after="0" w:line="145"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5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ANALOG DEVICES, INC.</w:t>
            </w:r>
          </w:p>
        </w:tc>
        <w:tc>
          <w:tcPr>
            <w:tcW w:w="606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5"/>
              </w:rPr>
              <w:t xml:space="preserve">electronically via e-mail or the Internet. </w:t>
            </w:r>
            <w:r>
              <w:rPr>
                <w:rFonts w:ascii="Arial" w:cs="Arial" w:eastAsia="Arial" w:hAnsi="Arial"/>
                <w:sz w:val="14"/>
                <w:szCs w:val="14"/>
                <w:b w:val="1"/>
                <w:bCs w:val="1"/>
                <w:color w:val="auto"/>
                <w:w w:val="95"/>
              </w:rPr>
              <w:t>To sign up for electronic delivery, please follow the</w:t>
            </w:r>
          </w:p>
        </w:tc>
        <w:tc>
          <w:tcPr>
            <w:tcW w:w="0" w:type="dxa"/>
            <w:vAlign w:val="bottom"/>
          </w:tcPr>
          <w:p>
            <w:pPr>
              <w:spacing w:after="0"/>
              <w:rPr>
                <w:sz w:val="1"/>
                <w:szCs w:val="1"/>
                <w:color w:val="auto"/>
              </w:rPr>
            </w:pPr>
          </w:p>
        </w:tc>
      </w:tr>
      <w:tr>
        <w:trPr>
          <w:trHeight w:val="95"/>
        </w:trPr>
        <w:tc>
          <w:tcPr>
            <w:tcW w:w="5360" w:type="dxa"/>
            <w:vAlign w:val="bottom"/>
            <w:vMerge w:val="continue"/>
          </w:tcPr>
          <w:p>
            <w:pPr>
              <w:spacing w:after="0"/>
              <w:rPr>
                <w:sz w:val="8"/>
                <w:szCs w:val="8"/>
                <w:color w:val="auto"/>
              </w:rPr>
            </w:pPr>
          </w:p>
        </w:tc>
        <w:tc>
          <w:tcPr>
            <w:tcW w:w="6060" w:type="dxa"/>
            <w:vAlign w:val="bottom"/>
            <w:gridSpan w:val="4"/>
            <w:vMerge w:val="restart"/>
          </w:tcPr>
          <w:p>
            <w:pPr>
              <w:ind w:left="460"/>
              <w:spacing w:after="0" w:line="149" w:lineRule="exact"/>
              <w:rPr>
                <w:sz w:val="20"/>
                <w:szCs w:val="20"/>
                <w:color w:val="auto"/>
              </w:rPr>
            </w:pPr>
            <w:r>
              <w:rPr>
                <w:rFonts w:ascii="Arial" w:cs="Arial" w:eastAsia="Arial" w:hAnsi="Arial"/>
                <w:sz w:val="14"/>
                <w:szCs w:val="14"/>
                <w:b w:val="1"/>
                <w:bCs w:val="1"/>
                <w:color w:val="auto"/>
                <w:w w:val="93"/>
              </w:rPr>
              <w:t>instructions below to vote using the Internet and, when prompted, indicate that you agree</w:t>
            </w:r>
          </w:p>
        </w:tc>
        <w:tc>
          <w:tcPr>
            <w:tcW w:w="0" w:type="dxa"/>
            <w:vAlign w:val="bottom"/>
          </w:tcPr>
          <w:p>
            <w:pPr>
              <w:spacing w:after="0"/>
              <w:rPr>
                <w:sz w:val="1"/>
                <w:szCs w:val="1"/>
                <w:color w:val="auto"/>
              </w:rPr>
            </w:pPr>
          </w:p>
        </w:tc>
      </w:tr>
      <w:tr>
        <w:trPr>
          <w:trHeight w:val="54"/>
        </w:trPr>
        <w:tc>
          <w:tcPr>
            <w:tcW w:w="5360" w:type="dxa"/>
            <w:vAlign w:val="bottom"/>
            <w:vMerge w:val="restart"/>
          </w:tcPr>
          <w:p>
            <w:pPr>
              <w:ind w:left="360"/>
              <w:spacing w:after="0" w:line="149" w:lineRule="exact"/>
              <w:rPr>
                <w:sz w:val="20"/>
                <w:szCs w:val="20"/>
                <w:color w:val="auto"/>
              </w:rPr>
            </w:pPr>
            <w:r>
              <w:rPr>
                <w:rFonts w:ascii="Arial" w:cs="Arial" w:eastAsia="Arial" w:hAnsi="Arial"/>
                <w:sz w:val="14"/>
                <w:szCs w:val="14"/>
                <w:b w:val="1"/>
                <w:bCs w:val="1"/>
                <w:color w:val="auto"/>
              </w:rPr>
              <w:t>P.O. BOX 9106</w:t>
            </w:r>
          </w:p>
        </w:tc>
        <w:tc>
          <w:tcPr>
            <w:tcW w:w="6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5360" w:type="dxa"/>
            <w:vAlign w:val="bottom"/>
            <w:vMerge w:val="continue"/>
          </w:tcPr>
          <w:p>
            <w:pPr>
              <w:spacing w:after="0"/>
              <w:rPr>
                <w:sz w:val="8"/>
                <w:szCs w:val="8"/>
                <w:color w:val="auto"/>
              </w:rPr>
            </w:pPr>
          </w:p>
        </w:tc>
        <w:tc>
          <w:tcPr>
            <w:tcW w:w="60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to receive or access proxy materials electronically in future years.</w:t>
            </w:r>
          </w:p>
        </w:tc>
        <w:tc>
          <w:tcPr>
            <w:tcW w:w="0" w:type="dxa"/>
            <w:vAlign w:val="bottom"/>
          </w:tcPr>
          <w:p>
            <w:pPr>
              <w:spacing w:after="0"/>
              <w:rPr>
                <w:sz w:val="1"/>
                <w:szCs w:val="1"/>
                <w:color w:val="auto"/>
              </w:rPr>
            </w:pPr>
          </w:p>
        </w:tc>
      </w:tr>
      <w:tr>
        <w:trPr>
          <w:trHeight w:val="92"/>
        </w:trPr>
        <w:tc>
          <w:tcPr>
            <w:tcW w:w="5360" w:type="dxa"/>
            <w:vAlign w:val="bottom"/>
            <w:vMerge w:val="restart"/>
          </w:tcPr>
          <w:p>
            <w:pPr>
              <w:ind w:left="360"/>
              <w:spacing w:after="0" w:line="149" w:lineRule="exact"/>
              <w:rPr>
                <w:sz w:val="20"/>
                <w:szCs w:val="20"/>
                <w:color w:val="auto"/>
              </w:rPr>
            </w:pPr>
            <w:r>
              <w:rPr>
                <w:rFonts w:ascii="Arial" w:cs="Arial" w:eastAsia="Arial" w:hAnsi="Arial"/>
                <w:sz w:val="14"/>
                <w:szCs w:val="14"/>
                <w:b w:val="1"/>
                <w:bCs w:val="1"/>
                <w:color w:val="auto"/>
              </w:rPr>
              <w:t>ATTN: INVESTOR RELATIONS DEPT.</w:t>
            </w:r>
          </w:p>
        </w:tc>
        <w:tc>
          <w:tcPr>
            <w:tcW w:w="6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5360" w:type="dxa"/>
            <w:vAlign w:val="bottom"/>
            <w:vMerge w:val="continue"/>
          </w:tcPr>
          <w:p>
            <w:pPr>
              <w:spacing w:after="0"/>
              <w:rPr>
                <w:sz w:val="4"/>
                <w:szCs w:val="4"/>
                <w:color w:val="auto"/>
              </w:rPr>
            </w:pPr>
          </w:p>
        </w:tc>
        <w:tc>
          <w:tcPr>
            <w:tcW w:w="2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36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ONE TECHNOLOGY WAY</w:t>
            </w:r>
          </w:p>
        </w:tc>
        <w:tc>
          <w:tcPr>
            <w:tcW w:w="20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VOTE BY INTERNET -</w:t>
            </w: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www.proxyvote.com</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360" w:type="dxa"/>
            <w:vAlign w:val="bottom"/>
          </w:tcPr>
          <w:p>
            <w:pPr>
              <w:ind w:left="360"/>
              <w:spacing w:after="0" w:line="125" w:lineRule="exact"/>
              <w:rPr>
                <w:sz w:val="20"/>
                <w:szCs w:val="20"/>
                <w:color w:val="auto"/>
              </w:rPr>
            </w:pPr>
            <w:r>
              <w:rPr>
                <w:rFonts w:ascii="Arial" w:cs="Arial" w:eastAsia="Arial" w:hAnsi="Arial"/>
                <w:sz w:val="14"/>
                <w:szCs w:val="14"/>
                <w:b w:val="1"/>
                <w:bCs w:val="1"/>
                <w:color w:val="auto"/>
              </w:rPr>
              <w:t>NORWOOD, MA 02062-9106</w:t>
            </w:r>
          </w:p>
        </w:tc>
        <w:tc>
          <w:tcPr>
            <w:tcW w:w="2020" w:type="dxa"/>
            <w:vAlign w:val="bottom"/>
            <w:vMerge w:val="continue"/>
          </w:tcPr>
          <w:p>
            <w:pPr>
              <w:spacing w:after="0"/>
              <w:rPr>
                <w:sz w:val="11"/>
                <w:szCs w:val="11"/>
                <w:color w:val="auto"/>
              </w:rPr>
            </w:pPr>
          </w:p>
        </w:tc>
        <w:tc>
          <w:tcPr>
            <w:tcW w:w="1240" w:type="dxa"/>
            <w:vAlign w:val="bottom"/>
            <w:tcBorders>
              <w:bottom w:val="single" w:sz="8" w:color="auto"/>
            </w:tcBorders>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360" w:type="dxa"/>
            <w:vAlign w:val="bottom"/>
          </w:tcPr>
          <w:p>
            <w:pPr>
              <w:spacing w:after="0"/>
              <w:rPr>
                <w:sz w:val="10"/>
                <w:szCs w:val="10"/>
                <w:color w:val="auto"/>
              </w:rPr>
            </w:pPr>
          </w:p>
        </w:tc>
        <w:tc>
          <w:tcPr>
            <w:tcW w:w="6060" w:type="dxa"/>
            <w:vAlign w:val="bottom"/>
            <w:gridSpan w:val="4"/>
          </w:tcPr>
          <w:p>
            <w:pPr>
              <w:ind w:left="460"/>
              <w:spacing w:after="0" w:line="123" w:lineRule="exact"/>
              <w:rPr>
                <w:sz w:val="20"/>
                <w:szCs w:val="20"/>
                <w:color w:val="auto"/>
              </w:rPr>
            </w:pPr>
            <w:r>
              <w:rPr>
                <w:rFonts w:ascii="Arial" w:cs="Arial" w:eastAsia="Arial" w:hAnsi="Arial"/>
                <w:sz w:val="14"/>
                <w:szCs w:val="14"/>
                <w:color w:val="auto"/>
                <w:w w:val="98"/>
              </w:rPr>
              <w:t>Use the Internet to transmit your voting instructions and for electronic delivery of information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06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6"/>
              </w:rPr>
              <w:t>up until 11:59 P.M. Eastern Time on March 13, 2018. Have your proxy card in hand when you</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06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3"/>
              </w:rPr>
              <w:t>access the web site and follow the instructions to obtain your records and to create an electronic</w:t>
            </w:r>
          </w:p>
        </w:tc>
        <w:tc>
          <w:tcPr>
            <w:tcW w:w="0" w:type="dxa"/>
            <w:vAlign w:val="bottom"/>
          </w:tcPr>
          <w:p>
            <w:pPr>
              <w:spacing w:after="0"/>
              <w:rPr>
                <w:sz w:val="1"/>
                <w:szCs w:val="1"/>
                <w:color w:val="auto"/>
              </w:rPr>
            </w:pPr>
          </w:p>
        </w:tc>
      </w:tr>
      <w:tr>
        <w:trPr>
          <w:trHeight w:val="182"/>
        </w:trPr>
        <w:tc>
          <w:tcPr>
            <w:tcW w:w="5360" w:type="dxa"/>
            <w:vAlign w:val="bottom"/>
          </w:tcPr>
          <w:p>
            <w:pPr>
              <w:spacing w:after="0"/>
              <w:rPr>
                <w:sz w:val="15"/>
                <w:szCs w:val="15"/>
                <w:color w:val="auto"/>
              </w:rPr>
            </w:pPr>
          </w:p>
        </w:tc>
        <w:tc>
          <w:tcPr>
            <w:tcW w:w="2980" w:type="dxa"/>
            <w:vAlign w:val="bottom"/>
            <w:gridSpan w:val="2"/>
          </w:tcPr>
          <w:p>
            <w:pPr>
              <w:ind w:left="460"/>
              <w:spacing w:after="0"/>
              <w:rPr>
                <w:sz w:val="20"/>
                <w:szCs w:val="20"/>
                <w:color w:val="auto"/>
              </w:rPr>
            </w:pPr>
            <w:r>
              <w:rPr>
                <w:rFonts w:ascii="Arial" w:cs="Arial" w:eastAsia="Arial" w:hAnsi="Arial"/>
                <w:sz w:val="14"/>
                <w:szCs w:val="14"/>
                <w:color w:val="auto"/>
              </w:rPr>
              <w:t>voting instruction form.</w:t>
            </w: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360" w:type="dxa"/>
            <w:vAlign w:val="bottom"/>
          </w:tcPr>
          <w:p>
            <w:pPr>
              <w:spacing w:after="0"/>
              <w:rPr>
                <w:sz w:val="24"/>
                <w:szCs w:val="24"/>
                <w:color w:val="auto"/>
              </w:rPr>
            </w:pPr>
          </w:p>
        </w:tc>
        <w:tc>
          <w:tcPr>
            <w:tcW w:w="2980" w:type="dxa"/>
            <w:vAlign w:val="bottom"/>
            <w:gridSpan w:val="2"/>
          </w:tcPr>
          <w:p>
            <w:pPr>
              <w:ind w:left="460"/>
              <w:spacing w:after="0"/>
              <w:rPr>
                <w:sz w:val="20"/>
                <w:szCs w:val="20"/>
                <w:color w:val="auto"/>
              </w:rPr>
            </w:pPr>
            <w:r>
              <w:rPr>
                <w:rFonts w:ascii="Arial" w:cs="Arial" w:eastAsia="Arial" w:hAnsi="Arial"/>
                <w:sz w:val="14"/>
                <w:szCs w:val="14"/>
                <w:b w:val="1"/>
                <w:bCs w:val="1"/>
                <w:color w:val="auto"/>
              </w:rPr>
              <w:t>VOTE BY PHONE - 1-800-690-6903</w:t>
            </w: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06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6"/>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06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Time on March 13, 2018. Have your proxy card in hand when you call and then follow the</w:t>
            </w:r>
          </w:p>
        </w:tc>
        <w:tc>
          <w:tcPr>
            <w:tcW w:w="0" w:type="dxa"/>
            <w:vAlign w:val="bottom"/>
          </w:tcPr>
          <w:p>
            <w:pPr>
              <w:spacing w:after="0"/>
              <w:rPr>
                <w:sz w:val="1"/>
                <w:szCs w:val="1"/>
                <w:color w:val="auto"/>
              </w:rPr>
            </w:pPr>
          </w:p>
        </w:tc>
      </w:tr>
      <w:tr>
        <w:trPr>
          <w:trHeight w:val="182"/>
        </w:trPr>
        <w:tc>
          <w:tcPr>
            <w:tcW w:w="5360" w:type="dxa"/>
            <w:vAlign w:val="bottom"/>
          </w:tcPr>
          <w:p>
            <w:pPr>
              <w:spacing w:after="0"/>
              <w:rPr>
                <w:sz w:val="15"/>
                <w:szCs w:val="15"/>
                <w:color w:val="auto"/>
              </w:rPr>
            </w:pPr>
          </w:p>
        </w:tc>
        <w:tc>
          <w:tcPr>
            <w:tcW w:w="2980" w:type="dxa"/>
            <w:vAlign w:val="bottom"/>
            <w:gridSpan w:val="2"/>
          </w:tcPr>
          <w:p>
            <w:pPr>
              <w:ind w:left="460"/>
              <w:spacing w:after="0"/>
              <w:rPr>
                <w:sz w:val="20"/>
                <w:szCs w:val="20"/>
                <w:color w:val="auto"/>
              </w:rPr>
            </w:pPr>
            <w:r>
              <w:rPr>
                <w:rFonts w:ascii="Arial" w:cs="Arial" w:eastAsia="Arial" w:hAnsi="Arial"/>
                <w:sz w:val="14"/>
                <w:szCs w:val="14"/>
                <w:color w:val="auto"/>
              </w:rPr>
              <w:t>instructions.</w:t>
            </w: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360" w:type="dxa"/>
            <w:vAlign w:val="bottom"/>
          </w:tcPr>
          <w:p>
            <w:pPr>
              <w:spacing w:after="0"/>
              <w:rPr>
                <w:sz w:val="24"/>
                <w:szCs w:val="24"/>
                <w:color w:val="auto"/>
              </w:rPr>
            </w:pPr>
          </w:p>
        </w:tc>
        <w:tc>
          <w:tcPr>
            <w:tcW w:w="2980" w:type="dxa"/>
            <w:vAlign w:val="bottom"/>
            <w:gridSpan w:val="2"/>
          </w:tcPr>
          <w:p>
            <w:pPr>
              <w:ind w:left="460"/>
              <w:spacing w:after="0"/>
              <w:rPr>
                <w:sz w:val="20"/>
                <w:szCs w:val="20"/>
                <w:color w:val="auto"/>
              </w:rPr>
            </w:pPr>
            <w:r>
              <w:rPr>
                <w:rFonts w:ascii="Arial" w:cs="Arial" w:eastAsia="Arial" w:hAnsi="Arial"/>
                <w:sz w:val="14"/>
                <w:szCs w:val="14"/>
                <w:b w:val="1"/>
                <w:bCs w:val="1"/>
                <w:color w:val="auto"/>
              </w:rPr>
              <w:t>VOTE BY MAIL</w:t>
            </w: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060" w:type="dxa"/>
            <w:vAlign w:val="bottom"/>
            <w:gridSpan w:val="4"/>
          </w:tcPr>
          <w:p>
            <w:pPr>
              <w:ind w:left="460"/>
              <w:spacing w:after="0" w:line="149" w:lineRule="exact"/>
              <w:rPr>
                <w:sz w:val="20"/>
                <w:szCs w:val="20"/>
                <w:color w:val="auto"/>
              </w:rPr>
            </w:pPr>
            <w:r>
              <w:rPr>
                <w:rFonts w:ascii="Arial" w:cs="Arial" w:eastAsia="Arial" w:hAnsi="Arial"/>
                <w:sz w:val="14"/>
                <w:szCs w:val="14"/>
                <w:color w:val="auto"/>
                <w:w w:val="93"/>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82"/>
        </w:trPr>
        <w:tc>
          <w:tcPr>
            <w:tcW w:w="5360" w:type="dxa"/>
            <w:vAlign w:val="bottom"/>
          </w:tcPr>
          <w:p>
            <w:pPr>
              <w:spacing w:after="0"/>
              <w:rPr>
                <w:sz w:val="15"/>
                <w:szCs w:val="15"/>
                <w:color w:val="auto"/>
              </w:rPr>
            </w:pPr>
          </w:p>
        </w:tc>
        <w:tc>
          <w:tcPr>
            <w:tcW w:w="6060" w:type="dxa"/>
            <w:vAlign w:val="bottom"/>
            <w:gridSpan w:val="4"/>
          </w:tcPr>
          <w:p>
            <w:pPr>
              <w:ind w:left="460"/>
              <w:spacing w:after="0"/>
              <w:rPr>
                <w:sz w:val="20"/>
                <w:szCs w:val="20"/>
                <w:color w:val="auto"/>
              </w:rPr>
            </w:pPr>
            <w:r>
              <w:rPr>
                <w:rFonts w:ascii="Arial" w:cs="Arial" w:eastAsia="Arial" w:hAnsi="Arial"/>
                <w:sz w:val="14"/>
                <w:szCs w:val="14"/>
                <w:color w:val="auto"/>
              </w:rPr>
              <w:t>or return it to Vote Processing, c/o Broadridge, 51 Mercedes Way, Edgewood, NY 11717.</w:t>
            </w:r>
          </w:p>
        </w:tc>
        <w:tc>
          <w:tcPr>
            <w:tcW w:w="0" w:type="dxa"/>
            <w:vAlign w:val="bottom"/>
          </w:tcPr>
          <w:p>
            <w:pPr>
              <w:spacing w:after="0"/>
              <w:rPr>
                <w:sz w:val="1"/>
                <w:szCs w:val="1"/>
                <w:color w:val="auto"/>
              </w:rPr>
            </w:pPr>
          </w:p>
        </w:tc>
      </w:tr>
      <w:tr>
        <w:trPr>
          <w:trHeight w:val="756"/>
        </w:trPr>
        <w:tc>
          <w:tcPr>
            <w:tcW w:w="536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980" w:type="dxa"/>
            <w:vAlign w:val="bottom"/>
            <w:gridSpan w:val="2"/>
            <w:vMerge w:val="restart"/>
          </w:tcPr>
          <w:p>
            <w:pPr>
              <w:ind w:left="1580"/>
              <w:spacing w:after="0"/>
              <w:rPr>
                <w:sz w:val="20"/>
                <w:szCs w:val="20"/>
                <w:color w:val="auto"/>
              </w:rPr>
            </w:pPr>
            <w:r>
              <w:rPr>
                <w:rFonts w:ascii="Arial" w:cs="Arial" w:eastAsia="Arial" w:hAnsi="Arial"/>
                <w:sz w:val="14"/>
                <w:szCs w:val="14"/>
                <w:color w:val="auto"/>
              </w:rPr>
              <w:t>E35390-P00542</w:t>
            </w:r>
          </w:p>
        </w:tc>
        <w:tc>
          <w:tcPr>
            <w:tcW w:w="3080" w:type="dxa"/>
            <w:vAlign w:val="bottom"/>
            <w:gridSpan w:val="2"/>
            <w:vMerge w:val="restart"/>
          </w:tcPr>
          <w:p>
            <w:pPr>
              <w:ind w:left="260"/>
              <w:spacing w:after="0"/>
              <w:rPr>
                <w:sz w:val="20"/>
                <w:szCs w:val="20"/>
                <w:color w:val="auto"/>
              </w:rPr>
            </w:pPr>
            <w:r>
              <w:rPr>
                <w:rFonts w:ascii="Arial" w:cs="Arial" w:eastAsia="Arial" w:hAnsi="Arial"/>
                <w:sz w:val="14"/>
                <w:szCs w:val="14"/>
                <w:color w:val="auto"/>
                <w:w w:val="95"/>
              </w:rPr>
              <w:t>KEEP THIS PORTION FOR YOUR RECORDS</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74" w:lineRule="exact"/>
        <w:rPr>
          <w:rFonts w:ascii="Arial" w:cs="Arial" w:eastAsia="Arial" w:hAnsi="Arial"/>
          <w:sz w:val="14"/>
          <w:szCs w:val="14"/>
          <w:b w:val="1"/>
          <w:bCs w:val="1"/>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242175" cy="3760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2175" cy="3760470"/>
                    </a:xfrm>
                    <a:prstGeom prst="rect">
                      <a:avLst/>
                    </a:prstGeom>
                    <a:noFill/>
                  </pic:spPr>
                </pic:pic>
              </a:graphicData>
            </a:graphic>
          </wp:anchor>
        </w:drawing>
      </w:r>
    </w:p>
    <w:p>
      <w:pPr>
        <w:spacing w:after="0" w:line="127" w:lineRule="exact"/>
        <w:rPr>
          <w:rFonts w:ascii="Arial" w:cs="Arial" w:eastAsia="Arial" w:hAnsi="Arial"/>
          <w:sz w:val="14"/>
          <w:szCs w:val="14"/>
          <w:b w:val="1"/>
          <w:bCs w:val="1"/>
          <w:color w:val="auto"/>
        </w:rPr>
      </w:pPr>
    </w:p>
    <w:p>
      <w:pPr>
        <w:ind w:left="100"/>
        <w:spacing w:after="0"/>
        <w:rPr>
          <w:sz w:val="20"/>
          <w:szCs w:val="20"/>
          <w:color w:val="auto"/>
        </w:rPr>
      </w:pPr>
      <w:r>
        <w:rPr>
          <w:rFonts w:ascii="Arial" w:cs="Arial" w:eastAsia="Arial" w:hAnsi="Arial"/>
          <w:sz w:val="14"/>
          <w:szCs w:val="14"/>
          <w:b w:val="1"/>
          <w:bCs w:val="1"/>
          <w:color w:val="auto"/>
        </w:rPr>
        <w:t>ANALOG DEVICES, INC.</w:t>
      </w:r>
    </w:p>
    <w:p>
      <w:pPr>
        <w:spacing w:after="0" w:line="123" w:lineRule="exact"/>
        <w:rPr>
          <w:rFonts w:ascii="Arial" w:cs="Arial" w:eastAsia="Arial" w:hAnsi="Arial"/>
          <w:sz w:val="14"/>
          <w:szCs w:val="14"/>
          <w:b w:val="1"/>
          <w:bCs w:val="1"/>
          <w:color w:val="auto"/>
        </w:rPr>
      </w:pPr>
    </w:p>
    <w:p>
      <w:pPr>
        <w:ind w:left="320" w:right="1880"/>
        <w:spacing w:after="0" w:line="259" w:lineRule="auto"/>
        <w:rPr>
          <w:sz w:val="20"/>
          <w:szCs w:val="20"/>
          <w:color w:val="auto"/>
        </w:rPr>
      </w:pPr>
      <w:r>
        <w:rPr>
          <w:rFonts w:ascii="Arial" w:cs="Arial" w:eastAsia="Arial" w:hAnsi="Arial"/>
          <w:sz w:val="14"/>
          <w:szCs w:val="14"/>
          <w:color w:val="auto"/>
        </w:rPr>
        <w:t xml:space="preserve">The shares represented by this proxy when properly executed will be voted in the manner directed by the undersigned shareholder. </w:t>
      </w:r>
      <w:r>
        <w:rPr>
          <w:rFonts w:ascii="Arial" w:cs="Arial" w:eastAsia="Arial" w:hAnsi="Arial"/>
          <w:sz w:val="14"/>
          <w:szCs w:val="14"/>
          <w:b w:val="1"/>
          <w:bCs w:val="1"/>
          <w:color w:val="auto"/>
        </w:rPr>
        <w:t>If no direction is made, this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proxy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election of each of the nominees for Director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and 3.</w:t>
      </w:r>
    </w:p>
    <w:p>
      <w:pPr>
        <w:spacing w:after="0" w:line="44" w:lineRule="exact"/>
        <w:rPr>
          <w:rFonts w:ascii="Arial" w:cs="Arial" w:eastAsia="Arial" w:hAnsi="Arial"/>
          <w:sz w:val="14"/>
          <w:szCs w:val="14"/>
          <w:b w:val="1"/>
          <w:bCs w:val="1"/>
          <w:color w:val="auto"/>
        </w:rPr>
      </w:pPr>
    </w:p>
    <w:p>
      <w:pPr>
        <w:ind w:left="3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w:t>
      </w:r>
    </w:p>
    <w:p>
      <w:pPr>
        <w:sectPr>
          <w:pgSz w:w="11900" w:h="16838" w:orient="portrait"/>
          <w:cols w:equalWidth="0" w:num="1">
            <w:col w:w="11420"/>
          </w:cols>
          <w:pgMar w:left="240" w:top="459" w:right="239" w:bottom="1440" w:gutter="0" w:footer="0" w:header="0"/>
        </w:sectPr>
      </w:pPr>
    </w:p>
    <w:p>
      <w:pPr>
        <w:spacing w:after="0" w:line="46" w:lineRule="exact"/>
        <w:rPr>
          <w:rFonts w:ascii="Arial" w:cs="Arial" w:eastAsia="Arial" w:hAnsi="Arial"/>
          <w:sz w:val="14"/>
          <w:szCs w:val="14"/>
          <w:b w:val="1"/>
          <w:bCs w:val="1"/>
          <w:color w:val="auto"/>
        </w:rPr>
      </w:pPr>
    </w:p>
    <w:p>
      <w:pPr>
        <w:ind w:left="620" w:hanging="301"/>
        <w:spacing w:after="0"/>
        <w:tabs>
          <w:tab w:leader="none" w:pos="6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To elect the following nine nominees to our Board of Directors, each for a term</w:t>
      </w:r>
    </w:p>
    <w:p>
      <w:pPr>
        <w:spacing w:after="0" w:line="10" w:lineRule="exact"/>
        <w:rPr>
          <w:rFonts w:ascii="Arial" w:cs="Arial" w:eastAsia="Arial" w:hAnsi="Arial"/>
          <w:sz w:val="14"/>
          <w:szCs w:val="14"/>
          <w:b w:val="1"/>
          <w:bCs w:val="1"/>
          <w:color w:val="auto"/>
        </w:rPr>
      </w:pPr>
    </w:p>
    <w:p>
      <w:pPr>
        <w:ind w:left="620"/>
        <w:spacing w:after="0"/>
        <w:rPr>
          <w:sz w:val="20"/>
          <w:szCs w:val="20"/>
          <w:color w:val="auto"/>
        </w:rPr>
      </w:pPr>
      <w:r>
        <w:rPr>
          <w:rFonts w:ascii="Arial" w:cs="Arial" w:eastAsia="Arial" w:hAnsi="Arial"/>
          <w:sz w:val="13"/>
          <w:szCs w:val="13"/>
          <w:color w:val="auto"/>
        </w:rPr>
        <w:t>expiring at the next Annual Meeting of Shareholders.</w:t>
      </w:r>
    </w:p>
    <w:p>
      <w:pPr>
        <w:ind w:left="700"/>
        <w:spacing w:after="0"/>
        <w:rPr>
          <w:sz w:val="20"/>
          <w:szCs w:val="20"/>
          <w:color w:val="auto"/>
        </w:rPr>
      </w:pPr>
      <w:r>
        <w:rPr>
          <w:rFonts w:ascii="Arial" w:cs="Arial" w:eastAsia="Arial" w:hAnsi="Arial"/>
          <w:sz w:val="14"/>
          <w:szCs w:val="14"/>
          <w:b w:val="1"/>
          <w:bCs w:val="1"/>
          <w:color w:val="auto"/>
        </w:rPr>
        <w:t>Nominees</w:t>
      </w:r>
    </w:p>
    <w:p>
      <w:pPr>
        <w:spacing w:after="0" w:line="70" w:lineRule="exact"/>
        <w:rPr>
          <w:rFonts w:ascii="Arial" w:cs="Arial" w:eastAsia="Arial" w:hAnsi="Arial"/>
          <w:sz w:val="14"/>
          <w:szCs w:val="14"/>
          <w:b w:val="1"/>
          <w:bCs w:val="1"/>
          <w:color w:val="auto"/>
        </w:rPr>
      </w:pPr>
    </w:p>
    <w:tbl>
      <w:tblPr>
        <w:tblLayout w:type="fixed"/>
        <w:tblInd w:w="700" w:type="dxa"/>
        <w:tblCellMar>
          <w:top w:w="0" w:type="dxa"/>
          <w:left w:w="0" w:type="dxa"/>
          <w:bottom w:w="0" w:type="dxa"/>
          <w:right w:w="0" w:type="dxa"/>
        </w:tblCellMar>
      </w:tblPr>
      <w:tr>
        <w:trPr>
          <w:trHeight w:val="226"/>
        </w:trPr>
        <w:tc>
          <w:tcPr>
            <w:tcW w:w="260" w:type="dxa"/>
            <w:vAlign w:val="bottom"/>
          </w:tcPr>
          <w:p>
            <w:pPr>
              <w:spacing w:after="0"/>
              <w:rPr>
                <w:sz w:val="20"/>
                <w:szCs w:val="20"/>
                <w:color w:val="auto"/>
              </w:rPr>
            </w:pPr>
            <w:r>
              <w:rPr>
                <w:rFonts w:ascii="Arial" w:cs="Arial" w:eastAsia="Arial" w:hAnsi="Arial"/>
                <w:sz w:val="14"/>
                <w:szCs w:val="14"/>
                <w:color w:val="auto"/>
              </w:rPr>
              <w:t>1a.</w:t>
            </w:r>
          </w:p>
        </w:tc>
        <w:tc>
          <w:tcPr>
            <w:tcW w:w="2100" w:type="dxa"/>
            <w:vAlign w:val="bottom"/>
          </w:tcPr>
          <w:p>
            <w:pPr>
              <w:ind w:left="60"/>
              <w:spacing w:after="0"/>
              <w:rPr>
                <w:sz w:val="20"/>
                <w:szCs w:val="20"/>
                <w:color w:val="auto"/>
              </w:rPr>
            </w:pPr>
            <w:r>
              <w:rPr>
                <w:rFonts w:ascii="Arial" w:cs="Arial" w:eastAsia="Arial" w:hAnsi="Arial"/>
                <w:sz w:val="14"/>
                <w:szCs w:val="14"/>
                <w:color w:val="auto"/>
              </w:rPr>
              <w:t>Ray Stata</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1b.</w:t>
            </w:r>
          </w:p>
        </w:tc>
        <w:tc>
          <w:tcPr>
            <w:tcW w:w="2100" w:type="dxa"/>
            <w:vAlign w:val="bottom"/>
          </w:tcPr>
          <w:p>
            <w:pPr>
              <w:ind w:left="60"/>
              <w:spacing w:after="0"/>
              <w:rPr>
                <w:sz w:val="20"/>
                <w:szCs w:val="20"/>
                <w:color w:val="auto"/>
              </w:rPr>
            </w:pPr>
            <w:r>
              <w:rPr>
                <w:rFonts w:ascii="Arial" w:cs="Arial" w:eastAsia="Arial" w:hAnsi="Arial"/>
                <w:sz w:val="14"/>
                <w:szCs w:val="14"/>
                <w:color w:val="auto"/>
              </w:rPr>
              <w:t>Vincent Roche</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1c.</w:t>
            </w:r>
          </w:p>
        </w:tc>
        <w:tc>
          <w:tcPr>
            <w:tcW w:w="2100" w:type="dxa"/>
            <w:vAlign w:val="bottom"/>
          </w:tcPr>
          <w:p>
            <w:pPr>
              <w:ind w:left="60"/>
              <w:spacing w:after="0"/>
              <w:rPr>
                <w:sz w:val="20"/>
                <w:szCs w:val="20"/>
                <w:color w:val="auto"/>
              </w:rPr>
            </w:pPr>
            <w:r>
              <w:rPr>
                <w:rFonts w:ascii="Arial" w:cs="Arial" w:eastAsia="Arial" w:hAnsi="Arial"/>
                <w:sz w:val="14"/>
                <w:szCs w:val="14"/>
                <w:color w:val="auto"/>
              </w:rPr>
              <w:t>James A. Champy</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1d.</w:t>
            </w:r>
          </w:p>
        </w:tc>
        <w:tc>
          <w:tcPr>
            <w:tcW w:w="2100" w:type="dxa"/>
            <w:vAlign w:val="bottom"/>
          </w:tcPr>
          <w:p>
            <w:pPr>
              <w:ind w:left="60"/>
              <w:spacing w:after="0"/>
              <w:rPr>
                <w:sz w:val="20"/>
                <w:szCs w:val="20"/>
                <w:color w:val="auto"/>
              </w:rPr>
            </w:pPr>
            <w:r>
              <w:rPr>
                <w:rFonts w:ascii="Arial" w:cs="Arial" w:eastAsia="Arial" w:hAnsi="Arial"/>
                <w:sz w:val="14"/>
                <w:szCs w:val="14"/>
                <w:color w:val="auto"/>
              </w:rPr>
              <w:t>Bruce R. Evans</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1e.</w:t>
            </w:r>
          </w:p>
        </w:tc>
        <w:tc>
          <w:tcPr>
            <w:tcW w:w="2100" w:type="dxa"/>
            <w:vAlign w:val="bottom"/>
          </w:tcPr>
          <w:p>
            <w:pPr>
              <w:ind w:left="60"/>
              <w:spacing w:after="0"/>
              <w:rPr>
                <w:sz w:val="20"/>
                <w:szCs w:val="20"/>
                <w:color w:val="auto"/>
              </w:rPr>
            </w:pPr>
            <w:r>
              <w:rPr>
                <w:rFonts w:ascii="Arial" w:cs="Arial" w:eastAsia="Arial" w:hAnsi="Arial"/>
                <w:sz w:val="14"/>
                <w:szCs w:val="14"/>
                <w:color w:val="auto"/>
              </w:rPr>
              <w:t>Edward H. Frank</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1f.</w:t>
            </w:r>
          </w:p>
        </w:tc>
        <w:tc>
          <w:tcPr>
            <w:tcW w:w="2100" w:type="dxa"/>
            <w:vAlign w:val="bottom"/>
          </w:tcPr>
          <w:p>
            <w:pPr>
              <w:ind w:left="60"/>
              <w:spacing w:after="0"/>
              <w:rPr>
                <w:sz w:val="20"/>
                <w:szCs w:val="20"/>
                <w:color w:val="auto"/>
              </w:rPr>
            </w:pPr>
            <w:r>
              <w:rPr>
                <w:rFonts w:ascii="Arial" w:cs="Arial" w:eastAsia="Arial" w:hAnsi="Arial"/>
                <w:sz w:val="14"/>
                <w:szCs w:val="14"/>
                <w:color w:val="auto"/>
              </w:rPr>
              <w:t>Mark M. Little</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1g.</w:t>
            </w:r>
          </w:p>
        </w:tc>
        <w:tc>
          <w:tcPr>
            <w:tcW w:w="2100" w:type="dxa"/>
            <w:vAlign w:val="bottom"/>
          </w:tcPr>
          <w:p>
            <w:pPr>
              <w:ind w:left="60"/>
              <w:spacing w:after="0"/>
              <w:rPr>
                <w:sz w:val="20"/>
                <w:szCs w:val="20"/>
                <w:color w:val="auto"/>
              </w:rPr>
            </w:pPr>
            <w:r>
              <w:rPr>
                <w:rFonts w:ascii="Arial" w:cs="Arial" w:eastAsia="Arial" w:hAnsi="Arial"/>
                <w:sz w:val="14"/>
                <w:szCs w:val="14"/>
                <w:color w:val="auto"/>
              </w:rPr>
              <w:t>Neil Novich</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1h.</w:t>
            </w:r>
          </w:p>
        </w:tc>
        <w:tc>
          <w:tcPr>
            <w:tcW w:w="2100" w:type="dxa"/>
            <w:vAlign w:val="bottom"/>
          </w:tcPr>
          <w:p>
            <w:pPr>
              <w:ind w:left="60"/>
              <w:spacing w:after="0"/>
              <w:rPr>
                <w:sz w:val="20"/>
                <w:szCs w:val="20"/>
                <w:color w:val="auto"/>
              </w:rPr>
            </w:pPr>
            <w:r>
              <w:rPr>
                <w:rFonts w:ascii="Arial" w:cs="Arial" w:eastAsia="Arial" w:hAnsi="Arial"/>
                <w:sz w:val="14"/>
                <w:szCs w:val="14"/>
                <w:color w:val="auto"/>
              </w:rPr>
              <w:t>Kenton J. Sicchitano</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60" w:type="dxa"/>
            <w:vAlign w:val="bottom"/>
          </w:tcPr>
          <w:p>
            <w:pPr>
              <w:spacing w:after="0"/>
              <w:rPr>
                <w:sz w:val="20"/>
                <w:szCs w:val="20"/>
                <w:color w:val="auto"/>
              </w:rPr>
            </w:pPr>
            <w:r>
              <w:rPr>
                <w:rFonts w:ascii="Arial" w:cs="Arial" w:eastAsia="Arial" w:hAnsi="Arial"/>
                <w:sz w:val="14"/>
                <w:szCs w:val="14"/>
                <w:color w:val="auto"/>
              </w:rPr>
              <w:t>1i.</w:t>
            </w:r>
          </w:p>
        </w:tc>
        <w:tc>
          <w:tcPr>
            <w:tcW w:w="2100" w:type="dxa"/>
            <w:vAlign w:val="bottom"/>
          </w:tcPr>
          <w:p>
            <w:pPr>
              <w:ind w:left="60"/>
              <w:spacing w:after="0"/>
              <w:rPr>
                <w:sz w:val="20"/>
                <w:szCs w:val="20"/>
                <w:color w:val="auto"/>
              </w:rPr>
            </w:pPr>
            <w:r>
              <w:rPr>
                <w:rFonts w:ascii="Arial" w:cs="Arial" w:eastAsia="Arial" w:hAnsi="Arial"/>
                <w:sz w:val="14"/>
                <w:szCs w:val="14"/>
                <w:color w:val="auto"/>
              </w:rPr>
              <w:t>Lisa T. Su</w:t>
            </w:r>
          </w:p>
        </w:tc>
        <w:tc>
          <w:tcPr>
            <w:tcW w:w="1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210" w:lineRule="exact"/>
        <w:rPr>
          <w:rFonts w:ascii="Arial" w:cs="Arial" w:eastAsia="Arial" w:hAnsi="Arial"/>
          <w:sz w:val="14"/>
          <w:szCs w:val="14"/>
          <w:b w:val="1"/>
          <w:bCs w:val="1"/>
          <w:color w:val="auto"/>
        </w:rPr>
      </w:pPr>
    </w:p>
    <w:p>
      <w:pPr>
        <w:spacing w:after="0" w:line="1" w:lineRule="exact"/>
        <w:rPr>
          <w:rFonts w:ascii="Arial" w:cs="Arial" w:eastAsia="Arial" w:hAnsi="Arial"/>
          <w:sz w:val="1"/>
          <w:szCs w:val="1"/>
          <w:b w:val="1"/>
          <w:bCs w:val="1"/>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w w:val="93"/>
              </w:rPr>
              <w:t>The Board of Directors recommends a vote FOR Proposals 2 and</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Arial" w:cs="Arial" w:eastAsia="Arial" w:hAnsi="Arial"/>
                <w:sz w:val="14"/>
                <w:szCs w:val="14"/>
                <w:b w:val="1"/>
                <w:bCs w:val="1"/>
                <w:color w:val="auto"/>
              </w:rPr>
              <w:t>3.</w:t>
            </w:r>
          </w:p>
        </w:tc>
        <w:tc>
          <w:tcPr>
            <w:tcW w:w="300" w:type="dxa"/>
            <w:vAlign w:val="bottom"/>
            <w:tcBorders>
              <w:top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Abstain</w:t>
            </w:r>
          </w:p>
        </w:tc>
      </w:tr>
      <w:tr>
        <w:trPr>
          <w:trHeight w:val="219"/>
        </w:trPr>
        <w:tc>
          <w:tcPr>
            <w:tcW w:w="4080" w:type="dxa"/>
            <w:vAlign w:val="bottom"/>
            <w:gridSpan w:val="3"/>
          </w:tcPr>
          <w:p>
            <w:pPr>
              <w:spacing w:after="0"/>
              <w:rPr>
                <w:sz w:val="20"/>
                <w:szCs w:val="20"/>
                <w:color w:val="auto"/>
              </w:rPr>
            </w:pPr>
            <w:r>
              <w:rPr>
                <w:rFonts w:ascii="Arial" w:cs="Arial" w:eastAsia="Arial" w:hAnsi="Arial"/>
                <w:sz w:val="14"/>
                <w:szCs w:val="14"/>
                <w:color w:val="auto"/>
                <w:w w:val="96"/>
              </w:rPr>
              <w:t>2)  To approve, by non-binding "say-on-pay" vote, the compensation</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43"/>
        </w:trPr>
        <w:tc>
          <w:tcPr>
            <w:tcW w:w="4080" w:type="dxa"/>
            <w:vAlign w:val="bottom"/>
            <w:gridSpan w:val="3"/>
          </w:tcPr>
          <w:p>
            <w:pPr>
              <w:ind w:left="280"/>
              <w:spacing w:after="0" w:line="143" w:lineRule="exact"/>
              <w:rPr>
                <w:sz w:val="20"/>
                <w:szCs w:val="20"/>
                <w:color w:val="auto"/>
              </w:rPr>
            </w:pPr>
            <w:r>
              <w:rPr>
                <w:rFonts w:ascii="Arial" w:cs="Arial" w:eastAsia="Arial" w:hAnsi="Arial"/>
                <w:sz w:val="14"/>
                <w:szCs w:val="14"/>
                <w:color w:val="auto"/>
              </w:rPr>
              <w:t>of our named executive officers, as described in the</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4080" w:type="dxa"/>
            <w:vAlign w:val="bottom"/>
            <w:gridSpan w:val="3"/>
          </w:tcPr>
          <w:p>
            <w:pPr>
              <w:ind w:left="280"/>
              <w:spacing w:after="0" w:line="149" w:lineRule="exact"/>
              <w:rPr>
                <w:sz w:val="20"/>
                <w:szCs w:val="20"/>
                <w:color w:val="auto"/>
              </w:rPr>
            </w:pPr>
            <w:r>
              <w:rPr>
                <w:rFonts w:ascii="Arial" w:cs="Arial" w:eastAsia="Arial" w:hAnsi="Arial"/>
                <w:sz w:val="14"/>
                <w:szCs w:val="14"/>
                <w:color w:val="auto"/>
                <w:w w:val="93"/>
              </w:rPr>
              <w:t>Compensation Discussion and Analysis, executive compensation</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40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tables and accompanying narrative disclosures in our proxy</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2"/>
        </w:trPr>
        <w:tc>
          <w:tcPr>
            <w:tcW w:w="4080" w:type="dxa"/>
            <w:vAlign w:val="bottom"/>
            <w:gridSpan w:val="3"/>
          </w:tcPr>
          <w:p>
            <w:pPr>
              <w:ind w:left="280"/>
              <w:spacing w:after="0"/>
              <w:rPr>
                <w:sz w:val="20"/>
                <w:szCs w:val="20"/>
                <w:color w:val="auto"/>
              </w:rPr>
            </w:pPr>
            <w:r>
              <w:rPr>
                <w:rFonts w:ascii="Arial" w:cs="Arial" w:eastAsia="Arial" w:hAnsi="Arial"/>
                <w:sz w:val="14"/>
                <w:szCs w:val="14"/>
                <w:color w:val="auto"/>
              </w:rPr>
              <w:t>statement.</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8"/>
        </w:trPr>
        <w:tc>
          <w:tcPr>
            <w:tcW w:w="4080" w:type="dxa"/>
            <w:vAlign w:val="bottom"/>
            <w:gridSpan w:val="3"/>
          </w:tcPr>
          <w:p>
            <w:pPr>
              <w:spacing w:after="0"/>
              <w:rPr>
                <w:sz w:val="20"/>
                <w:szCs w:val="20"/>
                <w:color w:val="auto"/>
              </w:rPr>
            </w:pPr>
            <w:r>
              <w:rPr>
                <w:rFonts w:ascii="Arial" w:cs="Arial" w:eastAsia="Arial" w:hAnsi="Arial"/>
                <w:sz w:val="14"/>
                <w:szCs w:val="14"/>
                <w:color w:val="auto"/>
              </w:rPr>
              <w:t>3)  To ratify the selection of Ernst &amp; Young LLP as our</w:t>
            </w:r>
          </w:p>
        </w:tc>
        <w:tc>
          <w:tcPr>
            <w:tcW w:w="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43"/>
        </w:trPr>
        <w:tc>
          <w:tcPr>
            <w:tcW w:w="4080" w:type="dxa"/>
            <w:vAlign w:val="bottom"/>
            <w:gridSpan w:val="3"/>
          </w:tcPr>
          <w:p>
            <w:pPr>
              <w:ind w:left="280"/>
              <w:spacing w:after="0" w:line="143" w:lineRule="exact"/>
              <w:rPr>
                <w:sz w:val="20"/>
                <w:szCs w:val="20"/>
                <w:color w:val="auto"/>
              </w:rPr>
            </w:pPr>
            <w:r>
              <w:rPr>
                <w:rFonts w:ascii="Arial" w:cs="Arial" w:eastAsia="Arial" w:hAnsi="Arial"/>
                <w:sz w:val="14"/>
                <w:szCs w:val="14"/>
                <w:color w:val="auto"/>
              </w:rPr>
              <w:t>independent registered public accounting firm for the 2018</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2"/>
        </w:trPr>
        <w:tc>
          <w:tcPr>
            <w:tcW w:w="4080" w:type="dxa"/>
            <w:vAlign w:val="bottom"/>
            <w:gridSpan w:val="3"/>
          </w:tcPr>
          <w:p>
            <w:pPr>
              <w:ind w:left="280"/>
              <w:spacing w:after="0"/>
              <w:rPr>
                <w:sz w:val="20"/>
                <w:szCs w:val="20"/>
                <w:color w:val="auto"/>
              </w:rPr>
            </w:pPr>
            <w:r>
              <w:rPr>
                <w:rFonts w:ascii="Arial" w:cs="Arial" w:eastAsia="Arial" w:hAnsi="Arial"/>
                <w:sz w:val="14"/>
                <w:szCs w:val="14"/>
                <w:color w:val="auto"/>
              </w:rPr>
              <w:t>fiscal year.</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3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w w:val="94"/>
              </w:rPr>
              <w:t xml:space="preserve">NOTE: </w:t>
            </w:r>
            <w:r>
              <w:rPr>
                <w:rFonts w:ascii="Arial" w:cs="Arial" w:eastAsia="Arial" w:hAnsi="Arial"/>
                <w:sz w:val="14"/>
                <w:szCs w:val="14"/>
                <w:color w:val="auto"/>
                <w:w w:val="94"/>
              </w:rPr>
              <w:t>To transact such other business as may properly come before</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4080" w:type="dxa"/>
            <w:vAlign w:val="bottom"/>
            <w:gridSpan w:val="3"/>
          </w:tcPr>
          <w:p>
            <w:pPr>
              <w:spacing w:after="0"/>
              <w:rPr>
                <w:sz w:val="20"/>
                <w:szCs w:val="20"/>
                <w:color w:val="auto"/>
              </w:rPr>
            </w:pPr>
            <w:r>
              <w:rPr>
                <w:rFonts w:ascii="Arial" w:cs="Arial" w:eastAsia="Arial" w:hAnsi="Arial"/>
                <w:sz w:val="14"/>
                <w:szCs w:val="14"/>
                <w:color w:val="auto"/>
                <w:w w:val="92"/>
              </w:rPr>
              <w:t>the meeting and at any adjournments or postponement at the meeting.</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594" w:lineRule="exact"/>
        <w:rPr>
          <w:rFonts w:ascii="Arial" w:cs="Arial" w:eastAsia="Arial" w:hAnsi="Arial"/>
          <w:sz w:val="14"/>
          <w:szCs w:val="14"/>
          <w:b w:val="1"/>
          <w:bCs w:val="1"/>
          <w:color w:val="auto"/>
        </w:rPr>
      </w:pPr>
    </w:p>
    <w:p>
      <w:pPr>
        <w:sectPr>
          <w:pgSz w:w="11900" w:h="16838" w:orient="portrait"/>
          <w:cols w:equalWidth="0" w:num="2">
            <w:col w:w="5280" w:space="540"/>
            <w:col w:w="5600"/>
          </w:cols>
          <w:pgMar w:left="240" w:top="459" w:right="239" w:bottom="1440" w:gutter="0" w:footer="0" w:header="0"/>
          <w:type w:val="continuous"/>
        </w:sectPr>
      </w:pPr>
    </w:p>
    <w:p>
      <w:pPr>
        <w:spacing w:after="0" w:line="200" w:lineRule="exact"/>
        <w:rPr>
          <w:rFonts w:ascii="Arial" w:cs="Arial" w:eastAsia="Arial" w:hAnsi="Arial"/>
          <w:sz w:val="14"/>
          <w:szCs w:val="14"/>
          <w:b w:val="1"/>
          <w:bCs w:val="1"/>
          <w:color w:val="auto"/>
        </w:rPr>
      </w:pPr>
    </w:p>
    <w:p>
      <w:pPr>
        <w:spacing w:after="0" w:line="212" w:lineRule="exact"/>
        <w:rPr>
          <w:rFonts w:ascii="Arial" w:cs="Arial" w:eastAsia="Arial" w:hAnsi="Arial"/>
          <w:sz w:val="14"/>
          <w:szCs w:val="14"/>
          <w:b w:val="1"/>
          <w:bCs w:val="1"/>
          <w:color w:val="auto"/>
        </w:rPr>
      </w:pPr>
    </w:p>
    <w:p>
      <w:pPr>
        <w:ind w:left="340" w:right="1900"/>
        <w:spacing w:after="0" w:line="238" w:lineRule="auto"/>
        <w:rPr>
          <w:sz w:val="20"/>
          <w:szCs w:val="20"/>
          <w:color w:val="auto"/>
        </w:rPr>
      </w:pPr>
      <w:r>
        <w:rPr>
          <w:rFonts w:ascii="Arial" w:cs="Arial" w:eastAsia="Arial" w:hAnsi="Arial"/>
          <w:sz w:val="14"/>
          <w:szCs w:val="14"/>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42" w:lineRule="exact"/>
        <w:rPr>
          <w:rFonts w:ascii="Arial" w:cs="Arial" w:eastAsia="Arial" w:hAnsi="Arial"/>
          <w:sz w:val="14"/>
          <w:szCs w:val="14"/>
          <w:b w:val="1"/>
          <w:bCs w:val="1"/>
          <w:color w:val="auto"/>
        </w:rPr>
      </w:pPr>
    </w:p>
    <w:p>
      <w:pPr>
        <w:ind w:left="320"/>
        <w:spacing w:after="0"/>
        <w:tabs>
          <w:tab w:leader="none" w:pos="3440" w:val="left"/>
          <w:tab w:leader="none" w:pos="5700" w:val="left"/>
          <w:tab w:leader="none" w:pos="89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80"/>
        <w:spacing w:after="0"/>
        <w:rPr>
          <w:sz w:val="20"/>
          <w:szCs w:val="20"/>
          <w:color w:val="auto"/>
        </w:rPr>
      </w:pPr>
      <w:r>
        <w:rPr>
          <w:rFonts w:ascii="Arial" w:cs="Arial" w:eastAsia="Arial" w:hAnsi="Arial"/>
          <w:sz w:val="17"/>
          <w:szCs w:val="17"/>
          <w:color w:val="auto"/>
        </w:rPr>
        <w:t>E35391-P00542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7263765" cy="3576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35763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ANALOG DEVICES, INC.</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Meeting of Shareholders - March 14, 2018 9:00 AM</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0"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undersigned revokes all previous proxies and hereby appoints Ray Stata, Vincent Roche and Margaret K. Seif, or any of them, as proxies, each with the power to appoint his or her substitute, and hereby authorizes them to represent and to vote, as designated on the reverse side of this proxy card, all of the shares of common stock of ANALOG DEVICES, INC. that the undersigned is entitled to vote at the Annual Meeting of Shareholders to be held at 9:00 AM, Eastern Time on March 14, 2018, at Analog Devices, Inc., 125 Summer St., Boston, MA 02110, and any adjournment, postponement, continuation or rescheduling thereof.</w:t>
      </w:r>
    </w:p>
    <w:p>
      <w:pPr>
        <w:spacing w:after="0" w:line="229" w:lineRule="exact"/>
        <w:rPr>
          <w:sz w:val="20"/>
          <w:szCs w:val="20"/>
          <w:color w:val="auto"/>
        </w:rPr>
      </w:pPr>
    </w:p>
    <w:p>
      <w:pPr>
        <w:ind w:left="340" w:right="820"/>
        <w:spacing w:after="0" w:line="277"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 or any adjournment, postponement, continuation or rescheduling thereof.</w:t>
      </w:r>
    </w:p>
    <w:p>
      <w:pPr>
        <w:spacing w:after="0" w:line="211"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Unless voting the shares over the Internet or by telephone, please fill in, date, sign and mail this proxy card promptly using the enclosed envelope.</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lvl w:ilvl="1">
      <w:lvlJc w:val="left"/>
      <w:lvlText w:val="(%2)"/>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bullet"/>
      <w:start w:val="1"/>
    </w:lvl>
  </w:abstractNum>
  <w:abstractNum w:abstractNumId="7">
    <w:nsid w:val="580BD78F"/>
    <w:multiLevelType w:val="hybridMultilevel"/>
    <w:lvl w:ilvl="0">
      <w:lvlJc w:val="left"/>
      <w:lvlText w:val="2"/>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4"/>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2"/>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2"/>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W.%1."/>
      <w:numFmt w:val="upperLetter"/>
      <w:start w:val="23"/>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2"/>
    </w:lvl>
  </w:abstractNum>
  <w:abstractNum w:abstractNumId="27">
    <w:nsid w:val="3DC240FB"/>
    <w:multiLevelType w:val="hybridMultilevel"/>
    <w:lvl w:ilvl="0">
      <w:lvlJc w:val="left"/>
      <w:lvlText w:val="(%1)"/>
      <w:numFmt w:val="decimal"/>
      <w:start w:val="4"/>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bullet"/>
      <w:start w:val="1"/>
    </w:lvl>
  </w:abstractNum>
  <w:abstractNum w:abstractNumId="35">
    <w:nsid w:val="4F4EF005"/>
    <w:multiLevelType w:val="hybridMultilevel"/>
    <w:lvl w:ilvl="0">
      <w:lvlJc w:val="left"/>
      <w:lvlText w:val="2"/>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
    </w:lvl>
    <w:lvl w:ilvl="1">
      <w:lvlJc w:val="left"/>
      <w:lvlText w:val="%2."/>
      <w:numFmt w:val="lowerLetter"/>
      <w:start w:val="2"/>
    </w:lvl>
  </w:abstractNum>
  <w:abstractNum w:abstractNumId="46">
    <w:nsid w:val="741226BB"/>
    <w:multiLevelType w:val="hybridMultilevel"/>
    <w:lvl w:ilvl="0">
      <w:lvlJc w:val="left"/>
      <w:lvlText w:val="(%1)"/>
      <w:numFmt w:val="decimal"/>
      <w:start w:val="4"/>
    </w:lvl>
  </w:abstractNum>
  <w:abstractNum w:abstractNumId="47">
    <w:nsid w:val="D34B6A8"/>
    <w:multiLevelType w:val="hybridMultilevel"/>
    <w:lvl w:ilvl="0">
      <w:lvlJc w:val="left"/>
      <w:lvlText w:val="(%1)"/>
      <w:numFmt w:val="decimal"/>
      <w:start w:val="6"/>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decimal"/>
      <w:start w:val="7"/>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2"/>
    </w:lvl>
  </w:abstractNum>
  <w:abstractNum w:abstractNumId="52">
    <w:nsid w:val="77AE35EB"/>
    <w:multiLevelType w:val="hybridMultilevel"/>
    <w:lvl w:ilvl="0">
      <w:lvlJc w:val="left"/>
      <w:lvlText w:val="(%1)"/>
      <w:numFmt w:val="decimal"/>
      <w:start w:val="7"/>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2"/>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4"/>
    </w:lvl>
  </w:abstractNum>
  <w:abstractNum w:abstractNumId="69">
    <w:nsid w:val="6B94764"/>
    <w:multiLevelType w:val="hybridMultilevel"/>
    <w:lvl w:ilvl="0">
      <w:lvlJc w:val="left"/>
      <w:lvlText w:val="(%1)"/>
      <w:numFmt w:val="decimal"/>
      <w:start w:val="5"/>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2019-12-05T01:17:32Z</dcterms:created>
  <dcterms:modified xsi:type="dcterms:W3CDTF">2019-12-05T01:17:32Z</dcterms:modified>
</cp:coreProperties>
</file>