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643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64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ROCHE VINCENT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ANALOG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 &amp;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MA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01887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10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10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10,848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155,688.462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Vincent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23,515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Retained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of the Company earned in connection with Performance-Based Restricted Stock Units granted on April 3, 2023. The shares were earned based on the achievement of certain pre-established performance parameters relating to the Company's financial performance over a one-year performance period, two-year cumulative performance period and three-year cumulative performance period at 25.3% of target. The shares will vest on March 15, 2026, subject to the Reporting Person's continued employment with the Company.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the Vincent Roche 2024 Grantor Retained Annuity Trust dated October 3,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Shelly Shaw, General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801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Counsel, by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01872" TargetMode="External"/><Relationship Id="rId14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2025-12-10T15:19:34Z</dcterms:created>
  <dcterms:modified xsi:type="dcterms:W3CDTF">2025-12-10T15:19:34Z</dcterms:modified>
</cp:coreProperties>
</file>