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13e-4)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Options to Purchase Common Stock, $0.16 </w:t>
      </w:r>
      <w:r>
        <w:rPr>
          <w:rFonts w:ascii="Arial" w:cs="Arial" w:eastAsia="Arial" w:hAnsi="Arial"/>
          <w:sz w:val="15"/>
          <w:szCs w:val="15"/>
          <w:b w:val="1"/>
          <w:bCs w:val="1"/>
          <w:u w:val="single" w:color="auto"/>
          <w:color w:val="auto"/>
        </w:rPr>
        <w:t>2/3</w:t>
      </w:r>
      <w:r>
        <w:rPr>
          <w:rFonts w:ascii="Arial" w:cs="Arial" w:eastAsia="Arial" w:hAnsi="Arial"/>
          <w:sz w:val="18"/>
          <w:szCs w:val="18"/>
          <w:b w:val="1"/>
          <w:bCs w:val="1"/>
          <w:u w:val="single" w:color="auto"/>
          <w:color w:val="auto"/>
        </w:rPr>
        <w:t xml:space="preserve"> par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032654 10 5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b w:val="1"/>
                <w:bCs w:val="1"/>
                <w:color w:val="auto"/>
              </w:rPr>
              <w:t>CALCULATION OF FILING FEE</w:t>
            </w:r>
          </w:p>
        </w:tc>
      </w:tr>
      <w:tr>
        <w:trPr>
          <w:trHeight w:val="230"/>
        </w:trPr>
        <w:tc>
          <w:tcPr>
            <w:tcW w:w="3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r>
      <w:tr>
        <w:trPr>
          <w:trHeight w:val="136"/>
        </w:trPr>
        <w:tc>
          <w:tcPr>
            <w:tcW w:w="3940" w:type="dxa"/>
            <w:vAlign w:val="bottom"/>
            <w:tcBorders>
              <w:bottom w:val="single" w:sz="8" w:color="auto"/>
            </w:tcBorders>
          </w:tcPr>
          <w:p>
            <w:pPr>
              <w:jc w:val="center"/>
              <w:ind w:left="1619"/>
              <w:spacing w:after="0" w:line="129" w:lineRule="exact"/>
              <w:rPr>
                <w:sz w:val="20"/>
                <w:szCs w:val="20"/>
                <w:color w:val="auto"/>
              </w:rPr>
            </w:pPr>
            <w:r>
              <w:rPr>
                <w:rFonts w:ascii="Arial" w:cs="Arial" w:eastAsia="Arial" w:hAnsi="Arial"/>
                <w:sz w:val="14"/>
                <w:szCs w:val="14"/>
                <w:b w:val="1"/>
                <w:bCs w:val="1"/>
                <w:color w:val="auto"/>
                <w:w w:val="94"/>
              </w:rPr>
              <w:t>Transaction Valuation*</w:t>
            </w:r>
          </w:p>
        </w:tc>
        <w:tc>
          <w:tcPr>
            <w:tcW w:w="1800" w:type="dxa"/>
            <w:vAlign w:val="bottom"/>
            <w:tcBorders>
              <w:bottom w:val="single" w:sz="8" w:color="auto"/>
              <w:right w:val="single" w:sz="8" w:color="auto"/>
            </w:tcBorders>
          </w:tcPr>
          <w:p>
            <w:pPr>
              <w:spacing w:after="0"/>
              <w:rPr>
                <w:sz w:val="11"/>
                <w:szCs w:val="11"/>
                <w:color w:val="auto"/>
              </w:rPr>
            </w:pPr>
          </w:p>
        </w:tc>
        <w:tc>
          <w:tcPr>
            <w:tcW w:w="5680" w:type="dxa"/>
            <w:vAlign w:val="bottom"/>
            <w:tcBorders>
              <w:bottom w:val="single" w:sz="8" w:color="auto"/>
            </w:tcBorders>
          </w:tcPr>
          <w:p>
            <w:pPr>
              <w:jc w:val="center"/>
              <w:ind w:left="19"/>
              <w:spacing w:after="0" w:line="129" w:lineRule="exact"/>
              <w:rPr>
                <w:sz w:val="20"/>
                <w:szCs w:val="20"/>
                <w:color w:val="auto"/>
              </w:rPr>
            </w:pPr>
            <w:r>
              <w:rPr>
                <w:rFonts w:ascii="Arial" w:cs="Arial" w:eastAsia="Arial" w:hAnsi="Arial"/>
                <w:sz w:val="14"/>
                <w:szCs w:val="14"/>
                <w:b w:val="1"/>
                <w:bCs w:val="1"/>
                <w:color w:val="auto"/>
                <w:w w:val="93"/>
              </w:rPr>
              <w:t>Amount of Filing Fee</w:t>
            </w:r>
          </w:p>
        </w:tc>
      </w:tr>
      <w:tr>
        <w:trPr>
          <w:trHeight w:val="216"/>
        </w:trPr>
        <w:tc>
          <w:tcPr>
            <w:tcW w:w="3940" w:type="dxa"/>
            <w:vAlign w:val="bottom"/>
            <w:tcBorders>
              <w:bottom w:val="single" w:sz="8" w:color="auto"/>
            </w:tcBorders>
          </w:tcPr>
          <w:p>
            <w:pPr>
              <w:jc w:val="center"/>
              <w:ind w:left="1599"/>
              <w:spacing w:after="0"/>
              <w:rPr>
                <w:sz w:val="20"/>
                <w:szCs w:val="20"/>
                <w:color w:val="auto"/>
              </w:rPr>
            </w:pPr>
            <w:r>
              <w:rPr>
                <w:rFonts w:ascii="Arial" w:cs="Arial" w:eastAsia="Arial" w:hAnsi="Arial"/>
                <w:sz w:val="18"/>
                <w:szCs w:val="18"/>
                <w:color w:val="auto"/>
                <w:w w:val="94"/>
              </w:rPr>
              <w:t>Not applicable*</w:t>
            </w:r>
          </w:p>
        </w:tc>
        <w:tc>
          <w:tcPr>
            <w:tcW w:w="1800" w:type="dxa"/>
            <w:vAlign w:val="bottom"/>
            <w:tcBorders>
              <w:bottom w:val="single" w:sz="8" w:color="auto"/>
              <w:right w:val="single" w:sz="8" w:color="auto"/>
            </w:tcBorders>
          </w:tcPr>
          <w:p>
            <w:pPr>
              <w:spacing w:after="0"/>
              <w:rPr>
                <w:sz w:val="18"/>
                <w:szCs w:val="18"/>
                <w:color w:val="auto"/>
              </w:rPr>
            </w:pPr>
          </w:p>
        </w:tc>
        <w:tc>
          <w:tcPr>
            <w:tcW w:w="568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94"/>
              </w:rPr>
              <w:t>Not applicable*</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right="22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62" w:lineRule="exact"/>
        <w:rPr>
          <w:sz w:val="20"/>
          <w:szCs w:val="20"/>
          <w:color w:val="auto"/>
        </w:rPr>
      </w:pPr>
    </w:p>
    <w:p>
      <w:pPr>
        <w:ind w:left="220" w:right="52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122"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of Registration No.: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5" w:lineRule="exact"/>
        <w:rPr>
          <w:sz w:val="20"/>
          <w:szCs w:val="20"/>
          <w:color w:val="auto"/>
        </w:rPr>
      </w:pPr>
    </w:p>
    <w:p>
      <w:pPr>
        <w:sectPr>
          <w:pgSz w:w="11900" w:h="16838" w:orient="portrait"/>
          <w:cols w:equalWidth="0" w:num="4">
            <w:col w:w="3980" w:space="720"/>
            <w:col w:w="1800" w:space="720"/>
            <w:col w:w="1540" w:space="720"/>
            <w:col w:w="1940"/>
          </w:cols>
          <w:pgMar w:left="240" w:top="122" w:right="239" w:bottom="1440" w:gutter="0" w:footer="0" w:header="0"/>
          <w:type w:val="continuous"/>
        </w:sectPr>
      </w:pPr>
    </w:p>
    <w:p>
      <w:pPr>
        <w:ind w:right="2180" w:firstLine="8"/>
        <w:spacing w:after="0" w:line="375" w:lineRule="auto"/>
        <w:tabs>
          <w:tab w:leader="none" w:pos="27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MS PGothic" w:cs="MS PGothic" w:eastAsia="MS PGothic" w:hAnsi="MS PGothic"/>
          <w:sz w:val="18"/>
          <w:szCs w:val="18"/>
          <w:color w:val="auto"/>
        </w:rPr>
      </w:pPr>
    </w:p>
    <w:p>
      <w:pPr>
        <w:ind w:left="22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third party tender offer subject to Rule 14d-1.</w:t>
      </w:r>
    </w:p>
    <w:p>
      <w:pPr>
        <w:spacing w:after="0" w:line="130" w:lineRule="exact"/>
        <w:rPr>
          <w:rFonts w:ascii="MS PGothic" w:cs="MS PGothic" w:eastAsia="MS PGothic" w:hAnsi="MS PGothic"/>
          <w:sz w:val="18"/>
          <w:szCs w:val="18"/>
          <w:color w:val="auto"/>
        </w:rPr>
      </w:pPr>
    </w:p>
    <w:p>
      <w:pPr>
        <w:ind w:left="660" w:hanging="436"/>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EXHIBITS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19"/>
          <w:szCs w:val="19"/>
          <w:u w:val="single" w:color="auto"/>
          <w:color w:val="0000EE"/>
        </w:rPr>
        <w:t>Ex-99.1 - Supplemented Q&amp;As for employees regarding the Stock Option Exchange Program (July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153035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On July 24, 2009, Analog Devices, Inc. (“Analog” or the “Company”) made available to employees supplemented questions and answers regarding the proposed stock option exchange program (the “Option Exchange Program”). That employee communication is attached hereto as Exhibit 99.1.</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employee communication attached as an exhibit to this Schedule TO does not constitute an offer to holders of the Company’s outstanding stock options to tender those options.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Analog shareholders and option holders will be able to obtain the written materials described above and other documents filed by Analog with the SEC free of charge from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In addition, shareholders and option holders may obtain free copies of the documents filed by Analog with the SEC by directing a written request to: Analog Devices, Inc. One Technology Way, Norwood, MA 02062;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Supplemented Q&amp;As for employees regarding the Stock Option Exchange Program (July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Supplemented Q&amp;As for employees regarding the Stock Option Exchange Program (July 24, 2009).</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Q&amp;A is comprised of questions that employees have submitted to the Stock Option Exchange mailbox</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stockoptionexchangeinfo@analog.com</w:t>
      </w:r>
      <w:r>
        <w:rPr>
          <w:rFonts w:ascii="Arial" w:cs="Arial" w:eastAsia="Arial" w:hAnsi="Arial"/>
          <w:sz w:val="18"/>
          <w:szCs w:val="18"/>
          <w:b w:val="1"/>
          <w:bCs w:val="1"/>
          <w:color w:val="auto"/>
        </w:rPr>
        <w:t>). When applicable, this document is updated on a weekly basis and new questions are added. On occasion, changes to previously posted answers are made in order to provide further clarification. In these instances, we have added a new question but referred back to the previous answer where the clarification has been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ADI sought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 Our shareholders approved the program at a special meeting held on July 20,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is Analog submitting the Stock Option Exchange Program for stockholder approval?</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asked our shareholders to approve the proposed Stock Option Exchange Program in order to satisfy the terms of our stock plans and NYSE rules, and as a matter of good corporate governance. We held a special shareholder meeting on July 20, 2009, where our shareholders approved the program. We cannot proceed with this proposal if we do not receive shareholder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proposed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have tax, regulatory or other implications that are inconsistent with our compensation policies and practices.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Members of ADI’s Board of Directors and ADI’s “named executive officers” (our CEO, chief financial officer,</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20"/>
        <w:spacing w:after="0" w:line="246" w:lineRule="auto"/>
        <w:rPr>
          <w:sz w:val="20"/>
          <w:szCs w:val="20"/>
          <w:color w:val="auto"/>
        </w:rPr>
      </w:pPr>
      <w:r>
        <w:rPr>
          <w:rFonts w:ascii="Arial" w:cs="Arial" w:eastAsia="Arial" w:hAnsi="Arial"/>
          <w:sz w:val="18"/>
          <w:szCs w:val="18"/>
          <w:color w:val="auto"/>
        </w:rPr>
        <w:t>and other three highest paid executive officers) as listed in our most recent proxy statement will not be eligible to participate in the Stock Option Exchange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 if our shareholders approve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366" w:lineRule="exact"/>
        <w:rPr>
          <w:sz w:val="20"/>
          <w:szCs w:val="20"/>
          <w:color w:val="auto"/>
        </w:rPr>
      </w:pPr>
    </w:p>
    <w:p>
      <w:pPr>
        <w:ind w:right="3180" w:firstLine="8"/>
        <w:spacing w:after="0" w:line="372"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right="20" w:firstLine="8"/>
        <w:spacing w:after="0" w:line="24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24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current assumptions used in our proposal to shareholders and will likely change once we apply the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in effect at the time we launch the Stock Option Exchange Program.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Option Grant</w:t>
            </w: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spacing w:after="0"/>
              <w:rPr>
                <w:sz w:val="15"/>
                <w:szCs w:val="15"/>
                <w:color w:val="auto"/>
              </w:rPr>
            </w:pPr>
          </w:p>
        </w:tc>
        <w:tc>
          <w:tcPr>
            <w:tcW w:w="34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Strike Price</w:t>
            </w:r>
          </w:p>
        </w:tc>
        <w:tc>
          <w:tcPr>
            <w:tcW w:w="560" w:type="dxa"/>
            <w:vAlign w:val="bottom"/>
          </w:tcPr>
          <w:p>
            <w:pPr>
              <w:spacing w:after="0"/>
              <w:rPr>
                <w:sz w:val="15"/>
                <w:szCs w:val="15"/>
                <w:color w:val="auto"/>
              </w:rPr>
            </w:pPr>
          </w:p>
        </w:tc>
        <w:tc>
          <w:tcPr>
            <w:tcW w:w="34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Exchange Ratio</w:t>
            </w:r>
          </w:p>
        </w:tc>
      </w:tr>
      <w:tr>
        <w:trPr>
          <w:trHeight w:val="195"/>
        </w:trPr>
        <w:tc>
          <w:tcPr>
            <w:tcW w:w="3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Nov 10, 2000 – Sept 28, 2003</w:t>
            </w:r>
          </w:p>
        </w:tc>
        <w:tc>
          <w:tcPr>
            <w:tcW w:w="4000" w:type="dxa"/>
            <w:vAlign w:val="bottom"/>
            <w:gridSpan w:val="2"/>
            <w:shd w:val="clear" w:color="auto" w:fill="CCEEFF"/>
          </w:tcPr>
          <w:p>
            <w:pPr>
              <w:jc w:val="center"/>
              <w:ind w:left="490"/>
              <w:spacing w:after="0" w:line="195" w:lineRule="exact"/>
              <w:rPr>
                <w:sz w:val="20"/>
                <w:szCs w:val="20"/>
                <w:color w:val="auto"/>
              </w:rPr>
            </w:pPr>
            <w:r>
              <w:rPr>
                <w:rFonts w:ascii="Arial" w:cs="Arial" w:eastAsia="Arial" w:hAnsi="Arial"/>
                <w:sz w:val="18"/>
                <w:szCs w:val="18"/>
                <w:color w:val="auto"/>
              </w:rPr>
              <w:t>$50.00+</w:t>
            </w:r>
          </w:p>
        </w:tc>
        <w:tc>
          <w:tcPr>
            <w:tcW w:w="398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w w:val="96"/>
              </w:rPr>
              <w:t>70:1</w:t>
            </w:r>
          </w:p>
        </w:tc>
      </w:tr>
      <w:tr>
        <w:trPr>
          <w:trHeight w:val="203"/>
        </w:trPr>
        <w:tc>
          <w:tcPr>
            <w:tcW w:w="3440" w:type="dxa"/>
            <w:vAlign w:val="bottom"/>
            <w:shd w:val="clear" w:color="auto" w:fill="CCEEFF"/>
          </w:tcPr>
          <w:p>
            <w:pPr>
              <w:spacing w:after="0"/>
              <w:rPr>
                <w:sz w:val="17"/>
                <w:szCs w:val="17"/>
                <w:color w:val="auto"/>
              </w:rPr>
            </w:pPr>
          </w:p>
        </w:tc>
        <w:tc>
          <w:tcPr>
            <w:tcW w:w="400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$42.00-$49.99</w:t>
            </w:r>
          </w:p>
        </w:tc>
        <w:tc>
          <w:tcPr>
            <w:tcW w:w="398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6"/>
              </w:rPr>
              <w:t>24:1</w:t>
            </w:r>
          </w:p>
        </w:tc>
      </w:tr>
      <w:tr>
        <w:trPr>
          <w:trHeight w:val="203"/>
        </w:trPr>
        <w:tc>
          <w:tcPr>
            <w:tcW w:w="3440" w:type="dxa"/>
            <w:vAlign w:val="bottom"/>
            <w:shd w:val="clear" w:color="auto" w:fill="CCEEFF"/>
          </w:tcPr>
          <w:p>
            <w:pPr>
              <w:spacing w:after="0"/>
              <w:rPr>
                <w:sz w:val="17"/>
                <w:szCs w:val="17"/>
                <w:color w:val="auto"/>
              </w:rPr>
            </w:pPr>
          </w:p>
        </w:tc>
        <w:tc>
          <w:tcPr>
            <w:tcW w:w="4000" w:type="dxa"/>
            <w:vAlign w:val="bottom"/>
            <w:gridSpan w:val="2"/>
            <w:shd w:val="clear" w:color="auto" w:fill="CCEEFF"/>
          </w:tcPr>
          <w:p>
            <w:pPr>
              <w:jc w:val="center"/>
              <w:ind w:left="470"/>
              <w:spacing w:after="0" w:line="203" w:lineRule="exact"/>
              <w:rPr>
                <w:sz w:val="20"/>
                <w:szCs w:val="20"/>
                <w:color w:val="auto"/>
              </w:rPr>
            </w:pPr>
            <w:r>
              <w:rPr>
                <w:rFonts w:ascii="Arial" w:cs="Arial" w:eastAsia="Arial" w:hAnsi="Arial"/>
                <w:sz w:val="18"/>
                <w:szCs w:val="18"/>
                <w:color w:val="auto"/>
                <w:w w:val="99"/>
              </w:rPr>
              <w:t>$30.68-$41.99</w:t>
            </w:r>
          </w:p>
        </w:tc>
        <w:tc>
          <w:tcPr>
            <w:tcW w:w="3980" w:type="dxa"/>
            <w:vAlign w:val="bottom"/>
            <w:gridSpan w:val="2"/>
            <w:shd w:val="clear" w:color="auto" w:fill="CCEEFF"/>
          </w:tcPr>
          <w:p>
            <w:pPr>
              <w:jc w:val="center"/>
              <w:ind w:left="490"/>
              <w:spacing w:after="0" w:line="203" w:lineRule="exact"/>
              <w:rPr>
                <w:sz w:val="20"/>
                <w:szCs w:val="20"/>
                <w:color w:val="auto"/>
              </w:rPr>
            </w:pPr>
            <w:r>
              <w:rPr>
                <w:rFonts w:ascii="Arial" w:cs="Arial" w:eastAsia="Arial" w:hAnsi="Arial"/>
                <w:sz w:val="18"/>
                <w:szCs w:val="18"/>
                <w:color w:val="auto"/>
                <w:w w:val="99"/>
              </w:rPr>
              <w:t>4.5:1</w:t>
            </w:r>
          </w:p>
        </w:tc>
      </w:tr>
      <w:tr>
        <w:trPr>
          <w:trHeight w:val="202"/>
        </w:trPr>
        <w:tc>
          <w:tcPr>
            <w:tcW w:w="3440" w:type="dxa"/>
            <w:vAlign w:val="bottom"/>
          </w:tcPr>
          <w:p>
            <w:pPr>
              <w:jc w:val="center"/>
              <w:spacing w:after="0" w:line="201" w:lineRule="exact"/>
              <w:rPr>
                <w:sz w:val="20"/>
                <w:szCs w:val="20"/>
                <w:color w:val="auto"/>
              </w:rPr>
            </w:pPr>
            <w:r>
              <w:rPr>
                <w:rFonts w:ascii="Arial" w:cs="Arial" w:eastAsia="Arial" w:hAnsi="Arial"/>
                <w:sz w:val="18"/>
                <w:szCs w:val="18"/>
                <w:color w:val="auto"/>
                <w:w w:val="99"/>
              </w:rPr>
              <w:t>Sept 29, 2003 – Sept 15, 2006</w:t>
            </w:r>
          </w:p>
        </w:tc>
        <w:tc>
          <w:tcPr>
            <w:tcW w:w="4000" w:type="dxa"/>
            <w:vAlign w:val="bottom"/>
            <w:gridSpan w:val="2"/>
          </w:tcPr>
          <w:p>
            <w:pPr>
              <w:jc w:val="center"/>
              <w:ind w:left="490"/>
              <w:spacing w:after="0" w:line="201" w:lineRule="exact"/>
              <w:rPr>
                <w:sz w:val="20"/>
                <w:szCs w:val="20"/>
                <w:color w:val="auto"/>
              </w:rPr>
            </w:pPr>
            <w:r>
              <w:rPr>
                <w:rFonts w:ascii="Arial" w:cs="Arial" w:eastAsia="Arial" w:hAnsi="Arial"/>
                <w:sz w:val="18"/>
                <w:szCs w:val="18"/>
                <w:color w:val="auto"/>
                <w:w w:val="99"/>
              </w:rPr>
              <w:t>$45.00 +</w:t>
            </w:r>
          </w:p>
        </w:tc>
        <w:tc>
          <w:tcPr>
            <w:tcW w:w="3980" w:type="dxa"/>
            <w:vAlign w:val="bottom"/>
            <w:gridSpan w:val="2"/>
          </w:tcPr>
          <w:p>
            <w:pPr>
              <w:jc w:val="center"/>
              <w:ind w:left="490"/>
              <w:spacing w:after="0" w:line="201" w:lineRule="exact"/>
              <w:rPr>
                <w:sz w:val="20"/>
                <w:szCs w:val="20"/>
                <w:color w:val="auto"/>
              </w:rPr>
            </w:pPr>
            <w:r>
              <w:rPr>
                <w:rFonts w:ascii="Arial" w:cs="Arial" w:eastAsia="Arial" w:hAnsi="Arial"/>
                <w:sz w:val="18"/>
                <w:szCs w:val="18"/>
                <w:color w:val="auto"/>
                <w:w w:val="99"/>
              </w:rPr>
              <w:t>3.5:1</w:t>
            </w:r>
          </w:p>
        </w:tc>
      </w:tr>
      <w:tr>
        <w:trPr>
          <w:trHeight w:val="203"/>
        </w:trPr>
        <w:tc>
          <w:tcPr>
            <w:tcW w:w="3440" w:type="dxa"/>
            <w:vAlign w:val="bottom"/>
          </w:tcPr>
          <w:p>
            <w:pPr>
              <w:spacing w:after="0"/>
              <w:rPr>
                <w:sz w:val="17"/>
                <w:szCs w:val="17"/>
                <w:color w:val="auto"/>
              </w:rPr>
            </w:pPr>
          </w:p>
        </w:tc>
        <w:tc>
          <w:tcPr>
            <w:tcW w:w="4000" w:type="dxa"/>
            <w:vAlign w:val="bottom"/>
            <w:gridSpan w:val="2"/>
          </w:tcPr>
          <w:p>
            <w:pPr>
              <w:jc w:val="center"/>
              <w:ind w:left="470"/>
              <w:spacing w:after="0" w:line="203" w:lineRule="exact"/>
              <w:rPr>
                <w:sz w:val="20"/>
                <w:szCs w:val="20"/>
                <w:color w:val="auto"/>
              </w:rPr>
            </w:pPr>
            <w:r>
              <w:rPr>
                <w:rFonts w:ascii="Arial" w:cs="Arial" w:eastAsia="Arial" w:hAnsi="Arial"/>
                <w:sz w:val="18"/>
                <w:szCs w:val="18"/>
                <w:color w:val="auto"/>
                <w:w w:val="99"/>
              </w:rPr>
              <w:t>$30.68-$44.99</w:t>
            </w:r>
          </w:p>
        </w:tc>
        <w:tc>
          <w:tcPr>
            <w:tcW w:w="3980" w:type="dxa"/>
            <w:vAlign w:val="bottom"/>
            <w:gridSpan w:val="2"/>
          </w:tcPr>
          <w:p>
            <w:pPr>
              <w:jc w:val="center"/>
              <w:ind w:left="470"/>
              <w:spacing w:after="0" w:line="203" w:lineRule="exact"/>
              <w:rPr>
                <w:sz w:val="20"/>
                <w:szCs w:val="20"/>
                <w:color w:val="auto"/>
              </w:rPr>
            </w:pPr>
            <w:r>
              <w:rPr>
                <w:rFonts w:ascii="Arial" w:cs="Arial" w:eastAsia="Arial" w:hAnsi="Arial"/>
                <w:sz w:val="18"/>
                <w:szCs w:val="18"/>
                <w:color w:val="auto"/>
              </w:rPr>
              <w:t>2:1</w:t>
            </w:r>
          </w:p>
        </w:tc>
      </w:tr>
      <w:tr>
        <w:trPr>
          <w:trHeight w:val="203"/>
        </w:trPr>
        <w:tc>
          <w:tcPr>
            <w:tcW w:w="3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Sept 16, 2006 – Dec 31, 2007</w:t>
            </w:r>
          </w:p>
        </w:tc>
        <w:tc>
          <w:tcPr>
            <w:tcW w:w="4000" w:type="dxa"/>
            <w:vAlign w:val="bottom"/>
            <w:gridSpan w:val="2"/>
            <w:shd w:val="clear" w:color="auto" w:fill="CCEEFF"/>
          </w:tcPr>
          <w:p>
            <w:pPr>
              <w:jc w:val="center"/>
              <w:ind w:left="490"/>
              <w:spacing w:after="0" w:line="202" w:lineRule="exact"/>
              <w:rPr>
                <w:sz w:val="20"/>
                <w:szCs w:val="20"/>
                <w:color w:val="auto"/>
              </w:rPr>
            </w:pPr>
            <w:r>
              <w:rPr>
                <w:rFonts w:ascii="Arial" w:cs="Arial" w:eastAsia="Arial" w:hAnsi="Arial"/>
                <w:sz w:val="18"/>
                <w:szCs w:val="18"/>
                <w:color w:val="auto"/>
                <w:w w:val="99"/>
              </w:rPr>
              <w:t>$30.68 +</w:t>
            </w:r>
          </w:p>
        </w:tc>
        <w:tc>
          <w:tcPr>
            <w:tcW w:w="3980" w:type="dxa"/>
            <w:vAlign w:val="bottom"/>
            <w:gridSpan w:val="2"/>
            <w:shd w:val="clear" w:color="auto" w:fill="CCEEFF"/>
          </w:tcPr>
          <w:p>
            <w:pPr>
              <w:jc w:val="center"/>
              <w:ind w:left="490"/>
              <w:spacing w:after="0" w:line="202" w:lineRule="exact"/>
              <w:rPr>
                <w:sz w:val="20"/>
                <w:szCs w:val="20"/>
                <w:color w:val="auto"/>
              </w:rPr>
            </w:pPr>
            <w:r>
              <w:rPr>
                <w:rFonts w:ascii="Arial" w:cs="Arial" w:eastAsia="Arial" w:hAnsi="Arial"/>
                <w:sz w:val="18"/>
                <w:szCs w:val="18"/>
                <w:color w:val="auto"/>
                <w:w w:val="99"/>
              </w:rPr>
              <w:t>1.5:1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 2009). That new option would vest in late September 2010 and expire in late September 2011.</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Option Grant</w:t>
            </w: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Vesting Schedule</w:t>
            </w:r>
          </w:p>
        </w:tc>
        <w:tc>
          <w:tcPr>
            <w:tcW w:w="56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195"/>
        </w:trPr>
        <w:tc>
          <w:tcPr>
            <w:tcW w:w="3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Nov 10, 2000 – Sept 28, 2003</w:t>
            </w:r>
          </w:p>
        </w:tc>
        <w:tc>
          <w:tcPr>
            <w:tcW w:w="58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 year</w:t>
            </w:r>
          </w:p>
        </w:tc>
        <w:tc>
          <w:tcPr>
            <w:tcW w:w="56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2 years</w:t>
            </w:r>
          </w:p>
        </w:tc>
      </w:tr>
      <w:tr>
        <w:trPr>
          <w:trHeight w:val="203"/>
        </w:trPr>
        <w:tc>
          <w:tcPr>
            <w:tcW w:w="3440" w:type="dxa"/>
            <w:vAlign w:val="bottom"/>
            <w:shd w:val="clear" w:color="auto" w:fill="CCEEFF"/>
          </w:tcPr>
          <w:p>
            <w:pPr>
              <w:spacing w:after="0"/>
              <w:rPr>
                <w:sz w:val="17"/>
                <w:szCs w:val="17"/>
                <w:color w:val="auto"/>
              </w:rPr>
            </w:pPr>
          </w:p>
        </w:tc>
        <w:tc>
          <w:tcPr>
            <w:tcW w:w="4000" w:type="dxa"/>
            <w:vAlign w:val="bottom"/>
            <w:gridSpan w:val="2"/>
            <w:shd w:val="clear" w:color="auto" w:fill="CCEEFF"/>
          </w:tcPr>
          <w:p>
            <w:pPr>
              <w:jc w:val="center"/>
              <w:ind w:left="490"/>
              <w:spacing w:after="0" w:line="203" w:lineRule="exact"/>
              <w:rPr>
                <w:sz w:val="20"/>
                <w:szCs w:val="20"/>
                <w:color w:val="auto"/>
              </w:rPr>
            </w:pPr>
            <w:r>
              <w:rPr>
                <w:rFonts w:ascii="Arial" w:cs="Arial" w:eastAsia="Arial" w:hAnsi="Arial"/>
                <w:sz w:val="18"/>
                <w:szCs w:val="18"/>
                <w:color w:val="auto"/>
                <w:w w:val="99"/>
              </w:rPr>
              <w:t>(100%)</w:t>
            </w:r>
          </w:p>
        </w:tc>
        <w:tc>
          <w:tcPr>
            <w:tcW w:w="5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r>
        <w:trPr>
          <w:trHeight w:val="202"/>
        </w:trPr>
        <w:tc>
          <w:tcPr>
            <w:tcW w:w="3440" w:type="dxa"/>
            <w:vAlign w:val="bottom"/>
          </w:tcPr>
          <w:p>
            <w:pPr>
              <w:jc w:val="center"/>
              <w:spacing w:after="0" w:line="201" w:lineRule="exact"/>
              <w:rPr>
                <w:sz w:val="20"/>
                <w:szCs w:val="20"/>
                <w:color w:val="auto"/>
              </w:rPr>
            </w:pPr>
            <w:r>
              <w:rPr>
                <w:rFonts w:ascii="Arial" w:cs="Arial" w:eastAsia="Arial" w:hAnsi="Arial"/>
                <w:sz w:val="18"/>
                <w:szCs w:val="18"/>
                <w:color w:val="auto"/>
                <w:w w:val="99"/>
              </w:rPr>
              <w:t>Sept 29, 2003 – Sept 15, 2006</w:t>
            </w:r>
          </w:p>
        </w:tc>
        <w:tc>
          <w:tcPr>
            <w:tcW w:w="580" w:type="dxa"/>
            <w:vAlign w:val="bottom"/>
          </w:tcPr>
          <w:p>
            <w:pPr>
              <w:spacing w:after="0"/>
              <w:rPr>
                <w:sz w:val="17"/>
                <w:szCs w:val="17"/>
                <w:color w:val="auto"/>
              </w:rPr>
            </w:pP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rPr>
              <w:t>3 years</w:t>
            </w:r>
          </w:p>
        </w:tc>
        <w:tc>
          <w:tcPr>
            <w:tcW w:w="560" w:type="dxa"/>
            <w:vAlign w:val="bottom"/>
          </w:tcPr>
          <w:p>
            <w:pPr>
              <w:spacing w:after="0"/>
              <w:rPr>
                <w:sz w:val="17"/>
                <w:szCs w:val="17"/>
                <w:color w:val="auto"/>
              </w:rPr>
            </w:pP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8"/>
              </w:rPr>
              <w:t>5 years</w:t>
            </w:r>
          </w:p>
        </w:tc>
      </w:tr>
      <w:tr>
        <w:trPr>
          <w:trHeight w:val="203"/>
        </w:trPr>
        <w:tc>
          <w:tcPr>
            <w:tcW w:w="3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20" w:type="dxa"/>
            <w:vAlign w:val="bottom"/>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2"/>
        </w:trPr>
        <w:tc>
          <w:tcPr>
            <w:tcW w:w="3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Sept 16, 2006 – Dec 31, 2007</w:t>
            </w:r>
          </w:p>
        </w:tc>
        <w:tc>
          <w:tcPr>
            <w:tcW w:w="58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3 years</w:t>
            </w:r>
          </w:p>
        </w:tc>
        <w:tc>
          <w:tcPr>
            <w:tcW w:w="56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7 years</w:t>
            </w:r>
          </w:p>
        </w:tc>
      </w:tr>
      <w:tr>
        <w:trPr>
          <w:trHeight w:val="203"/>
        </w:trPr>
        <w:tc>
          <w:tcPr>
            <w:tcW w:w="3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new stock option grant date will be as soon as is practicable after the close of the Stock Option Exchange Program. The new stock options will appear in your Fidelity account within 14 business days after the grant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approximate fair value of the new stock options you would have received, as measured just prior to the start of the exchange. A new option will not be awarded in exchange for that option. The amount of the cash payment will be equal to the number of shares that the old option was exchangeable into (based on the applicable exchange ratio), multiplied by an amount that approximates the Black-Scholes fair value of one option for a share of our common stock as of a date just prior to the start of the exchange program. We do not expect you to know how to calculate the Black-Scholes fair value. When we launch the program, you will be directed to a dedicated exchange program website where you can look at your eligible options and see what you would receive in the exchange if you elected to participate, including exactly how much cash (if any) you would receive. You will be able to see all of this information before you determine whether or not to participate.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will make the cash payments promptly after the expiration of the Stock Option Exchange Program, currently expected to be in late September.</w:t>
      </w:r>
    </w:p>
    <w:p>
      <w:pPr>
        <w:spacing w:after="0" w:line="175" w:lineRule="exact"/>
        <w:rPr>
          <w:sz w:val="20"/>
          <w:szCs w:val="20"/>
          <w:color w:val="auto"/>
        </w:rPr>
      </w:pPr>
    </w:p>
    <w:p>
      <w:pPr>
        <w:ind w:right="740" w:firstLine="8"/>
        <w:spacing w:after="0" w:line="271"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 if approved?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9" w:name="page10"/>
    <w:bookmarkEnd w:id="9"/>
    <w:p>
      <w:pPr>
        <w:ind w:right="30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21st: Communicate outcome of the Shareholder Meeting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w:t>
      </w:r>
    </w:p>
    <w:p>
      <w:pPr>
        <w:spacing w:after="0" w:line="104"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Late September: Planned conclusion of the Stock Option Exchange Program and granting of new stock options and initiation of cash payments, where applicable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Where can I go if I have additional questions about the Stock Option Exchange Program?</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 xml:space="preserve">You also can read our proxy statement that we filed with the SEC on June 18,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requires shareholder approval. Shareholders are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ind w:right="20"/>
        <w:spacing w:after="0" w:line="242"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First, in order to participate in the Stock Option Exchange Program you must be an Analog employee both on the date the Stock Option Exchange Program launches and on the date the new options are granted (currently expected to be late September). If you elect to exchange your options but leave Analog before the new option grant date,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new option grant date to be entitled to receive the payment. If you leave Analog after the new option grant date but before the cash payments are made, you will still be entitled to receive that cash payment.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Yes. If you are subject to the laws of a country outside of the United States, there may be tax, social insurance or other rules that apply to your participation in the Stock Option Exchange Program. For example, if you are subject to the laws of France, Israel or Belgium, different vesting schedules will apply to the new options you receive in the Stock Option Exchange Program. When the program launches, you will receive a supplement to the Exchange Program documents that is specific to your country. This supplement will describe the tax issues, vesting conditions and other terms and conditions of the Exchange Program that are required by the laws of your country. You should read this supplement carefully.</w:t>
      </w:r>
    </w:p>
    <w:p>
      <w:pPr>
        <w:spacing w:after="0" w:line="75" w:lineRule="exact"/>
        <w:rPr>
          <w:sz w:val="20"/>
          <w:szCs w:val="20"/>
          <w:color w:val="auto"/>
        </w:rPr>
      </w:pPr>
    </w:p>
    <w:p>
      <w:pPr>
        <w:ind w:right="3300" w:firstLine="8"/>
        <w:spacing w:after="0" w:line="360" w:lineRule="auto"/>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you say the new options are subject to a new “contractual term,” what do you mean? </w:t>
      </w:r>
      <w:r>
        <w:rPr>
          <w:rFonts w:ascii="Arial" w:cs="Arial" w:eastAsia="Arial" w:hAnsi="Arial"/>
          <w:sz w:val="18"/>
          <w:szCs w:val="18"/>
          <w:color w:val="auto"/>
        </w:rPr>
        <w:t>Please see revised Question 16.</w:t>
      </w: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when would I receive that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see new Question 21.</w:t>
      </w:r>
    </w:p>
    <w:p>
      <w:pPr>
        <w:spacing w:after="0" w:line="82" w:lineRule="exact"/>
        <w:rPr>
          <w:sz w:val="20"/>
          <w:szCs w:val="20"/>
          <w:color w:val="auto"/>
        </w:rPr>
      </w:pPr>
    </w:p>
    <w:p>
      <w:pPr>
        <w:ind w:right="40" w:firstLine="8"/>
        <w:spacing w:after="0" w:line="271" w:lineRule="auto"/>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24,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Did the stockholders approve our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Yes. Our stockholders approved the program on Monday, July 20, 2009. Please see revised Questions 1 and 3.</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160" w:firstLine="8"/>
        <w:spacing w:after="0" w:line="271" w:lineRule="auto"/>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how will I know exactly how much cash I will be receiving? I understand it’s based on the Black-Scholes valuation model, but I don’t know how to calculate that.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How long will the Stock Option Exchange Program be open for participation?</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currently expect to launch the program on Friday, August 28, 2009 and close it on Friday, September 25, 2009. We currently expect that the new options will be granted and the cash payment process will be initiated on Monday, September 28, 2009.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What if I plan to be out of the office that entire time? Can you send me the materials in advance?</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materials will be emailed to all employees on August 28, 2009 and distributed as a hard copy shortly thereafter. We cannot send you the materials before August 28 because the exchange ratios will not be set until that time. All exchange elections must be made online and you will be able to make your election (if you decide you wish to participate) from any computer anywhere in the world. You do not have to be in the office to view your eligible options or make an election.</w:t>
      </w:r>
    </w:p>
    <w:p>
      <w:pPr>
        <w:spacing w:after="0" w:line="72" w:lineRule="exact"/>
        <w:rPr>
          <w:sz w:val="20"/>
          <w:szCs w:val="20"/>
          <w:color w:val="auto"/>
        </w:rPr>
      </w:pPr>
    </w:p>
    <w:p>
      <w:pPr>
        <w:ind w:right="360" w:firstLine="8"/>
        <w:spacing w:after="0" w:line="271" w:lineRule="auto"/>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If the program closes on September 25, 2009 but the new options are not priced until they are granted on September 28, 2009, does this mean we have to make a decision about whether we want to participate before knowing the price?</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Yes. Our stock option plan requires that the exercise price of any stock options must be at least equal to the fair market value of the shares on the date of grant. The shares cannot be granted until we know if you wish to participate, so there is no way to predict what the exercise price of the new options will be. We recommend that you obtain current market quotations for our common stock during the offer period before deciding whether to exchange your old options. You may obtain the current trading price of our stock at </w:t>
      </w:r>
      <w:r>
        <w:rPr>
          <w:rFonts w:ascii="Arial" w:cs="Arial" w:eastAsia="Arial" w:hAnsi="Arial"/>
          <w:sz w:val="18"/>
          <w:szCs w:val="18"/>
          <w:u w:val="single" w:color="auto"/>
          <w:color w:val="auto"/>
        </w:rPr>
        <w:t>www.nyse.com</w:t>
      </w:r>
      <w:r>
        <w:rPr>
          <w:rFonts w:ascii="Arial" w:cs="Arial" w:eastAsia="Arial" w:hAnsi="Arial"/>
          <w:sz w:val="18"/>
          <w:szCs w:val="18"/>
          <w:color w:val="auto"/>
        </w:rPr>
        <w:t>. Just enter “ADI” in the “Get Quote” box at the top of the screen. In addition, when you log onto the dedicated exchange program website, there will be a modeling tool that allows you to enter what you think the new option grant price will be, and see how that would affect the number of new options (or cash) you would receive.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98" w:lineRule="exact"/>
        <w:rPr>
          <w:sz w:val="20"/>
          <w:szCs w:val="20"/>
          <w:color w:val="auto"/>
        </w:rPr>
      </w:pPr>
    </w:p>
    <w:p>
      <w:pPr>
        <w:jc w:val="center"/>
        <w:spacing w:after="0" w:line="243" w:lineRule="auto"/>
        <w:rPr>
          <w:sz w:val="20"/>
          <w:szCs w:val="20"/>
          <w:color w:val="auto"/>
        </w:rPr>
      </w:pPr>
      <w:r>
        <w:rPr>
          <w:rFonts w:ascii="Arial" w:cs="Arial" w:eastAsia="Arial" w:hAnsi="Arial"/>
          <w:sz w:val="18"/>
          <w:szCs w:val="18"/>
          <w:b w:val="1"/>
          <w:bCs w:val="1"/>
          <w:color w:val="auto"/>
        </w:rPr>
        <w:t>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w:t>
      </w:r>
    </w:p>
    <w:p>
      <w:pPr>
        <w:jc w:val="center"/>
        <w:spacing w:after="0" w:line="236" w:lineRule="auto"/>
        <w:rPr>
          <w:sz w:val="20"/>
          <w:szCs w:val="20"/>
          <w:color w:val="auto"/>
        </w:rPr>
      </w:pPr>
      <w:r>
        <w:rPr>
          <w:rFonts w:ascii="Arial" w:cs="Arial" w:eastAsia="Arial" w:hAnsi="Arial"/>
          <w:sz w:val="18"/>
          <w:szCs w:val="18"/>
          <w:b w:val="1"/>
          <w:bCs w:val="1"/>
          <w:color w:val="auto"/>
        </w:rPr>
        <w:t>when they become available because they will contain important information about the program. You</w:t>
      </w:r>
    </w:p>
    <w:p>
      <w:pPr>
        <w:jc w:val="center"/>
        <w:spacing w:after="0"/>
        <w:rPr>
          <w:sz w:val="20"/>
          <w:szCs w:val="20"/>
          <w:color w:val="auto"/>
        </w:rPr>
      </w:pPr>
      <w:r>
        <w:rPr>
          <w:rFonts w:ascii="Arial" w:cs="Arial" w:eastAsia="Arial" w:hAnsi="Arial"/>
          <w:sz w:val="18"/>
          <w:szCs w:val="18"/>
          <w:b w:val="1"/>
          <w:bCs w:val="1"/>
          <w:color w:val="auto"/>
        </w:rPr>
        <w:t xml:space="preserve">will be able to obtain the written materials described above and other documents we file with the SEC free of charge from the SEC’s website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xml:space="preserve"> or by sending a request to: Analog Devices, Inc. One Technology Way, Norwood, MA 02062; Attention: Investor Relations.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2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30"/>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34"/>
    </w:lvl>
  </w:abstractNum>
  <w:abstractNum w:abstractNumId="12">
    <w:nsid w:val="3352255A"/>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2019-12-09T21:23:00Z</dcterms:created>
  <dcterms:modified xsi:type="dcterms:W3CDTF">2019-12-09T21:23:00Z</dcterms:modified>
</cp:coreProperties>
</file>