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As filed with the Securities and Exchange Commission on June 25, 2009</w:t>
      </w:r>
    </w:p>
    <w:p>
      <w:pPr>
        <w:spacing w:after="0" w:line="19" w:lineRule="exact"/>
        <w:rPr>
          <w:sz w:val="20"/>
          <w:szCs w:val="20"/>
          <w:color w:val="auto"/>
        </w:rPr>
      </w:pPr>
    </w:p>
    <w:p>
      <w:pPr>
        <w:ind w:left="9740"/>
        <w:spacing w:after="0"/>
        <w:rPr>
          <w:sz w:val="20"/>
          <w:szCs w:val="20"/>
          <w:color w:val="auto"/>
        </w:rPr>
      </w:pPr>
      <w:r>
        <w:rPr>
          <w:rFonts w:ascii="Arial" w:cs="Arial" w:eastAsia="Arial" w:hAnsi="Arial"/>
          <w:sz w:val="13"/>
          <w:szCs w:val="13"/>
          <w:b w:val="1"/>
          <w:bCs w:val="1"/>
          <w:color w:val="auto"/>
        </w:rPr>
        <w:t>Registration No. 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5715</wp:posOffset>
            </wp:positionV>
            <wp:extent cx="684720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47205" cy="24765"/>
                    </a:xfrm>
                    <a:prstGeom prst="rect">
                      <a:avLst/>
                    </a:prstGeom>
                    <a:noFill/>
                  </pic:spPr>
                </pic:pic>
              </a:graphicData>
            </a:graphic>
          </wp:anchor>
        </w:drawing>
      </w:r>
    </w:p>
    <w:p>
      <w:pPr>
        <w:spacing w:after="0" w:line="12"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59690</wp:posOffset>
            </wp:positionV>
            <wp:extent cx="10299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52" w:lineRule="exact"/>
        <w:rPr>
          <w:sz w:val="20"/>
          <w:szCs w:val="20"/>
          <w:color w:val="auto"/>
        </w:rPr>
      </w:pPr>
    </w:p>
    <w:p>
      <w:pPr>
        <w:jc w:val="center"/>
        <w:ind w:right="-339"/>
        <w:spacing w:after="0"/>
        <w:rPr>
          <w:sz w:val="20"/>
          <w:szCs w:val="20"/>
          <w:color w:val="auto"/>
        </w:rPr>
      </w:pPr>
      <w:r>
        <w:rPr>
          <w:rFonts w:ascii="Arial" w:cs="Arial" w:eastAsia="Arial" w:hAnsi="Arial"/>
          <w:sz w:val="24"/>
          <w:szCs w:val="24"/>
          <w:b w:val="1"/>
          <w:bCs w:val="1"/>
          <w:color w:val="auto"/>
        </w:rPr>
        <w:t>Form S-3</w:t>
      </w:r>
    </w:p>
    <w:p>
      <w:pPr>
        <w:spacing w:after="0" w:line="87"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REGISTRATION STATEMENT</w:t>
      </w:r>
    </w:p>
    <w:p>
      <w:pPr>
        <w:spacing w:after="0" w:line="4" w:lineRule="exact"/>
        <w:rPr>
          <w:sz w:val="20"/>
          <w:szCs w:val="20"/>
          <w:color w:val="auto"/>
        </w:rPr>
      </w:pPr>
    </w:p>
    <w:p>
      <w:pPr>
        <w:jc w:val="center"/>
        <w:ind w:right="-339"/>
        <w:spacing w:after="0"/>
        <w:rPr>
          <w:sz w:val="20"/>
          <w:szCs w:val="20"/>
          <w:color w:val="auto"/>
        </w:rPr>
      </w:pPr>
      <w:r>
        <w:rPr>
          <w:rFonts w:ascii="Arial" w:cs="Arial" w:eastAsia="Arial" w:hAnsi="Arial"/>
          <w:sz w:val="16"/>
          <w:szCs w:val="16"/>
          <w:b w:val="1"/>
          <w:bCs w:val="1"/>
          <w:color w:val="auto"/>
        </w:rPr>
        <w:t>UNDER</w:t>
      </w:r>
    </w:p>
    <w:p>
      <w:pPr>
        <w:jc w:val="center"/>
        <w:ind w:right="-33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66040</wp:posOffset>
            </wp:positionV>
            <wp:extent cx="10299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60" w:lineRule="exact"/>
        <w:rPr>
          <w:sz w:val="20"/>
          <w:szCs w:val="20"/>
          <w:color w:val="auto"/>
        </w:rPr>
      </w:pPr>
    </w:p>
    <w:p>
      <w:pPr>
        <w:jc w:val="center"/>
        <w:ind w:right="-339"/>
        <w:spacing w:after="0"/>
        <w:rPr>
          <w:sz w:val="20"/>
          <w:szCs w:val="20"/>
          <w:color w:val="auto"/>
        </w:rPr>
      </w:pPr>
      <w:r>
        <w:rPr>
          <w:rFonts w:ascii="Arial" w:cs="Arial" w:eastAsia="Arial" w:hAnsi="Arial"/>
          <w:sz w:val="31"/>
          <w:szCs w:val="31"/>
          <w:b w:val="1"/>
          <w:bCs w:val="1"/>
          <w:color w:val="auto"/>
        </w:rPr>
        <w:t>ANALOG DEVICES, INC.</w:t>
      </w:r>
    </w:p>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48" w:lineRule="exact"/>
        <w:rPr>
          <w:sz w:val="20"/>
          <w:szCs w:val="20"/>
          <w:color w:val="auto"/>
        </w:rPr>
      </w:pPr>
    </w:p>
    <w:tbl>
      <w:tblPr>
        <w:tblLayout w:type="fixed"/>
        <w:tblInd w:w="2340" w:type="dxa"/>
        <w:tblCellMar>
          <w:top w:w="0" w:type="dxa"/>
          <w:left w:w="0" w:type="dxa"/>
          <w:bottom w:w="0" w:type="dxa"/>
          <w:right w:w="0" w:type="dxa"/>
        </w:tblCellMar>
      </w:tblPr>
      <w:tr>
        <w:trPr>
          <w:trHeight w:val="144"/>
        </w:trPr>
        <w:tc>
          <w:tcPr>
            <w:tcW w:w="3480" w:type="dxa"/>
            <w:vAlign w:val="bottom"/>
          </w:tcPr>
          <w:p>
            <w:pPr>
              <w:jc w:val="center"/>
              <w:ind w:right="2125"/>
              <w:spacing w:after="0"/>
              <w:rPr>
                <w:sz w:val="20"/>
                <w:szCs w:val="20"/>
                <w:color w:val="auto"/>
              </w:rPr>
            </w:pPr>
            <w:r>
              <w:rPr>
                <w:rFonts w:ascii="Arial" w:cs="Arial" w:eastAsia="Arial" w:hAnsi="Arial"/>
                <w:sz w:val="12"/>
                <w:szCs w:val="12"/>
                <w:b w:val="1"/>
                <w:bCs w:val="1"/>
                <w:color w:val="auto"/>
                <w:w w:val="85"/>
              </w:rPr>
              <w:t>Massachusetts</w:t>
            </w:r>
          </w:p>
        </w:tc>
        <w:tc>
          <w:tcPr>
            <w:tcW w:w="3140" w:type="dxa"/>
            <w:vAlign w:val="bottom"/>
          </w:tcPr>
          <w:p>
            <w:pPr>
              <w:jc w:val="center"/>
              <w:ind w:left="2125"/>
              <w:spacing w:after="0"/>
              <w:rPr>
                <w:sz w:val="20"/>
                <w:szCs w:val="20"/>
                <w:color w:val="auto"/>
              </w:rPr>
            </w:pPr>
            <w:r>
              <w:rPr>
                <w:rFonts w:ascii="Arial" w:cs="Arial" w:eastAsia="Arial" w:hAnsi="Arial"/>
                <w:sz w:val="12"/>
                <w:szCs w:val="12"/>
                <w:b w:val="1"/>
                <w:bCs w:val="1"/>
                <w:color w:val="auto"/>
                <w:w w:val="87"/>
              </w:rPr>
              <w:t>04-2348234</w:t>
            </w:r>
          </w:p>
        </w:tc>
      </w:tr>
      <w:tr>
        <w:trPr>
          <w:trHeight w:val="108"/>
        </w:trPr>
        <w:tc>
          <w:tcPr>
            <w:tcW w:w="3480" w:type="dxa"/>
            <w:vAlign w:val="bottom"/>
          </w:tcPr>
          <w:p>
            <w:pPr>
              <w:jc w:val="center"/>
              <w:ind w:right="2125"/>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3140" w:type="dxa"/>
            <w:vAlign w:val="bottom"/>
          </w:tcPr>
          <w:p>
            <w:pPr>
              <w:jc w:val="center"/>
              <w:ind w:left="2145"/>
              <w:spacing w:after="0" w:line="108" w:lineRule="exact"/>
              <w:rPr>
                <w:sz w:val="20"/>
                <w:szCs w:val="20"/>
                <w:color w:val="auto"/>
              </w:rPr>
            </w:pPr>
            <w:r>
              <w:rPr>
                <w:rFonts w:ascii="Arial" w:cs="Arial" w:eastAsia="Arial" w:hAnsi="Arial"/>
                <w:sz w:val="10"/>
                <w:szCs w:val="10"/>
                <w:i w:val="1"/>
                <w:iCs w:val="1"/>
                <w:color w:val="auto"/>
                <w:w w:val="95"/>
              </w:rPr>
              <w:t>(I.R.S. Employer</w:t>
            </w:r>
          </w:p>
        </w:tc>
      </w:tr>
      <w:tr>
        <w:trPr>
          <w:trHeight w:val="131"/>
        </w:trPr>
        <w:tc>
          <w:tcPr>
            <w:tcW w:w="3480" w:type="dxa"/>
            <w:vAlign w:val="bottom"/>
          </w:tcPr>
          <w:p>
            <w:pPr>
              <w:jc w:val="center"/>
              <w:ind w:right="2125"/>
              <w:spacing w:after="0"/>
              <w:rPr>
                <w:sz w:val="20"/>
                <w:szCs w:val="20"/>
                <w:color w:val="auto"/>
              </w:rPr>
            </w:pPr>
            <w:r>
              <w:rPr>
                <w:rFonts w:ascii="Arial" w:cs="Arial" w:eastAsia="Arial" w:hAnsi="Arial"/>
                <w:sz w:val="10"/>
                <w:szCs w:val="10"/>
                <w:i w:val="1"/>
                <w:iCs w:val="1"/>
                <w:color w:val="auto"/>
                <w:w w:val="99"/>
              </w:rPr>
              <w:t>incorporation or organization)</w:t>
            </w:r>
          </w:p>
        </w:tc>
        <w:tc>
          <w:tcPr>
            <w:tcW w:w="3140" w:type="dxa"/>
            <w:vAlign w:val="bottom"/>
          </w:tcPr>
          <w:p>
            <w:pPr>
              <w:jc w:val="center"/>
              <w:ind w:left="2125"/>
              <w:spacing w:after="0"/>
              <w:rPr>
                <w:sz w:val="20"/>
                <w:szCs w:val="20"/>
                <w:color w:val="auto"/>
              </w:rPr>
            </w:pPr>
            <w:r>
              <w:rPr>
                <w:rFonts w:ascii="Arial" w:cs="Arial" w:eastAsia="Arial" w:hAnsi="Arial"/>
                <w:sz w:val="10"/>
                <w:szCs w:val="10"/>
                <w:i w:val="1"/>
                <w:iCs w:val="1"/>
                <w:color w:val="auto"/>
                <w:w w:val="98"/>
              </w:rPr>
              <w:t>Identification Number)</w:t>
            </w:r>
          </w:p>
        </w:tc>
      </w:tr>
    </w:tbl>
    <w:p>
      <w:pPr>
        <w:spacing w:after="0" w:line="26"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One Technology Way,</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Norwood, Massachusetts 02062-9106</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Telephone: 781-329-4700</w:t>
      </w:r>
    </w:p>
    <w:p>
      <w:pPr>
        <w:jc w:val="center"/>
        <w:ind w:right="-339"/>
        <w:spacing w:after="0" w:line="234" w:lineRule="auto"/>
        <w:rPr>
          <w:sz w:val="20"/>
          <w:szCs w:val="20"/>
          <w:color w:val="auto"/>
        </w:rPr>
      </w:pPr>
      <w:r>
        <w:rPr>
          <w:rFonts w:ascii="Arial" w:cs="Arial" w:eastAsia="Arial" w:hAnsi="Arial"/>
          <w:sz w:val="10"/>
          <w:szCs w:val="10"/>
          <w:i w:val="1"/>
          <w:iCs w:val="1"/>
          <w:color w:val="auto"/>
        </w:rPr>
        <w:t>(Address, including zip code, and telephone number,</w:t>
      </w:r>
    </w:p>
    <w:p>
      <w:pPr>
        <w:jc w:val="center"/>
        <w:ind w:right="-339"/>
        <w:spacing w:after="0"/>
        <w:rPr>
          <w:sz w:val="20"/>
          <w:szCs w:val="20"/>
          <w:color w:val="auto"/>
        </w:rPr>
      </w:pPr>
      <w:r>
        <w:rPr>
          <w:rFonts w:ascii="Arial" w:cs="Arial" w:eastAsia="Arial" w:hAnsi="Arial"/>
          <w:sz w:val="10"/>
          <w:szCs w:val="10"/>
          <w:i w:val="1"/>
          <w:iCs w:val="1"/>
          <w:color w:val="auto"/>
        </w:rPr>
        <w:t>including area code, of registrant’s principal executive offices)</w:t>
      </w:r>
    </w:p>
    <w:p>
      <w:pPr>
        <w:spacing w:after="0" w:line="34"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Margaret K. Seif, Esq.</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Vice President, General Counsel and Secretary</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One Technology Way</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Norwood, Massachusetts 02062</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Telephone: 781-329-4700</w:t>
      </w:r>
    </w:p>
    <w:p>
      <w:pPr>
        <w:jc w:val="center"/>
        <w:ind w:right="-339"/>
        <w:spacing w:after="0" w:line="234" w:lineRule="auto"/>
        <w:rPr>
          <w:sz w:val="20"/>
          <w:szCs w:val="20"/>
          <w:color w:val="auto"/>
        </w:rPr>
      </w:pPr>
      <w:r>
        <w:rPr>
          <w:rFonts w:ascii="Arial" w:cs="Arial" w:eastAsia="Arial" w:hAnsi="Arial"/>
          <w:sz w:val="10"/>
          <w:szCs w:val="10"/>
          <w:i w:val="1"/>
          <w:iCs w:val="1"/>
          <w:color w:val="auto"/>
        </w:rPr>
        <w:t>(Name, address, including zip code, and telephone number,</w:t>
      </w:r>
    </w:p>
    <w:p>
      <w:pPr>
        <w:jc w:val="center"/>
        <w:ind w:right="-339"/>
        <w:spacing w:after="0"/>
        <w:rPr>
          <w:sz w:val="20"/>
          <w:szCs w:val="20"/>
          <w:color w:val="auto"/>
        </w:rPr>
      </w:pPr>
      <w:r>
        <w:rPr>
          <w:rFonts w:ascii="Arial" w:cs="Arial" w:eastAsia="Arial" w:hAnsi="Arial"/>
          <w:sz w:val="10"/>
          <w:szCs w:val="10"/>
          <w:i w:val="1"/>
          <w:iCs w:val="1"/>
          <w:color w:val="auto"/>
        </w:rPr>
        <w:t>including area code, of agent for service)</w:t>
      </w:r>
    </w:p>
    <w:p>
      <w:pPr>
        <w:spacing w:after="0" w:line="3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i w:val="1"/>
          <w:iCs w:val="1"/>
          <w:color w:val="auto"/>
        </w:rPr>
        <w:t>Copy to:</w:t>
      </w:r>
    </w:p>
    <w:p>
      <w:pPr>
        <w:spacing w:after="0" w:line="53"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Mark G. Borden, Esq.</w:t>
      </w:r>
    </w:p>
    <w:p>
      <w:pPr>
        <w:spacing w:after="0" w:line="19"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Graham Robinson, Esq.</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Wilmer Cutler Pickering Hale and Dorr LLP</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60 State Street</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Boston, Massachusetts 02109</w:t>
      </w:r>
    </w:p>
    <w:p>
      <w:pPr>
        <w:spacing w:after="0" w:line="8" w:lineRule="exact"/>
        <w:rPr>
          <w:sz w:val="20"/>
          <w:szCs w:val="20"/>
          <w:color w:val="auto"/>
        </w:rPr>
      </w:pPr>
    </w:p>
    <w:p>
      <w:pPr>
        <w:jc w:val="center"/>
        <w:ind w:right="-339"/>
        <w:spacing w:after="0"/>
        <w:rPr>
          <w:sz w:val="20"/>
          <w:szCs w:val="20"/>
          <w:color w:val="auto"/>
        </w:rPr>
      </w:pPr>
      <w:r>
        <w:rPr>
          <w:rFonts w:ascii="Arial" w:cs="Arial" w:eastAsia="Arial" w:hAnsi="Arial"/>
          <w:sz w:val="13"/>
          <w:szCs w:val="13"/>
          <w:b w:val="1"/>
          <w:bCs w:val="1"/>
          <w:color w:val="auto"/>
        </w:rPr>
        <w:t>617-526-6000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67945</wp:posOffset>
            </wp:positionV>
            <wp:extent cx="10299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29970" cy="6350"/>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2"/>
          <w:szCs w:val="12"/>
          <w:b w:val="1"/>
          <w:bCs w:val="1"/>
          <w:color w:val="auto"/>
        </w:rPr>
        <w:t xml:space="preserve">Approximate date of commencement of proposed sale to the public: </w:t>
      </w:r>
      <w:r>
        <w:rPr>
          <w:rFonts w:ascii="Arial" w:cs="Arial" w:eastAsia="Arial" w:hAnsi="Arial"/>
          <w:sz w:val="12"/>
          <w:szCs w:val="12"/>
          <w:color w:val="auto"/>
        </w:rPr>
        <w:t>From time to time after the effective date of this Registration Statement.</w:t>
      </w:r>
    </w:p>
    <w:p>
      <w:pPr>
        <w:spacing w:after="0" w:line="61"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 o</w:t>
      </w:r>
    </w:p>
    <w:p>
      <w:pPr>
        <w:spacing w:after="0" w:line="59" w:lineRule="exact"/>
        <w:rPr>
          <w:sz w:val="20"/>
          <w:szCs w:val="20"/>
          <w:color w:val="auto"/>
        </w:rPr>
      </w:pPr>
    </w:p>
    <w:p>
      <w:pPr>
        <w:ind w:left="340" w:right="80" w:firstLine="324"/>
        <w:spacing w:after="0" w:line="156"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2"/>
          <w:szCs w:val="12"/>
          <w:color w:val="auto"/>
        </w:rPr>
        <w:t>☑</w:t>
      </w:r>
    </w:p>
    <w:p>
      <w:pPr>
        <w:spacing w:after="0" w:line="34" w:lineRule="exact"/>
        <w:rPr>
          <w:sz w:val="20"/>
          <w:szCs w:val="20"/>
          <w:color w:val="auto"/>
        </w:rPr>
      </w:pPr>
    </w:p>
    <w:p>
      <w:pPr>
        <w:ind w:left="340" w:right="180" w:firstLine="324"/>
        <w:spacing w:after="0" w:line="275" w:lineRule="auto"/>
        <w:rPr>
          <w:sz w:val="20"/>
          <w:szCs w:val="20"/>
          <w:color w:val="auto"/>
        </w:rPr>
      </w:pPr>
      <w:r>
        <w:rPr>
          <w:rFonts w:ascii="Arial" w:cs="Arial" w:eastAsia="Arial" w:hAnsi="Arial"/>
          <w:sz w:val="12"/>
          <w:szCs w:val="12"/>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8" w:lineRule="exact"/>
        <w:rPr>
          <w:sz w:val="20"/>
          <w:szCs w:val="20"/>
          <w:color w:val="auto"/>
        </w:rPr>
      </w:pPr>
    </w:p>
    <w:p>
      <w:pPr>
        <w:ind w:left="340" w:right="360" w:firstLine="324"/>
        <w:spacing w:after="0" w:line="275" w:lineRule="auto"/>
        <w:rPr>
          <w:sz w:val="20"/>
          <w:szCs w:val="20"/>
          <w:color w:val="auto"/>
        </w:rPr>
      </w:pPr>
      <w:r>
        <w:rPr>
          <w:rFonts w:ascii="Arial" w:cs="Arial" w:eastAsia="Arial" w:hAnsi="Arial"/>
          <w:sz w:val="12"/>
          <w:szCs w:val="12"/>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8" w:lineRule="exact"/>
        <w:rPr>
          <w:sz w:val="20"/>
          <w:szCs w:val="20"/>
          <w:color w:val="auto"/>
        </w:rPr>
      </w:pPr>
    </w:p>
    <w:p>
      <w:pPr>
        <w:ind w:left="340" w:right="120" w:firstLine="324"/>
        <w:spacing w:after="0" w:line="156" w:lineRule="exact"/>
        <w:rPr>
          <w:sz w:val="20"/>
          <w:szCs w:val="20"/>
          <w:color w:val="auto"/>
        </w:rPr>
      </w:pPr>
      <w:r>
        <w:rPr>
          <w:rFonts w:ascii="Arial" w:cs="Arial" w:eastAsia="Arial" w:hAnsi="Arial"/>
          <w:sz w:val="12"/>
          <w:szCs w:val="12"/>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2"/>
          <w:szCs w:val="12"/>
          <w:color w:val="auto"/>
        </w:rPr>
        <w:t>☑</w:t>
      </w:r>
    </w:p>
    <w:p>
      <w:pPr>
        <w:spacing w:after="0" w:line="34" w:lineRule="exact"/>
        <w:rPr>
          <w:sz w:val="20"/>
          <w:szCs w:val="20"/>
          <w:color w:val="auto"/>
        </w:rPr>
      </w:pPr>
    </w:p>
    <w:p>
      <w:pPr>
        <w:ind w:left="340" w:right="300" w:firstLine="324"/>
        <w:spacing w:after="0" w:line="275" w:lineRule="auto"/>
        <w:rPr>
          <w:sz w:val="20"/>
          <w:szCs w:val="20"/>
          <w:color w:val="auto"/>
        </w:rPr>
      </w:pPr>
      <w:r>
        <w:rPr>
          <w:rFonts w:ascii="Arial" w:cs="Arial" w:eastAsia="Arial" w:hAnsi="Arial"/>
          <w:sz w:val="12"/>
          <w:szCs w:val="12"/>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28" w:lineRule="exact"/>
        <w:rPr>
          <w:sz w:val="20"/>
          <w:szCs w:val="20"/>
          <w:color w:val="auto"/>
        </w:rPr>
      </w:pPr>
    </w:p>
    <w:p>
      <w:pPr>
        <w:ind w:left="340" w:right="140" w:firstLine="324"/>
        <w:spacing w:after="0" w:line="257"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340" w:type="dxa"/>
        <w:tblCellMar>
          <w:top w:w="0" w:type="dxa"/>
          <w:left w:w="0" w:type="dxa"/>
          <w:bottom w:w="0" w:type="dxa"/>
          <w:right w:w="0" w:type="dxa"/>
        </w:tblCellMar>
      </w:tblPr>
      <w:tr>
        <w:trPr>
          <w:trHeight w:val="114"/>
        </w:trPr>
        <w:tc>
          <w:tcPr>
            <w:tcW w:w="1640" w:type="dxa"/>
            <w:vAlign w:val="bottom"/>
          </w:tcPr>
          <w:p>
            <w:pPr>
              <w:ind w:left="440"/>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tc>
        <w:tc>
          <w:tcPr>
            <w:tcW w:w="2540" w:type="dxa"/>
            <w:vAlign w:val="bottom"/>
          </w:tcPr>
          <w:p>
            <w:pPr>
              <w:ind w:left="1320"/>
              <w:spacing w:after="0"/>
              <w:rPr>
                <w:sz w:val="20"/>
                <w:szCs w:val="20"/>
                <w:color w:val="auto"/>
              </w:rPr>
            </w:pPr>
            <w:r>
              <w:rPr>
                <w:rFonts w:ascii="Arial" w:cs="Arial" w:eastAsia="Arial" w:hAnsi="Arial"/>
                <w:sz w:val="10"/>
                <w:szCs w:val="10"/>
                <w:color w:val="auto"/>
              </w:rPr>
              <w:t>Accelerated filer o</w:t>
            </w:r>
          </w:p>
        </w:tc>
        <w:tc>
          <w:tcPr>
            <w:tcW w:w="680" w:type="dxa"/>
            <w:vAlign w:val="bottom"/>
          </w:tcPr>
          <w:p>
            <w:pPr>
              <w:spacing w:after="0"/>
              <w:rPr>
                <w:sz w:val="9"/>
                <w:szCs w:val="9"/>
                <w:color w:val="auto"/>
              </w:rPr>
            </w:pPr>
          </w:p>
        </w:tc>
        <w:tc>
          <w:tcPr>
            <w:tcW w:w="3040" w:type="dxa"/>
            <w:vAlign w:val="bottom"/>
            <w:gridSpan w:val="2"/>
          </w:tcPr>
          <w:p>
            <w:pPr>
              <w:jc w:val="center"/>
              <w:spacing w:after="0"/>
              <w:rPr>
                <w:sz w:val="20"/>
                <w:szCs w:val="20"/>
                <w:color w:val="auto"/>
              </w:rPr>
            </w:pPr>
            <w:r>
              <w:rPr>
                <w:rFonts w:ascii="Arial" w:cs="Arial" w:eastAsia="Arial" w:hAnsi="Arial"/>
                <w:sz w:val="10"/>
                <w:szCs w:val="10"/>
                <w:color w:val="auto"/>
                <w:w w:val="95"/>
              </w:rPr>
              <w:t>Non-accelerated filer o</w:t>
            </w:r>
          </w:p>
        </w:tc>
        <w:tc>
          <w:tcPr>
            <w:tcW w:w="1220" w:type="dxa"/>
            <w:vAlign w:val="bottom"/>
          </w:tcPr>
          <w:p>
            <w:pPr>
              <w:spacing w:after="0"/>
              <w:rPr>
                <w:sz w:val="9"/>
                <w:szCs w:val="9"/>
                <w:color w:val="auto"/>
              </w:rPr>
            </w:pPr>
          </w:p>
        </w:tc>
        <w:tc>
          <w:tcPr>
            <w:tcW w:w="1660" w:type="dxa"/>
            <w:vAlign w:val="bottom"/>
            <w:gridSpan w:val="2"/>
          </w:tcPr>
          <w:p>
            <w:pPr>
              <w:ind w:left="20"/>
              <w:spacing w:after="0"/>
              <w:rPr>
                <w:sz w:val="20"/>
                <w:szCs w:val="20"/>
                <w:color w:val="auto"/>
              </w:rPr>
            </w:pPr>
            <w:r>
              <w:rPr>
                <w:rFonts w:ascii="Arial" w:cs="Arial" w:eastAsia="Arial" w:hAnsi="Arial"/>
                <w:sz w:val="10"/>
                <w:szCs w:val="10"/>
                <w:color w:val="auto"/>
              </w:rPr>
              <w:t>Smaller reporting company o</w:t>
            </w:r>
          </w:p>
        </w:tc>
        <w:tc>
          <w:tcPr>
            <w:tcW w:w="0" w:type="dxa"/>
            <w:vAlign w:val="bottom"/>
          </w:tcPr>
          <w:p>
            <w:pPr>
              <w:spacing w:after="0"/>
              <w:rPr>
                <w:sz w:val="1"/>
                <w:szCs w:val="1"/>
                <w:color w:val="auto"/>
              </w:rPr>
            </w:pPr>
          </w:p>
        </w:tc>
      </w:tr>
      <w:tr>
        <w:trPr>
          <w:trHeight w:val="131"/>
        </w:trPr>
        <w:tc>
          <w:tcPr>
            <w:tcW w:w="16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40" w:type="dxa"/>
            <w:vAlign w:val="bottom"/>
            <w:gridSpan w:val="2"/>
          </w:tcPr>
          <w:p>
            <w:pPr>
              <w:jc w:val="center"/>
              <w:spacing w:after="0"/>
              <w:rPr>
                <w:sz w:val="20"/>
                <w:szCs w:val="20"/>
                <w:color w:val="auto"/>
              </w:rPr>
            </w:pPr>
            <w:r>
              <w:rPr>
                <w:rFonts w:ascii="Arial" w:cs="Arial" w:eastAsia="Arial" w:hAnsi="Arial"/>
                <w:sz w:val="10"/>
                <w:szCs w:val="10"/>
                <w:color w:val="auto"/>
                <w:w w:val="96"/>
              </w:rPr>
              <w:t>(Do not check if a smaller reporting company)</w:t>
            </w:r>
          </w:p>
        </w:tc>
        <w:tc>
          <w:tcPr>
            <w:tcW w:w="1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64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200" w:type="dxa"/>
            <w:vAlign w:val="bottom"/>
            <w:gridSpan w:val="2"/>
          </w:tcPr>
          <w:p>
            <w:pPr>
              <w:ind w:left="420"/>
              <w:spacing w:after="0"/>
              <w:rPr>
                <w:sz w:val="20"/>
                <w:szCs w:val="20"/>
                <w:color w:val="auto"/>
              </w:rPr>
            </w:pPr>
            <w:r>
              <w:rPr>
                <w:rFonts w:ascii="Arial" w:cs="Arial" w:eastAsia="Arial" w:hAnsi="Arial"/>
                <w:sz w:val="12"/>
                <w:szCs w:val="12"/>
                <w:b w:val="1"/>
                <w:bCs w:val="1"/>
                <w:color w:val="auto"/>
                <w:w w:val="98"/>
              </w:rPr>
              <w:t>Calculation of Registration Fee</w:t>
            </w:r>
          </w:p>
        </w:tc>
        <w:tc>
          <w:tcPr>
            <w:tcW w:w="15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640" w:type="dxa"/>
            <w:vAlign w:val="bottom"/>
            <w:tcBorders>
              <w:bottom w:val="single" w:sz="8" w:color="auto"/>
            </w:tcBorders>
          </w:tcPr>
          <w:p>
            <w:pPr>
              <w:spacing w:after="0"/>
              <w:rPr>
                <w:sz w:val="6"/>
                <w:szCs w:val="6"/>
                <w:color w:val="auto"/>
              </w:rPr>
            </w:pPr>
          </w:p>
        </w:tc>
        <w:tc>
          <w:tcPr>
            <w:tcW w:w="25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1640" w:type="dxa"/>
            <w:vAlign w:val="bottom"/>
          </w:tcPr>
          <w:p>
            <w:pPr>
              <w:spacing w:after="0"/>
              <w:rPr>
                <w:sz w:val="7"/>
                <w:szCs w:val="7"/>
                <w:color w:val="auto"/>
              </w:rPr>
            </w:pPr>
          </w:p>
        </w:tc>
        <w:tc>
          <w:tcPr>
            <w:tcW w:w="2540" w:type="dxa"/>
            <w:vAlign w:val="bottom"/>
            <w:vMerge w:val="restart"/>
          </w:tcPr>
          <w:p>
            <w:pPr>
              <w:jc w:val="center"/>
              <w:ind w:right="1008"/>
              <w:spacing w:after="0"/>
              <w:rPr>
                <w:sz w:val="20"/>
                <w:szCs w:val="20"/>
                <w:color w:val="auto"/>
              </w:rPr>
            </w:pPr>
            <w:r>
              <w:rPr>
                <w:rFonts w:ascii="Arial" w:cs="Arial" w:eastAsia="Arial" w:hAnsi="Arial"/>
                <w:sz w:val="10"/>
                <w:szCs w:val="10"/>
                <w:b w:val="1"/>
                <w:bCs w:val="1"/>
                <w:color w:val="auto"/>
                <w:w w:val="94"/>
              </w:rPr>
              <w:t>Title of Each Class of</w:t>
            </w:r>
          </w:p>
        </w:tc>
        <w:tc>
          <w:tcPr>
            <w:tcW w:w="680" w:type="dxa"/>
            <w:vAlign w:val="bottom"/>
            <w:tcBorders>
              <w:right w:val="single" w:sz="8" w:color="auto"/>
            </w:tcBorders>
          </w:tcPr>
          <w:p>
            <w:pPr>
              <w:spacing w:after="0"/>
              <w:rPr>
                <w:sz w:val="7"/>
                <w:szCs w:val="7"/>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0"/>
                <w:szCs w:val="10"/>
                <w:b w:val="1"/>
                <w:bCs w:val="1"/>
                <w:color w:val="auto"/>
                <w:w w:val="93"/>
              </w:rPr>
              <w:t>Amount to be</w:t>
            </w:r>
          </w:p>
        </w:tc>
        <w:tc>
          <w:tcPr>
            <w:tcW w:w="1520" w:type="dxa"/>
            <w:vAlign w:val="bottom"/>
            <w:tcBorders>
              <w:right w:val="single" w:sz="8" w:color="auto"/>
            </w:tcBorders>
          </w:tcPr>
          <w:p>
            <w:pPr>
              <w:jc w:val="center"/>
              <w:spacing w:after="0" w:line="92" w:lineRule="exact"/>
              <w:rPr>
                <w:sz w:val="20"/>
                <w:szCs w:val="20"/>
                <w:color w:val="auto"/>
              </w:rPr>
            </w:pPr>
            <w:r>
              <w:rPr>
                <w:rFonts w:ascii="Arial" w:cs="Arial" w:eastAsia="Arial" w:hAnsi="Arial"/>
                <w:sz w:val="10"/>
                <w:szCs w:val="10"/>
                <w:b w:val="1"/>
                <w:bCs w:val="1"/>
                <w:color w:val="auto"/>
                <w:w w:val="94"/>
              </w:rPr>
              <w:t>Proposed Maximum</w:t>
            </w:r>
          </w:p>
        </w:tc>
        <w:tc>
          <w:tcPr>
            <w:tcW w:w="1220" w:type="dxa"/>
            <w:vAlign w:val="bottom"/>
          </w:tcPr>
          <w:p>
            <w:pPr>
              <w:jc w:val="center"/>
              <w:ind w:left="228"/>
              <w:spacing w:after="0" w:line="92" w:lineRule="exact"/>
              <w:rPr>
                <w:sz w:val="20"/>
                <w:szCs w:val="20"/>
                <w:color w:val="auto"/>
              </w:rPr>
            </w:pPr>
            <w:r>
              <w:rPr>
                <w:rFonts w:ascii="Arial" w:cs="Arial" w:eastAsia="Arial" w:hAnsi="Arial"/>
                <w:sz w:val="10"/>
                <w:szCs w:val="10"/>
                <w:b w:val="1"/>
                <w:bCs w:val="1"/>
                <w:color w:val="auto"/>
                <w:w w:val="94"/>
              </w:rPr>
              <w:t>Proposed Maximum</w:t>
            </w:r>
          </w:p>
        </w:tc>
        <w:tc>
          <w:tcPr>
            <w:tcW w:w="280" w:type="dxa"/>
            <w:vAlign w:val="bottom"/>
            <w:tcBorders>
              <w:right w:val="single" w:sz="8" w:color="auto"/>
            </w:tcBorders>
          </w:tcPr>
          <w:p>
            <w:pPr>
              <w:spacing w:after="0"/>
              <w:rPr>
                <w:sz w:val="7"/>
                <w:szCs w:val="7"/>
                <w:color w:val="auto"/>
              </w:rPr>
            </w:pPr>
          </w:p>
        </w:tc>
        <w:tc>
          <w:tcPr>
            <w:tcW w:w="1380" w:type="dxa"/>
            <w:vAlign w:val="bottom"/>
          </w:tcPr>
          <w:p>
            <w:pPr>
              <w:jc w:val="center"/>
              <w:ind w:left="48"/>
              <w:spacing w:after="0" w:line="92" w:lineRule="exact"/>
              <w:rPr>
                <w:sz w:val="20"/>
                <w:szCs w:val="20"/>
                <w:color w:val="auto"/>
              </w:rPr>
            </w:pPr>
            <w:r>
              <w:rPr>
                <w:rFonts w:ascii="Arial" w:cs="Arial" w:eastAsia="Arial" w:hAnsi="Arial"/>
                <w:sz w:val="10"/>
                <w:szCs w:val="10"/>
                <w:b w:val="1"/>
                <w:bCs w:val="1"/>
                <w:color w:val="auto"/>
                <w:w w:val="95"/>
              </w:rPr>
              <w:t>Amount of</w:t>
            </w:r>
          </w:p>
        </w:tc>
        <w:tc>
          <w:tcPr>
            <w:tcW w:w="0" w:type="dxa"/>
            <w:vAlign w:val="bottom"/>
          </w:tcPr>
          <w:p>
            <w:pPr>
              <w:spacing w:after="0"/>
              <w:rPr>
                <w:sz w:val="1"/>
                <w:szCs w:val="1"/>
                <w:color w:val="auto"/>
              </w:rPr>
            </w:pPr>
          </w:p>
        </w:tc>
      </w:tr>
      <w:tr>
        <w:trPr>
          <w:trHeight w:val="108"/>
        </w:trPr>
        <w:tc>
          <w:tcPr>
            <w:tcW w:w="164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520" w:type="dxa"/>
            <w:vAlign w:val="bottom"/>
            <w:tcBorders>
              <w:right w:val="single" w:sz="8" w:color="auto"/>
            </w:tcBorders>
          </w:tcPr>
          <w:p>
            <w:pPr>
              <w:jc w:val="center"/>
              <w:spacing w:after="0" w:line="108" w:lineRule="exact"/>
              <w:rPr>
                <w:sz w:val="20"/>
                <w:szCs w:val="20"/>
                <w:color w:val="auto"/>
              </w:rPr>
            </w:pPr>
            <w:r>
              <w:rPr>
                <w:rFonts w:ascii="Arial" w:cs="Arial" w:eastAsia="Arial" w:hAnsi="Arial"/>
                <w:sz w:val="10"/>
                <w:szCs w:val="10"/>
                <w:b w:val="1"/>
                <w:bCs w:val="1"/>
                <w:color w:val="auto"/>
                <w:w w:val="97"/>
              </w:rPr>
              <w:t>Offering</w:t>
            </w:r>
          </w:p>
        </w:tc>
        <w:tc>
          <w:tcPr>
            <w:tcW w:w="1220" w:type="dxa"/>
            <w:vAlign w:val="bottom"/>
          </w:tcPr>
          <w:p>
            <w:pPr>
              <w:jc w:val="center"/>
              <w:ind w:left="228"/>
              <w:spacing w:after="0" w:line="108" w:lineRule="exact"/>
              <w:rPr>
                <w:sz w:val="20"/>
                <w:szCs w:val="20"/>
                <w:color w:val="auto"/>
              </w:rPr>
            </w:pPr>
            <w:r>
              <w:rPr>
                <w:rFonts w:ascii="Arial" w:cs="Arial" w:eastAsia="Arial" w:hAnsi="Arial"/>
                <w:sz w:val="10"/>
                <w:szCs w:val="10"/>
                <w:b w:val="1"/>
                <w:bCs w:val="1"/>
                <w:color w:val="auto"/>
                <w:w w:val="92"/>
              </w:rPr>
              <w:t>Aggregate</w:t>
            </w:r>
          </w:p>
        </w:tc>
        <w:tc>
          <w:tcPr>
            <w:tcW w:w="280" w:type="dxa"/>
            <w:vAlign w:val="bottom"/>
            <w:tcBorders>
              <w:right w:val="single" w:sz="8" w:color="auto"/>
            </w:tcBorders>
          </w:tcPr>
          <w:p>
            <w:pPr>
              <w:spacing w:after="0"/>
              <w:rPr>
                <w:sz w:val="9"/>
                <w:szCs w:val="9"/>
                <w:color w:val="auto"/>
              </w:rPr>
            </w:pPr>
          </w:p>
        </w:tc>
        <w:tc>
          <w:tcPr>
            <w:tcW w:w="1380" w:type="dxa"/>
            <w:vAlign w:val="bottom"/>
          </w:tcPr>
          <w:p>
            <w:pPr>
              <w:jc w:val="center"/>
              <w:ind w:left="48"/>
              <w:spacing w:after="0" w:line="108" w:lineRule="exact"/>
              <w:rPr>
                <w:sz w:val="20"/>
                <w:szCs w:val="20"/>
                <w:color w:val="auto"/>
              </w:rPr>
            </w:pPr>
            <w:r>
              <w:rPr>
                <w:rFonts w:ascii="Arial" w:cs="Arial" w:eastAsia="Arial" w:hAnsi="Arial"/>
                <w:sz w:val="10"/>
                <w:szCs w:val="10"/>
                <w:b w:val="1"/>
                <w:bCs w:val="1"/>
                <w:color w:val="auto"/>
                <w:w w:val="95"/>
              </w:rPr>
              <w:t>Registration</w:t>
            </w:r>
          </w:p>
        </w:tc>
        <w:tc>
          <w:tcPr>
            <w:tcW w:w="0" w:type="dxa"/>
            <w:vAlign w:val="bottom"/>
          </w:tcPr>
          <w:p>
            <w:pPr>
              <w:spacing w:after="0"/>
              <w:rPr>
                <w:sz w:val="1"/>
                <w:szCs w:val="1"/>
                <w:color w:val="auto"/>
              </w:rPr>
            </w:pPr>
          </w:p>
        </w:tc>
      </w:tr>
      <w:tr>
        <w:trPr>
          <w:trHeight w:val="125"/>
        </w:trPr>
        <w:tc>
          <w:tcPr>
            <w:tcW w:w="164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jc w:val="center"/>
              <w:ind w:right="988"/>
              <w:spacing w:after="0"/>
              <w:rPr>
                <w:sz w:val="20"/>
                <w:szCs w:val="20"/>
                <w:color w:val="auto"/>
              </w:rPr>
            </w:pPr>
            <w:r>
              <w:rPr>
                <w:rFonts w:ascii="Arial" w:cs="Arial" w:eastAsia="Arial" w:hAnsi="Arial"/>
                <w:sz w:val="10"/>
                <w:szCs w:val="10"/>
                <w:b w:val="1"/>
                <w:bCs w:val="1"/>
                <w:color w:val="auto"/>
                <w:w w:val="91"/>
              </w:rPr>
              <w:t>Securities to be Registered</w:t>
            </w:r>
          </w:p>
        </w:tc>
        <w:tc>
          <w:tcPr>
            <w:tcW w:w="68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Registered</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Price per Unit</w:t>
            </w:r>
          </w:p>
        </w:tc>
        <w:tc>
          <w:tcPr>
            <w:tcW w:w="1220" w:type="dxa"/>
            <w:vAlign w:val="bottom"/>
            <w:tcBorders>
              <w:bottom w:val="single" w:sz="8" w:color="auto"/>
            </w:tcBorders>
          </w:tcPr>
          <w:p>
            <w:pPr>
              <w:jc w:val="center"/>
              <w:ind w:left="208"/>
              <w:spacing w:after="0"/>
              <w:rPr>
                <w:sz w:val="20"/>
                <w:szCs w:val="20"/>
                <w:color w:val="auto"/>
              </w:rPr>
            </w:pPr>
            <w:r>
              <w:rPr>
                <w:rFonts w:ascii="Arial" w:cs="Arial" w:eastAsia="Arial" w:hAnsi="Arial"/>
                <w:sz w:val="10"/>
                <w:szCs w:val="10"/>
                <w:b w:val="1"/>
                <w:bCs w:val="1"/>
                <w:color w:val="auto"/>
                <w:w w:val="96"/>
              </w:rPr>
              <w:t>Offering Price</w:t>
            </w:r>
          </w:p>
        </w:tc>
        <w:tc>
          <w:tcPr>
            <w:tcW w:w="280" w:type="dxa"/>
            <w:vAlign w:val="bottom"/>
            <w:tcBorders>
              <w:bottom w:val="single" w:sz="8" w:color="auto"/>
              <w:right w:val="single" w:sz="8" w:color="auto"/>
            </w:tcBorders>
          </w:tcPr>
          <w:p>
            <w:pPr>
              <w:spacing w:after="0"/>
              <w:rPr>
                <w:sz w:val="10"/>
                <w:szCs w:val="10"/>
                <w:color w:val="auto"/>
              </w:rPr>
            </w:pPr>
          </w:p>
        </w:tc>
        <w:tc>
          <w:tcPr>
            <w:tcW w:w="1380" w:type="dxa"/>
            <w:vAlign w:val="bottom"/>
            <w:tcBorders>
              <w:bottom w:val="single" w:sz="8" w:color="auto"/>
            </w:tcBorders>
          </w:tcPr>
          <w:p>
            <w:pPr>
              <w:jc w:val="center"/>
              <w:ind w:left="48"/>
              <w:spacing w:after="0"/>
              <w:rPr>
                <w:sz w:val="20"/>
                <w:szCs w:val="20"/>
                <w:color w:val="auto"/>
              </w:rPr>
            </w:pPr>
            <w:r>
              <w:rPr>
                <w:rFonts w:ascii="Arial" w:cs="Arial" w:eastAsia="Arial" w:hAnsi="Arial"/>
                <w:sz w:val="10"/>
                <w:szCs w:val="10"/>
                <w:b w:val="1"/>
                <w:bCs w:val="1"/>
                <w:color w:val="auto"/>
                <w:w w:val="92"/>
              </w:rPr>
              <w:t>Fee</w:t>
            </w:r>
          </w:p>
        </w:tc>
        <w:tc>
          <w:tcPr>
            <w:tcW w:w="0" w:type="dxa"/>
            <w:vAlign w:val="bottom"/>
          </w:tcPr>
          <w:p>
            <w:pPr>
              <w:spacing w:after="0"/>
              <w:rPr>
                <w:sz w:val="1"/>
                <w:szCs w:val="1"/>
                <w:color w:val="auto"/>
              </w:rPr>
            </w:pPr>
          </w:p>
        </w:tc>
      </w:tr>
      <w:tr>
        <w:trPr>
          <w:trHeight w:val="107"/>
        </w:trPr>
        <w:tc>
          <w:tcPr>
            <w:tcW w:w="1640" w:type="dxa"/>
            <w:vAlign w:val="bottom"/>
            <w:tcBorders>
              <w:bottom w:val="single" w:sz="8" w:color="auto"/>
            </w:tcBorders>
          </w:tcPr>
          <w:p>
            <w:pPr>
              <w:spacing w:after="0" w:line="98" w:lineRule="exact"/>
              <w:rPr>
                <w:sz w:val="20"/>
                <w:szCs w:val="20"/>
                <w:color w:val="auto"/>
              </w:rPr>
            </w:pPr>
            <w:r>
              <w:rPr>
                <w:rFonts w:ascii="Arial" w:cs="Arial" w:eastAsia="Arial" w:hAnsi="Arial"/>
                <w:sz w:val="10"/>
                <w:szCs w:val="10"/>
                <w:color w:val="auto"/>
              </w:rPr>
              <w:t>Debt Securities(1)</w:t>
            </w:r>
          </w:p>
        </w:tc>
        <w:tc>
          <w:tcPr>
            <w:tcW w:w="2540" w:type="dxa"/>
            <w:vAlign w:val="bottom"/>
            <w:tcBorders>
              <w:bottom w:val="single" w:sz="8" w:color="auto"/>
            </w:tcBorders>
          </w:tcPr>
          <w:p>
            <w:pPr>
              <w:spacing w:after="0"/>
              <w:rPr>
                <w:sz w:val="9"/>
                <w:szCs w:val="9"/>
                <w:color w:val="auto"/>
              </w:rPr>
            </w:pPr>
          </w:p>
        </w:tc>
        <w:tc>
          <w:tcPr>
            <w:tcW w:w="68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560" w:right="40" w:hanging="217"/>
        <w:spacing w:after="0" w:line="275" w:lineRule="auto"/>
        <w:tabs>
          <w:tab w:leader="none" w:pos="560" w:val="left"/>
        </w:tabs>
        <w:numPr>
          <w:ilvl w:val="0"/>
          <w:numId w:val="1"/>
        </w:numPr>
        <w:rPr>
          <w:rFonts w:ascii="Arial" w:cs="Arial" w:eastAsia="Arial" w:hAnsi="Arial"/>
          <w:sz w:val="12"/>
          <w:szCs w:val="12"/>
          <w:color w:val="auto"/>
        </w:rPr>
      </w:pPr>
      <w:r>
        <w:rPr>
          <w:rFonts w:ascii="Arial" w:cs="Arial" w:eastAsia="Arial" w:hAnsi="Arial"/>
          <w:sz w:val="12"/>
          <w:szCs w:val="12"/>
          <w:color w:val="auto"/>
        </w:rPr>
        <w:t>An indeterminate amount of debt securities of Analog Devices, Inc. to be offered from time to time at indeterminate prices is being registered pursuant to this registration statement. The registrant is deferring payment of the registration fee pursuant to Rule 456(b) and is omitting this information in reliance on Rule 456(b) and Rule 457(r).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34290</wp:posOffset>
            </wp:positionV>
            <wp:extent cx="684720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4720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149860</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20"/>
          </w:cols>
          <w:pgMar w:left="220" w:top="127" w:right="559" w:bottom="1440" w:gutter="0" w:footer="0" w:header="0"/>
        </w:sectPr>
      </w:pPr>
    </w:p>
    <w:bookmarkStart w:id="2" w:name="page3"/>
    <w:bookmarkEnd w:id="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168910</wp:posOffset>
            </wp:positionV>
            <wp:extent cx="630555" cy="180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555" cy="18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320"/>
        <w:spacing w:after="0"/>
        <w:rPr>
          <w:sz w:val="20"/>
          <w:szCs w:val="20"/>
          <w:color w:val="auto"/>
        </w:rPr>
      </w:pPr>
      <w:r>
        <w:rPr>
          <w:rFonts w:ascii="Arial" w:cs="Arial" w:eastAsia="Arial" w:hAnsi="Arial"/>
          <w:sz w:val="31"/>
          <w:szCs w:val="31"/>
          <w:b w:val="1"/>
          <w:bCs w:val="1"/>
          <w:color w:val="auto"/>
        </w:rPr>
        <w:t>Analog Devices, Inc.</w:t>
      </w:r>
    </w:p>
    <w:p>
      <w:pPr>
        <w:spacing w:after="0" w:line="346"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85090</wp:posOffset>
            </wp:positionV>
            <wp:extent cx="114236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21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We may from time to time offer to sell the debt securities described in this prospectus. The debt securities will be senior unsecured obligations and will rank equally with all of our other senior unsecured indebtedness.</w:t>
      </w:r>
    </w:p>
    <w:p>
      <w:pPr>
        <w:spacing w:after="0" w:line="59" w:lineRule="exact"/>
        <w:rPr>
          <w:sz w:val="20"/>
          <w:szCs w:val="20"/>
          <w:color w:val="auto"/>
        </w:rPr>
      </w:pPr>
    </w:p>
    <w:p>
      <w:pPr>
        <w:jc w:val="both"/>
        <w:ind w:left="680" w:right="80" w:firstLine="399"/>
        <w:spacing w:after="0" w:line="296" w:lineRule="auto"/>
        <w:rPr>
          <w:sz w:val="20"/>
          <w:szCs w:val="20"/>
          <w:color w:val="auto"/>
        </w:rPr>
      </w:pPr>
      <w:r>
        <w:rPr>
          <w:rFonts w:ascii="Arial" w:cs="Arial" w:eastAsia="Arial" w:hAnsi="Arial"/>
          <w:sz w:val="12"/>
          <w:szCs w:val="12"/>
          <w:color w:val="auto"/>
        </w:rPr>
        <w:t>Each time we offer debt securities using this prospectus, we may provide specific terms and offering prices in supplements to this prospectus. The prospectus supplements may also add, update or change the information in this prospectus and will also describe the specific manner in which we will offer the debt securities. You should carefully read this prospectus and the applicable prospectus supplement, including the information incorporated by reference, prior to investing in our debt securities.</w:t>
      </w:r>
    </w:p>
    <w:p>
      <w:pPr>
        <w:spacing w:after="0" w:line="5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may offer and sell the debt securities on a continuous or delayed basis directly to investors or through underwriters, dealers or agents, or through a combination of these methods. The names of any underwriters, dealers or agents will be included in a prospectus supplement. If any agents, dealers or underwriters are involved in the sale of any debt securities, the applicable prospectus supplement will set forth any applicable commissions or discounts.</w:t>
      </w:r>
    </w:p>
    <w:p>
      <w:pPr>
        <w:spacing w:after="0" w:line="55" w:lineRule="exact"/>
        <w:rPr>
          <w:sz w:val="20"/>
          <w:szCs w:val="20"/>
          <w:color w:val="auto"/>
        </w:rPr>
      </w:pPr>
    </w:p>
    <w:p>
      <w:pPr>
        <w:ind w:left="680" w:right="500" w:firstLine="499"/>
        <w:spacing w:after="0" w:line="257" w:lineRule="auto"/>
        <w:rPr>
          <w:sz w:val="20"/>
          <w:szCs w:val="20"/>
          <w:color w:val="auto"/>
        </w:rPr>
      </w:pPr>
      <w:r>
        <w:rPr>
          <w:rFonts w:ascii="Arial" w:cs="Arial" w:eastAsia="Arial" w:hAnsi="Arial"/>
          <w:sz w:val="16"/>
          <w:szCs w:val="16"/>
          <w:b w:val="1"/>
          <w:bCs w:val="1"/>
          <w:color w:val="auto"/>
        </w:rPr>
        <w:t>Investing in these debt securities involves risks. See “Risk Factors” contained in any accompanying prospectus supplement and in the documents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50165</wp:posOffset>
            </wp:positionV>
            <wp:extent cx="114236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154" w:lineRule="exact"/>
        <w:rPr>
          <w:sz w:val="20"/>
          <w:szCs w:val="20"/>
          <w:color w:val="auto"/>
        </w:rPr>
      </w:pPr>
    </w:p>
    <w:p>
      <w:pPr>
        <w:ind w:left="680" w:right="140" w:firstLine="399"/>
        <w:spacing w:after="0" w:line="283" w:lineRule="auto"/>
        <w:rPr>
          <w:sz w:val="20"/>
          <w:szCs w:val="20"/>
          <w:color w:val="auto"/>
        </w:rPr>
      </w:pPr>
      <w:r>
        <w:rPr>
          <w:rFonts w:ascii="Arial" w:cs="Arial" w:eastAsia="Arial" w:hAnsi="Arial"/>
          <w:sz w:val="13"/>
          <w:szCs w:val="13"/>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46355</wp:posOffset>
            </wp:positionV>
            <wp:extent cx="1142365"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2365" cy="6350"/>
                    </a:xfrm>
                    <a:prstGeom prst="rect">
                      <a:avLst/>
                    </a:prstGeom>
                    <a:noFill/>
                  </pic:spPr>
                </pic:pic>
              </a:graphicData>
            </a:graphic>
          </wp:anchor>
        </w:drawing>
      </w:r>
    </w:p>
    <w:p>
      <w:pPr>
        <w:spacing w:after="0" w:line="241"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The date of this prospectus is June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9"/>
        </w:trPr>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960" w:type="dxa"/>
            <w:vAlign w:val="bottom"/>
            <w:gridSpan w:val="2"/>
          </w:tcPr>
          <w:p>
            <w:pPr>
              <w:ind w:left="420"/>
              <w:spacing w:after="0"/>
              <w:rPr>
                <w:sz w:val="20"/>
                <w:szCs w:val="20"/>
                <w:color w:val="auto"/>
              </w:rPr>
            </w:pPr>
            <w:r>
              <w:rPr>
                <w:rFonts w:ascii="Arial" w:cs="Arial" w:eastAsia="Arial" w:hAnsi="Arial"/>
                <w:sz w:val="13"/>
                <w:szCs w:val="13"/>
                <w:b w:val="1"/>
                <w:bCs w:val="1"/>
                <w:color w:val="auto"/>
              </w:rPr>
              <w:t>TABLE OF CONTENTS</w:t>
            </w:r>
          </w:p>
        </w:tc>
        <w:tc>
          <w:tcPr>
            <w:tcW w:w="2940" w:type="dxa"/>
            <w:vAlign w:val="bottom"/>
          </w:tcPr>
          <w:p>
            <w:pPr>
              <w:spacing w:after="0"/>
              <w:rPr>
                <w:sz w:val="14"/>
                <w:szCs w:val="14"/>
                <w:color w:val="auto"/>
              </w:rPr>
            </w:pPr>
          </w:p>
        </w:tc>
      </w:tr>
      <w:tr>
        <w:trPr>
          <w:trHeight w:val="306"/>
        </w:trPr>
        <w:tc>
          <w:tcPr>
            <w:tcW w:w="720" w:type="dxa"/>
            <w:vAlign w:val="bottom"/>
          </w:tcPr>
          <w:p>
            <w:pPr>
              <w:spacing w:after="0"/>
              <w:rPr>
                <w:sz w:val="24"/>
                <w:szCs w:val="24"/>
                <w:color w:val="auto"/>
              </w:rPr>
            </w:pPr>
          </w:p>
        </w:tc>
        <w:tc>
          <w:tcPr>
            <w:tcW w:w="1120" w:type="dxa"/>
            <w:vAlign w:val="bottom"/>
            <w:tcBorders>
              <w:bottom w:val="single" w:sz="8" w:color="0000EE"/>
            </w:tcBorders>
            <w:gridSpan w:val="6"/>
          </w:tcPr>
          <w:p>
            <w:pPr>
              <w:spacing w:after="0"/>
              <w:rPr>
                <w:rFonts w:ascii="Arial" w:cs="Arial" w:eastAsia="Arial" w:hAnsi="Arial"/>
                <w:sz w:val="13"/>
                <w:szCs w:val="13"/>
                <w:color w:val="0000EE"/>
                <w:w w:val="86"/>
              </w:rPr>
            </w:pPr>
            <w:hyperlink w:anchor="page5">
              <w:r>
                <w:rPr>
                  <w:rFonts w:ascii="Arial" w:cs="Arial" w:eastAsia="Arial" w:hAnsi="Arial"/>
                  <w:sz w:val="13"/>
                  <w:szCs w:val="13"/>
                  <w:color w:val="0000EE"/>
                  <w:w w:val="86"/>
                </w:rPr>
                <w:t>About this Prospectus</w:t>
              </w:r>
            </w:hyperlink>
          </w:p>
        </w:tc>
        <w:tc>
          <w:tcPr>
            <w:tcW w:w="6680" w:type="dxa"/>
            <w:vAlign w:val="bottom"/>
            <w:gridSpan w:val="10"/>
          </w:tcPr>
          <w:p>
            <w:pPr>
              <w:spacing w:after="0"/>
              <w:rPr>
                <w:sz w:val="24"/>
                <w:szCs w:val="24"/>
                <w:color w:val="auto"/>
              </w:rPr>
            </w:pPr>
          </w:p>
        </w:tc>
        <w:tc>
          <w:tcPr>
            <w:tcW w:w="2940" w:type="dxa"/>
            <w:vAlign w:val="bottom"/>
          </w:tcPr>
          <w:p>
            <w:pPr>
              <w:jc w:val="right"/>
              <w:ind w:right="774"/>
              <w:spacing w:after="0"/>
              <w:rPr>
                <w:sz w:val="20"/>
                <w:szCs w:val="20"/>
                <w:color w:val="auto"/>
              </w:rPr>
            </w:pPr>
            <w:r>
              <w:rPr>
                <w:rFonts w:ascii="Arial" w:cs="Arial" w:eastAsia="Arial" w:hAnsi="Arial"/>
                <w:sz w:val="13"/>
                <w:szCs w:val="13"/>
                <w:color w:val="auto"/>
              </w:rPr>
              <w:t>1</w:t>
            </w:r>
          </w:p>
        </w:tc>
      </w:tr>
      <w:tr>
        <w:trPr>
          <w:trHeight w:val="137"/>
        </w:trPr>
        <w:tc>
          <w:tcPr>
            <w:tcW w:w="720" w:type="dxa"/>
            <w:vAlign w:val="bottom"/>
          </w:tcPr>
          <w:p>
            <w:pPr>
              <w:spacing w:after="0"/>
              <w:rPr>
                <w:sz w:val="11"/>
                <w:szCs w:val="11"/>
                <w:color w:val="auto"/>
              </w:rPr>
            </w:pPr>
          </w:p>
        </w:tc>
        <w:tc>
          <w:tcPr>
            <w:tcW w:w="2060" w:type="dxa"/>
            <w:vAlign w:val="bottom"/>
            <w:tcBorders>
              <w:bottom w:val="single" w:sz="8" w:color="0000EE"/>
            </w:tcBorders>
            <w:gridSpan w:val="10"/>
          </w:tcPr>
          <w:p>
            <w:pPr>
              <w:spacing w:after="0" w:line="138" w:lineRule="exact"/>
              <w:rPr>
                <w:rFonts w:ascii="Arial" w:cs="Arial" w:eastAsia="Arial" w:hAnsi="Arial"/>
                <w:sz w:val="13"/>
                <w:szCs w:val="13"/>
                <w:color w:val="0000EE"/>
                <w:w w:val="91"/>
              </w:rPr>
            </w:pPr>
            <w:hyperlink w:anchor="page5">
              <w:r>
                <w:rPr>
                  <w:rFonts w:ascii="Arial" w:cs="Arial" w:eastAsia="Arial" w:hAnsi="Arial"/>
                  <w:sz w:val="13"/>
                  <w:szCs w:val="13"/>
                  <w:color w:val="0000EE"/>
                  <w:w w:val="91"/>
                </w:rPr>
                <w:t>Where You Can Find More Information</w:t>
              </w:r>
            </w:hyperlink>
          </w:p>
        </w:tc>
        <w:tc>
          <w:tcPr>
            <w:tcW w:w="5740" w:type="dxa"/>
            <w:vAlign w:val="bottom"/>
            <w:gridSpan w:val="6"/>
          </w:tcPr>
          <w:p>
            <w:pPr>
              <w:spacing w:after="0"/>
              <w:rPr>
                <w:sz w:val="11"/>
                <w:szCs w:val="11"/>
                <w:color w:val="auto"/>
              </w:rPr>
            </w:pPr>
          </w:p>
        </w:tc>
        <w:tc>
          <w:tcPr>
            <w:tcW w:w="294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1</w:t>
            </w:r>
          </w:p>
        </w:tc>
      </w:tr>
      <w:tr>
        <w:trPr>
          <w:trHeight w:val="137"/>
        </w:trPr>
        <w:tc>
          <w:tcPr>
            <w:tcW w:w="720" w:type="dxa"/>
            <w:vAlign w:val="bottom"/>
          </w:tcPr>
          <w:p>
            <w:pPr>
              <w:spacing w:after="0"/>
              <w:rPr>
                <w:sz w:val="11"/>
                <w:szCs w:val="11"/>
                <w:color w:val="auto"/>
              </w:rPr>
            </w:pPr>
          </w:p>
        </w:tc>
        <w:tc>
          <w:tcPr>
            <w:tcW w:w="7800" w:type="dxa"/>
            <w:vAlign w:val="bottom"/>
            <w:gridSpan w:val="16"/>
          </w:tcPr>
          <w:p>
            <w:pPr>
              <w:spacing w:after="0" w:line="138" w:lineRule="exact"/>
              <w:rPr>
                <w:rFonts w:ascii="Arial" w:cs="Arial" w:eastAsia="Arial" w:hAnsi="Arial"/>
                <w:sz w:val="13"/>
                <w:szCs w:val="13"/>
                <w:color w:val="0000EE"/>
              </w:rPr>
            </w:pPr>
            <w:hyperlink w:anchor="page5">
              <w:r>
                <w:rPr>
                  <w:rFonts w:ascii="Arial" w:cs="Arial" w:eastAsia="Arial" w:hAnsi="Arial"/>
                  <w:sz w:val="13"/>
                  <w:szCs w:val="13"/>
                  <w:color w:val="0000EE"/>
                </w:rPr>
                <w:t>Incorporation by Reference</w:t>
              </w:r>
            </w:hyperlink>
          </w:p>
        </w:tc>
        <w:tc>
          <w:tcPr>
            <w:tcW w:w="294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1</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2980" w:type="dxa"/>
            <w:vAlign w:val="bottom"/>
            <w:tcBorders>
              <w:bottom w:val="single" w:sz="8" w:color="0000EE"/>
            </w:tcBorders>
            <w:gridSpan w:val="12"/>
          </w:tcPr>
          <w:p>
            <w:pPr>
              <w:spacing w:after="0" w:line="138" w:lineRule="exact"/>
              <w:rPr>
                <w:rFonts w:ascii="Arial" w:cs="Arial" w:eastAsia="Arial" w:hAnsi="Arial"/>
                <w:sz w:val="13"/>
                <w:szCs w:val="13"/>
                <w:color w:val="0000EE"/>
                <w:w w:val="90"/>
              </w:rPr>
            </w:pPr>
            <w:hyperlink w:anchor="page6">
              <w:r>
                <w:rPr>
                  <w:rFonts w:ascii="Arial" w:cs="Arial" w:eastAsia="Arial" w:hAnsi="Arial"/>
                  <w:sz w:val="13"/>
                  <w:szCs w:val="13"/>
                  <w:color w:val="0000EE"/>
                  <w:w w:val="90"/>
                </w:rPr>
                <w:t>Cautionary Note Regarding Forward Looking Statements</w:t>
              </w:r>
            </w:hyperlink>
          </w:p>
        </w:tc>
        <w:tc>
          <w:tcPr>
            <w:tcW w:w="4820" w:type="dxa"/>
            <w:vAlign w:val="bottom"/>
            <w:gridSpan w:val="4"/>
          </w:tcPr>
          <w:p>
            <w:pPr>
              <w:spacing w:after="0"/>
              <w:rPr>
                <w:sz w:val="11"/>
                <w:szCs w:val="11"/>
                <w:color w:val="auto"/>
              </w:rPr>
            </w:pPr>
          </w:p>
        </w:tc>
        <w:tc>
          <w:tcPr>
            <w:tcW w:w="294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2</w:t>
            </w:r>
          </w:p>
        </w:tc>
      </w:tr>
      <w:tr>
        <w:trPr>
          <w:trHeight w:val="137"/>
        </w:trPr>
        <w:tc>
          <w:tcPr>
            <w:tcW w:w="720" w:type="dxa"/>
            <w:vAlign w:val="bottom"/>
          </w:tcPr>
          <w:p>
            <w:pPr>
              <w:spacing w:after="0"/>
              <w:rPr>
                <w:sz w:val="11"/>
                <w:szCs w:val="11"/>
                <w:color w:val="auto"/>
              </w:rPr>
            </w:pPr>
          </w:p>
        </w:tc>
        <w:tc>
          <w:tcPr>
            <w:tcW w:w="720" w:type="dxa"/>
            <w:vAlign w:val="bottom"/>
            <w:tcBorders>
              <w:bottom w:val="single" w:sz="8" w:color="0000EE"/>
            </w:tcBorders>
            <w:gridSpan w:val="3"/>
          </w:tcPr>
          <w:p>
            <w:pPr>
              <w:spacing w:after="0" w:line="138" w:lineRule="exact"/>
              <w:rPr>
                <w:rFonts w:ascii="Arial" w:cs="Arial" w:eastAsia="Arial" w:hAnsi="Arial"/>
                <w:sz w:val="13"/>
                <w:szCs w:val="13"/>
                <w:color w:val="0000EE"/>
                <w:w w:val="85"/>
              </w:rPr>
            </w:pPr>
            <w:hyperlink w:anchor="page7">
              <w:r>
                <w:rPr>
                  <w:rFonts w:ascii="Arial" w:cs="Arial" w:eastAsia="Arial" w:hAnsi="Arial"/>
                  <w:sz w:val="13"/>
                  <w:szCs w:val="13"/>
                  <w:color w:val="0000EE"/>
                  <w:w w:val="85"/>
                </w:rPr>
                <w:t>The Company</w:t>
              </w:r>
            </w:hyperlink>
          </w:p>
        </w:tc>
        <w:tc>
          <w:tcPr>
            <w:tcW w:w="7080" w:type="dxa"/>
            <w:vAlign w:val="bottom"/>
            <w:gridSpan w:val="13"/>
          </w:tcPr>
          <w:p>
            <w:pPr>
              <w:spacing w:after="0"/>
              <w:rPr>
                <w:sz w:val="11"/>
                <w:szCs w:val="11"/>
                <w:color w:val="auto"/>
              </w:rPr>
            </w:pPr>
          </w:p>
        </w:tc>
        <w:tc>
          <w:tcPr>
            <w:tcW w:w="294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3</w:t>
            </w:r>
          </w:p>
        </w:tc>
      </w:tr>
      <w:tr>
        <w:trPr>
          <w:trHeight w:val="137"/>
        </w:trPr>
        <w:tc>
          <w:tcPr>
            <w:tcW w:w="720" w:type="dxa"/>
            <w:vAlign w:val="bottom"/>
          </w:tcPr>
          <w:p>
            <w:pPr>
              <w:spacing w:after="0"/>
              <w:rPr>
                <w:sz w:val="11"/>
                <w:szCs w:val="11"/>
                <w:color w:val="auto"/>
              </w:rPr>
            </w:pPr>
          </w:p>
        </w:tc>
        <w:tc>
          <w:tcPr>
            <w:tcW w:w="2600" w:type="dxa"/>
            <w:vAlign w:val="bottom"/>
            <w:tcBorders>
              <w:bottom w:val="single" w:sz="8" w:color="0000EE"/>
            </w:tcBorders>
            <w:gridSpan w:val="11"/>
          </w:tcPr>
          <w:p>
            <w:pPr>
              <w:spacing w:after="0" w:line="138" w:lineRule="exact"/>
              <w:rPr>
                <w:rFonts w:ascii="Arial" w:cs="Arial" w:eastAsia="Arial" w:hAnsi="Arial"/>
                <w:sz w:val="13"/>
                <w:szCs w:val="13"/>
                <w:color w:val="0000EE"/>
                <w:w w:val="89"/>
              </w:rPr>
            </w:pPr>
            <w:hyperlink w:anchor="page7">
              <w:r>
                <w:rPr>
                  <w:rFonts w:ascii="Arial" w:cs="Arial" w:eastAsia="Arial" w:hAnsi="Arial"/>
                  <w:sz w:val="13"/>
                  <w:szCs w:val="13"/>
                  <w:color w:val="0000EE"/>
                  <w:w w:val="89"/>
                </w:rPr>
                <w:t>Consolidated Ratios of Earnings to Fixed Charges</w:t>
              </w:r>
            </w:hyperlink>
          </w:p>
        </w:tc>
        <w:tc>
          <w:tcPr>
            <w:tcW w:w="5200" w:type="dxa"/>
            <w:vAlign w:val="bottom"/>
            <w:gridSpan w:val="5"/>
          </w:tcPr>
          <w:p>
            <w:pPr>
              <w:spacing w:after="0"/>
              <w:rPr>
                <w:sz w:val="11"/>
                <w:szCs w:val="11"/>
                <w:color w:val="auto"/>
              </w:rPr>
            </w:pPr>
          </w:p>
        </w:tc>
        <w:tc>
          <w:tcPr>
            <w:tcW w:w="294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3</w:t>
            </w:r>
          </w:p>
        </w:tc>
      </w:tr>
      <w:tr>
        <w:trPr>
          <w:trHeight w:val="137"/>
        </w:trPr>
        <w:tc>
          <w:tcPr>
            <w:tcW w:w="720" w:type="dxa"/>
            <w:vAlign w:val="bottom"/>
          </w:tcPr>
          <w:p>
            <w:pPr>
              <w:spacing w:after="0"/>
              <w:rPr>
                <w:sz w:val="11"/>
                <w:szCs w:val="11"/>
                <w:color w:val="auto"/>
              </w:rPr>
            </w:pPr>
          </w:p>
        </w:tc>
        <w:tc>
          <w:tcPr>
            <w:tcW w:w="820" w:type="dxa"/>
            <w:vAlign w:val="bottom"/>
            <w:tcBorders>
              <w:bottom w:val="single" w:sz="8" w:color="0000EE"/>
            </w:tcBorders>
            <w:gridSpan w:val="4"/>
          </w:tcPr>
          <w:p>
            <w:pPr>
              <w:spacing w:after="0" w:line="138" w:lineRule="exact"/>
              <w:rPr>
                <w:rFonts w:ascii="Arial" w:cs="Arial" w:eastAsia="Arial" w:hAnsi="Arial"/>
                <w:sz w:val="13"/>
                <w:szCs w:val="13"/>
                <w:color w:val="0000EE"/>
                <w:w w:val="83"/>
              </w:rPr>
            </w:pPr>
            <w:hyperlink w:anchor="page7">
              <w:r>
                <w:rPr>
                  <w:rFonts w:ascii="Arial" w:cs="Arial" w:eastAsia="Arial" w:hAnsi="Arial"/>
                  <w:sz w:val="13"/>
                  <w:szCs w:val="13"/>
                  <w:color w:val="0000EE"/>
                  <w:w w:val="83"/>
                </w:rPr>
                <w:t>Use of Proceeds</w:t>
              </w:r>
            </w:hyperlink>
          </w:p>
        </w:tc>
        <w:tc>
          <w:tcPr>
            <w:tcW w:w="6980" w:type="dxa"/>
            <w:vAlign w:val="bottom"/>
            <w:gridSpan w:val="12"/>
          </w:tcPr>
          <w:p>
            <w:pPr>
              <w:spacing w:after="0"/>
              <w:rPr>
                <w:sz w:val="11"/>
                <w:szCs w:val="11"/>
                <w:color w:val="auto"/>
              </w:rPr>
            </w:pPr>
          </w:p>
        </w:tc>
        <w:tc>
          <w:tcPr>
            <w:tcW w:w="294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3</w:t>
            </w:r>
          </w:p>
        </w:tc>
      </w:tr>
      <w:tr>
        <w:trPr>
          <w:trHeight w:val="137"/>
        </w:trPr>
        <w:tc>
          <w:tcPr>
            <w:tcW w:w="720" w:type="dxa"/>
            <w:vAlign w:val="bottom"/>
          </w:tcPr>
          <w:p>
            <w:pPr>
              <w:spacing w:after="0"/>
              <w:rPr>
                <w:sz w:val="11"/>
                <w:szCs w:val="11"/>
                <w:color w:val="auto"/>
              </w:rPr>
            </w:pPr>
          </w:p>
        </w:tc>
        <w:tc>
          <w:tcPr>
            <w:tcW w:w="1560" w:type="dxa"/>
            <w:vAlign w:val="bottom"/>
            <w:tcBorders>
              <w:bottom w:val="single" w:sz="8" w:color="0000EE"/>
            </w:tcBorders>
            <w:gridSpan w:val="9"/>
          </w:tcPr>
          <w:p>
            <w:pPr>
              <w:spacing w:after="0" w:line="138" w:lineRule="exact"/>
              <w:rPr>
                <w:rFonts w:ascii="Arial" w:cs="Arial" w:eastAsia="Arial" w:hAnsi="Arial"/>
                <w:sz w:val="13"/>
                <w:szCs w:val="13"/>
                <w:color w:val="0000EE"/>
                <w:w w:val="89"/>
              </w:rPr>
            </w:pPr>
            <w:hyperlink w:anchor="page7">
              <w:r>
                <w:rPr>
                  <w:rFonts w:ascii="Arial" w:cs="Arial" w:eastAsia="Arial" w:hAnsi="Arial"/>
                  <w:sz w:val="13"/>
                  <w:szCs w:val="13"/>
                  <w:color w:val="0000EE"/>
                  <w:w w:val="89"/>
                </w:rPr>
                <w:t>Description of Debt Securities</w:t>
              </w:r>
            </w:hyperlink>
          </w:p>
        </w:tc>
        <w:tc>
          <w:tcPr>
            <w:tcW w:w="6240" w:type="dxa"/>
            <w:vAlign w:val="bottom"/>
            <w:gridSpan w:val="7"/>
          </w:tcPr>
          <w:p>
            <w:pPr>
              <w:spacing w:after="0"/>
              <w:rPr>
                <w:sz w:val="11"/>
                <w:szCs w:val="11"/>
                <w:color w:val="auto"/>
              </w:rPr>
            </w:pPr>
          </w:p>
        </w:tc>
        <w:tc>
          <w:tcPr>
            <w:tcW w:w="294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3</w:t>
            </w:r>
          </w:p>
        </w:tc>
      </w:tr>
      <w:tr>
        <w:trPr>
          <w:trHeight w:val="137"/>
        </w:trPr>
        <w:tc>
          <w:tcPr>
            <w:tcW w:w="720" w:type="dxa"/>
            <w:vAlign w:val="bottom"/>
          </w:tcPr>
          <w:p>
            <w:pPr>
              <w:spacing w:after="0"/>
              <w:rPr>
                <w:sz w:val="11"/>
                <w:szCs w:val="11"/>
                <w:color w:val="auto"/>
              </w:rPr>
            </w:pPr>
          </w:p>
        </w:tc>
        <w:tc>
          <w:tcPr>
            <w:tcW w:w="1000" w:type="dxa"/>
            <w:vAlign w:val="bottom"/>
            <w:tcBorders>
              <w:bottom w:val="single" w:sz="8" w:color="0000EE"/>
            </w:tcBorders>
            <w:gridSpan w:val="5"/>
          </w:tcPr>
          <w:p>
            <w:pPr>
              <w:spacing w:after="0" w:line="138" w:lineRule="exact"/>
              <w:rPr>
                <w:rFonts w:ascii="Arial" w:cs="Arial" w:eastAsia="Arial" w:hAnsi="Arial"/>
                <w:sz w:val="13"/>
                <w:szCs w:val="13"/>
                <w:color w:val="0000EE"/>
                <w:w w:val="87"/>
              </w:rPr>
            </w:pPr>
            <w:hyperlink w:anchor="page14">
              <w:r>
                <w:rPr>
                  <w:rFonts w:ascii="Arial" w:cs="Arial" w:eastAsia="Arial" w:hAnsi="Arial"/>
                  <w:sz w:val="13"/>
                  <w:szCs w:val="13"/>
                  <w:color w:val="0000EE"/>
                  <w:w w:val="87"/>
                </w:rPr>
                <w:t>Forms of Securities</w:t>
              </w:r>
            </w:hyperlink>
          </w:p>
        </w:tc>
        <w:tc>
          <w:tcPr>
            <w:tcW w:w="6800" w:type="dxa"/>
            <w:vAlign w:val="bottom"/>
            <w:gridSpan w:val="11"/>
          </w:tcPr>
          <w:p>
            <w:pPr>
              <w:spacing w:after="0"/>
              <w:rPr>
                <w:sz w:val="11"/>
                <w:szCs w:val="11"/>
                <w:color w:val="auto"/>
              </w:rPr>
            </w:pPr>
          </w:p>
        </w:tc>
        <w:tc>
          <w:tcPr>
            <w:tcW w:w="294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10</w:t>
            </w:r>
          </w:p>
        </w:tc>
      </w:tr>
      <w:tr>
        <w:trPr>
          <w:trHeight w:val="137"/>
        </w:trPr>
        <w:tc>
          <w:tcPr>
            <w:tcW w:w="720" w:type="dxa"/>
            <w:vAlign w:val="bottom"/>
          </w:tcPr>
          <w:p>
            <w:pPr>
              <w:spacing w:after="0"/>
              <w:rPr>
                <w:sz w:val="11"/>
                <w:szCs w:val="11"/>
                <w:color w:val="auto"/>
              </w:rPr>
            </w:pPr>
          </w:p>
        </w:tc>
        <w:tc>
          <w:tcPr>
            <w:tcW w:w="7800" w:type="dxa"/>
            <w:vAlign w:val="bottom"/>
            <w:gridSpan w:val="16"/>
          </w:tcPr>
          <w:p>
            <w:pPr>
              <w:spacing w:after="0" w:line="138" w:lineRule="exact"/>
              <w:rPr>
                <w:rFonts w:ascii="Arial" w:cs="Arial" w:eastAsia="Arial" w:hAnsi="Arial"/>
                <w:sz w:val="13"/>
                <w:szCs w:val="13"/>
                <w:color w:val="0000EE"/>
              </w:rPr>
            </w:pPr>
            <w:hyperlink w:anchor="page15">
              <w:r>
                <w:rPr>
                  <w:rFonts w:ascii="Arial" w:cs="Arial" w:eastAsia="Arial" w:hAnsi="Arial"/>
                  <w:sz w:val="13"/>
                  <w:szCs w:val="13"/>
                  <w:color w:val="0000EE"/>
                </w:rPr>
                <w:t>Plan of Distribution</w:t>
              </w:r>
            </w:hyperlink>
          </w:p>
        </w:tc>
        <w:tc>
          <w:tcPr>
            <w:tcW w:w="294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11</w:t>
            </w:r>
          </w:p>
        </w:tc>
      </w:tr>
      <w:tr>
        <w:trPr>
          <w:trHeight w:val="137"/>
        </w:trPr>
        <w:tc>
          <w:tcPr>
            <w:tcW w:w="720" w:type="dxa"/>
            <w:vAlign w:val="bottom"/>
          </w:tcPr>
          <w:p>
            <w:pPr>
              <w:spacing w:after="0"/>
              <w:rPr>
                <w:sz w:val="11"/>
                <w:szCs w:val="11"/>
                <w:color w:val="auto"/>
              </w:rPr>
            </w:pPr>
          </w:p>
        </w:tc>
        <w:tc>
          <w:tcPr>
            <w:tcW w:w="70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86"/>
              </w:rPr>
            </w:pPr>
            <w:hyperlink w:anchor="page17">
              <w:r>
                <w:rPr>
                  <w:rFonts w:ascii="Arial" w:cs="Arial" w:eastAsia="Arial" w:hAnsi="Arial"/>
                  <w:sz w:val="13"/>
                  <w:szCs w:val="13"/>
                  <w:color w:val="0000EE"/>
                  <w:w w:val="86"/>
                </w:rPr>
                <w:t>Legal Matters</w:t>
              </w:r>
            </w:hyperlink>
          </w:p>
        </w:tc>
        <w:tc>
          <w:tcPr>
            <w:tcW w:w="300" w:type="dxa"/>
            <w:vAlign w:val="bottom"/>
            <w:tcBorders>
              <w:top w:val="single" w:sz="8" w:color="0000EE"/>
            </w:tcBorders>
            <w:gridSpan w:val="3"/>
          </w:tcPr>
          <w:p>
            <w:pPr>
              <w:spacing w:after="0"/>
              <w:rPr>
                <w:sz w:val="11"/>
                <w:szCs w:val="11"/>
                <w:color w:val="auto"/>
              </w:rPr>
            </w:pPr>
          </w:p>
        </w:tc>
        <w:tc>
          <w:tcPr>
            <w:tcW w:w="6800" w:type="dxa"/>
            <w:vAlign w:val="bottom"/>
            <w:gridSpan w:val="11"/>
          </w:tcPr>
          <w:p>
            <w:pPr>
              <w:spacing w:after="0"/>
              <w:rPr>
                <w:sz w:val="11"/>
                <w:szCs w:val="11"/>
                <w:color w:val="auto"/>
              </w:rPr>
            </w:pPr>
          </w:p>
        </w:tc>
        <w:tc>
          <w:tcPr>
            <w:tcW w:w="294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13</w:t>
            </w:r>
          </w:p>
        </w:tc>
      </w:tr>
      <w:tr>
        <w:trPr>
          <w:trHeight w:val="137"/>
        </w:trPr>
        <w:tc>
          <w:tcPr>
            <w:tcW w:w="720" w:type="dxa"/>
            <w:vAlign w:val="bottom"/>
          </w:tcPr>
          <w:p>
            <w:pPr>
              <w:spacing w:after="0"/>
              <w:rPr>
                <w:sz w:val="11"/>
                <w:szCs w:val="11"/>
                <w:color w:val="auto"/>
              </w:rPr>
            </w:pPr>
          </w:p>
        </w:tc>
        <w:tc>
          <w:tcPr>
            <w:tcW w:w="7800" w:type="dxa"/>
            <w:vAlign w:val="bottom"/>
            <w:gridSpan w:val="16"/>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Experts</w:t>
              </w:r>
            </w:hyperlink>
          </w:p>
        </w:tc>
        <w:tc>
          <w:tcPr>
            <w:tcW w:w="294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13</w:t>
            </w:r>
          </w:p>
        </w:tc>
      </w:tr>
      <w:tr>
        <w:trPr>
          <w:trHeight w:val="20"/>
        </w:trPr>
        <w:tc>
          <w:tcPr>
            <w:tcW w:w="72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1320" w:type="dxa"/>
            <w:vAlign w:val="bottom"/>
            <w:tcBorders>
              <w:bottom w:val="single" w:sz="8" w:color="0000EE"/>
            </w:tcBorders>
            <w:gridSpan w:val="7"/>
          </w:tcPr>
          <w:p>
            <w:pPr>
              <w:spacing w:after="0" w:line="138" w:lineRule="exact"/>
              <w:rPr>
                <w:sz w:val="20"/>
                <w:szCs w:val="20"/>
                <w:color w:val="auto"/>
              </w:rPr>
            </w:pPr>
            <w:r>
              <w:rPr>
                <w:rFonts w:ascii="Arial" w:cs="Arial" w:eastAsia="Arial" w:hAnsi="Arial"/>
                <w:sz w:val="13"/>
                <w:szCs w:val="13"/>
                <w:color w:val="0000EE"/>
                <w:w w:val="89"/>
              </w:rPr>
              <w:t>Ex-4.1 Form of Indenture</w:t>
            </w:r>
          </w:p>
        </w:tc>
        <w:tc>
          <w:tcPr>
            <w:tcW w:w="6480" w:type="dxa"/>
            <w:vAlign w:val="bottom"/>
            <w:gridSpan w:val="9"/>
          </w:tcPr>
          <w:p>
            <w:pPr>
              <w:spacing w:after="0"/>
              <w:rPr>
                <w:sz w:val="11"/>
                <w:szCs w:val="11"/>
                <w:color w:val="auto"/>
              </w:rPr>
            </w:pPr>
          </w:p>
        </w:tc>
        <w:tc>
          <w:tcPr>
            <w:tcW w:w="294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7800" w:type="dxa"/>
            <w:vAlign w:val="bottom"/>
            <w:gridSpan w:val="16"/>
          </w:tcPr>
          <w:p>
            <w:pPr>
              <w:spacing w:after="0" w:line="138" w:lineRule="exact"/>
              <w:rPr>
                <w:sz w:val="20"/>
                <w:szCs w:val="20"/>
                <w:color w:val="auto"/>
              </w:rPr>
            </w:pPr>
            <w:r>
              <w:rPr>
                <w:rFonts w:ascii="Arial" w:cs="Arial" w:eastAsia="Arial" w:hAnsi="Arial"/>
                <w:sz w:val="13"/>
                <w:szCs w:val="13"/>
                <w:color w:val="0000EE"/>
              </w:rPr>
              <w:t>Ex-5.1 Opinion of Wilmer Cutler Pickering Hale and Dorr LLP</w:t>
            </w:r>
          </w:p>
        </w:tc>
        <w:tc>
          <w:tcPr>
            <w:tcW w:w="2940" w:type="dxa"/>
            <w:vAlign w:val="bottom"/>
          </w:tcPr>
          <w:p>
            <w:pPr>
              <w:spacing w:after="0"/>
              <w:rPr>
                <w:sz w:val="11"/>
                <w:szCs w:val="11"/>
                <w:color w:val="auto"/>
              </w:rPr>
            </w:pPr>
          </w:p>
        </w:tc>
      </w:tr>
      <w:tr>
        <w:trPr>
          <w:trHeight w:val="20"/>
        </w:trPr>
        <w:tc>
          <w:tcPr>
            <w:tcW w:w="720" w:type="dxa"/>
            <w:vAlign w:val="bottom"/>
          </w:tcPr>
          <w:p>
            <w:pPr>
              <w:spacing w:after="0" w:line="20" w:lineRule="exact"/>
              <w:rPr>
                <w:sz w:val="1"/>
                <w:szCs w:val="1"/>
                <w:color w:val="auto"/>
              </w:rPr>
            </w:pPr>
          </w:p>
        </w:tc>
        <w:tc>
          <w:tcPr>
            <w:tcW w:w="2060" w:type="dxa"/>
            <w:vAlign w:val="bottom"/>
            <w:gridSpan w:val="10"/>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37"/>
        </w:trPr>
        <w:tc>
          <w:tcPr>
            <w:tcW w:w="720" w:type="dxa"/>
            <w:vAlign w:val="bottom"/>
          </w:tcPr>
          <w:p>
            <w:pPr>
              <w:spacing w:after="0"/>
              <w:rPr>
                <w:sz w:val="11"/>
                <w:szCs w:val="11"/>
                <w:color w:val="auto"/>
              </w:rPr>
            </w:pPr>
          </w:p>
        </w:tc>
        <w:tc>
          <w:tcPr>
            <w:tcW w:w="3840" w:type="dxa"/>
            <w:vAlign w:val="bottom"/>
            <w:tcBorders>
              <w:bottom w:val="single" w:sz="8" w:color="0000EE"/>
            </w:tcBorders>
            <w:gridSpan w:val="14"/>
          </w:tcPr>
          <w:p>
            <w:pPr>
              <w:spacing w:after="0" w:line="138" w:lineRule="exact"/>
              <w:rPr>
                <w:sz w:val="20"/>
                <w:szCs w:val="20"/>
                <w:color w:val="auto"/>
              </w:rPr>
            </w:pPr>
            <w:r>
              <w:rPr>
                <w:rFonts w:ascii="Arial" w:cs="Arial" w:eastAsia="Arial" w:hAnsi="Arial"/>
                <w:sz w:val="13"/>
                <w:szCs w:val="13"/>
                <w:color w:val="0000EE"/>
                <w:w w:val="89"/>
              </w:rPr>
              <w:t>Ex-12.1 Computation of Consolidated Ratios of Earnings to Fixed Charges</w:t>
            </w:r>
          </w:p>
        </w:tc>
        <w:tc>
          <w:tcPr>
            <w:tcW w:w="3960" w:type="dxa"/>
            <w:vAlign w:val="bottom"/>
            <w:gridSpan w:val="2"/>
          </w:tcPr>
          <w:p>
            <w:pPr>
              <w:spacing w:after="0"/>
              <w:rPr>
                <w:sz w:val="11"/>
                <w:szCs w:val="11"/>
                <w:color w:val="auto"/>
              </w:rPr>
            </w:pPr>
          </w:p>
        </w:tc>
        <w:tc>
          <w:tcPr>
            <w:tcW w:w="294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2060" w:type="dxa"/>
            <w:vAlign w:val="bottom"/>
            <w:tcBorders>
              <w:bottom w:val="single" w:sz="8" w:color="0000EE"/>
            </w:tcBorders>
            <w:gridSpan w:val="10"/>
          </w:tcPr>
          <w:p>
            <w:pPr>
              <w:spacing w:after="0" w:line="138" w:lineRule="exact"/>
              <w:rPr>
                <w:sz w:val="20"/>
                <w:szCs w:val="20"/>
                <w:color w:val="auto"/>
              </w:rPr>
            </w:pPr>
            <w:r>
              <w:rPr>
                <w:rFonts w:ascii="Arial" w:cs="Arial" w:eastAsia="Arial" w:hAnsi="Arial"/>
                <w:sz w:val="13"/>
                <w:szCs w:val="13"/>
                <w:color w:val="0000EE"/>
                <w:w w:val="90"/>
              </w:rPr>
              <w:t>Ex-23.1 Consent of Ernst &amp; Young LLP</w:t>
            </w:r>
          </w:p>
        </w:tc>
        <w:tc>
          <w:tcPr>
            <w:tcW w:w="5740" w:type="dxa"/>
            <w:vAlign w:val="bottom"/>
            <w:gridSpan w:val="6"/>
          </w:tcPr>
          <w:p>
            <w:pPr>
              <w:spacing w:after="0"/>
              <w:rPr>
                <w:sz w:val="11"/>
                <w:szCs w:val="11"/>
                <w:color w:val="auto"/>
              </w:rPr>
            </w:pPr>
          </w:p>
        </w:tc>
        <w:tc>
          <w:tcPr>
            <w:tcW w:w="2940" w:type="dxa"/>
            <w:vAlign w:val="bottom"/>
          </w:tcPr>
          <w:p>
            <w:pPr>
              <w:spacing w:after="0"/>
              <w:rPr>
                <w:sz w:val="11"/>
                <w:szCs w:val="11"/>
                <w:color w:val="auto"/>
              </w:rPr>
            </w:pPr>
          </w:p>
        </w:tc>
      </w:tr>
      <w:tr>
        <w:trPr>
          <w:trHeight w:val="137"/>
        </w:trPr>
        <w:tc>
          <w:tcPr>
            <w:tcW w:w="720" w:type="dxa"/>
            <w:vAlign w:val="bottom"/>
          </w:tcPr>
          <w:p>
            <w:pPr>
              <w:spacing w:after="0"/>
              <w:rPr>
                <w:sz w:val="11"/>
                <w:szCs w:val="11"/>
                <w:color w:val="auto"/>
              </w:rPr>
            </w:pPr>
          </w:p>
        </w:tc>
        <w:tc>
          <w:tcPr>
            <w:tcW w:w="7800" w:type="dxa"/>
            <w:vAlign w:val="bottom"/>
            <w:gridSpan w:val="16"/>
          </w:tcPr>
          <w:p>
            <w:pPr>
              <w:spacing w:after="0" w:line="138" w:lineRule="exact"/>
              <w:rPr>
                <w:sz w:val="20"/>
                <w:szCs w:val="20"/>
                <w:color w:val="auto"/>
              </w:rPr>
            </w:pPr>
            <w:r>
              <w:rPr>
                <w:rFonts w:ascii="Arial" w:cs="Arial" w:eastAsia="Arial" w:hAnsi="Arial"/>
                <w:sz w:val="13"/>
                <w:szCs w:val="13"/>
                <w:color w:val="0000EE"/>
              </w:rPr>
              <w:t>Ex-25.1 Statement of Eligibility on Form T-1 of The Bank of New York Mellon Trust Company, N.A. (as Trustee)</w:t>
            </w:r>
          </w:p>
        </w:tc>
        <w:tc>
          <w:tcPr>
            <w:tcW w:w="2940" w:type="dxa"/>
            <w:vAlign w:val="bottom"/>
          </w:tcPr>
          <w:p>
            <w:pPr>
              <w:spacing w:after="0"/>
              <w:rPr>
                <w:sz w:val="11"/>
                <w:szCs w:val="11"/>
                <w:color w:val="auto"/>
              </w:rPr>
            </w:pPr>
          </w:p>
        </w:tc>
      </w:tr>
      <w:tr>
        <w:trPr>
          <w:trHeight w:val="171"/>
        </w:trPr>
        <w:tc>
          <w:tcPr>
            <w:tcW w:w="720" w:type="dxa"/>
            <w:vAlign w:val="bottom"/>
            <w:tcBorders>
              <w:bottom w:val="single" w:sz="8" w:color="808080"/>
            </w:tcBorders>
          </w:tcPr>
          <w:p>
            <w:pPr>
              <w:spacing w:after="0"/>
              <w:rPr>
                <w:sz w:val="14"/>
                <w:szCs w:val="14"/>
                <w:color w:val="auto"/>
              </w:rPr>
            </w:pPr>
          </w:p>
        </w:tc>
        <w:tc>
          <w:tcPr>
            <w:tcW w:w="360" w:type="dxa"/>
            <w:vAlign w:val="bottom"/>
            <w:tcBorders>
              <w:top w:val="single" w:sz="8" w:color="0000EE"/>
              <w:bottom w:val="single" w:sz="8" w:color="808080"/>
            </w:tcBorders>
          </w:tcPr>
          <w:p>
            <w:pPr>
              <w:spacing w:after="0"/>
              <w:rPr>
                <w:sz w:val="14"/>
                <w:szCs w:val="14"/>
                <w:color w:val="auto"/>
              </w:rPr>
            </w:pPr>
          </w:p>
        </w:tc>
        <w:tc>
          <w:tcPr>
            <w:tcW w:w="340" w:type="dxa"/>
            <w:vAlign w:val="bottom"/>
            <w:tcBorders>
              <w:top w:val="single" w:sz="8" w:color="0000EE"/>
              <w:bottom w:val="single" w:sz="8" w:color="808080"/>
            </w:tcBorders>
          </w:tcPr>
          <w:p>
            <w:pPr>
              <w:spacing w:after="0"/>
              <w:rPr>
                <w:sz w:val="14"/>
                <w:szCs w:val="14"/>
                <w:color w:val="auto"/>
              </w:rPr>
            </w:pPr>
          </w:p>
        </w:tc>
        <w:tc>
          <w:tcPr>
            <w:tcW w:w="20" w:type="dxa"/>
            <w:vAlign w:val="bottom"/>
            <w:tcBorders>
              <w:top w:val="single" w:sz="8" w:color="0000EE"/>
              <w:bottom w:val="single" w:sz="8" w:color="808080"/>
            </w:tcBorders>
          </w:tcPr>
          <w:p>
            <w:pPr>
              <w:spacing w:after="0"/>
              <w:rPr>
                <w:sz w:val="14"/>
                <w:szCs w:val="14"/>
                <w:color w:val="auto"/>
              </w:rPr>
            </w:pPr>
          </w:p>
        </w:tc>
        <w:tc>
          <w:tcPr>
            <w:tcW w:w="100" w:type="dxa"/>
            <w:vAlign w:val="bottom"/>
            <w:tcBorders>
              <w:top w:val="single" w:sz="8" w:color="0000EE"/>
              <w:bottom w:val="single" w:sz="8" w:color="808080"/>
            </w:tcBorders>
          </w:tcPr>
          <w:p>
            <w:pPr>
              <w:spacing w:after="0"/>
              <w:rPr>
                <w:sz w:val="14"/>
                <w:szCs w:val="14"/>
                <w:color w:val="auto"/>
              </w:rPr>
            </w:pPr>
          </w:p>
        </w:tc>
        <w:tc>
          <w:tcPr>
            <w:tcW w:w="180" w:type="dxa"/>
            <w:vAlign w:val="bottom"/>
            <w:tcBorders>
              <w:top w:val="single" w:sz="8" w:color="0000EE"/>
              <w:bottom w:val="single" w:sz="8" w:color="808080"/>
            </w:tcBorders>
          </w:tcPr>
          <w:p>
            <w:pPr>
              <w:spacing w:after="0"/>
              <w:rPr>
                <w:sz w:val="14"/>
                <w:szCs w:val="14"/>
                <w:color w:val="auto"/>
              </w:rPr>
            </w:pPr>
          </w:p>
        </w:tc>
        <w:tc>
          <w:tcPr>
            <w:tcW w:w="120" w:type="dxa"/>
            <w:vAlign w:val="bottom"/>
            <w:tcBorders>
              <w:top w:val="single" w:sz="8" w:color="0000EE"/>
              <w:bottom w:val="single" w:sz="8" w:color="808080"/>
            </w:tcBorders>
          </w:tcPr>
          <w:p>
            <w:pPr>
              <w:spacing w:after="0"/>
              <w:rPr>
                <w:sz w:val="14"/>
                <w:szCs w:val="14"/>
                <w:color w:val="auto"/>
              </w:rPr>
            </w:pPr>
          </w:p>
        </w:tc>
        <w:tc>
          <w:tcPr>
            <w:tcW w:w="200" w:type="dxa"/>
            <w:vAlign w:val="bottom"/>
            <w:tcBorders>
              <w:top w:val="single" w:sz="8" w:color="0000EE"/>
              <w:bottom w:val="single" w:sz="8" w:color="808080"/>
            </w:tcBorders>
          </w:tcPr>
          <w:p>
            <w:pPr>
              <w:spacing w:after="0"/>
              <w:rPr>
                <w:sz w:val="14"/>
                <w:szCs w:val="14"/>
                <w:color w:val="auto"/>
              </w:rPr>
            </w:pPr>
          </w:p>
        </w:tc>
        <w:tc>
          <w:tcPr>
            <w:tcW w:w="80" w:type="dxa"/>
            <w:vAlign w:val="bottom"/>
            <w:tcBorders>
              <w:top w:val="single" w:sz="8" w:color="0000EE"/>
              <w:bottom w:val="single" w:sz="8" w:color="808080"/>
            </w:tcBorders>
          </w:tcPr>
          <w:p>
            <w:pPr>
              <w:spacing w:after="0"/>
              <w:rPr>
                <w:sz w:val="14"/>
                <w:szCs w:val="14"/>
                <w:color w:val="auto"/>
              </w:rPr>
            </w:pPr>
          </w:p>
        </w:tc>
        <w:tc>
          <w:tcPr>
            <w:tcW w:w="160" w:type="dxa"/>
            <w:vAlign w:val="bottom"/>
            <w:tcBorders>
              <w:top w:val="single" w:sz="8" w:color="0000EE"/>
              <w:bottom w:val="single" w:sz="8" w:color="808080"/>
            </w:tcBorders>
          </w:tcPr>
          <w:p>
            <w:pPr>
              <w:spacing w:after="0"/>
              <w:rPr>
                <w:sz w:val="14"/>
                <w:szCs w:val="14"/>
                <w:color w:val="auto"/>
              </w:rPr>
            </w:pPr>
          </w:p>
        </w:tc>
        <w:tc>
          <w:tcPr>
            <w:tcW w:w="500" w:type="dxa"/>
            <w:vAlign w:val="bottom"/>
            <w:tcBorders>
              <w:top w:val="single" w:sz="8" w:color="0000EE"/>
              <w:bottom w:val="single" w:sz="8" w:color="808080"/>
            </w:tcBorders>
          </w:tcPr>
          <w:p>
            <w:pPr>
              <w:spacing w:after="0"/>
              <w:rPr>
                <w:sz w:val="14"/>
                <w:szCs w:val="14"/>
                <w:color w:val="auto"/>
              </w:rPr>
            </w:pPr>
          </w:p>
        </w:tc>
        <w:tc>
          <w:tcPr>
            <w:tcW w:w="540" w:type="dxa"/>
            <w:vAlign w:val="bottom"/>
            <w:tcBorders>
              <w:top w:val="single" w:sz="8" w:color="0000EE"/>
              <w:bottom w:val="single" w:sz="8" w:color="808080"/>
            </w:tcBorders>
          </w:tcPr>
          <w:p>
            <w:pPr>
              <w:spacing w:after="0"/>
              <w:rPr>
                <w:sz w:val="14"/>
                <w:szCs w:val="14"/>
                <w:color w:val="auto"/>
              </w:rPr>
            </w:pPr>
          </w:p>
        </w:tc>
        <w:tc>
          <w:tcPr>
            <w:tcW w:w="380" w:type="dxa"/>
            <w:vAlign w:val="bottom"/>
            <w:tcBorders>
              <w:top w:val="single" w:sz="8" w:color="0000EE"/>
              <w:bottom w:val="single" w:sz="8" w:color="808080"/>
            </w:tcBorders>
          </w:tcPr>
          <w:p>
            <w:pPr>
              <w:spacing w:after="0"/>
              <w:rPr>
                <w:sz w:val="14"/>
                <w:szCs w:val="14"/>
                <w:color w:val="auto"/>
              </w:rPr>
            </w:pPr>
          </w:p>
        </w:tc>
        <w:tc>
          <w:tcPr>
            <w:tcW w:w="260" w:type="dxa"/>
            <w:vAlign w:val="bottom"/>
            <w:tcBorders>
              <w:top w:val="single" w:sz="8" w:color="0000EE"/>
              <w:bottom w:val="single" w:sz="8" w:color="808080"/>
            </w:tcBorders>
          </w:tcPr>
          <w:p>
            <w:pPr>
              <w:spacing w:after="0"/>
              <w:rPr>
                <w:sz w:val="14"/>
                <w:szCs w:val="14"/>
                <w:color w:val="auto"/>
              </w:rPr>
            </w:pPr>
          </w:p>
        </w:tc>
        <w:tc>
          <w:tcPr>
            <w:tcW w:w="600" w:type="dxa"/>
            <w:vAlign w:val="bottom"/>
            <w:tcBorders>
              <w:top w:val="single" w:sz="8" w:color="0000EE"/>
              <w:bottom w:val="single" w:sz="8" w:color="808080"/>
            </w:tcBorders>
          </w:tcPr>
          <w:p>
            <w:pPr>
              <w:spacing w:after="0"/>
              <w:rPr>
                <w:sz w:val="14"/>
                <w:szCs w:val="14"/>
                <w:color w:val="auto"/>
              </w:rPr>
            </w:pPr>
          </w:p>
        </w:tc>
        <w:tc>
          <w:tcPr>
            <w:tcW w:w="2000" w:type="dxa"/>
            <w:vAlign w:val="bottom"/>
            <w:tcBorders>
              <w:top w:val="single" w:sz="8" w:color="0000EE"/>
              <w:bottom w:val="single" w:sz="8" w:color="808080"/>
            </w:tcBorders>
          </w:tcPr>
          <w:p>
            <w:pPr>
              <w:spacing w:after="0"/>
              <w:rPr>
                <w:sz w:val="14"/>
                <w:szCs w:val="14"/>
                <w:color w:val="auto"/>
              </w:rPr>
            </w:pPr>
          </w:p>
        </w:tc>
        <w:tc>
          <w:tcPr>
            <w:tcW w:w="1960" w:type="dxa"/>
            <w:vAlign w:val="bottom"/>
            <w:tcBorders>
              <w:bottom w:val="single" w:sz="8" w:color="808080"/>
            </w:tcBorders>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ABOUT THIS PROSPECTUS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This prospectus is part of a registration statement that we filed with the Securities and Exchange Commission, which we refer to as the SEC, utilizing a “shelf” registration process.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Under this shelf registration process, we may from time to time sell debt securities described in this prospectus in one or more offerings.</w:t>
      </w:r>
    </w:p>
    <w:p>
      <w:pPr>
        <w:spacing w:after="0" w:line="8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This prospectus provides you with a general description of the debt securities we may offer. Each time we sell debt securities, we may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 “Where You Can Find More Information” on page 1 of this prospectus.</w:t>
      </w:r>
    </w:p>
    <w:p>
      <w:pPr>
        <w:spacing w:after="0" w:line="7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debt securities other than the debt securities described in any accompanying prospectus supplement or an offer to sell or the solicitation of an offer to buy such debt securities in any circumstances in which such offer or solicitation is unlawful. You should assume that the information appearing in this prospectus, any prospectus supplement and the documents incorporated by reference is accurate only as of their respective dates. Our business, financial condition, results of operations and prospects may have changed materially since those dates.</w:t>
      </w:r>
    </w:p>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terms “the Company,” “we,” “our,” “ours” and “us” refer to Analog Devices, Inc., and its subsidiaries on a consolidated basis, unless the context otherwise requires.</w:t>
      </w:r>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WHERE YOU CAN FIND MORE INFORMATION</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 xml:space="preserve">We file annual, quarterly and current reports, proxy statements and other information with the SEC. Our SEC filings are available to the public over the Internet at the SEC’s website at </w:t>
      </w:r>
      <w:r>
        <w:rPr>
          <w:rFonts w:ascii="Arial" w:cs="Arial" w:eastAsia="Arial" w:hAnsi="Arial"/>
          <w:sz w:val="13"/>
          <w:szCs w:val="13"/>
          <w:i w:val="1"/>
          <w:iCs w:val="1"/>
          <w:color w:val="auto"/>
        </w:rPr>
        <w:t>http://www.sec.gov</w:t>
      </w:r>
      <w:r>
        <w:rPr>
          <w:rFonts w:ascii="Arial" w:cs="Arial" w:eastAsia="Arial" w:hAnsi="Arial"/>
          <w:sz w:val="13"/>
          <w:szCs w:val="13"/>
          <w:color w:val="auto"/>
        </w:rPr>
        <w:t xml:space="preserve">. Copies of certain information filed by us with the SEC are also available on our website at </w:t>
      </w:r>
      <w:r>
        <w:rPr>
          <w:rFonts w:ascii="Arial" w:cs="Arial" w:eastAsia="Arial" w:hAnsi="Arial"/>
          <w:sz w:val="13"/>
          <w:szCs w:val="13"/>
          <w:i w:val="1"/>
          <w:iCs w:val="1"/>
          <w:color w:val="auto"/>
        </w:rPr>
        <w:t>http://www.analog.com</w:t>
      </w:r>
      <w:r>
        <w:rPr>
          <w:rFonts w:ascii="Arial" w:cs="Arial" w:eastAsia="Arial" w:hAnsi="Arial"/>
          <w:sz w:val="13"/>
          <w:szCs w:val="13"/>
          <w:color w:val="auto"/>
        </w:rPr>
        <w:t>. Our website is not a part of this prospectus. You may also read and copy any document we file at the SEC’s public reference room, 100 F Street, N.E., Washington, D.C. 20549. Please call the SEC at 1-800-SEC-0330 for further information on the operation of the public reference room.</w:t>
      </w:r>
    </w:p>
    <w:p>
      <w:pPr>
        <w:spacing w:after="0" w:line="7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Because our common stock is listed on the New York Stock Exchange, you may also inspect reports, proxy statements and other information about us at the offices of the New York Stock Exchange, 20 Broad Street, New York, New York 10005.</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22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INCORPORATION BY REFERENCE</w:t>
      </w:r>
    </w:p>
    <w:p>
      <w:pPr>
        <w:spacing w:after="0" w:line="100"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w:t>
      </w: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64" w:lineRule="auto"/>
        <w:rPr>
          <w:sz w:val="20"/>
          <w:szCs w:val="20"/>
          <w:color w:val="auto"/>
        </w:rPr>
      </w:pPr>
      <w:r>
        <w:rPr>
          <w:rFonts w:ascii="Arial" w:cs="Arial" w:eastAsia="Arial" w:hAnsi="Arial"/>
          <w:sz w:val="13"/>
          <w:szCs w:val="13"/>
          <w:color w:val="auto"/>
        </w:rPr>
        <w:t>by reference have been modified or superseded. This prospectus incorporates by reference the documents listed below and any future filings we make with the SEC under Sections 13(a), 13(c), 14 or 15(d) of the Securities Exchange Act of 1934 (in each case, other than those documents or the portions of those documents not deemed to be filed) until the offering of the securities under the registration statement is terminated or completed:</w:t>
      </w:r>
    </w:p>
    <w:p>
      <w:pPr>
        <w:spacing w:after="0" w:line="67" w:lineRule="exact"/>
        <w:rPr>
          <w:sz w:val="20"/>
          <w:szCs w:val="20"/>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Annual Report on Form 10-K for the fiscal year ended November 1, 2008;</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Quarterly Reports on Form 10-Q for the fiscal quarters ended January 31, 2009 and May 2, 2009;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
        </w:numPr>
        <w:rPr>
          <w:rFonts w:ascii="Arial" w:cs="Arial" w:eastAsia="Arial" w:hAnsi="Arial"/>
          <w:sz w:val="13"/>
          <w:szCs w:val="13"/>
          <w:color w:val="auto"/>
        </w:rPr>
      </w:pPr>
      <w:r>
        <w:rPr>
          <w:rFonts w:ascii="Arial" w:cs="Arial" w:eastAsia="Arial" w:hAnsi="Arial"/>
          <w:sz w:val="13"/>
          <w:szCs w:val="13"/>
          <w:color w:val="auto"/>
        </w:rPr>
        <w:t>Current Reports on Form 8-K filed December 3, 2008, December 8, 2008 and January 20, 2009.</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You may request a copy of these filings, at no cost, by writing or telephoning us at the following address:</w:t>
      </w:r>
    </w:p>
    <w:p>
      <w:pPr>
        <w:spacing w:after="0" w:line="96" w:lineRule="exact"/>
        <w:rPr>
          <w:sz w:val="20"/>
          <w:szCs w:val="20"/>
          <w:color w:val="auto"/>
        </w:rPr>
      </w:pPr>
    </w:p>
    <w:p>
      <w:pPr>
        <w:jc w:val="center"/>
        <w:ind w:right="-759"/>
        <w:spacing w:after="0"/>
        <w:rPr>
          <w:sz w:val="20"/>
          <w:szCs w:val="20"/>
          <w:color w:val="auto"/>
        </w:rPr>
      </w:pPr>
      <w:r>
        <w:rPr>
          <w:rFonts w:ascii="Arial" w:cs="Arial" w:eastAsia="Arial" w:hAnsi="Arial"/>
          <w:sz w:val="13"/>
          <w:szCs w:val="13"/>
          <w:color w:val="auto"/>
        </w:rPr>
        <w:t>Analog Devices, Inc.</w:t>
      </w:r>
    </w:p>
    <w:p>
      <w:pPr>
        <w:spacing w:after="0" w:line="15" w:lineRule="exact"/>
        <w:rPr>
          <w:sz w:val="20"/>
          <w:szCs w:val="20"/>
          <w:color w:val="auto"/>
        </w:rPr>
      </w:pPr>
    </w:p>
    <w:p>
      <w:pPr>
        <w:jc w:val="center"/>
        <w:ind w:right="-759"/>
        <w:spacing w:after="0"/>
        <w:rPr>
          <w:sz w:val="20"/>
          <w:szCs w:val="20"/>
          <w:color w:val="auto"/>
        </w:rPr>
      </w:pPr>
      <w:r>
        <w:rPr>
          <w:rFonts w:ascii="Arial" w:cs="Arial" w:eastAsia="Arial" w:hAnsi="Arial"/>
          <w:sz w:val="13"/>
          <w:szCs w:val="13"/>
          <w:color w:val="auto"/>
        </w:rPr>
        <w:t>One Technology Way</w:t>
      </w:r>
    </w:p>
    <w:p>
      <w:pPr>
        <w:spacing w:after="0" w:line="8" w:lineRule="exact"/>
        <w:rPr>
          <w:sz w:val="20"/>
          <w:szCs w:val="20"/>
          <w:color w:val="auto"/>
        </w:rPr>
      </w:pPr>
    </w:p>
    <w:p>
      <w:pPr>
        <w:jc w:val="center"/>
        <w:ind w:right="-759"/>
        <w:spacing w:after="0"/>
        <w:rPr>
          <w:sz w:val="20"/>
          <w:szCs w:val="20"/>
          <w:color w:val="auto"/>
        </w:rPr>
      </w:pPr>
      <w:r>
        <w:rPr>
          <w:rFonts w:ascii="Arial" w:cs="Arial" w:eastAsia="Arial" w:hAnsi="Arial"/>
          <w:sz w:val="13"/>
          <w:szCs w:val="13"/>
          <w:color w:val="auto"/>
        </w:rPr>
        <w:t>Norwood, MA 02062-9106</w:t>
      </w:r>
    </w:p>
    <w:p>
      <w:pPr>
        <w:spacing w:after="0" w:line="8" w:lineRule="exact"/>
        <w:rPr>
          <w:sz w:val="20"/>
          <w:szCs w:val="20"/>
          <w:color w:val="auto"/>
        </w:rPr>
      </w:pPr>
    </w:p>
    <w:p>
      <w:pPr>
        <w:jc w:val="center"/>
        <w:ind w:right="-759"/>
        <w:spacing w:after="0"/>
        <w:rPr>
          <w:sz w:val="20"/>
          <w:szCs w:val="20"/>
          <w:color w:val="auto"/>
        </w:rPr>
      </w:pPr>
      <w:r>
        <w:rPr>
          <w:rFonts w:ascii="Arial" w:cs="Arial" w:eastAsia="Arial" w:hAnsi="Arial"/>
          <w:sz w:val="13"/>
          <w:szCs w:val="13"/>
          <w:color w:val="auto"/>
        </w:rPr>
        <w:t>Telephone: (800) 468-7751</w:t>
      </w:r>
    </w:p>
    <w:p>
      <w:pPr>
        <w:spacing w:after="0" w:line="8" w:lineRule="exact"/>
        <w:rPr>
          <w:sz w:val="20"/>
          <w:szCs w:val="20"/>
          <w:color w:val="auto"/>
        </w:rPr>
      </w:pPr>
    </w:p>
    <w:p>
      <w:pPr>
        <w:jc w:val="center"/>
        <w:ind w:right="-759"/>
        <w:spacing w:after="0"/>
        <w:rPr>
          <w:sz w:val="20"/>
          <w:szCs w:val="20"/>
          <w:color w:val="auto"/>
        </w:rPr>
      </w:pPr>
      <w:r>
        <w:rPr>
          <w:rFonts w:ascii="Arial" w:cs="Arial" w:eastAsia="Arial" w:hAnsi="Arial"/>
          <w:sz w:val="13"/>
          <w:szCs w:val="13"/>
          <w:color w:val="auto"/>
        </w:rPr>
        <w:t>Attention: Investor Relations</w:t>
      </w:r>
    </w:p>
    <w:p>
      <w:pPr>
        <w:spacing w:after="0" w:line="242"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CAUTIONARY NOTE REGARDING FORWARD LOOKING STATEMENTS</w:t>
      </w:r>
    </w:p>
    <w:p>
      <w:pPr>
        <w:spacing w:after="0" w:line="100" w:lineRule="exact"/>
        <w:rPr>
          <w:sz w:val="20"/>
          <w:szCs w:val="20"/>
          <w:color w:val="auto"/>
        </w:rPr>
      </w:pPr>
    </w:p>
    <w:p>
      <w:pPr>
        <w:ind w:left="680" w:firstLine="399"/>
        <w:spacing w:after="0" w:line="277" w:lineRule="auto"/>
        <w:rPr>
          <w:sz w:val="20"/>
          <w:szCs w:val="20"/>
          <w:color w:val="auto"/>
        </w:rPr>
      </w:pPr>
      <w:r>
        <w:rPr>
          <w:rFonts w:ascii="Arial" w:cs="Arial" w:eastAsia="Arial" w:hAnsi="Arial"/>
          <w:sz w:val="12"/>
          <w:szCs w:val="12"/>
          <w:color w:val="auto"/>
        </w:rPr>
        <w:t>This prospectus and the documents that we incorporate by reference contain forward-looking statements that are subject to the safe harbors created under the Securities Act of 1933 (the “Securities Act”) and the Securities Exchange Act of 1934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and “may” and variations of such words and similar expressions are intended to identify such forward-looking statements. In addition, any statements that refer to projections regarding our future financial performance, particularly in light of the global credit and financial market crisis; our anticipated growth and trends in our businesses; our capital needs and capital expenditures; our market position and competitive changes in the marketplace for our products; our ability to innovate new products and technologies; the effectiveness of our efforts to refocus our operations and reduce our cost structure; our ability to access credit or capital markets; our ability to pay dividends or repurchase stock; our third-party suppliers; intellectual property and litigation matters; potential acquisitions or divestitures; key personnel; the effect of new accounting pronouncements and other characterizations of future events or circumstances are forward-looking statements. You are cautioned that these forward-looking statements are only predictions and are subject to risks, uncertainties and assumptions that are difficult to predict. You should pay particular attention to the important risk factors and cautionary statements referenced in the section of any accompanying prospectus supplement entitled “Risk Factors.” You should also carefully review the risk factors and cautionary statements described in the other documents we file from time to time with the SEC, specifically our Annual Reports on Form 10-K, our Quarterly Reports on Form 10-Q and our Current Reports on Form 8-K. We undertake no obligation to revise or update any forward-looking statements, except to the extent required by law.</w:t>
      </w:r>
    </w:p>
    <w:p>
      <w:pPr>
        <w:spacing w:after="0" w:line="26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THE COMPANY</w:t>
      </w:r>
    </w:p>
    <w:p>
      <w:pPr>
        <w:spacing w:after="0" w:line="100"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We are a world leader in the design, manufacture and marketing of high-performance analog, mixed-signal and digital signal processing integrated circuits used in industrial, communication, computer and consumer applications. Since our inception in 1965, we have focused on solving the engineering challenges associated with signal processing in electronic equipment.</w:t>
      </w:r>
    </w:p>
    <w:p>
      <w:pPr>
        <w:spacing w:after="0" w:line="67"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sell our products worldwide through a direct sales force, third-party distributors and independent sales representatives and through our website. We have direct sales offices in 17 countries, including the United States.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are incorporated in Massachusetts. As of November 1, 2008, we employed approximately 9,000 individuals worldwide.</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Our common stock is listed on the New York Stock Exchange under the ticker symbol “ADI” and is included in the Standard &amp; Poor’s 500 Index. Our principal executive offices are located at One Technology Way, Norwood, Massachusetts 02062, and our telephone number is (781) 329-4700.</w:t>
      </w:r>
    </w:p>
    <w:p>
      <w:pPr>
        <w:spacing w:after="0" w:line="212"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CONSOLIDATED RATIOS OF EARNINGS TO FIXED CHARGES</w:t>
      </w:r>
    </w:p>
    <w:p>
      <w:pPr>
        <w:spacing w:after="0" w:line="100"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The following table sets forth our ratio of earnings to fixed charges for each of the periods indicated. You should read this table in conjunction with the consolidated financial statements and notes incorporated by reference herein.</w:t>
      </w:r>
    </w:p>
    <w:p>
      <w:pPr>
        <w:spacing w:after="0" w:line="6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500" w:type="dxa"/>
            <w:vAlign w:val="bottom"/>
          </w:tcPr>
          <w:p>
            <w:pPr>
              <w:spacing w:after="0"/>
              <w:rPr>
                <w:sz w:val="10"/>
                <w:szCs w:val="10"/>
                <w:color w:val="auto"/>
              </w:rPr>
            </w:pPr>
          </w:p>
        </w:tc>
        <w:tc>
          <w:tcPr>
            <w:tcW w:w="1540" w:type="dxa"/>
            <w:vAlign w:val="bottom"/>
            <w:gridSpan w:val="4"/>
          </w:tcPr>
          <w:p>
            <w:pPr>
              <w:jc w:val="right"/>
              <w:ind w:right="500"/>
              <w:spacing w:after="0"/>
              <w:rPr>
                <w:sz w:val="20"/>
                <w:szCs w:val="20"/>
                <w:color w:val="auto"/>
              </w:rPr>
            </w:pPr>
            <w:r>
              <w:rPr>
                <w:rFonts w:ascii="Arial" w:cs="Arial" w:eastAsia="Arial" w:hAnsi="Arial"/>
                <w:sz w:val="10"/>
                <w:szCs w:val="10"/>
                <w:b w:val="1"/>
                <w:bCs w:val="1"/>
                <w:color w:val="auto"/>
              </w:rPr>
              <w:t>Six Months Ended</w:t>
            </w:r>
          </w:p>
        </w:tc>
        <w:tc>
          <w:tcPr>
            <w:tcW w:w="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w w:val="99"/>
              </w:rPr>
              <w:t>Fiscal Year Ended</w:t>
            </w: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81"/>
        </w:trPr>
        <w:tc>
          <w:tcPr>
            <w:tcW w:w="3500" w:type="dxa"/>
            <w:vAlign w:val="bottom"/>
          </w:tcPr>
          <w:p>
            <w:pPr>
              <w:spacing w:after="0"/>
              <w:rPr>
                <w:sz w:val="7"/>
                <w:szCs w:val="7"/>
                <w:color w:val="auto"/>
              </w:rPr>
            </w:pPr>
          </w:p>
        </w:tc>
        <w:tc>
          <w:tcPr>
            <w:tcW w:w="840" w:type="dxa"/>
            <w:vAlign w:val="bottom"/>
            <w:tcBorders>
              <w:top w:val="single" w:sz="8" w:color="auto"/>
            </w:tcBorders>
            <w:gridSpan w:val="2"/>
          </w:tcPr>
          <w:p>
            <w:pPr>
              <w:jc w:val="center"/>
              <w:ind w:right="420"/>
              <w:spacing w:after="0" w:line="81" w:lineRule="exact"/>
              <w:rPr>
                <w:sz w:val="20"/>
                <w:szCs w:val="20"/>
                <w:color w:val="auto"/>
              </w:rPr>
            </w:pPr>
            <w:r>
              <w:rPr>
                <w:rFonts w:ascii="Arial" w:cs="Arial" w:eastAsia="Arial" w:hAnsi="Arial"/>
                <w:sz w:val="9"/>
                <w:szCs w:val="9"/>
                <w:b w:val="1"/>
                <w:bCs w:val="1"/>
                <w:color w:val="auto"/>
              </w:rPr>
              <w:t>May 2,</w:t>
            </w:r>
          </w:p>
        </w:tc>
        <w:tc>
          <w:tcPr>
            <w:tcW w:w="40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May 3,</w:t>
            </w:r>
          </w:p>
        </w:tc>
        <w:tc>
          <w:tcPr>
            <w:tcW w:w="300" w:type="dxa"/>
            <w:vAlign w:val="bottom"/>
          </w:tcPr>
          <w:p>
            <w:pPr>
              <w:spacing w:after="0"/>
              <w:rPr>
                <w:sz w:val="7"/>
                <w:szCs w:val="7"/>
                <w:color w:val="auto"/>
              </w:rPr>
            </w:pPr>
          </w:p>
        </w:tc>
        <w:tc>
          <w:tcPr>
            <w:tcW w:w="1100" w:type="dxa"/>
            <w:vAlign w:val="bottom"/>
            <w:tcBorders>
              <w:top w:val="single" w:sz="8" w:color="auto"/>
            </w:tcBorders>
            <w:gridSpan w:val="2"/>
          </w:tcPr>
          <w:p>
            <w:pPr>
              <w:jc w:val="center"/>
              <w:ind w:right="280"/>
              <w:spacing w:after="0" w:line="81" w:lineRule="exact"/>
              <w:rPr>
                <w:sz w:val="20"/>
                <w:szCs w:val="20"/>
                <w:color w:val="auto"/>
              </w:rPr>
            </w:pPr>
            <w:r>
              <w:rPr>
                <w:rFonts w:ascii="Arial" w:cs="Arial" w:eastAsia="Arial" w:hAnsi="Arial"/>
                <w:sz w:val="9"/>
                <w:szCs w:val="9"/>
                <w:b w:val="1"/>
                <w:bCs w:val="1"/>
                <w:color w:val="auto"/>
              </w:rPr>
              <w:t>November 1,</w:t>
            </w:r>
          </w:p>
        </w:tc>
        <w:tc>
          <w:tcPr>
            <w:tcW w:w="860" w:type="dxa"/>
            <w:vAlign w:val="bottom"/>
            <w:tcBorders>
              <w:top w:val="single" w:sz="8" w:color="auto"/>
            </w:tcBorders>
            <w:gridSpan w:val="2"/>
          </w:tcPr>
          <w:p>
            <w:pPr>
              <w:jc w:val="center"/>
              <w:ind w:right="60"/>
              <w:spacing w:after="0" w:line="81" w:lineRule="exact"/>
              <w:rPr>
                <w:sz w:val="20"/>
                <w:szCs w:val="20"/>
                <w:color w:val="auto"/>
              </w:rPr>
            </w:pPr>
            <w:r>
              <w:rPr>
                <w:rFonts w:ascii="Arial" w:cs="Arial" w:eastAsia="Arial" w:hAnsi="Arial"/>
                <w:sz w:val="9"/>
                <w:szCs w:val="9"/>
                <w:b w:val="1"/>
                <w:bCs w:val="1"/>
                <w:color w:val="auto"/>
              </w:rPr>
              <w:t>November 3,</w:t>
            </w:r>
          </w:p>
        </w:tc>
        <w:tc>
          <w:tcPr>
            <w:tcW w:w="2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October 28,</w:t>
            </w:r>
          </w:p>
        </w:tc>
        <w:tc>
          <w:tcPr>
            <w:tcW w:w="980" w:type="dxa"/>
            <w:vAlign w:val="bottom"/>
            <w:tcBorders>
              <w:top w:val="single" w:sz="8" w:color="auto"/>
            </w:tcBorders>
            <w:gridSpan w:val="2"/>
          </w:tcPr>
          <w:p>
            <w:pPr>
              <w:jc w:val="center"/>
              <w:ind w:right="300"/>
              <w:spacing w:after="0" w:line="81" w:lineRule="exact"/>
              <w:rPr>
                <w:sz w:val="20"/>
                <w:szCs w:val="20"/>
                <w:color w:val="auto"/>
              </w:rPr>
            </w:pPr>
            <w:r>
              <w:rPr>
                <w:rFonts w:ascii="Arial" w:cs="Arial" w:eastAsia="Arial" w:hAnsi="Arial"/>
                <w:sz w:val="9"/>
                <w:szCs w:val="9"/>
                <w:b w:val="1"/>
                <w:bCs w:val="1"/>
                <w:color w:val="auto"/>
              </w:rPr>
              <w:t>October 29,</w:t>
            </w:r>
          </w:p>
        </w:tc>
        <w:tc>
          <w:tcPr>
            <w:tcW w:w="68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b w:val="1"/>
                <w:bCs w:val="1"/>
                <w:color w:val="auto"/>
              </w:rPr>
              <w:t>October 30,</w:t>
            </w:r>
          </w:p>
        </w:tc>
        <w:tc>
          <w:tcPr>
            <w:tcW w:w="20" w:type="dxa"/>
            <w:vAlign w:val="bottom"/>
          </w:tcPr>
          <w:p>
            <w:pPr>
              <w:spacing w:after="0"/>
              <w:rPr>
                <w:sz w:val="7"/>
                <w:szCs w:val="7"/>
                <w:color w:val="auto"/>
              </w:rPr>
            </w:pPr>
          </w:p>
        </w:tc>
      </w:tr>
      <w:tr>
        <w:trPr>
          <w:trHeight w:val="125"/>
        </w:trPr>
        <w:tc>
          <w:tcPr>
            <w:tcW w:w="3500" w:type="dxa"/>
            <w:vAlign w:val="bottom"/>
          </w:tcPr>
          <w:p>
            <w:pPr>
              <w:spacing w:after="0"/>
              <w:rPr>
                <w:sz w:val="10"/>
                <w:szCs w:val="10"/>
                <w:color w:val="auto"/>
              </w:rPr>
            </w:pPr>
          </w:p>
        </w:tc>
        <w:tc>
          <w:tcPr>
            <w:tcW w:w="42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b w:val="1"/>
                <w:bCs w:val="1"/>
                <w:color w:val="auto"/>
              </w:rPr>
              <w:t>2009</w:t>
            </w:r>
          </w:p>
        </w:tc>
        <w:tc>
          <w:tcPr>
            <w:tcW w:w="420" w:type="dxa"/>
            <w:vAlign w:val="bottom"/>
          </w:tcPr>
          <w:p>
            <w:pPr>
              <w:spacing w:after="0"/>
              <w:rPr>
                <w:sz w:val="10"/>
                <w:szCs w:val="10"/>
                <w:color w:val="auto"/>
              </w:rPr>
            </w:pPr>
          </w:p>
        </w:tc>
        <w:tc>
          <w:tcPr>
            <w:tcW w:w="400" w:type="dxa"/>
            <w:vAlign w:val="bottom"/>
            <w:tcBorders>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10"/>
                <w:szCs w:val="10"/>
                <w:color w:val="auto"/>
              </w:rPr>
            </w:pPr>
          </w:p>
        </w:tc>
        <w:tc>
          <w:tcPr>
            <w:tcW w:w="800" w:type="dxa"/>
            <w:vAlign w:val="bottom"/>
            <w:tcBorders>
              <w:bottom w:val="single" w:sz="8" w:color="auto"/>
            </w:tcBorders>
          </w:tcPr>
          <w:p>
            <w:pPr>
              <w:jc w:val="right"/>
              <w:ind w:right="225"/>
              <w:spacing w:after="0"/>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10"/>
                <w:szCs w:val="10"/>
                <w:color w:val="auto"/>
              </w:rPr>
            </w:pPr>
          </w:p>
        </w:tc>
        <w:tc>
          <w:tcPr>
            <w:tcW w:w="800" w:type="dxa"/>
            <w:vAlign w:val="bottom"/>
            <w:tcBorders>
              <w:bottom w:val="single" w:sz="8" w:color="auto"/>
            </w:tcBorders>
          </w:tcPr>
          <w:p>
            <w:pPr>
              <w:jc w:val="right"/>
              <w:ind w:right="245"/>
              <w:spacing w:after="0"/>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rPr>
              <w:t>2006</w:t>
            </w:r>
          </w:p>
        </w:tc>
        <w:tc>
          <w:tcPr>
            <w:tcW w:w="300" w:type="dxa"/>
            <w:vAlign w:val="bottom"/>
          </w:tcPr>
          <w:p>
            <w:pPr>
              <w:spacing w:after="0"/>
              <w:rPr>
                <w:sz w:val="10"/>
                <w:szCs w:val="10"/>
                <w:color w:val="auto"/>
              </w:rPr>
            </w:pPr>
          </w:p>
        </w:tc>
        <w:tc>
          <w:tcPr>
            <w:tcW w:w="680" w:type="dxa"/>
            <w:vAlign w:val="bottom"/>
            <w:tcBorders>
              <w:bottom w:val="single" w:sz="8" w:color="auto"/>
            </w:tcBorders>
          </w:tcPr>
          <w:p>
            <w:pPr>
              <w:jc w:val="right"/>
              <w:ind w:right="185"/>
              <w:spacing w:after="0"/>
              <w:rPr>
                <w:sz w:val="20"/>
                <w:szCs w:val="20"/>
                <w:color w:val="auto"/>
              </w:rPr>
            </w:pPr>
            <w:r>
              <w:rPr>
                <w:rFonts w:ascii="Arial" w:cs="Arial" w:eastAsia="Arial" w:hAnsi="Arial"/>
                <w:sz w:val="10"/>
                <w:szCs w:val="10"/>
                <w:b w:val="1"/>
                <w:bCs w:val="1"/>
                <w:color w:val="auto"/>
              </w:rPr>
              <w:t>2005</w:t>
            </w:r>
          </w:p>
        </w:tc>
        <w:tc>
          <w:tcPr>
            <w:tcW w:w="300" w:type="dxa"/>
            <w:vAlign w:val="bottom"/>
          </w:tcPr>
          <w:p>
            <w:pPr>
              <w:spacing w:after="0"/>
              <w:rPr>
                <w:sz w:val="10"/>
                <w:szCs w:val="10"/>
                <w:color w:val="auto"/>
              </w:rPr>
            </w:pPr>
          </w:p>
        </w:tc>
        <w:tc>
          <w:tcPr>
            <w:tcW w:w="680" w:type="dxa"/>
            <w:vAlign w:val="bottom"/>
            <w:tcBorders>
              <w:bottom w:val="single" w:sz="8" w:color="auto"/>
            </w:tcBorders>
          </w:tcPr>
          <w:p>
            <w:pPr>
              <w:jc w:val="right"/>
              <w:ind w:right="185"/>
              <w:spacing w:after="0"/>
              <w:rPr>
                <w:sz w:val="20"/>
                <w:szCs w:val="20"/>
                <w:color w:val="auto"/>
              </w:rPr>
            </w:pPr>
            <w:r>
              <w:rPr>
                <w:rFonts w:ascii="Arial" w:cs="Arial" w:eastAsia="Arial" w:hAnsi="Arial"/>
                <w:sz w:val="10"/>
                <w:szCs w:val="10"/>
                <w:b w:val="1"/>
                <w:bCs w:val="1"/>
                <w:color w:val="auto"/>
              </w:rPr>
              <w:t>2004</w:t>
            </w:r>
          </w:p>
        </w:tc>
        <w:tc>
          <w:tcPr>
            <w:tcW w:w="20" w:type="dxa"/>
            <w:vAlign w:val="bottom"/>
          </w:tcPr>
          <w:p>
            <w:pPr>
              <w:spacing w:after="0"/>
              <w:rPr>
                <w:sz w:val="10"/>
                <w:szCs w:val="10"/>
                <w:color w:val="auto"/>
              </w:rPr>
            </w:pPr>
          </w:p>
        </w:tc>
      </w:tr>
      <w:tr>
        <w:trPr>
          <w:trHeight w:val="185"/>
        </w:trPr>
        <w:tc>
          <w:tcPr>
            <w:tcW w:w="3500" w:type="dxa"/>
            <w:vAlign w:val="bottom"/>
          </w:tcPr>
          <w:p>
            <w:pPr>
              <w:spacing w:after="0"/>
              <w:rPr>
                <w:sz w:val="20"/>
                <w:szCs w:val="20"/>
                <w:color w:val="auto"/>
              </w:rPr>
            </w:pPr>
            <w:r>
              <w:rPr>
                <w:rFonts w:ascii="Arial" w:cs="Arial" w:eastAsia="Arial" w:hAnsi="Arial"/>
                <w:sz w:val="13"/>
                <w:szCs w:val="13"/>
                <w:color w:val="auto"/>
              </w:rPr>
              <w:t>Consolidated Ratios of Earnings to Fixed Charges(1)</w:t>
            </w:r>
          </w:p>
        </w:tc>
        <w:tc>
          <w:tcPr>
            <w:tcW w:w="840" w:type="dxa"/>
            <w:vAlign w:val="bottom"/>
            <w:gridSpan w:val="2"/>
          </w:tcPr>
          <w:p>
            <w:pPr>
              <w:jc w:val="right"/>
              <w:ind w:right="420"/>
              <w:spacing w:after="0"/>
              <w:rPr>
                <w:sz w:val="20"/>
                <w:szCs w:val="20"/>
                <w:color w:val="auto"/>
              </w:rPr>
            </w:pPr>
            <w:r>
              <w:rPr>
                <w:rFonts w:ascii="Arial" w:cs="Arial" w:eastAsia="Arial" w:hAnsi="Arial"/>
                <w:sz w:val="13"/>
                <w:szCs w:val="13"/>
                <w:color w:val="auto"/>
              </w:rPr>
              <w:t>110.8</w:t>
            </w:r>
          </w:p>
        </w:tc>
        <w:tc>
          <w:tcPr>
            <w:tcW w:w="700" w:type="dxa"/>
            <w:vAlign w:val="bottom"/>
            <w:gridSpan w:val="2"/>
          </w:tcPr>
          <w:p>
            <w:pPr>
              <w:jc w:val="right"/>
              <w:ind w:right="300"/>
              <w:spacing w:after="0"/>
              <w:rPr>
                <w:sz w:val="20"/>
                <w:szCs w:val="20"/>
                <w:color w:val="auto"/>
              </w:rPr>
            </w:pPr>
            <w:r>
              <w:rPr>
                <w:rFonts w:ascii="Arial" w:cs="Arial" w:eastAsia="Arial" w:hAnsi="Arial"/>
                <w:sz w:val="13"/>
                <w:szCs w:val="13"/>
                <w:color w:val="auto"/>
              </w:rPr>
              <w:t>401.6</w:t>
            </w:r>
          </w:p>
        </w:tc>
        <w:tc>
          <w:tcPr>
            <w:tcW w:w="1100" w:type="dxa"/>
            <w:vAlign w:val="bottom"/>
            <w:gridSpan w:val="2"/>
          </w:tcPr>
          <w:p>
            <w:pPr>
              <w:jc w:val="right"/>
              <w:ind w:right="300"/>
              <w:spacing w:after="0"/>
              <w:rPr>
                <w:sz w:val="20"/>
                <w:szCs w:val="20"/>
                <w:color w:val="auto"/>
              </w:rPr>
            </w:pPr>
            <w:r>
              <w:rPr>
                <w:rFonts w:ascii="Arial" w:cs="Arial" w:eastAsia="Arial" w:hAnsi="Arial"/>
                <w:sz w:val="13"/>
                <w:szCs w:val="13"/>
                <w:color w:val="auto"/>
              </w:rPr>
              <w:t>416.1</w:t>
            </w:r>
          </w:p>
        </w:tc>
        <w:tc>
          <w:tcPr>
            <w:tcW w:w="860" w:type="dxa"/>
            <w:vAlign w:val="bottom"/>
            <w:gridSpan w:val="2"/>
          </w:tcPr>
          <w:p>
            <w:pPr>
              <w:jc w:val="right"/>
              <w:ind w:right="60"/>
              <w:spacing w:after="0"/>
              <w:rPr>
                <w:sz w:val="20"/>
                <w:szCs w:val="20"/>
                <w:color w:val="auto"/>
              </w:rPr>
            </w:pPr>
            <w:r>
              <w:rPr>
                <w:rFonts w:ascii="Arial" w:cs="Arial" w:eastAsia="Arial" w:hAnsi="Arial"/>
                <w:sz w:val="13"/>
                <w:szCs w:val="13"/>
                <w:color w:val="auto"/>
              </w:rPr>
              <w:t>362.2</w:t>
            </w:r>
          </w:p>
        </w:tc>
        <w:tc>
          <w:tcPr>
            <w:tcW w:w="1220" w:type="dxa"/>
            <w:vAlign w:val="bottom"/>
            <w:gridSpan w:val="3"/>
          </w:tcPr>
          <w:p>
            <w:pPr>
              <w:jc w:val="right"/>
              <w:ind w:right="300"/>
              <w:spacing w:after="0"/>
              <w:rPr>
                <w:sz w:val="20"/>
                <w:szCs w:val="20"/>
                <w:color w:val="auto"/>
              </w:rPr>
            </w:pPr>
            <w:r>
              <w:rPr>
                <w:rFonts w:ascii="Arial" w:cs="Arial" w:eastAsia="Arial" w:hAnsi="Arial"/>
                <w:sz w:val="13"/>
                <w:szCs w:val="13"/>
                <w:color w:val="auto"/>
              </w:rPr>
              <w:t>305.7</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350.0</w:t>
            </w:r>
          </w:p>
        </w:tc>
        <w:tc>
          <w:tcPr>
            <w:tcW w:w="700" w:type="dxa"/>
            <w:vAlign w:val="bottom"/>
            <w:gridSpan w:val="2"/>
          </w:tcPr>
          <w:p>
            <w:pPr>
              <w:jc w:val="right"/>
              <w:ind w:right="20"/>
              <w:spacing w:after="0"/>
              <w:rPr>
                <w:sz w:val="20"/>
                <w:szCs w:val="20"/>
                <w:color w:val="auto"/>
              </w:rPr>
            </w:pPr>
            <w:r>
              <w:rPr>
                <w:rFonts w:ascii="Arial" w:cs="Arial" w:eastAsia="Arial" w:hAnsi="Arial"/>
                <w:sz w:val="13"/>
                <w:szCs w:val="13"/>
                <w:color w:val="auto"/>
              </w:rPr>
              <w:t>368.9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63500</wp:posOffset>
            </wp:positionV>
            <wp:extent cx="82359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0" w:lineRule="exact"/>
        <w:rPr>
          <w:sz w:val="20"/>
          <w:szCs w:val="20"/>
          <w:color w:val="auto"/>
        </w:rPr>
      </w:pPr>
    </w:p>
    <w:p>
      <w:pPr>
        <w:ind w:left="1000" w:right="280" w:hanging="259"/>
        <w:spacing w:after="0" w:line="276" w:lineRule="auto"/>
        <w:tabs>
          <w:tab w:leader="none" w:pos="1000" w:val="left"/>
        </w:tabs>
        <w:numPr>
          <w:ilvl w:val="0"/>
          <w:numId w:val="3"/>
        </w:numPr>
        <w:rPr>
          <w:rFonts w:ascii="Arial" w:cs="Arial" w:eastAsia="Arial" w:hAnsi="Arial"/>
          <w:sz w:val="13"/>
          <w:szCs w:val="13"/>
          <w:color w:val="auto"/>
        </w:rPr>
      </w:pPr>
      <w:r>
        <w:rPr>
          <w:rFonts w:ascii="Arial" w:cs="Arial" w:eastAsia="Arial" w:hAnsi="Arial"/>
          <w:sz w:val="13"/>
          <w:szCs w:val="13"/>
          <w:color w:val="auto"/>
        </w:rPr>
        <w:t>For purposes of computing the ratio of earnings to fixed charges, earnings consist of income before income taxes plus amortization of capitalized interest and fixed charges. Fixed charges consist of interest expense (including an estimate of interest within rent expense).</w:t>
      </w:r>
    </w:p>
    <w:p>
      <w:pPr>
        <w:spacing w:after="0" w:line="212"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USE OF PROCEEDS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intend to use the net proceeds from the sale of the debt securities for general corporate purposes unless otherwise indicated in a prospectus supplement.</w:t>
      </w:r>
    </w:p>
    <w:p>
      <w:pPr>
        <w:spacing w:after="0" w:line="250"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DESCRIPTION OF DEBT SECURITIES</w:t>
      </w:r>
    </w:p>
    <w:p>
      <w:pPr>
        <w:spacing w:after="0" w:line="10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This prospectus describes certain general terms and provisions of our debt securities. When we offer to sell a particular series of debt securities, we will describe the specific terms of the series in a supplement to this prospectus. We will also indicate in the supplement whether the general terms and provisions described in this prospectus apply to a particular series of debt securities.</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Unless otherwise specified in a supplement to this prospectus, the debt securities will be our direct, unsecured obligations and will rank equally with all of our other unsecured and unsubordinated indebtedness.</w:t>
      </w:r>
    </w:p>
    <w:p>
      <w:pPr>
        <w:spacing w:after="0" w:line="59"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The debt securities will be issued under an indenture between us and The Bank of New York Mellon Trust Company, N.A., as trustee. We have summarized select portions of the indenture below. The summary is not complete. The form of the indenture has been incorporated by reference as an exhibit to the registration statement and you should read the indenture for provisions that may be important to you. Capitalized terms used in the summary and not defined herein have the meanings specified in the indenture.</w:t>
      </w:r>
    </w:p>
    <w:p>
      <w:pPr>
        <w:spacing w:after="0" w:line="5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When we refer to “the Company,” “we,” “our” and “us” in this section, we mean Analog Devices, Inc. excluding, unless the context otherwise requires or as otherwise expressly stated, our subsidiaries.</w:t>
      </w: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jc w:val="both"/>
        <w:ind w:left="680" w:right="80" w:firstLine="399"/>
        <w:spacing w:after="0" w:line="334" w:lineRule="auto"/>
        <w:rPr>
          <w:sz w:val="20"/>
          <w:szCs w:val="20"/>
          <w:color w:val="auto"/>
        </w:rPr>
      </w:pPr>
      <w:r>
        <w:rPr>
          <w:rFonts w:ascii="Arial" w:cs="Arial" w:eastAsia="Arial" w:hAnsi="Arial"/>
          <w:sz w:val="11"/>
          <w:szCs w:val="11"/>
          <w:color w:val="auto"/>
        </w:rPr>
        <w:t>The terms of each series of debt securities will be established by or pursuant to a resolution of our board of directors or a duly authorized committee of our board of directors and set forth or determined in the manner provided in a resolution of our board of directors or a duly authorized committee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32" w:lineRule="exact"/>
        <w:rPr>
          <w:sz w:val="20"/>
          <w:szCs w:val="20"/>
          <w:color w:val="auto"/>
        </w:rPr>
      </w:pPr>
    </w:p>
    <w:p>
      <w:pPr>
        <w:jc w:val="both"/>
        <w:ind w:left="680" w:right="120" w:firstLine="399"/>
        <w:spacing w:after="0" w:line="264" w:lineRule="auto"/>
        <w:rPr>
          <w:sz w:val="20"/>
          <w:szCs w:val="20"/>
          <w:color w:val="auto"/>
        </w:rPr>
      </w:pPr>
      <w:r>
        <w:rPr>
          <w:rFonts w:ascii="Arial" w:cs="Arial" w:eastAsia="Arial" w:hAnsi="Arial"/>
          <w:sz w:val="13"/>
          <w:szCs w:val="13"/>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67" w:lineRule="exact"/>
        <w:rPr>
          <w:sz w:val="20"/>
          <w:szCs w:val="20"/>
          <w:color w:val="auto"/>
        </w:rPr>
      </w:pPr>
    </w:p>
    <w:p>
      <w:pPr>
        <w:ind w:left="1660" w:hanging="191"/>
        <w:spacing w:after="0"/>
        <w:tabs>
          <w:tab w:leader="none" w:pos="1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title of the debt securities;</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price or prices (expressed as a percentage of the principal amount) at which we will sell the debt securities;</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any limit on the aggregate principal amount of the debt securities;</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date or dates on which we will pay the principal on the debt securities;</w:t>
      </w:r>
    </w:p>
    <w:p>
      <w:pPr>
        <w:spacing w:after="0" w:line="96" w:lineRule="exact"/>
        <w:rPr>
          <w:rFonts w:ascii="Arial" w:cs="Arial" w:eastAsia="Arial" w:hAnsi="Arial"/>
          <w:sz w:val="13"/>
          <w:szCs w:val="13"/>
          <w:color w:val="auto"/>
        </w:rPr>
      </w:pPr>
    </w:p>
    <w:p>
      <w:pPr>
        <w:ind w:left="1080" w:firstLine="389"/>
        <w:spacing w:after="0" w:line="264" w:lineRule="auto"/>
        <w:tabs>
          <w:tab w:leader="none" w:pos="1649"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66" w:lineRule="exact"/>
        <w:rPr>
          <w:rFonts w:ascii="Arial" w:cs="Arial" w:eastAsia="Arial" w:hAnsi="Arial"/>
          <w:sz w:val="13"/>
          <w:szCs w:val="13"/>
          <w:color w:val="auto"/>
        </w:rPr>
      </w:pPr>
    </w:p>
    <w:p>
      <w:pPr>
        <w:ind w:left="1660" w:hanging="191"/>
        <w:spacing w:after="0"/>
        <w:tabs>
          <w:tab w:leader="none" w:pos="1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place or places where principal of, premium and interest on the debt securities will be payable;</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terms and conditions upon which we may redeem the debt securities;</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4"/>
        </w:numPr>
        <w:rPr>
          <w:rFonts w:ascii="Arial" w:cs="Arial" w:eastAsia="Arial" w:hAnsi="Arial"/>
          <w:sz w:val="12"/>
          <w:szCs w:val="12"/>
          <w:color w:val="auto"/>
        </w:rPr>
      </w:pPr>
      <w:r>
        <w:rPr>
          <w:rFonts w:ascii="Arial" w:cs="Arial" w:eastAsia="Arial" w:hAnsi="Arial"/>
          <w:sz w:val="12"/>
          <w:szCs w:val="12"/>
          <w:color w:val="auto"/>
        </w:rPr>
        <w:t>any obligation we have to redeem or purchase the debt securities pursuant to any sinking fund or analogous provisions or at the option of a holder of debt securities;</w:t>
      </w:r>
    </w:p>
    <w:p>
      <w:pPr>
        <w:spacing w:after="0" w:line="107" w:lineRule="exact"/>
        <w:rPr>
          <w:rFonts w:ascii="Arial" w:cs="Arial" w:eastAsia="Arial" w:hAnsi="Arial"/>
          <w:sz w:val="12"/>
          <w:szCs w:val="12"/>
          <w:color w:val="auto"/>
        </w:rPr>
      </w:pPr>
    </w:p>
    <w:p>
      <w:pPr>
        <w:ind w:left="1080" w:right="60" w:firstLine="389"/>
        <w:spacing w:after="0" w:line="276" w:lineRule="auto"/>
        <w:tabs>
          <w:tab w:leader="none" w:pos="1649"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dates on which and the price or prices at which we will repurchase debt securities at the option of the holders of debt securities and other detailed terms and provisions of these repurchase obligations;</w:t>
      </w:r>
    </w:p>
    <w:p>
      <w:pPr>
        <w:spacing w:after="0" w:line="59" w:lineRule="exact"/>
        <w:rPr>
          <w:rFonts w:ascii="Arial" w:cs="Arial" w:eastAsia="Arial" w:hAnsi="Arial"/>
          <w:sz w:val="13"/>
          <w:szCs w:val="13"/>
          <w:color w:val="auto"/>
        </w:rPr>
      </w:pPr>
    </w:p>
    <w:p>
      <w:pPr>
        <w:ind w:left="1720" w:hanging="251"/>
        <w:spacing w:after="0"/>
        <w:tabs>
          <w:tab w:leader="none" w:pos="17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denominations in which the debt securities will be issued, if other than denominations of $1,000 and any integral multiple thereof;</w:t>
      </w:r>
    </w:p>
    <w:p>
      <w:pPr>
        <w:spacing w:after="0" w:line="96" w:lineRule="exact"/>
        <w:rPr>
          <w:rFonts w:ascii="Arial" w:cs="Arial" w:eastAsia="Arial" w:hAnsi="Arial"/>
          <w:sz w:val="13"/>
          <w:szCs w:val="13"/>
          <w:color w:val="auto"/>
        </w:rPr>
      </w:pPr>
    </w:p>
    <w:p>
      <w:pPr>
        <w:ind w:left="1720" w:hanging="251"/>
        <w:spacing w:after="0"/>
        <w:tabs>
          <w:tab w:leader="none" w:pos="1720" w:val="left"/>
        </w:tabs>
        <w:numPr>
          <w:ilvl w:val="0"/>
          <w:numId w:val="4"/>
        </w:numPr>
        <w:rPr>
          <w:rFonts w:ascii="Arial" w:cs="Arial" w:eastAsia="Arial" w:hAnsi="Arial"/>
          <w:sz w:val="13"/>
          <w:szCs w:val="13"/>
          <w:color w:val="auto"/>
        </w:rPr>
      </w:pPr>
      <w:r>
        <w:rPr>
          <w:rFonts w:ascii="Arial" w:cs="Arial" w:eastAsia="Arial" w:hAnsi="Arial"/>
          <w:sz w:val="13"/>
          <w:szCs w:val="13"/>
          <w:color w:val="auto"/>
        </w:rPr>
        <w:t>whether the debt securities will be issued in the form of certificated debt securities or global debt securities;</w:t>
      </w:r>
    </w:p>
    <w:p>
      <w:pPr>
        <w:spacing w:after="0" w:line="96" w:lineRule="exact"/>
        <w:rPr>
          <w:rFonts w:ascii="Arial" w:cs="Arial" w:eastAsia="Arial" w:hAnsi="Arial"/>
          <w:sz w:val="13"/>
          <w:szCs w:val="13"/>
          <w:color w:val="auto"/>
        </w:rPr>
      </w:pPr>
    </w:p>
    <w:p>
      <w:pPr>
        <w:ind w:left="1720" w:hanging="251"/>
        <w:spacing w:after="0"/>
        <w:tabs>
          <w:tab w:leader="none" w:pos="17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portion of the principal amount of the debt securities payable upon declaration of acceleration of the maturity date, if other than the principal amount;</w:t>
      </w:r>
    </w:p>
    <w:p>
      <w:pPr>
        <w:spacing w:after="0" w:line="96" w:lineRule="exact"/>
        <w:rPr>
          <w:rFonts w:ascii="Arial" w:cs="Arial" w:eastAsia="Arial" w:hAnsi="Arial"/>
          <w:sz w:val="13"/>
          <w:szCs w:val="13"/>
          <w:color w:val="auto"/>
        </w:rPr>
      </w:pPr>
    </w:p>
    <w:p>
      <w:pPr>
        <w:ind w:left="1720" w:hanging="251"/>
        <w:spacing w:after="0"/>
        <w:tabs>
          <w:tab w:leader="none" w:pos="17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currency of denomination of the debt securities;</w:t>
      </w:r>
    </w:p>
    <w:p>
      <w:pPr>
        <w:spacing w:after="0" w:line="96" w:lineRule="exact"/>
        <w:rPr>
          <w:rFonts w:ascii="Arial" w:cs="Arial" w:eastAsia="Arial" w:hAnsi="Arial"/>
          <w:sz w:val="13"/>
          <w:szCs w:val="13"/>
          <w:color w:val="auto"/>
        </w:rPr>
      </w:pPr>
    </w:p>
    <w:p>
      <w:pPr>
        <w:ind w:left="1720" w:hanging="251"/>
        <w:spacing w:after="0"/>
        <w:tabs>
          <w:tab w:leader="none" w:pos="17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designation of the currency, currencies or currency units in which payment of principal of, premium and interest on the debt securities will be made;</w:t>
      </w:r>
    </w:p>
    <w:p>
      <w:pPr>
        <w:spacing w:after="0" w:line="96" w:lineRule="exact"/>
        <w:rPr>
          <w:rFonts w:ascii="Arial" w:cs="Arial" w:eastAsia="Arial" w:hAnsi="Arial"/>
          <w:sz w:val="13"/>
          <w:szCs w:val="13"/>
          <w:color w:val="auto"/>
        </w:rPr>
      </w:pPr>
    </w:p>
    <w:p>
      <w:pPr>
        <w:ind w:left="1080" w:right="100" w:firstLine="389"/>
        <w:spacing w:after="0" w:line="276" w:lineRule="auto"/>
        <w:tabs>
          <w:tab w:leader="none" w:pos="1714" w:val="left"/>
        </w:tabs>
        <w:numPr>
          <w:ilvl w:val="0"/>
          <w:numId w:val="4"/>
        </w:numPr>
        <w:rPr>
          <w:rFonts w:ascii="Arial" w:cs="Arial" w:eastAsia="Arial" w:hAnsi="Arial"/>
          <w:sz w:val="13"/>
          <w:szCs w:val="13"/>
          <w:color w:val="auto"/>
        </w:rPr>
      </w:pPr>
      <w:r>
        <w:rPr>
          <w:rFonts w:ascii="Arial" w:cs="Arial" w:eastAsia="Arial" w:hAnsi="Arial"/>
          <w:sz w:val="13"/>
          <w:szCs w:val="13"/>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59" w:lineRule="exact"/>
        <w:rPr>
          <w:rFonts w:ascii="Arial" w:cs="Arial" w:eastAsia="Arial" w:hAnsi="Arial"/>
          <w:sz w:val="13"/>
          <w:szCs w:val="13"/>
          <w:color w:val="auto"/>
        </w:rPr>
      </w:pPr>
    </w:p>
    <w:p>
      <w:pPr>
        <w:ind w:left="1080" w:right="380" w:firstLine="389"/>
        <w:spacing w:after="0" w:line="276" w:lineRule="auto"/>
        <w:tabs>
          <w:tab w:leader="none" w:pos="1714"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manner in which the amounts of payment of principal of, premium or interest on the debt securities will be determined, if these amounts may be determined by reference to an index based on a</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right="220"/>
        <w:spacing w:after="0" w:line="276" w:lineRule="auto"/>
        <w:rPr>
          <w:sz w:val="20"/>
          <w:szCs w:val="20"/>
          <w:color w:val="auto"/>
        </w:rPr>
      </w:pPr>
      <w:r>
        <w:rPr>
          <w:rFonts w:ascii="Arial" w:cs="Arial" w:eastAsia="Arial" w:hAnsi="Arial"/>
          <w:sz w:val="13"/>
          <w:szCs w:val="13"/>
          <w:color w:val="auto"/>
        </w:rPr>
        <w:t>currency or currencies other than that in which the debt securities are denominated or designated to be payable or by reference to a commodity, commodity index, stock exchange index or financial index;</w:t>
      </w:r>
    </w:p>
    <w:p>
      <w:pPr>
        <w:spacing w:after="0" w:line="59" w:lineRule="exact"/>
        <w:rPr>
          <w:sz w:val="20"/>
          <w:szCs w:val="20"/>
          <w:color w:val="auto"/>
        </w:rPr>
      </w:pPr>
    </w:p>
    <w:p>
      <w:pPr>
        <w:ind w:left="1720" w:hanging="251"/>
        <w:spacing w:after="0"/>
        <w:tabs>
          <w:tab w:leader="none" w:pos="172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any provisions relating to any security provided for the debt securities;</w:t>
      </w:r>
    </w:p>
    <w:p>
      <w:pPr>
        <w:spacing w:after="0" w:line="96" w:lineRule="exact"/>
        <w:rPr>
          <w:rFonts w:ascii="Arial" w:cs="Arial" w:eastAsia="Arial" w:hAnsi="Arial"/>
          <w:sz w:val="13"/>
          <w:szCs w:val="13"/>
          <w:color w:val="auto"/>
        </w:rPr>
      </w:pPr>
    </w:p>
    <w:p>
      <w:pPr>
        <w:ind w:left="1080" w:right="180" w:firstLine="389"/>
        <w:spacing w:after="0" w:line="276" w:lineRule="auto"/>
        <w:tabs>
          <w:tab w:leader="none" w:pos="1714" w:val="left"/>
        </w:tabs>
        <w:numPr>
          <w:ilvl w:val="0"/>
          <w:numId w:val="5"/>
        </w:numPr>
        <w:rPr>
          <w:rFonts w:ascii="Arial" w:cs="Arial" w:eastAsia="Arial" w:hAnsi="Arial"/>
          <w:sz w:val="13"/>
          <w:szCs w:val="13"/>
          <w:color w:val="auto"/>
        </w:rPr>
      </w:pPr>
      <w:r>
        <w:rPr>
          <w:rFonts w:ascii="Arial" w:cs="Arial" w:eastAsia="Arial" w:hAnsi="Arial"/>
          <w:sz w:val="13"/>
          <w:szCs w:val="13"/>
          <w:color w:val="auto"/>
        </w:rPr>
        <w:t>any addition to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59" w:lineRule="exact"/>
        <w:rPr>
          <w:rFonts w:ascii="Arial" w:cs="Arial" w:eastAsia="Arial" w:hAnsi="Arial"/>
          <w:sz w:val="13"/>
          <w:szCs w:val="13"/>
          <w:color w:val="auto"/>
        </w:rPr>
      </w:pPr>
    </w:p>
    <w:p>
      <w:pPr>
        <w:ind w:left="1720" w:hanging="251"/>
        <w:spacing w:after="0"/>
        <w:tabs>
          <w:tab w:leader="none" w:pos="172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any addition to or change in the covenants described in this prospectus or in the indenture with respect to the debt securities;</w:t>
      </w:r>
    </w:p>
    <w:p>
      <w:pPr>
        <w:spacing w:after="0" w:line="96" w:lineRule="exact"/>
        <w:rPr>
          <w:rFonts w:ascii="Arial" w:cs="Arial" w:eastAsia="Arial" w:hAnsi="Arial"/>
          <w:sz w:val="13"/>
          <w:szCs w:val="13"/>
          <w:color w:val="auto"/>
        </w:rPr>
      </w:pPr>
    </w:p>
    <w:p>
      <w:pPr>
        <w:ind w:left="1720" w:hanging="251"/>
        <w:spacing w:after="0"/>
        <w:tabs>
          <w:tab w:leader="none" w:pos="172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any listing on a securities exchange;</w:t>
      </w:r>
    </w:p>
    <w:p>
      <w:pPr>
        <w:spacing w:after="0" w:line="96" w:lineRule="exact"/>
        <w:rPr>
          <w:rFonts w:ascii="Arial" w:cs="Arial" w:eastAsia="Arial" w:hAnsi="Arial"/>
          <w:sz w:val="13"/>
          <w:szCs w:val="13"/>
          <w:color w:val="auto"/>
        </w:rPr>
      </w:pPr>
    </w:p>
    <w:p>
      <w:pPr>
        <w:ind w:left="1720" w:hanging="251"/>
        <w:spacing w:after="0"/>
        <w:tabs>
          <w:tab w:leader="none" w:pos="1720"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initial public offering price, if any is established for such debt securities;</w:t>
      </w:r>
    </w:p>
    <w:p>
      <w:pPr>
        <w:spacing w:after="0" w:line="96" w:lineRule="exact"/>
        <w:rPr>
          <w:rFonts w:ascii="Arial" w:cs="Arial" w:eastAsia="Arial" w:hAnsi="Arial"/>
          <w:sz w:val="13"/>
          <w:szCs w:val="13"/>
          <w:color w:val="auto"/>
        </w:rPr>
      </w:pPr>
    </w:p>
    <w:p>
      <w:pPr>
        <w:ind w:left="1720" w:hanging="251"/>
        <w:spacing w:after="0"/>
        <w:tabs>
          <w:tab w:leader="none" w:pos="172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any other terms of the debt securities, which may supplement, modify or delete any provision of the indenture as it applies to that series; and</w:t>
      </w:r>
    </w:p>
    <w:p>
      <w:pPr>
        <w:spacing w:after="0" w:line="96" w:lineRule="exact"/>
        <w:rPr>
          <w:rFonts w:ascii="Arial" w:cs="Arial" w:eastAsia="Arial" w:hAnsi="Arial"/>
          <w:sz w:val="13"/>
          <w:szCs w:val="13"/>
          <w:color w:val="auto"/>
        </w:rPr>
      </w:pPr>
    </w:p>
    <w:p>
      <w:pPr>
        <w:ind w:left="1720" w:hanging="251"/>
        <w:spacing w:after="0"/>
        <w:tabs>
          <w:tab w:leader="none" w:pos="1720" w:val="left"/>
        </w:tabs>
        <w:numPr>
          <w:ilvl w:val="0"/>
          <w:numId w:val="5"/>
        </w:numPr>
        <w:rPr>
          <w:rFonts w:ascii="Arial" w:cs="Arial" w:eastAsia="Arial" w:hAnsi="Arial"/>
          <w:sz w:val="11"/>
          <w:szCs w:val="11"/>
          <w:color w:val="auto"/>
        </w:rPr>
      </w:pPr>
      <w:r>
        <w:rPr>
          <w:rFonts w:ascii="Arial" w:cs="Arial" w:eastAsia="Arial" w:hAnsi="Arial"/>
          <w:sz w:val="11"/>
          <w:szCs w:val="11"/>
          <w:color w:val="auto"/>
        </w:rPr>
        <w:t>any depositaries, interest rate calculation agents, exchange rate calculation agents or other agents with respect to the debt securities if other than those appointed in the</w:t>
      </w:r>
    </w:p>
    <w:p>
      <w:pPr>
        <w:spacing w:after="0" w:line="38" w:lineRule="exact"/>
        <w:rPr>
          <w:rFonts w:ascii="Arial" w:cs="Arial" w:eastAsia="Arial" w:hAnsi="Arial"/>
          <w:sz w:val="11"/>
          <w:szCs w:val="11"/>
          <w:color w:val="auto"/>
        </w:rPr>
      </w:pPr>
    </w:p>
    <w:p>
      <w:pPr>
        <w:ind w:left="1080"/>
        <w:spacing w:after="0"/>
        <w:rPr>
          <w:rFonts w:ascii="Arial" w:cs="Arial" w:eastAsia="Arial" w:hAnsi="Arial"/>
          <w:sz w:val="11"/>
          <w:szCs w:val="11"/>
          <w:color w:val="auto"/>
        </w:rPr>
      </w:pPr>
      <w:r>
        <w:rPr>
          <w:rFonts w:ascii="Arial" w:cs="Arial" w:eastAsia="Arial" w:hAnsi="Arial"/>
          <w:sz w:val="13"/>
          <w:szCs w:val="13"/>
          <w:color w:val="auto"/>
        </w:rPr>
        <w:t>indenture.</w:t>
      </w:r>
    </w:p>
    <w:p>
      <w:pPr>
        <w:spacing w:after="0" w:line="89"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color w:val="auto"/>
        </w:rPr>
        <w:t>In addition, the indenture does not limit our ability to issue convertible or subordinated debt securities. We may also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Transfer and Exchange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“Forms of Securities” in this prospectus for description of transfer and exchange.</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No Protection In the Event of a Change of Control</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Covenants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will set forth in the applicable prospectus supplement any restrictive covenants applicable to any issue of debt securities.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Consolidation, Merger and Sale of Assets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may not consolidate with or merge with or into, or convey, transfer or lease all or substantially all of our properties and assets to, any person (a “successor person”) unless:</w:t>
      </w:r>
    </w:p>
    <w:p>
      <w:pPr>
        <w:spacing w:after="0" w:line="108" w:lineRule="exact"/>
        <w:rPr>
          <w:sz w:val="20"/>
          <w:szCs w:val="20"/>
          <w:color w:val="auto"/>
        </w:rPr>
      </w:pPr>
    </w:p>
    <w:p>
      <w:pPr>
        <w:ind w:left="1080" w:right="500" w:firstLine="389"/>
        <w:spacing w:after="0" w:line="276" w:lineRule="auto"/>
        <w:tabs>
          <w:tab w:leader="none" w:pos="1649" w:val="left"/>
        </w:tabs>
        <w:numPr>
          <w:ilvl w:val="0"/>
          <w:numId w:val="6"/>
        </w:numPr>
        <w:rPr>
          <w:rFonts w:ascii="Arial" w:cs="Arial" w:eastAsia="Arial" w:hAnsi="Arial"/>
          <w:sz w:val="13"/>
          <w:szCs w:val="13"/>
          <w:color w:val="auto"/>
        </w:rPr>
      </w:pPr>
      <w:r>
        <w:rPr>
          <w:rFonts w:ascii="Arial" w:cs="Arial" w:eastAsia="Arial" w:hAnsi="Arial"/>
          <w:sz w:val="13"/>
          <w:szCs w:val="13"/>
          <w:color w:val="auto"/>
        </w:rPr>
        <w:t>we are the surviving corporation or the successor person (if other than Analog Devices, Inc.) is a corporation organized and validly existing under the laws of any U.S. domestic jurisdiction and expressly assumes by a supplemental indenture our obligations on the debt securities and under the indenture;</w:t>
      </w:r>
    </w:p>
    <w:p>
      <w:pPr>
        <w:spacing w:after="0" w:line="59" w:lineRule="exact"/>
        <w:rPr>
          <w:rFonts w:ascii="Arial" w:cs="Arial" w:eastAsia="Arial" w:hAnsi="Arial"/>
          <w:sz w:val="13"/>
          <w:szCs w:val="13"/>
          <w:color w:val="auto"/>
        </w:rPr>
      </w:pPr>
    </w:p>
    <w:p>
      <w:pPr>
        <w:ind w:left="1080" w:right="60" w:firstLine="389"/>
        <w:spacing w:after="0" w:line="276" w:lineRule="auto"/>
        <w:tabs>
          <w:tab w:leader="none" w:pos="1649" w:val="left"/>
        </w:tabs>
        <w:numPr>
          <w:ilvl w:val="0"/>
          <w:numId w:val="6"/>
        </w:numPr>
        <w:rPr>
          <w:rFonts w:ascii="Arial" w:cs="Arial" w:eastAsia="Arial" w:hAnsi="Arial"/>
          <w:sz w:val="13"/>
          <w:szCs w:val="13"/>
          <w:color w:val="auto"/>
        </w:rPr>
      </w:pPr>
      <w:r>
        <w:rPr>
          <w:rFonts w:ascii="Arial" w:cs="Arial" w:eastAsia="Arial" w:hAnsi="Arial"/>
          <w:sz w:val="13"/>
          <w:szCs w:val="13"/>
          <w:color w:val="auto"/>
        </w:rPr>
        <w:t>immediately after giving effect to the transaction, no Event of Default, and no event which, after notice or lapse of time, or both, would become an Event of Default, shall have occurred and be continuing under the indenture; and</w:t>
      </w:r>
    </w:p>
    <w:p>
      <w:pPr>
        <w:spacing w:after="0" w:line="59" w:lineRule="exact"/>
        <w:rPr>
          <w:rFonts w:ascii="Arial" w:cs="Arial" w:eastAsia="Arial" w:hAnsi="Arial"/>
          <w:sz w:val="13"/>
          <w:szCs w:val="13"/>
          <w:color w:val="auto"/>
        </w:rPr>
      </w:pPr>
    </w:p>
    <w:p>
      <w:pPr>
        <w:ind w:left="1660" w:hanging="191"/>
        <w:spacing w:after="0"/>
        <w:tabs>
          <w:tab w:leader="none" w:pos="1660" w:val="left"/>
        </w:tabs>
        <w:numPr>
          <w:ilvl w:val="0"/>
          <w:numId w:val="6"/>
        </w:numPr>
        <w:rPr>
          <w:rFonts w:ascii="Arial" w:cs="Arial" w:eastAsia="Arial" w:hAnsi="Arial"/>
          <w:sz w:val="13"/>
          <w:szCs w:val="13"/>
          <w:color w:val="auto"/>
        </w:rPr>
      </w:pPr>
      <w:r>
        <w:rPr>
          <w:rFonts w:ascii="Arial" w:cs="Arial" w:eastAsia="Arial" w:hAnsi="Arial"/>
          <w:sz w:val="13"/>
          <w:szCs w:val="13"/>
          <w:color w:val="auto"/>
        </w:rPr>
        <w:t>certain other conditions are met.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Notwithstanding the above, any subsidiary of ours may consolidate with, merge into or transfer all or part of its properties to us.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Events of Default</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“Event of Default” </w:t>
      </w:r>
      <w:r>
        <w:rPr>
          <w:rFonts w:ascii="Arial" w:cs="Arial" w:eastAsia="Arial" w:hAnsi="Arial"/>
          <w:sz w:val="13"/>
          <w:szCs w:val="13"/>
          <w:color w:val="auto"/>
        </w:rPr>
        <w:t>means with respect to any series of debt securities, any of the following unless otherwise provided in the resolutions establishing such series:</w:t>
      </w:r>
    </w:p>
    <w:p>
      <w:pPr>
        <w:spacing w:after="0" w:line="57" w:lineRule="exact"/>
        <w:rPr>
          <w:sz w:val="20"/>
          <w:szCs w:val="20"/>
          <w:color w:val="auto"/>
        </w:rPr>
      </w:pPr>
    </w:p>
    <w:p>
      <w:pPr>
        <w:ind w:left="1660" w:hanging="191"/>
        <w:spacing w:after="0"/>
        <w:tabs>
          <w:tab w:leader="none" w:pos="1660" w:val="left"/>
        </w:tabs>
        <w:numPr>
          <w:ilvl w:val="0"/>
          <w:numId w:val="7"/>
        </w:numPr>
        <w:rPr>
          <w:rFonts w:ascii="Arial" w:cs="Arial" w:eastAsia="Arial" w:hAnsi="Arial"/>
          <w:sz w:val="12"/>
          <w:szCs w:val="12"/>
          <w:color w:val="auto"/>
        </w:rPr>
      </w:pPr>
      <w:r>
        <w:rPr>
          <w:rFonts w:ascii="Arial" w:cs="Arial" w:eastAsia="Arial" w:hAnsi="Arial"/>
          <w:sz w:val="12"/>
          <w:szCs w:val="12"/>
          <w:color w:val="auto"/>
        </w:rPr>
        <w:t>default in the payment of any interest upon any debt security of that series when it becomes due and payable, and continuance of that default for a period of 30 days;</w:t>
      </w:r>
    </w:p>
    <w:p>
      <w:pPr>
        <w:spacing w:after="0" w:line="68" w:lineRule="exact"/>
        <w:rPr>
          <w:rFonts w:ascii="Arial" w:cs="Arial" w:eastAsia="Arial" w:hAnsi="Arial"/>
          <w:sz w:val="12"/>
          <w:szCs w:val="12"/>
          <w:color w:val="auto"/>
        </w:rPr>
      </w:pPr>
    </w:p>
    <w:p>
      <w:pPr>
        <w:ind w:left="1660" w:hanging="191"/>
        <w:spacing w:after="0"/>
        <w:tabs>
          <w:tab w:leader="none" w:pos="1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default in the payment of principal of or premium on any debt security of that series when due and payable;</w:t>
      </w:r>
    </w:p>
    <w:p>
      <w:pPr>
        <w:spacing w:after="0" w:line="56" w:lineRule="exact"/>
        <w:rPr>
          <w:rFonts w:ascii="Arial" w:cs="Arial" w:eastAsia="Arial" w:hAnsi="Arial"/>
          <w:sz w:val="13"/>
          <w:szCs w:val="13"/>
          <w:color w:val="auto"/>
        </w:rPr>
      </w:pPr>
    </w:p>
    <w:p>
      <w:pPr>
        <w:jc w:val="both"/>
        <w:ind w:left="1080" w:right="140" w:firstLine="389"/>
        <w:spacing w:after="0" w:line="296" w:lineRule="auto"/>
        <w:tabs>
          <w:tab w:leader="none" w:pos="1649" w:val="left"/>
        </w:tabs>
        <w:numPr>
          <w:ilvl w:val="0"/>
          <w:numId w:val="7"/>
        </w:numPr>
        <w:rPr>
          <w:rFonts w:ascii="Arial" w:cs="Arial" w:eastAsia="Arial" w:hAnsi="Arial"/>
          <w:sz w:val="12"/>
          <w:szCs w:val="12"/>
          <w:color w:val="auto"/>
        </w:rPr>
      </w:pPr>
      <w:r>
        <w:rPr>
          <w:rFonts w:ascii="Arial" w:cs="Arial" w:eastAsia="Arial" w:hAnsi="Arial"/>
          <w:sz w:val="12"/>
          <w:szCs w:val="12"/>
          <w:color w:val="auto"/>
        </w:rPr>
        <w:t>default in the performance or breach of any other covenant by us in the indenture (other than a covenant that has been included in the indenture solely for the benefit of a series of debt securities other than that series), which default continues uncured for a period of 90 days after we receive written notice from the trustee or we and the trustee receive written notice from the holders of not less than 25% in principal amount of the outstanding debt securities of that series as provided in the indenture;</w:t>
      </w:r>
    </w:p>
    <w:p>
      <w:pPr>
        <w:spacing w:after="0" w:line="10" w:lineRule="exact"/>
        <w:rPr>
          <w:rFonts w:ascii="Arial" w:cs="Arial" w:eastAsia="Arial" w:hAnsi="Arial"/>
          <w:sz w:val="12"/>
          <w:szCs w:val="12"/>
          <w:color w:val="auto"/>
        </w:rPr>
      </w:pPr>
    </w:p>
    <w:p>
      <w:pPr>
        <w:ind w:left="1660" w:hanging="191"/>
        <w:spacing w:after="0"/>
        <w:tabs>
          <w:tab w:leader="none" w:pos="1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certain events of bankruptcy, insolvency or reorganization involving us; and</w:t>
      </w:r>
    </w:p>
    <w:p>
      <w:pPr>
        <w:spacing w:after="0" w:line="56" w:lineRule="exact"/>
        <w:rPr>
          <w:rFonts w:ascii="Arial" w:cs="Arial" w:eastAsia="Arial" w:hAnsi="Arial"/>
          <w:sz w:val="13"/>
          <w:szCs w:val="13"/>
          <w:color w:val="auto"/>
        </w:rPr>
      </w:pPr>
    </w:p>
    <w:p>
      <w:pPr>
        <w:ind w:left="1660" w:hanging="191"/>
        <w:spacing w:after="0"/>
        <w:tabs>
          <w:tab w:leader="none" w:pos="1660" w:val="left"/>
        </w:tabs>
        <w:numPr>
          <w:ilvl w:val="0"/>
          <w:numId w:val="7"/>
        </w:numPr>
        <w:rPr>
          <w:rFonts w:ascii="Arial" w:cs="Arial" w:eastAsia="Arial" w:hAnsi="Arial"/>
          <w:sz w:val="12"/>
          <w:szCs w:val="12"/>
          <w:color w:val="auto"/>
        </w:rPr>
      </w:pPr>
      <w:r>
        <w:rPr>
          <w:rFonts w:ascii="Arial" w:cs="Arial" w:eastAsia="Arial" w:hAnsi="Arial"/>
          <w:sz w:val="12"/>
          <w:szCs w:val="12"/>
          <w:color w:val="auto"/>
        </w:rPr>
        <w:t>any other Event of Default provided with respect to debt securities of that series that is described in the applicable prospectus supplement accompanying this prospectus.</w:t>
      </w:r>
    </w:p>
    <w:p>
      <w:pPr>
        <w:spacing w:after="0" w:line="10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of our other indebtedness outstanding from time to time.</w:t>
      </w:r>
    </w:p>
    <w:p>
      <w:pPr>
        <w:spacing w:after="0" w:line="67" w:lineRule="exact"/>
        <w:rPr>
          <w:sz w:val="20"/>
          <w:szCs w:val="20"/>
          <w:color w:val="auto"/>
        </w:rPr>
      </w:pPr>
    </w:p>
    <w:p>
      <w:pPr>
        <w:ind w:left="680" w:firstLine="399"/>
        <w:spacing w:after="0" w:line="254" w:lineRule="auto"/>
        <w:rPr>
          <w:sz w:val="20"/>
          <w:szCs w:val="20"/>
          <w:color w:val="auto"/>
        </w:rPr>
      </w:pPr>
      <w:r>
        <w:rPr>
          <w:rFonts w:ascii="Arial" w:cs="Arial" w:eastAsia="Arial" w:hAnsi="Arial"/>
          <w:sz w:val="13"/>
          <w:szCs w:val="13"/>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the principal and interest with respect to debt securities of that series which have become due solely by such declaration of acceleration, have been cured or waived as provided in the indenture and the trustee’s fees and expenses have been paid in full.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7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indenture provides that the trustee will be under no obligation to exercise any of its rights or powers under the indenture unless the trustee receives security or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70"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59" w:lineRule="exact"/>
        <w:rPr>
          <w:sz w:val="20"/>
          <w:szCs w:val="20"/>
          <w:color w:val="auto"/>
        </w:rPr>
      </w:pPr>
    </w:p>
    <w:p>
      <w:pPr>
        <w:ind w:left="5640" w:right="1580" w:hanging="4171"/>
        <w:spacing w:after="0" w:line="750" w:lineRule="auto"/>
        <w:tabs>
          <w:tab w:leader="none" w:pos="1651" w:val="left"/>
        </w:tabs>
        <w:numPr>
          <w:ilvl w:val="0"/>
          <w:numId w:val="8"/>
        </w:numPr>
        <w:rPr>
          <w:rFonts w:ascii="Arial" w:cs="Arial" w:eastAsia="Arial" w:hAnsi="Arial"/>
          <w:sz w:val="13"/>
          <w:szCs w:val="13"/>
          <w:color w:val="auto"/>
        </w:rPr>
      </w:pPr>
      <w:r>
        <w:rPr>
          <w:rFonts w:ascii="Arial" w:cs="Arial" w:eastAsia="Arial" w:hAnsi="Arial"/>
          <w:sz w:val="13"/>
          <w:szCs w:val="13"/>
          <w:color w:val="auto"/>
        </w:rPr>
        <w:t>that holder has previously given to the trustee written notice of a continuing Event of Default with respect to debt securities of that series; and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1080" w:right="180" w:firstLine="389"/>
        <w:spacing w:after="0" w:line="264" w:lineRule="auto"/>
        <w:tabs>
          <w:tab w:leader="none" w:pos="1649"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holders of not less than 25% in principal amount of the outstanding debt securities of that series have made written request, and offered reasonable indemnity, to the trustee to institute the proceeding as trustee, and after receipt of such request the trustee has not received from the holders of a majority in principal amount of the outstanding debt securities of that series a direction inconsistent with that request and has failed to institute the proceeding within 60 days.</w:t>
      </w:r>
    </w:p>
    <w:p>
      <w:pPr>
        <w:spacing w:after="0" w:line="67"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Notwithstanding the foregoing,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59"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Modification and Waiver</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or the trustee may amend or supplement the indenture or the debt securities of one or more series without the consent of the holders of the outstanding debt securities under the indenture:</w:t>
      </w:r>
    </w:p>
    <w:p>
      <w:pPr>
        <w:spacing w:after="0" w:line="59" w:lineRule="exact"/>
        <w:rPr>
          <w:sz w:val="20"/>
          <w:szCs w:val="20"/>
          <w:color w:val="auto"/>
        </w:rPr>
      </w:pPr>
    </w:p>
    <w:p>
      <w:pPr>
        <w:ind w:left="1660" w:hanging="191"/>
        <w:spacing w:after="0"/>
        <w:tabs>
          <w:tab w:leader="none" w:pos="1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cure any ambiguity, defect or inconsistency;</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comply with certain covenants under the indenture with respect to mergers and sales of assets;</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provide for uncertificated debt securities in addition to or in place of certificated debt securities;</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make any change that does not adversely affect the rights of any holder of debt securities under the indenture;</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provide for the issuance of and establish the form and terms and conditions of debt securities under the indenture as permitted thereunder;</w:t>
      </w:r>
    </w:p>
    <w:p>
      <w:pPr>
        <w:spacing w:after="0" w:line="96" w:lineRule="exact"/>
        <w:rPr>
          <w:rFonts w:ascii="Arial" w:cs="Arial" w:eastAsia="Arial" w:hAnsi="Arial"/>
          <w:sz w:val="13"/>
          <w:szCs w:val="13"/>
          <w:color w:val="auto"/>
        </w:rPr>
      </w:pPr>
    </w:p>
    <w:p>
      <w:pPr>
        <w:ind w:left="1080" w:right="60" w:firstLine="389"/>
        <w:spacing w:after="0" w:line="276" w:lineRule="auto"/>
        <w:tabs>
          <w:tab w:leader="none" w:pos="1649"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evidence and provide for the acceptance of appointment by a successor trustee with respect to any of the debt securities and to add to or change any of the provisions of the indenture as shall be necessary to provide for or facilitate the administration of the trusts thereunder by more than one trustee; or</w:t>
      </w:r>
    </w:p>
    <w:p>
      <w:pPr>
        <w:spacing w:after="0" w:line="59" w:lineRule="exact"/>
        <w:rPr>
          <w:rFonts w:ascii="Arial" w:cs="Arial" w:eastAsia="Arial" w:hAnsi="Arial"/>
          <w:sz w:val="13"/>
          <w:szCs w:val="13"/>
          <w:color w:val="auto"/>
        </w:rPr>
      </w:pPr>
    </w:p>
    <w:p>
      <w:pPr>
        <w:ind w:left="1660" w:hanging="191"/>
        <w:spacing w:after="0"/>
        <w:tabs>
          <w:tab w:leader="none" w:pos="1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to comply with requirements of the SEC in order to effect or maintain the qualification of the indenture under the Trust Indenture Act.</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In addition, we may modify and amend the indenture as to all other matters with the consent of the holders of at least a majority in principal amount of the outstanding debt securities of each series affected by the modifications or amendments, provided however that we may not make any modification or amendment without the consent of the holders of each affected debt security then outstanding if that amendment will:</w:t>
      </w:r>
    </w:p>
    <w:p>
      <w:pPr>
        <w:spacing w:after="0" w:line="67" w:lineRule="exact"/>
        <w:rPr>
          <w:sz w:val="20"/>
          <w:szCs w:val="20"/>
          <w:color w:val="auto"/>
        </w:rPr>
      </w:pPr>
    </w:p>
    <w:p>
      <w:pPr>
        <w:ind w:left="1660" w:hanging="191"/>
        <w:spacing w:after="0"/>
        <w:tabs>
          <w:tab w:leader="none" w:pos="1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reduce the amount of debt securities whose holders must consent to an amendment, supplement or waiver;</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reduce the rate of or extend the time for payment of interest (including default interest) on any debt security;</w:t>
      </w:r>
    </w:p>
    <w:p>
      <w:pPr>
        <w:spacing w:after="0" w:line="96" w:lineRule="exact"/>
        <w:rPr>
          <w:rFonts w:ascii="Arial" w:cs="Arial" w:eastAsia="Arial" w:hAnsi="Arial"/>
          <w:sz w:val="13"/>
          <w:szCs w:val="13"/>
          <w:color w:val="auto"/>
        </w:rPr>
      </w:pPr>
    </w:p>
    <w:p>
      <w:pPr>
        <w:ind w:left="1080" w:right="20" w:firstLine="389"/>
        <w:spacing w:after="0" w:line="276" w:lineRule="auto"/>
        <w:tabs>
          <w:tab w:leader="none" w:pos="1649"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59" w:lineRule="exact"/>
        <w:rPr>
          <w:rFonts w:ascii="Arial" w:cs="Arial" w:eastAsia="Arial" w:hAnsi="Arial"/>
          <w:sz w:val="13"/>
          <w:szCs w:val="13"/>
          <w:color w:val="auto"/>
        </w:rPr>
      </w:pPr>
    </w:p>
    <w:p>
      <w:pPr>
        <w:ind w:left="1660" w:hanging="191"/>
        <w:spacing w:after="0"/>
        <w:tabs>
          <w:tab w:leader="none" w:pos="1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reduce the principal amount of discount securities payable upon acceleration of maturity;</w:t>
      </w:r>
    </w:p>
    <w:p>
      <w:pPr>
        <w:spacing w:after="0" w:line="96" w:lineRule="exact"/>
        <w:rPr>
          <w:rFonts w:ascii="Arial" w:cs="Arial" w:eastAsia="Arial" w:hAnsi="Arial"/>
          <w:sz w:val="13"/>
          <w:szCs w:val="13"/>
          <w:color w:val="auto"/>
        </w:rPr>
      </w:pPr>
    </w:p>
    <w:p>
      <w:pPr>
        <w:ind w:left="1080" w:right="180" w:firstLine="389"/>
        <w:spacing w:after="0" w:line="276" w:lineRule="auto"/>
        <w:tabs>
          <w:tab w:leader="none" w:pos="1649" w:val="left"/>
        </w:tabs>
        <w:numPr>
          <w:ilvl w:val="0"/>
          <w:numId w:val="11"/>
        </w:numPr>
        <w:rPr>
          <w:rFonts w:ascii="Arial" w:cs="Arial" w:eastAsia="Arial" w:hAnsi="Arial"/>
          <w:sz w:val="13"/>
          <w:szCs w:val="13"/>
          <w:color w:val="auto"/>
        </w:rPr>
      </w:pPr>
      <w:r>
        <w:rPr>
          <w:rFonts w:ascii="Arial" w:cs="Arial" w:eastAsia="Arial" w:hAnsi="Arial"/>
          <w:sz w:val="13"/>
          <w:szCs w:val="13"/>
          <w:color w:val="auto"/>
        </w:rPr>
        <w:t>waive a default in the payment of the principal of, premium or interest on any debt security (except a rescission of acceleration of the debt securities of any series by the holders of at least a majority</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aggregate principal amount of the then outstanding debt securities of that series and a waiver of the payment default that resulted from such acceleration);</w:t>
      </w:r>
    </w:p>
    <w:p>
      <w:pPr>
        <w:spacing w:after="0" w:line="96" w:lineRule="exact"/>
        <w:rPr>
          <w:sz w:val="20"/>
          <w:szCs w:val="20"/>
          <w:color w:val="auto"/>
        </w:rPr>
      </w:pPr>
    </w:p>
    <w:p>
      <w:pPr>
        <w:ind w:left="1660" w:hanging="191"/>
        <w:spacing w:after="0"/>
        <w:tabs>
          <w:tab w:leader="none" w:pos="1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make the principal of or premium or interest on any debt security payable in currency other than that stated in the debt security; or</w:t>
      </w:r>
    </w:p>
    <w:p>
      <w:pPr>
        <w:spacing w:after="0" w:line="96" w:lineRule="exact"/>
        <w:rPr>
          <w:rFonts w:ascii="Arial" w:cs="Arial" w:eastAsia="Arial" w:hAnsi="Arial"/>
          <w:sz w:val="13"/>
          <w:szCs w:val="13"/>
          <w:color w:val="auto"/>
        </w:rPr>
      </w:pPr>
    </w:p>
    <w:p>
      <w:pPr>
        <w:ind w:left="1080" w:right="460" w:firstLine="389"/>
        <w:spacing w:after="0" w:line="276" w:lineRule="auto"/>
        <w:tabs>
          <w:tab w:leader="none" w:pos="1649" w:val="left"/>
        </w:tabs>
        <w:numPr>
          <w:ilvl w:val="0"/>
          <w:numId w:val="12"/>
        </w:numPr>
        <w:rPr>
          <w:rFonts w:ascii="Arial" w:cs="Arial" w:eastAsia="Arial" w:hAnsi="Arial"/>
          <w:sz w:val="13"/>
          <w:szCs w:val="13"/>
          <w:color w:val="auto"/>
        </w:rPr>
      </w:pPr>
      <w:r>
        <w:rPr>
          <w:rFonts w:ascii="Arial" w:cs="Arial" w:eastAsia="Arial" w:hAnsi="Arial"/>
          <w:sz w:val="13"/>
          <w:szCs w:val="13"/>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Defeasance of Debt Securities and Certain Covenants in Certain Circumstances</w:t>
      </w:r>
    </w:p>
    <w:p>
      <w:pPr>
        <w:spacing w:after="0" w:line="10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i w:val="1"/>
          <w:iCs w:val="1"/>
          <w:color w:val="auto"/>
        </w:rPr>
        <w:t xml:space="preserve">Legal Defeasance. </w:t>
      </w:r>
      <w:r>
        <w:rPr>
          <w:rFonts w:ascii="Arial" w:cs="Arial" w:eastAsia="Arial" w:hAnsi="Arial"/>
          <w:sz w:val="12"/>
          <w:szCs w:val="12"/>
          <w:color w:val="auto"/>
        </w:rPr>
        <w:t>The indenture provides that, unless otherwise provided by the terms of the applicable series of debt securities, we may be discharged from any and all obligations</w:t>
      </w:r>
      <w:r>
        <w:rPr>
          <w:rFonts w:ascii="Arial" w:cs="Arial" w:eastAsia="Arial" w:hAnsi="Arial"/>
          <w:sz w:val="12"/>
          <w:szCs w:val="12"/>
          <w:i w:val="1"/>
          <w:iCs w:val="1"/>
          <w:color w:val="auto"/>
        </w:rPr>
        <w:t xml:space="preserve"> </w:t>
      </w:r>
      <w:r>
        <w:rPr>
          <w:rFonts w:ascii="Arial" w:cs="Arial" w:eastAsia="Arial" w:hAnsi="Arial"/>
          <w:sz w:val="12"/>
          <w:szCs w:val="12"/>
          <w:color w:val="auto"/>
        </w:rPr>
        <w:t>in respect of the debt securities of any series (except for certain obligations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money and/or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and interest on and any mandatory sinking fund payments in respect of the debt securities of that series on the stated maturity of those payments in accordance with the terms of the indenture and those debt securities.</w:t>
      </w:r>
    </w:p>
    <w:p>
      <w:pPr>
        <w:spacing w:after="0" w:line="5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71"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i w:val="1"/>
          <w:iCs w:val="1"/>
          <w:color w:val="auto"/>
        </w:rPr>
        <w:t xml:space="preserve">Defeasance of Certain Covenants. </w:t>
      </w:r>
      <w:r>
        <w:rPr>
          <w:rFonts w:ascii="Arial" w:cs="Arial" w:eastAsia="Arial" w:hAnsi="Arial"/>
          <w:sz w:val="13"/>
          <w:szCs w:val="13"/>
          <w:color w:val="auto"/>
        </w:rPr>
        <w:t>The indenture provides that, unless otherwise provided by the terms of the applicable series of debt securities, upon compliance with certain</w:t>
      </w:r>
      <w:r>
        <w:rPr>
          <w:rFonts w:ascii="Arial" w:cs="Arial" w:eastAsia="Arial" w:hAnsi="Arial"/>
          <w:sz w:val="13"/>
          <w:szCs w:val="13"/>
          <w:i w:val="1"/>
          <w:iCs w:val="1"/>
          <w:color w:val="auto"/>
        </w:rPr>
        <w:t xml:space="preserve"> </w:t>
      </w:r>
      <w:r>
        <w:rPr>
          <w:rFonts w:ascii="Arial" w:cs="Arial" w:eastAsia="Arial" w:hAnsi="Arial"/>
          <w:sz w:val="13"/>
          <w:szCs w:val="13"/>
          <w:color w:val="auto"/>
        </w:rPr>
        <w:t>conditions:</w:t>
      </w:r>
    </w:p>
    <w:p>
      <w:pPr>
        <w:spacing w:after="0" w:line="59" w:lineRule="exact"/>
        <w:rPr>
          <w:sz w:val="20"/>
          <w:szCs w:val="20"/>
          <w:color w:val="auto"/>
        </w:rPr>
      </w:pPr>
    </w:p>
    <w:p>
      <w:pPr>
        <w:ind w:left="1080" w:firstLine="389"/>
        <w:spacing w:after="0" w:line="276" w:lineRule="auto"/>
        <w:tabs>
          <w:tab w:leader="none" w:pos="1649" w:val="left"/>
        </w:tabs>
        <w:numPr>
          <w:ilvl w:val="0"/>
          <w:numId w:val="13"/>
        </w:numPr>
        <w:rPr>
          <w:rFonts w:ascii="Arial" w:cs="Arial" w:eastAsia="Arial" w:hAnsi="Arial"/>
          <w:sz w:val="13"/>
          <w:szCs w:val="13"/>
          <w:color w:val="auto"/>
        </w:rPr>
      </w:pPr>
      <w:r>
        <w:rPr>
          <w:rFonts w:ascii="Arial" w:cs="Arial" w:eastAsia="Arial" w:hAnsi="Arial"/>
          <w:sz w:val="13"/>
          <w:szCs w:val="13"/>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59" w:lineRule="exact"/>
        <w:rPr>
          <w:rFonts w:ascii="Arial" w:cs="Arial" w:eastAsia="Arial" w:hAnsi="Arial"/>
          <w:sz w:val="13"/>
          <w:szCs w:val="13"/>
          <w:color w:val="auto"/>
        </w:rPr>
      </w:pPr>
    </w:p>
    <w:p>
      <w:pPr>
        <w:ind w:left="1080" w:right="160" w:firstLine="389"/>
        <w:spacing w:after="0" w:line="394" w:lineRule="auto"/>
        <w:tabs>
          <w:tab w:leader="none" w:pos="1649"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any omission to comply with those covenants will not constitute a default or an event of default with respect to the debt securities of that series (“covenant defeasance”). The conditions include:</w:t>
      </w:r>
    </w:p>
    <w:p>
      <w:pPr>
        <w:spacing w:after="0" w:line="1" w:lineRule="exact"/>
        <w:rPr>
          <w:sz w:val="20"/>
          <w:szCs w:val="20"/>
          <w:color w:val="auto"/>
        </w:rPr>
      </w:pPr>
    </w:p>
    <w:p>
      <w:pPr>
        <w:ind w:left="1080" w:right="140" w:firstLine="389"/>
        <w:spacing w:after="0" w:line="276" w:lineRule="auto"/>
        <w:tabs>
          <w:tab w:leader="none" w:pos="1649"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depositing with the trustee money and/or U.S. Government Obligations or, in the case of debt securities denominated in a single currency other than U.S. Dollars, money and/or Foreign Government</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line="296" w:lineRule="auto"/>
        <w:rPr>
          <w:sz w:val="20"/>
          <w:szCs w:val="20"/>
          <w:color w:val="auto"/>
        </w:rPr>
      </w:pPr>
      <w:r>
        <w:rPr>
          <w:rFonts w:ascii="Arial" w:cs="Arial" w:eastAsia="Arial" w:hAnsi="Arial"/>
          <w:sz w:val="12"/>
          <w:szCs w:val="12"/>
          <w:color w:val="auto"/>
        </w:rPr>
        <w:t>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50" w:lineRule="exact"/>
        <w:rPr>
          <w:sz w:val="20"/>
          <w:szCs w:val="20"/>
          <w:color w:val="auto"/>
        </w:rPr>
      </w:pPr>
    </w:p>
    <w:p>
      <w:pPr>
        <w:ind w:left="1080" w:right="200" w:firstLine="389"/>
        <w:spacing w:after="0" w:line="264" w:lineRule="auto"/>
        <w:tabs>
          <w:tab w:leader="none" w:pos="1649" w:val="left"/>
        </w:tabs>
        <w:numPr>
          <w:ilvl w:val="0"/>
          <w:numId w:val="15"/>
        </w:numPr>
        <w:rPr>
          <w:rFonts w:ascii="Arial" w:cs="Arial" w:eastAsia="Arial" w:hAnsi="Arial"/>
          <w:sz w:val="13"/>
          <w:szCs w:val="13"/>
          <w:color w:val="auto"/>
        </w:rPr>
      </w:pPr>
      <w:r>
        <w:rPr>
          <w:rFonts w:ascii="Arial" w:cs="Arial" w:eastAsia="Arial" w:hAnsi="Arial"/>
          <w:sz w:val="13"/>
          <w:szCs w:val="13"/>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6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Covenant Defeasance and Events of Default. </w:t>
      </w:r>
      <w:r>
        <w:rPr>
          <w:rFonts w:ascii="Arial" w:cs="Arial" w:eastAsia="Arial" w:hAnsi="Arial"/>
          <w:sz w:val="12"/>
          <w:szCs w:val="12"/>
          <w:color w:val="auto"/>
        </w:rPr>
        <w:t>In the event we exercise our option to effect covenant defeasance with respect to any series of debt securities and the debt securities of</w:t>
      </w:r>
      <w:r>
        <w:rPr>
          <w:rFonts w:ascii="Arial" w:cs="Arial" w:eastAsia="Arial" w:hAnsi="Arial"/>
          <w:sz w:val="12"/>
          <w:szCs w:val="12"/>
          <w:i w:val="1"/>
          <w:iCs w:val="1"/>
          <w:color w:val="auto"/>
        </w:rPr>
        <w:t xml:space="preserve"> </w:t>
      </w:r>
      <w:r>
        <w:rPr>
          <w:rFonts w:ascii="Arial" w:cs="Arial" w:eastAsia="Arial" w:hAnsi="Arial"/>
          <w:sz w:val="12"/>
          <w:szCs w:val="12"/>
          <w:color w:val="auto"/>
        </w:rPr>
        <w:t>that series are declared due and payable because of the occurrence of any Event of Default, the amount of money and/or U.S. Government Obligations or Foreign Government Obligations on deposit with the trustee should be sufficient to pay amounts due on the debt securities of that series at the time of their stated maturity but may not be sufficient to pay amounts due on the debt securities of that series at the time of the acceleration resulting from the Event of Default. However, we shall remain liable for those payments.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“Foreign Government Obligations” </w:t>
      </w:r>
      <w:r>
        <w:rPr>
          <w:rFonts w:ascii="Arial" w:cs="Arial" w:eastAsia="Arial" w:hAnsi="Arial"/>
          <w:sz w:val="13"/>
          <w:szCs w:val="13"/>
          <w:color w:val="auto"/>
        </w:rPr>
        <w:t>means, with respect to debt securities of any series that are denominated in a currency other than U.S. Dollars:</w:t>
      </w:r>
    </w:p>
    <w:p>
      <w:pPr>
        <w:spacing w:after="0" w:line="96" w:lineRule="exact"/>
        <w:rPr>
          <w:sz w:val="20"/>
          <w:szCs w:val="20"/>
          <w:color w:val="auto"/>
        </w:rPr>
      </w:pPr>
    </w:p>
    <w:p>
      <w:pPr>
        <w:ind w:left="1080" w:right="80" w:firstLine="389"/>
        <w:spacing w:after="0" w:line="276" w:lineRule="auto"/>
        <w:tabs>
          <w:tab w:leader="none" w:pos="1649" w:val="left"/>
        </w:tabs>
        <w:numPr>
          <w:ilvl w:val="0"/>
          <w:numId w:val="16"/>
        </w:numPr>
        <w:rPr>
          <w:rFonts w:ascii="Arial" w:cs="Arial" w:eastAsia="Arial" w:hAnsi="Arial"/>
          <w:sz w:val="13"/>
          <w:szCs w:val="13"/>
          <w:color w:val="auto"/>
        </w:rPr>
      </w:pPr>
      <w:r>
        <w:rPr>
          <w:rFonts w:ascii="Arial" w:cs="Arial" w:eastAsia="Arial" w:hAnsi="Arial"/>
          <w:sz w:val="13"/>
          <w:szCs w:val="13"/>
          <w:color w:val="auto"/>
        </w:rPr>
        <w:t>direct obligations of the government that issued or caused to be issued such currency for the payment of which obligations its full faith and credit is pledged which are not callable or redeemable at the option of the issuer thereof; or</w:t>
      </w:r>
    </w:p>
    <w:p>
      <w:pPr>
        <w:spacing w:after="0" w:line="59" w:lineRule="exact"/>
        <w:rPr>
          <w:rFonts w:ascii="Arial" w:cs="Arial" w:eastAsia="Arial" w:hAnsi="Arial"/>
          <w:sz w:val="13"/>
          <w:szCs w:val="13"/>
          <w:color w:val="auto"/>
        </w:rPr>
      </w:pPr>
    </w:p>
    <w:p>
      <w:pPr>
        <w:ind w:left="1080" w:right="40" w:firstLine="389"/>
        <w:spacing w:after="0" w:line="276" w:lineRule="auto"/>
        <w:tabs>
          <w:tab w:leader="none" w:pos="1649" w:val="left"/>
        </w:tabs>
        <w:numPr>
          <w:ilvl w:val="0"/>
          <w:numId w:val="16"/>
        </w:numPr>
        <w:rPr>
          <w:rFonts w:ascii="Arial" w:cs="Arial" w:eastAsia="Arial" w:hAnsi="Arial"/>
          <w:sz w:val="13"/>
          <w:szCs w:val="13"/>
          <w:color w:val="auto"/>
        </w:rPr>
      </w:pPr>
      <w:r>
        <w:rPr>
          <w:rFonts w:ascii="Arial" w:cs="Arial" w:eastAsia="Arial" w:hAnsi="Arial"/>
          <w:sz w:val="13"/>
          <w:szCs w:val="13"/>
          <w:color w:val="auto"/>
        </w:rPr>
        <w:t>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i w:val="1"/>
          <w:iCs w:val="1"/>
          <w:color w:val="auto"/>
        </w:rPr>
        <w:t xml:space="preserve">“U.S. Government Obligations” </w:t>
      </w:r>
      <w:r>
        <w:rPr>
          <w:rFonts w:ascii="Arial" w:cs="Arial" w:eastAsia="Arial" w:hAnsi="Arial"/>
          <w:sz w:val="13"/>
          <w:szCs w:val="13"/>
          <w:color w:val="auto"/>
        </w:rPr>
        <w:t>means securities that are: (1) direct obligations of the United States for the payment of which its full faith and credit is pledged, or (2) obligations of</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 person controlled or supervised by and acting as an agency or instrumentality of the United States the payment of which is unconditionally guaranteed as a full faith and credit obligation by the United States; that, in either case under clauses (1) or (2)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14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Satisfaction and Discharge Prior to Maturity</w:t>
      </w:r>
    </w:p>
    <w:p>
      <w:pPr>
        <w:spacing w:after="0" w:line="10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The Company has the right at any time to satisfy and discharge its obligations, other than certain specified obligations, under all debt securities under the indenture by depositing in trust with the trustee money and/or U.S. Government Obligations. The Company’s exercise of this right is subject to certain conditions including that either (1) all securities under the indenture (subject to certain exceptions) have been delivered to the trustee for cancellation or (2) all securities under the indenture not previously delivered to the trustee for cancellation have become due and payable or will become due and payable at their stated maturity within one year or have been called for redemption or are to be called for redemption within one year or have been paid and discharged under the Company’s right of legal defeasance described above.</w:t>
      </w:r>
    </w:p>
    <w:p>
      <w:pPr>
        <w:spacing w:after="0" w:line="71" w:lineRule="exact"/>
        <w:rPr>
          <w:sz w:val="20"/>
          <w:szCs w:val="20"/>
          <w:color w:val="auto"/>
        </w:rPr>
      </w:pPr>
    </w:p>
    <w:p>
      <w:pPr>
        <w:ind w:left="680" w:right="320" w:firstLine="399"/>
        <w:spacing w:after="0" w:line="276" w:lineRule="auto"/>
        <w:rPr>
          <w:sz w:val="20"/>
          <w:szCs w:val="20"/>
          <w:color w:val="auto"/>
        </w:rPr>
      </w:pPr>
      <w:r>
        <w:rPr>
          <w:rFonts w:ascii="Arial" w:cs="Arial" w:eastAsia="Arial" w:hAnsi="Arial"/>
          <w:sz w:val="13"/>
          <w:szCs w:val="13"/>
          <w:color w:val="auto"/>
        </w:rPr>
        <w:t>If such deposit is sufficient, in the opinion of a nationally recognized firm of independent public accountants (unless the funds consist solely of money), to make all payments of (1) interest on the debt</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380"/>
        <w:spacing w:after="0" w:line="276" w:lineRule="auto"/>
        <w:rPr>
          <w:sz w:val="20"/>
          <w:szCs w:val="20"/>
          <w:color w:val="auto"/>
        </w:rPr>
      </w:pPr>
      <w:r>
        <w:rPr>
          <w:rFonts w:ascii="Arial" w:cs="Arial" w:eastAsia="Arial" w:hAnsi="Arial"/>
          <w:sz w:val="13"/>
          <w:szCs w:val="13"/>
          <w:color w:val="auto"/>
        </w:rPr>
        <w:t>securities prior to their redemption or maturity and (2) principal of (and premium, if any) and interest on such series of debt securities when due upon redemption or at maturity, all the obligations of the Company under the indenture will be discharged and terminated except as otherwise provided in the indenture.</w:t>
      </w:r>
    </w:p>
    <w:p>
      <w:pPr>
        <w:spacing w:after="0" w:line="59"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For U.S. income tax purposes, it is likely that any such deposit and discharge with respect to any debt securities will be treated as a taxable exchange of such debt securities for interests in the trust. In that event, a holder will recognize gain or loss equal to the difference between the holder’s cost or other tax basis for the debt securities and the value of the holder’s interest in such trust; and thereafter will be required to include in income a share of the income, gain and loss of the trust. Purchasers of the debt securities should consult their own advisers with respect to the tax consequences to them of such deposit and discharge, including the applicability and effect of tax laws other than the U.S. income tax law.</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Governing Law</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indenture and the debt securities will be governed by, and construed in accordance with, the internal laws of the State of New York.</w:t>
      </w:r>
    </w:p>
    <w:p>
      <w:pPr>
        <w:spacing w:after="0" w:line="250"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FORMS OF SECURITIES</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Each security will be represented either by a certificate issued in definitive form to a particular investor or by one or more global securities representing the entire issuance of securities. Certificated securities will be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securities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Global Securities</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i w:val="1"/>
          <w:iCs w:val="1"/>
          <w:color w:val="auto"/>
        </w:rPr>
        <w:t xml:space="preserve">Registered Global Securities. </w:t>
      </w:r>
      <w:r>
        <w:rPr>
          <w:rFonts w:ascii="Arial" w:cs="Arial" w:eastAsia="Arial" w:hAnsi="Arial"/>
          <w:sz w:val="12"/>
          <w:szCs w:val="12"/>
          <w:color w:val="auto"/>
        </w:rPr>
        <w:t>We may issue the registered securities in the form of one or more fully registered global securities that will be deposited with a depositary or its</w:t>
      </w:r>
      <w:r>
        <w:rPr>
          <w:rFonts w:ascii="Arial" w:cs="Arial" w:eastAsia="Arial" w:hAnsi="Arial"/>
          <w:sz w:val="12"/>
          <w:szCs w:val="12"/>
          <w:i w:val="1"/>
          <w:iCs w:val="1"/>
          <w:color w:val="auto"/>
        </w:rPr>
        <w:t xml:space="preserve"> </w:t>
      </w:r>
      <w:r>
        <w:rPr>
          <w:rFonts w:ascii="Arial" w:cs="Arial" w:eastAsia="Arial" w:hAnsi="Arial"/>
          <w:sz w:val="12"/>
          <w:szCs w:val="12"/>
          <w:color w:val="auto"/>
        </w:rPr>
        <w:t>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55"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59" w:lineRule="exact"/>
        <w:rPr>
          <w:sz w:val="20"/>
          <w:szCs w:val="20"/>
          <w:color w:val="auto"/>
        </w:rPr>
      </w:pPr>
    </w:p>
    <w:p>
      <w:pPr>
        <w:ind w:left="680" w:firstLine="399"/>
        <w:spacing w:after="0" w:line="256" w:lineRule="auto"/>
        <w:rPr>
          <w:sz w:val="20"/>
          <w:szCs w:val="20"/>
          <w:color w:val="auto"/>
        </w:rPr>
      </w:pPr>
      <w:r>
        <w:rPr>
          <w:rFonts w:ascii="Arial" w:cs="Arial" w:eastAsia="Arial" w:hAnsi="Arial"/>
          <w:sz w:val="13"/>
          <w:szCs w:val="13"/>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6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Principal or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the Company, the trustee, or any other agent of the Company or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70"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color w:val="auto"/>
        </w:rPr>
        <w:t>We expect that the depositary for any of the securities represented by a registered global security, upon receipt of any payment of principal, premium, interest or other distribution of underlying securities or other property to holders of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55"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determine not to have securities represented by registered global securities and, in that event, will issue securities in definitive form for the registered global securities of that series. Any securities issued in definitive form in exchange for a registered global security will be registered in the name or names that the depositary gives to the trustee. It is expected that the depositary’s instructions will be based on directions received by the depositary from participants with respect to ownership of beneficial interests in the registered global security that had been held by the depositary.</w:t>
      </w:r>
    </w:p>
    <w:p>
      <w:pPr>
        <w:spacing w:after="0" w:line="199"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PLAN OF DISTRIBUTION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may sell debt securities:</w:t>
      </w:r>
    </w:p>
    <w:p>
      <w:pPr>
        <w:spacing w:after="0" w:line="96" w:lineRule="exact"/>
        <w:rPr>
          <w:sz w:val="20"/>
          <w:szCs w:val="20"/>
          <w:color w:val="auto"/>
        </w:rPr>
      </w:pPr>
    </w:p>
    <w:p>
      <w:pPr>
        <w:ind w:left="1660" w:hanging="191"/>
        <w:spacing w:after="0"/>
        <w:tabs>
          <w:tab w:leader="none" w:pos="1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through underwriters;</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through dealers;</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through agents; or</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directly to purchasers.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We may directly solicit offers to purchase debt securities, or agents may be designated to solicit such offers. We will, in the prospectus supplement relating to such offering, name any agent that could be viewed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as an underwriter under the Securities Act and describe any commissions that we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distribution of the debt securities may be effected from time to time in one or more transactions:</w:t>
      </w:r>
    </w:p>
    <w:p>
      <w:pPr>
        <w:spacing w:after="0" w:line="96" w:lineRule="exact"/>
        <w:rPr>
          <w:sz w:val="20"/>
          <w:szCs w:val="20"/>
          <w:color w:val="auto"/>
        </w:rPr>
      </w:pPr>
    </w:p>
    <w:p>
      <w:pPr>
        <w:ind w:left="1660" w:hanging="191"/>
        <w:spacing w:after="0"/>
        <w:tabs>
          <w:tab w:leader="none" w:pos="1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at a fixed price, or prices, which may be changed from time to time;</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at market prices prevailing at the time of sale;</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at prices related to such prevailing market prices; or</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at negotiated prices.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Each prospectus supplement will describe the method of distribution of the debt securities and any applicable restrictions.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prospectus supplement with respect to the debt securities of a particular series will describe the terms of the offering of the debt securities, including the following:</w:t>
      </w:r>
    </w:p>
    <w:p>
      <w:pPr>
        <w:spacing w:after="0" w:line="96" w:lineRule="exact"/>
        <w:rPr>
          <w:sz w:val="20"/>
          <w:szCs w:val="20"/>
          <w:color w:val="auto"/>
        </w:rPr>
      </w:pPr>
    </w:p>
    <w:p>
      <w:pPr>
        <w:ind w:left="1660" w:hanging="191"/>
        <w:spacing w:after="0"/>
        <w:tabs>
          <w:tab w:leader="none" w:pos="1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name of the agent or any underwriters;</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public offering or purchase price;</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any discounts and commissions to be allowed or paid to the agent or underwriters;</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all other items constituting underwriting compensation;</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any discounts and commissions to be allowed or paid to dealers; and</w:t>
      </w:r>
    </w:p>
    <w:p>
      <w:pPr>
        <w:spacing w:after="0" w:line="96" w:lineRule="exact"/>
        <w:rPr>
          <w:rFonts w:ascii="Arial" w:cs="Arial" w:eastAsia="Arial" w:hAnsi="Arial"/>
          <w:sz w:val="13"/>
          <w:szCs w:val="13"/>
          <w:color w:val="auto"/>
        </w:rPr>
      </w:pPr>
    </w:p>
    <w:p>
      <w:pPr>
        <w:ind w:left="1660" w:hanging="191"/>
        <w:spacing w:after="0"/>
        <w:tabs>
          <w:tab w:leader="none" w:pos="16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any exchanges on which the debt securities will be listed.</w:t>
      </w:r>
    </w:p>
    <w:p>
      <w:pPr>
        <w:spacing w:after="0" w:line="96" w:lineRule="exact"/>
        <w:rPr>
          <w:sz w:val="20"/>
          <w:szCs w:val="20"/>
          <w:color w:val="auto"/>
        </w:rPr>
      </w:pPr>
    </w:p>
    <w:p>
      <w:pPr>
        <w:ind w:left="680" w:right="120" w:firstLine="399"/>
        <w:spacing w:after="0" w:line="264" w:lineRule="auto"/>
        <w:rPr>
          <w:sz w:val="20"/>
          <w:szCs w:val="20"/>
          <w:color w:val="auto"/>
        </w:rPr>
      </w:pPr>
      <w:r>
        <w:rPr>
          <w:rFonts w:ascii="Arial" w:cs="Arial" w:eastAsia="Arial" w:hAnsi="Arial"/>
          <w:sz w:val="13"/>
          <w:szCs w:val="13"/>
          <w:color w:val="auto"/>
        </w:rPr>
        <w:t>If any underwriters or agents are utilized in the sale of the debt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certain of the terms of the related agreement with them.</w:t>
      </w:r>
    </w:p>
    <w:p>
      <w:pPr>
        <w:spacing w:after="0" w:line="67"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If a dealer is utilized in the sale of the debt securities in respect of which the prospectus is delivered, we will sell such debt securities to the dealer, as principal. The dealer may then resell such securities to the public at varying prices to be determined by such dealer at the time of resale.</w:t>
      </w:r>
    </w:p>
    <w:p>
      <w:pPr>
        <w:spacing w:after="0" w:line="59"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Remarketing firms, agents, underwriters and dealers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35"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If so indicated in the applicable prospectus supplement, we will authorize underwriters or other persons acting as our agents to solicit offers by certain institutions to purchase debt securities from us pursuant to delayed delivery contracts providing for payment and delivery on the date stated in the prospectus supplement. Each contract will be for an amount not less than, and the aggregate amount of debt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55" w:lineRule="exact"/>
        <w:rPr>
          <w:sz w:val="20"/>
          <w:szCs w:val="20"/>
          <w:color w:val="auto"/>
        </w:rPr>
      </w:pPr>
    </w:p>
    <w:p>
      <w:pPr>
        <w:ind w:left="1080" w:firstLine="389"/>
        <w:spacing w:after="0" w:line="276" w:lineRule="auto"/>
        <w:tabs>
          <w:tab w:leader="none" w:pos="1649"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purchase by an institution of the debt securities covered under that contract shall not at the time of delivery be prohibited under the laws of the jurisdiction to which that institution is subject; and</w:t>
      </w:r>
    </w:p>
    <w:p>
      <w:pPr>
        <w:spacing w:after="0" w:line="59" w:lineRule="exact"/>
        <w:rPr>
          <w:rFonts w:ascii="Arial" w:cs="Arial" w:eastAsia="Arial" w:hAnsi="Arial"/>
          <w:sz w:val="13"/>
          <w:szCs w:val="13"/>
          <w:color w:val="auto"/>
        </w:rPr>
      </w:pPr>
    </w:p>
    <w:p>
      <w:pPr>
        <w:ind w:left="1080" w:right="160" w:firstLine="389"/>
        <w:spacing w:after="0" w:line="276" w:lineRule="auto"/>
        <w:tabs>
          <w:tab w:leader="none" w:pos="1649" w:val="left"/>
        </w:tabs>
        <w:numPr>
          <w:ilvl w:val="0"/>
          <w:numId w:val="20"/>
        </w:numPr>
        <w:rPr>
          <w:rFonts w:ascii="Arial" w:cs="Arial" w:eastAsia="Arial" w:hAnsi="Arial"/>
          <w:sz w:val="13"/>
          <w:szCs w:val="13"/>
          <w:color w:val="auto"/>
        </w:rPr>
      </w:pPr>
      <w:r>
        <w:rPr>
          <w:rFonts w:ascii="Arial" w:cs="Arial" w:eastAsia="Arial" w:hAnsi="Arial"/>
          <w:sz w:val="13"/>
          <w:szCs w:val="13"/>
          <w:color w:val="auto"/>
        </w:rPr>
        <w:t>if the debt securities are also being sold to underwriters acting as principals for their own account, the underwriters shall have purchased such debt securities not sold for delayed delivery. The</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underwriters and other persons acting as our agents will not have any responsibility in respect of the validity or performance of delayed delivery contracts.</w:t>
      </w:r>
    </w:p>
    <w:p>
      <w:pPr>
        <w:spacing w:after="0" w:line="96"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Certain of the underwriters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 order to facilitate the offering of the debt securities, any underwriters may engage in transactions that stabilize, maintain or otherwise affect the price of the debt securities or any other securities the prices of which may be used to determine payments on such debt securities. Specifically, any underwriters may overallot in connection with the offering, creating a short position for their own accounts. In addition, to cover overallotments or to stabilize the price of the debt securities or of any such other securities, the underwriters may bid for, and purchase, the debt securities or any such other securities in the open market. Finally, in any offering of the debt securities through a syndicate of underwriters, the underwriting syndicate may reclaim selling concessions allowed to an underwriter or a dealer for distributing the debt securities in the offering if the syndicate repurchases previously distributed debt securities in transactions to cover syndicate short positions, in stabilization transactions or otherwise. Any of these activities may stabilize or maintain the market price of the debt securities above independent market levels. Any such underwriters are not required to engage in these activities and may end any of these activities at any time.</w:t>
      </w:r>
    </w:p>
    <w:p>
      <w:pPr>
        <w:spacing w:after="0" w:line="58"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The debt securities may be new issues of securities and may have no established trading market. The debt securities may or may not be listed on a national securities exchange. We can make no assurance as to the liquidity of or the existence of trading markets for any of the debt securities.</w:t>
      </w:r>
    </w:p>
    <w:p>
      <w:pPr>
        <w:spacing w:after="0" w:line="212"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Unless a prospectus supplement indicates otherwise, the validity of the debt securities in respect of which this prospectus is being delivered will be passed upon by Wilmer Cutler Pickering Hale and Dorr LLP.</w:t>
      </w:r>
    </w:p>
    <w:p>
      <w:pPr>
        <w:spacing w:after="0" w:line="212"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EXPERTS</w:t>
      </w:r>
    </w:p>
    <w:p>
      <w:pPr>
        <w:spacing w:after="0" w:line="100"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The consolidated financial statements and schedule of Analog Devices, Inc. appearing in Analog Devices, Inc.’s Annual Report (Form 10-K) for the year ended November 1, 2008, and the effectiveness of Analog Devices, Inc.’s internal control over financial reporting as of November 1, 2008 have been audited by Ernst &amp; Young LLP, independent registered public accounting firm, as set forth in their reports thereon and incorporated herein by reference. Such consolidated financial statements and schedule are incorporated herein by reference in reliance upon such reports given on the authority of such firm as experts in accounting and auditing.</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PART II.</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INFORMATION NOT REQUIRED IN PROSPECTUS</w:t>
      </w:r>
    </w:p>
    <w:p>
      <w:pPr>
        <w:spacing w:after="0" w:line="175"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Other Expenses of Issuance and Distribution.</w:t>
      </w:r>
    </w:p>
    <w:p>
      <w:pPr>
        <w:spacing w:after="0" w:line="100" w:lineRule="exact"/>
        <w:rPr>
          <w:sz w:val="20"/>
          <w:szCs w:val="20"/>
          <w:color w:val="auto"/>
        </w:rPr>
      </w:pPr>
    </w:p>
    <w:p>
      <w:pPr>
        <w:ind w:left="680" w:right="380" w:firstLine="399"/>
        <w:spacing w:after="0" w:line="276" w:lineRule="auto"/>
        <w:rPr>
          <w:sz w:val="20"/>
          <w:szCs w:val="20"/>
          <w:color w:val="auto"/>
        </w:rPr>
      </w:pPr>
      <w:r>
        <w:rPr>
          <w:rFonts w:ascii="Arial" w:cs="Arial" w:eastAsia="Arial" w:hAnsi="Arial"/>
          <w:sz w:val="13"/>
          <w:szCs w:val="13"/>
          <w:color w:val="auto"/>
        </w:rPr>
        <w:t>The following table sets forth the registrant’s best estimate as to anticipated expenses and costs (other than underwriting discounts and commissions) expected to be incurred in connection with a distribution of debt securities registered hereby:</w:t>
      </w:r>
    </w:p>
    <w:p>
      <w:pPr>
        <w:spacing w:after="0" w:line="7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SEC registration fee</w:t>
            </w:r>
          </w:p>
        </w:tc>
        <w:tc>
          <w:tcPr>
            <w:tcW w:w="394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r>
      <w:tr>
        <w:trPr>
          <w:trHeight w:val="157"/>
        </w:trPr>
        <w:tc>
          <w:tcPr>
            <w:tcW w:w="5360" w:type="dxa"/>
            <w:vAlign w:val="bottom"/>
          </w:tcPr>
          <w:p>
            <w:pPr>
              <w:spacing w:after="0"/>
              <w:rPr>
                <w:sz w:val="20"/>
                <w:szCs w:val="20"/>
                <w:color w:val="auto"/>
              </w:rPr>
            </w:pPr>
            <w:r>
              <w:rPr>
                <w:rFonts w:ascii="Arial" w:cs="Arial" w:eastAsia="Arial" w:hAnsi="Arial"/>
                <w:sz w:val="13"/>
                <w:szCs w:val="13"/>
                <w:color w:val="auto"/>
              </w:rPr>
              <w:t>Legal fees and expenses</w:t>
            </w:r>
          </w:p>
        </w:tc>
        <w:tc>
          <w:tcPr>
            <w:tcW w:w="39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125,000(2)</w:t>
            </w:r>
          </w:p>
        </w:tc>
      </w:tr>
      <w:tr>
        <w:trPr>
          <w:trHeight w:val="157"/>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Printing fees and expenses</w:t>
            </w:r>
          </w:p>
        </w:tc>
        <w:tc>
          <w:tcPr>
            <w:tcW w:w="39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3,000(2)</w:t>
            </w:r>
          </w:p>
        </w:tc>
      </w:tr>
      <w:tr>
        <w:trPr>
          <w:trHeight w:val="157"/>
        </w:trPr>
        <w:tc>
          <w:tcPr>
            <w:tcW w:w="5360" w:type="dxa"/>
            <w:vAlign w:val="bottom"/>
          </w:tcPr>
          <w:p>
            <w:pPr>
              <w:spacing w:after="0"/>
              <w:rPr>
                <w:sz w:val="20"/>
                <w:szCs w:val="20"/>
                <w:color w:val="auto"/>
              </w:rPr>
            </w:pPr>
            <w:r>
              <w:rPr>
                <w:rFonts w:ascii="Arial" w:cs="Arial" w:eastAsia="Arial" w:hAnsi="Arial"/>
                <w:sz w:val="13"/>
                <w:szCs w:val="13"/>
                <w:color w:val="auto"/>
              </w:rPr>
              <w:t>Trustee fees and expenses</w:t>
            </w:r>
          </w:p>
        </w:tc>
        <w:tc>
          <w:tcPr>
            <w:tcW w:w="39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8,000(2)</w:t>
            </w:r>
          </w:p>
        </w:tc>
      </w:tr>
      <w:tr>
        <w:trPr>
          <w:trHeight w:val="157"/>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Accounting fees and expenses</w:t>
            </w:r>
          </w:p>
        </w:tc>
        <w:tc>
          <w:tcPr>
            <w:tcW w:w="39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100,000(2)</w:t>
            </w:r>
          </w:p>
        </w:tc>
      </w:tr>
      <w:tr>
        <w:trPr>
          <w:trHeight w:val="157"/>
        </w:trPr>
        <w:tc>
          <w:tcPr>
            <w:tcW w:w="5360" w:type="dxa"/>
            <w:vAlign w:val="bottom"/>
          </w:tcPr>
          <w:p>
            <w:pPr>
              <w:spacing w:after="0"/>
              <w:rPr>
                <w:sz w:val="20"/>
                <w:szCs w:val="20"/>
                <w:color w:val="auto"/>
              </w:rPr>
            </w:pPr>
            <w:r>
              <w:rPr>
                <w:rFonts w:ascii="Arial" w:cs="Arial" w:eastAsia="Arial" w:hAnsi="Arial"/>
                <w:sz w:val="13"/>
                <w:szCs w:val="13"/>
                <w:color w:val="auto"/>
              </w:rPr>
              <w:t>Rating agency fees</w:t>
            </w:r>
          </w:p>
        </w:tc>
        <w:tc>
          <w:tcPr>
            <w:tcW w:w="39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157"/>
        </w:trPr>
        <w:tc>
          <w:tcPr>
            <w:tcW w:w="5360" w:type="dxa"/>
            <w:vAlign w:val="bottom"/>
            <w:shd w:val="clear" w:color="auto" w:fill="CCEEFF"/>
          </w:tcPr>
          <w:p>
            <w:pPr>
              <w:spacing w:after="0"/>
              <w:rPr>
                <w:sz w:val="20"/>
                <w:szCs w:val="20"/>
                <w:color w:val="auto"/>
              </w:rPr>
            </w:pPr>
            <w:r>
              <w:rPr>
                <w:rFonts w:ascii="Arial" w:cs="Arial" w:eastAsia="Arial" w:hAnsi="Arial"/>
                <w:sz w:val="13"/>
                <w:szCs w:val="13"/>
                <w:color w:val="auto"/>
              </w:rPr>
              <w:t>Miscellaneous expenses</w:t>
            </w:r>
          </w:p>
        </w:tc>
        <w:tc>
          <w:tcPr>
            <w:tcW w:w="39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14,000(2)</w:t>
            </w:r>
          </w:p>
        </w:tc>
      </w:tr>
      <w:tr>
        <w:trPr>
          <w:trHeight w:val="165"/>
        </w:trPr>
        <w:tc>
          <w:tcPr>
            <w:tcW w:w="5360" w:type="dxa"/>
            <w:vAlign w:val="bottom"/>
          </w:tcPr>
          <w:p>
            <w:pPr>
              <w:spacing w:after="0"/>
              <w:rPr>
                <w:sz w:val="20"/>
                <w:szCs w:val="20"/>
                <w:color w:val="auto"/>
              </w:rPr>
            </w:pPr>
            <w:r>
              <w:rPr>
                <w:rFonts w:ascii="Arial" w:cs="Arial" w:eastAsia="Arial" w:hAnsi="Arial"/>
                <w:sz w:val="13"/>
                <w:szCs w:val="13"/>
                <w:color w:val="auto"/>
              </w:rPr>
              <w:t>Total</w:t>
            </w:r>
          </w:p>
        </w:tc>
        <w:tc>
          <w:tcPr>
            <w:tcW w:w="394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94"/>
              <w:spacing w:after="0"/>
              <w:rPr>
                <w:sz w:val="20"/>
                <w:szCs w:val="20"/>
                <w:color w:val="auto"/>
              </w:rPr>
            </w:pPr>
            <w:r>
              <w:rPr>
                <w:rFonts w:ascii="Arial" w:cs="Arial" w:eastAsia="Arial" w:hAnsi="Arial"/>
                <w:sz w:val="13"/>
                <w:szCs w:val="13"/>
                <w:color w:val="auto"/>
              </w:rPr>
              <w:t>250,000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57785</wp:posOffset>
            </wp:positionV>
            <wp:extent cx="823595"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1000" w:hanging="259"/>
        <w:spacing w:after="0"/>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To be deferred pursuant to Rule 456(b) and calculated in connection with the offering of debt securities under this registration statement pursuant to Rule 457(r).</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Estimated.</w:t>
      </w:r>
    </w:p>
    <w:p>
      <w:pPr>
        <w:spacing w:after="0" w:line="47" w:lineRule="exact"/>
        <w:rPr>
          <w:rFonts w:ascii="Arial" w:cs="Arial" w:eastAsia="Arial" w:hAnsi="Arial"/>
          <w:sz w:val="13"/>
          <w:szCs w:val="13"/>
          <w:color w:val="auto"/>
        </w:rPr>
      </w:pPr>
    </w:p>
    <w:p>
      <w:pPr>
        <w:ind w:left="1000" w:hanging="259"/>
        <w:spacing w:after="0"/>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Rating agency fees are calculated in part based on the amount of debt securities offered and, accordingly, cannot be estimated at this time.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Indemnification of Directors and Officers.</w:t>
      </w:r>
    </w:p>
    <w:p>
      <w:pPr>
        <w:spacing w:after="0" w:line="100" w:lineRule="exact"/>
        <w:rPr>
          <w:sz w:val="20"/>
          <w:szCs w:val="20"/>
          <w:color w:val="auto"/>
        </w:rPr>
      </w:pPr>
    </w:p>
    <w:p>
      <w:pPr>
        <w:ind w:left="680" w:right="20" w:firstLine="399"/>
        <w:spacing w:after="0" w:line="278" w:lineRule="auto"/>
        <w:rPr>
          <w:sz w:val="20"/>
          <w:szCs w:val="20"/>
          <w:color w:val="auto"/>
        </w:rPr>
      </w:pPr>
      <w:r>
        <w:rPr>
          <w:rFonts w:ascii="Arial" w:cs="Arial" w:eastAsia="Arial" w:hAnsi="Arial"/>
          <w:sz w:val="12"/>
          <w:szCs w:val="12"/>
          <w:color w:val="auto"/>
        </w:rPr>
        <w:t>Article 6A of the Company’s Restated Articles of Organization, as amended (the “Restated Articles”) provides that the Company shall indemnify each person who is, or was, a director or officer of the Company or who is or was a director or employee of the Company and is serving or has served as a director of another organization at the request of the Company or in any capacity with respect to an employee benefit plan of the Company,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the Company or as a result of his having served with respect to any such employee benefit plan. Article 6A further provides that the Company shall provide no indemnification with respect to any matter as to which any director or officer shall be finally adjudicated in such action, suit or proceeding not to have acted in good faith in the reasonable belief that his action was in the best interests of the Company or, if the matter relates to an employee benefit plan, the participants or beneficiaries of such employee benefit plan. The right to indemnification conferred by Article 6A includes the right to be paid by the Company for liabilities and expenses incurred in connection with settlement or compromise of any such action pursuant to a consent decree or otherwise, unless a determination is made by the board of directors that such settlement or compromise is not in the best interests of the Company or, if the matter relates to an employee benefit plan, the participants or beneficiaries of such employee benefit plan.</w:t>
      </w:r>
    </w:p>
    <w:p>
      <w:pPr>
        <w:spacing w:after="0" w:line="6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Article 6A of the Restated Articles includes the right to payment by the Company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Restated Articles. However, no advance may be made if the board of directors reasonably and promptly determines, by a majority vote of a quorum consisting of disinterested directors (or, if such quorum is not obtainable, by a majority of the disinterested directors of the Company or if two disinterested directors are not then in office, by independent legal counsel in a written</w:t>
      </w:r>
    </w:p>
    <w:p>
      <w:pPr>
        <w:spacing w:after="0" w:line="268"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opinion), based on facts known to the board of directors or such independent legal counsel at such time, that such person did not act in good faith in the reasonable belief that his action was in the best interest of the Company or the participants or beneficiaries of such employee benefit plan, as the case may be.</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Under Article 6A of the Restated Articles, if an individual is entitled under any provision of Article 6 of the Restated Articles to indemnification by the Company for some or a portion of the liabilities or expenses imposed upon or incurred by such individual in the investigation, defense, appeal or settlement of any action, suit or proceeding but not, however, for the total amount thereof, the Company shall nevertheless indemnify such individual for the portion of such liabilities or expenses to which such individual is entitled. The Company’s obligation to provide indemnification under the Restated Articles shall be offset to the extent of any other source of indemnification or any otherwise applicable insurance coverage under a policy maintained by the Company or any other person.</w:t>
      </w:r>
    </w:p>
    <w:p>
      <w:pPr>
        <w:spacing w:after="0" w:line="71"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Under Article 6D of the Restated Articles, to the fullest extent permitted by the Massachusetts Business Corporation Act, as may be amended from time to time, no director shall be personally liable to the Company or its stockholders for monetary damages for breach of his fiduciary duty as a director, notwithstanding any provision of law imposing such liability.</w:t>
      </w:r>
    </w:p>
    <w:p>
      <w:pPr>
        <w:spacing w:after="0" w:line="35"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Company has also entered into indemnification agreements with its directors and executive officers, each of which creates a direct contractual obligation of the Company to indemnify the individual under certain circumstances. Each agreement generally provides that the Company will indemnify the director or officer to the fullest extent permitted under Massachusetts law for claims arising in such individual’s capacity as a director or officer of the Company or in connection with his or her service at the request of the Company for another entity. Each agreement, among other things, establishes certain remedies for claims and contains deadlines and procedures to be followed in connection with a request for indemnification and/or advancement of expenses, including in the event of a change in control of the Company.</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addition, the Company has directors and officers liability insurance for the benefit of its directors and officers.</w:t>
      </w:r>
    </w:p>
    <w:p>
      <w:pPr>
        <w:spacing w:after="0" w:line="171"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820" w:type="dxa"/>
            <w:vAlign w:val="bottom"/>
          </w:tcPr>
          <w:p>
            <w:pPr>
              <w:spacing w:after="0"/>
              <w:rPr>
                <w:sz w:val="20"/>
                <w:szCs w:val="20"/>
                <w:color w:val="auto"/>
              </w:rPr>
            </w:pPr>
            <w:r>
              <w:rPr>
                <w:rFonts w:ascii="Arial" w:cs="Arial" w:eastAsia="Arial" w:hAnsi="Arial"/>
                <w:sz w:val="13"/>
                <w:szCs w:val="13"/>
                <w:b w:val="1"/>
                <w:bCs w:val="1"/>
                <w:color w:val="auto"/>
              </w:rPr>
              <w:t>Item 16.</w:t>
            </w:r>
          </w:p>
        </w:tc>
        <w:tc>
          <w:tcPr>
            <w:tcW w:w="5520" w:type="dxa"/>
            <w:vAlign w:val="bottom"/>
            <w:gridSpan w:val="3"/>
          </w:tcPr>
          <w:p>
            <w:pPr>
              <w:ind w:left="100"/>
              <w:spacing w:after="0"/>
              <w:rPr>
                <w:sz w:val="20"/>
                <w:szCs w:val="20"/>
                <w:color w:val="auto"/>
              </w:rPr>
            </w:pPr>
            <w:r>
              <w:rPr>
                <w:rFonts w:ascii="Arial" w:cs="Arial" w:eastAsia="Arial" w:hAnsi="Arial"/>
                <w:sz w:val="13"/>
                <w:szCs w:val="13"/>
                <w:b w:val="1"/>
                <w:bCs w:val="1"/>
                <w:i w:val="1"/>
                <w:iCs w:val="1"/>
                <w:color w:val="auto"/>
              </w:rPr>
              <w:t>Exhibits.</w:t>
            </w:r>
          </w:p>
        </w:tc>
        <w:tc>
          <w:tcPr>
            <w:tcW w:w="0" w:type="dxa"/>
            <w:vAlign w:val="bottom"/>
          </w:tcPr>
          <w:p>
            <w:pPr>
              <w:spacing w:after="0"/>
              <w:rPr>
                <w:sz w:val="1"/>
                <w:szCs w:val="1"/>
                <w:color w:val="auto"/>
              </w:rPr>
            </w:pPr>
          </w:p>
        </w:tc>
      </w:tr>
      <w:tr>
        <w:trPr>
          <w:trHeight w:val="191"/>
        </w:trPr>
        <w:tc>
          <w:tcPr>
            <w:tcW w:w="820" w:type="dxa"/>
            <w:vAlign w:val="bottom"/>
          </w:tcPr>
          <w:p>
            <w:pPr>
              <w:ind w:left="200"/>
              <w:spacing w:after="0"/>
              <w:rPr>
                <w:sz w:val="20"/>
                <w:szCs w:val="20"/>
                <w:color w:val="auto"/>
              </w:rPr>
            </w:pPr>
            <w:r>
              <w:rPr>
                <w:rFonts w:ascii="Arial" w:cs="Arial" w:eastAsia="Arial" w:hAnsi="Arial"/>
                <w:sz w:val="10"/>
                <w:szCs w:val="10"/>
                <w:b w:val="1"/>
                <w:bCs w:val="1"/>
                <w:color w:val="auto"/>
              </w:rPr>
              <w:t>Exhibit</w:t>
            </w:r>
          </w:p>
        </w:tc>
        <w:tc>
          <w:tcPr>
            <w:tcW w:w="4540" w:type="dxa"/>
            <w:vAlign w:val="bottom"/>
          </w:tcPr>
          <w:p>
            <w:pPr>
              <w:spacing w:after="0"/>
              <w:rPr>
                <w:sz w:val="16"/>
                <w:szCs w:val="16"/>
                <w:color w:val="auto"/>
              </w:rPr>
            </w:pPr>
          </w:p>
        </w:tc>
        <w:tc>
          <w:tcPr>
            <w:tcW w:w="98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92"/>
              </w:rPr>
              <w:t>Description of Exhibit</w:t>
            </w:r>
          </w:p>
        </w:tc>
        <w:tc>
          <w:tcPr>
            <w:tcW w:w="0" w:type="dxa"/>
            <w:vAlign w:val="bottom"/>
          </w:tcPr>
          <w:p>
            <w:pPr>
              <w:spacing w:after="0"/>
              <w:rPr>
                <w:sz w:val="1"/>
                <w:szCs w:val="1"/>
                <w:color w:val="auto"/>
              </w:rPr>
            </w:pPr>
          </w:p>
        </w:tc>
      </w:tr>
      <w:tr>
        <w:trPr>
          <w:trHeight w:val="135"/>
        </w:trPr>
        <w:tc>
          <w:tcPr>
            <w:tcW w:w="820" w:type="dxa"/>
            <w:vAlign w:val="bottom"/>
          </w:tcPr>
          <w:p>
            <w:pPr>
              <w:ind w:left="360"/>
              <w:spacing w:after="0"/>
              <w:rPr>
                <w:sz w:val="20"/>
                <w:szCs w:val="20"/>
                <w:color w:val="auto"/>
              </w:rPr>
            </w:pPr>
            <w:r>
              <w:rPr>
                <w:rFonts w:ascii="Arial" w:cs="Arial" w:eastAsia="Arial" w:hAnsi="Arial"/>
                <w:sz w:val="10"/>
                <w:szCs w:val="10"/>
                <w:b w:val="1"/>
                <w:bCs w:val="1"/>
                <w:color w:val="auto"/>
              </w:rPr>
              <w:t>Number</w:t>
            </w:r>
          </w:p>
        </w:tc>
        <w:tc>
          <w:tcPr>
            <w:tcW w:w="45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-5715</wp:posOffset>
            </wp:positionV>
            <wp:extent cx="635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w:t>
      </w:r>
    </w:p>
    <w:p>
      <w:pPr>
        <w:spacing w:after="0" w:line="15" w:lineRule="exact"/>
        <w:rPr>
          <w:sz w:val="20"/>
          <w:szCs w:val="20"/>
          <w:color w:val="auto"/>
        </w:rPr>
      </w:pPr>
    </w:p>
    <w:p>
      <w:pPr>
        <w:ind w:left="1500" w:right="120" w:hanging="458"/>
        <w:spacing w:after="0" w:line="252" w:lineRule="auto"/>
        <w:tabs>
          <w:tab w:leader="none" w:pos="1480" w:val="left"/>
        </w:tabs>
        <w:rPr>
          <w:sz w:val="20"/>
          <w:szCs w:val="20"/>
          <w:color w:val="auto"/>
        </w:rPr>
      </w:pPr>
      <w:r>
        <w:rPr>
          <w:rFonts w:ascii="Arial" w:cs="Arial" w:eastAsia="Arial" w:hAnsi="Arial"/>
          <w:sz w:val="13"/>
          <w:szCs w:val="13"/>
          <w:color w:val="auto"/>
        </w:rPr>
        <w:t>3.1ˆ</w:t>
      </w:r>
      <w:r>
        <w:rPr>
          <w:sz w:val="20"/>
          <w:szCs w:val="20"/>
          <w:color w:val="auto"/>
        </w:rPr>
        <w:tab/>
      </w:r>
      <w:r>
        <w:rPr>
          <w:rFonts w:ascii="Arial" w:cs="Arial" w:eastAsia="Arial" w:hAnsi="Arial"/>
          <w:sz w:val="13"/>
          <w:szCs w:val="13"/>
          <w:color w:val="auto"/>
        </w:rPr>
        <w:t>Restated Articles of Organization of the Company. Filed as Exhibit 3.1 to the Company’s Quarterly Report on Form 10-Q for the fiscal quarter ended May 3, 2008, filed on May 20, 2008.</w:t>
      </w:r>
    </w:p>
    <w:p>
      <w:pPr>
        <w:spacing w:after="0" w:line="1"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3.2ˆ</w:t>
      </w:r>
      <w:r>
        <w:rPr>
          <w:sz w:val="20"/>
          <w:szCs w:val="20"/>
          <w:color w:val="auto"/>
        </w:rPr>
        <w:tab/>
      </w:r>
      <w:r>
        <w:rPr>
          <w:rFonts w:ascii="Arial" w:cs="Arial" w:eastAsia="Arial" w:hAnsi="Arial"/>
          <w:sz w:val="12"/>
          <w:szCs w:val="12"/>
          <w:color w:val="auto"/>
        </w:rPr>
        <w:t>Amendment to Restated Articles of Organization of the Company. Filed as Exhibit 3.1 to the Company’s Current Report on Form 8-K filed on December 8, 2008.</w:t>
      </w:r>
    </w:p>
    <w:p>
      <w:pPr>
        <w:spacing w:after="0" w:line="8"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3.3ˆ</w:t>
      </w:r>
      <w:r>
        <w:rPr>
          <w:sz w:val="20"/>
          <w:szCs w:val="20"/>
          <w:color w:val="auto"/>
        </w:rPr>
        <w:tab/>
      </w:r>
      <w:r>
        <w:rPr>
          <w:rFonts w:ascii="Arial" w:cs="Arial" w:eastAsia="Arial" w:hAnsi="Arial"/>
          <w:sz w:val="11"/>
          <w:szCs w:val="11"/>
          <w:color w:val="auto"/>
        </w:rPr>
        <w:t>Amended and Restated By-laws of the Company. Filed as Exhibit 3.1 to the Company’s Current Report on Form 8-K filed on December 3, 2008.</w:t>
      </w:r>
    </w:p>
    <w:p>
      <w:pPr>
        <w:spacing w:after="0" w:line="8"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1"/>
          <w:szCs w:val="11"/>
          <w:color w:val="auto"/>
        </w:rPr>
        <w:t>Form of Indenture, by and among the Company and The Bank of New York Mellon Trust Company, N.A. (as Trustee).</w:t>
      </w:r>
    </w:p>
    <w:p>
      <w:pPr>
        <w:spacing w:after="0" w:line="8"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Opinion of Wilmer Cutler Pickering Hale and Dorr LLP.</w:t>
      </w:r>
    </w:p>
    <w:p>
      <w:pPr>
        <w:spacing w:after="0" w:line="8"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1"/>
          <w:szCs w:val="11"/>
          <w:color w:val="auto"/>
        </w:rPr>
        <w:t>Computation of Consolidated Ratios of Earnings to Fixed Charges.</w:t>
      </w:r>
    </w:p>
    <w:p>
      <w:pPr>
        <w:spacing w:after="0" w:line="8"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Ernst &amp; Young LLP.</w:t>
      </w:r>
    </w:p>
    <w:p>
      <w:pPr>
        <w:spacing w:after="0" w:line="8"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2"/>
          <w:szCs w:val="12"/>
          <w:color w:val="auto"/>
        </w:rPr>
        <w:t>Consent of Wilmer Cutler Pickering Hale and Dorr LLP (included in Exhibit 5.1).</w:t>
      </w:r>
    </w:p>
    <w:p>
      <w:pPr>
        <w:spacing w:after="0" w:line="8"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1"/>
          <w:szCs w:val="11"/>
          <w:color w:val="auto"/>
        </w:rPr>
        <w:t>Powers of Attorney (included on signature pages).</w:t>
      </w:r>
    </w:p>
    <w:p>
      <w:pPr>
        <w:spacing w:after="0" w:line="8"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25.1</w:t>
      </w:r>
      <w:r>
        <w:rPr>
          <w:sz w:val="20"/>
          <w:szCs w:val="20"/>
          <w:color w:val="auto"/>
        </w:rPr>
        <w:tab/>
      </w:r>
      <w:r>
        <w:rPr>
          <w:rFonts w:ascii="Arial" w:cs="Arial" w:eastAsia="Arial" w:hAnsi="Arial"/>
          <w:sz w:val="12"/>
          <w:szCs w:val="12"/>
          <w:color w:val="auto"/>
        </w:rPr>
        <w:t>Statement of Eligibility on Form T-1 of The Bank of New York Mellon Trust Company, N.A.,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680" w:right="1520" w:firstLine="7"/>
        <w:spacing w:after="0" w:line="340" w:lineRule="auto"/>
        <w:tabs>
          <w:tab w:leader="none" w:pos="886" w:val="left"/>
        </w:tabs>
        <w:numPr>
          <w:ilvl w:val="0"/>
          <w:numId w:val="22"/>
        </w:numPr>
        <w:rPr>
          <w:rFonts w:ascii="Arial" w:cs="Arial" w:eastAsia="Arial" w:hAnsi="Arial"/>
          <w:sz w:val="13"/>
          <w:szCs w:val="13"/>
          <w:color w:val="auto"/>
        </w:rPr>
      </w:pPr>
      <w:r>
        <w:rPr>
          <w:rFonts w:ascii="Arial" w:cs="Arial" w:eastAsia="Arial" w:hAnsi="Arial"/>
          <w:sz w:val="13"/>
          <w:szCs w:val="13"/>
          <w:color w:val="auto"/>
        </w:rPr>
        <w:t>To be filed by an amendment or as an exhibit to a report filed under the Securities Exchange Act of 1934, as amended, and incorporated herein by reference. ˆ Previously filed with the Securities and Exchange Commission and incorporated by reference herein.</w:t>
      </w:r>
    </w:p>
    <w:p>
      <w:pPr>
        <w:spacing w:after="0" w:line="2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33"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17.</w:t>
      </w:r>
      <w:r>
        <w:rPr>
          <w:sz w:val="20"/>
          <w:szCs w:val="20"/>
          <w:color w:val="auto"/>
        </w:rPr>
        <w:tab/>
      </w:r>
      <w:r>
        <w:rPr>
          <w:rFonts w:ascii="Arial" w:cs="Arial" w:eastAsia="Arial" w:hAnsi="Arial"/>
          <w:sz w:val="11"/>
          <w:szCs w:val="11"/>
          <w:b w:val="1"/>
          <w:bCs w:val="1"/>
          <w:i w:val="1"/>
          <w:iCs w:val="1"/>
          <w:color w:val="auto"/>
        </w:rPr>
        <w:t>Undertakings.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undersigned registrant hereby undertakes:</w:t>
      </w:r>
    </w:p>
    <w:p>
      <w:pPr>
        <w:spacing w:after="0" w:line="96" w:lineRule="exact"/>
        <w:rPr>
          <w:sz w:val="20"/>
          <w:szCs w:val="20"/>
          <w:color w:val="auto"/>
        </w:rPr>
      </w:pPr>
    </w:p>
    <w:p>
      <w:pPr>
        <w:ind w:left="1660" w:hanging="191"/>
        <w:spacing w:after="0"/>
        <w:tabs>
          <w:tab w:leader="none" w:pos="166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To file, during any period in which offers or sales are being made, a post-effective amendment to this registration statement:</w:t>
      </w:r>
    </w:p>
    <w:p>
      <w:pPr>
        <w:spacing w:after="0" w:line="96" w:lineRule="exact"/>
        <w:rPr>
          <w:rFonts w:ascii="Arial" w:cs="Arial" w:eastAsia="Arial" w:hAnsi="Arial"/>
          <w:sz w:val="13"/>
          <w:szCs w:val="13"/>
          <w:color w:val="auto"/>
        </w:rPr>
      </w:pPr>
    </w:p>
    <w:p>
      <w:pPr>
        <w:ind w:left="2000" w:hanging="148"/>
        <w:spacing w:after="0"/>
        <w:tabs>
          <w:tab w:leader="none" w:pos="2000" w:val="left"/>
        </w:tabs>
        <w:numPr>
          <w:ilvl w:val="1"/>
          <w:numId w:val="23"/>
        </w:numPr>
        <w:rPr>
          <w:rFonts w:ascii="Arial" w:cs="Arial" w:eastAsia="Arial" w:hAnsi="Arial"/>
          <w:sz w:val="13"/>
          <w:szCs w:val="13"/>
          <w:color w:val="auto"/>
        </w:rPr>
      </w:pPr>
      <w:r>
        <w:rPr>
          <w:rFonts w:ascii="Arial" w:cs="Arial" w:eastAsia="Arial" w:hAnsi="Arial"/>
          <w:sz w:val="13"/>
          <w:szCs w:val="13"/>
          <w:color w:val="auto"/>
        </w:rPr>
        <w:t>To include any prospectus required by Section 10(a)(3) of the Securities Act of 1933;</w:t>
      </w:r>
    </w:p>
    <w:p>
      <w:pPr>
        <w:spacing w:after="0" w:line="96" w:lineRule="exact"/>
        <w:rPr>
          <w:rFonts w:ascii="Arial" w:cs="Arial" w:eastAsia="Arial" w:hAnsi="Arial"/>
          <w:sz w:val="13"/>
          <w:szCs w:val="13"/>
          <w:color w:val="auto"/>
        </w:rPr>
      </w:pPr>
    </w:p>
    <w:p>
      <w:pPr>
        <w:ind w:left="1480" w:right="100" w:firstLine="372"/>
        <w:spacing w:after="0" w:line="257" w:lineRule="auto"/>
        <w:tabs>
          <w:tab w:leader="none" w:pos="2038" w:val="left"/>
        </w:tabs>
        <w:numPr>
          <w:ilvl w:val="1"/>
          <w:numId w:val="23"/>
        </w:numPr>
        <w:rPr>
          <w:rFonts w:ascii="Arial" w:cs="Arial" w:eastAsia="Arial" w:hAnsi="Arial"/>
          <w:sz w:val="13"/>
          <w:szCs w:val="13"/>
          <w:color w:val="auto"/>
        </w:rPr>
      </w:pPr>
      <w:r>
        <w:rPr>
          <w:rFonts w:ascii="Arial" w:cs="Arial" w:eastAsia="Arial" w:hAnsi="Arial"/>
          <w:sz w:val="13"/>
          <w:szCs w:val="13"/>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1" w:lineRule="exact"/>
        <w:rPr>
          <w:rFonts w:ascii="Arial" w:cs="Arial" w:eastAsia="Arial" w:hAnsi="Arial"/>
          <w:sz w:val="13"/>
          <w:szCs w:val="13"/>
          <w:color w:val="auto"/>
        </w:rPr>
      </w:pPr>
    </w:p>
    <w:p>
      <w:pPr>
        <w:ind w:left="1480" w:right="220" w:firstLine="372"/>
        <w:spacing w:after="0" w:line="276" w:lineRule="auto"/>
        <w:tabs>
          <w:tab w:leader="none" w:pos="2074" w:val="left"/>
        </w:tabs>
        <w:numPr>
          <w:ilvl w:val="1"/>
          <w:numId w:val="23"/>
        </w:numPr>
        <w:rPr>
          <w:rFonts w:ascii="Arial" w:cs="Arial" w:eastAsia="Arial" w:hAnsi="Arial"/>
          <w:sz w:val="13"/>
          <w:szCs w:val="13"/>
          <w:color w:val="auto"/>
        </w:rPr>
      </w:pPr>
      <w:r>
        <w:rPr>
          <w:rFonts w:ascii="Arial" w:cs="Arial" w:eastAsia="Arial" w:hAnsi="Arial"/>
          <w:sz w:val="13"/>
          <w:szCs w:val="13"/>
          <w:color w:val="auto"/>
        </w:rPr>
        <w:t>To include any material information with respect to the plan of distribution not previously disclosed in the registration statement or any material change to such information in the registration statement;</w:t>
      </w:r>
    </w:p>
    <w:p>
      <w:pPr>
        <w:spacing w:after="0" w:line="59" w:lineRule="exact"/>
        <w:rPr>
          <w:sz w:val="20"/>
          <w:szCs w:val="20"/>
          <w:color w:val="auto"/>
        </w:rPr>
      </w:pPr>
    </w:p>
    <w:p>
      <w:pPr>
        <w:ind w:left="1080" w:firstLine="383"/>
        <w:spacing w:after="0" w:line="296" w:lineRule="auto"/>
        <w:rPr>
          <w:sz w:val="20"/>
          <w:szCs w:val="20"/>
          <w:color w:val="auto"/>
        </w:rPr>
      </w:pPr>
      <w:r>
        <w:rPr>
          <w:rFonts w:ascii="Arial" w:cs="Arial" w:eastAsia="Arial" w:hAnsi="Arial"/>
          <w:sz w:val="12"/>
          <w:szCs w:val="12"/>
          <w:i w:val="1"/>
          <w:iCs w:val="1"/>
          <w:color w:val="auto"/>
        </w:rPr>
        <w:t>Provided</w:t>
      </w:r>
      <w:r>
        <w:rPr>
          <w:rFonts w:ascii="Arial" w:cs="Arial" w:eastAsia="Arial" w:hAnsi="Arial"/>
          <w:sz w:val="12"/>
          <w:szCs w:val="12"/>
          <w:color w:val="auto"/>
        </w:rPr>
        <w:t>,</w:t>
      </w:r>
      <w:r>
        <w:rPr>
          <w:rFonts w:ascii="Arial" w:cs="Arial" w:eastAsia="Arial" w:hAnsi="Arial"/>
          <w:sz w:val="12"/>
          <w:szCs w:val="12"/>
          <w:i w:val="1"/>
          <w:iCs w:val="1"/>
          <w:color w:val="auto"/>
        </w:rPr>
        <w:t xml:space="preserve"> however</w:t>
      </w:r>
      <w:r>
        <w:rPr>
          <w:rFonts w:ascii="Arial" w:cs="Arial" w:eastAsia="Arial" w:hAnsi="Arial"/>
          <w:sz w:val="12"/>
          <w:szCs w:val="12"/>
          <w:color w:val="auto"/>
        </w:rPr>
        <w:t>, that paragraphs (1)(i), (1)(ii) and (1)(iii) above do not apply if the information required to be included in a post-effective amendment by those paragraphs</w:t>
      </w:r>
      <w:r>
        <w:rPr>
          <w:rFonts w:ascii="Arial" w:cs="Arial" w:eastAsia="Arial" w:hAnsi="Arial"/>
          <w:sz w:val="12"/>
          <w:szCs w:val="12"/>
          <w:i w:val="1"/>
          <w:iCs w:val="1"/>
          <w:color w:val="auto"/>
        </w:rPr>
        <w:t xml:space="preserve"> </w:t>
      </w:r>
      <w:r>
        <w:rPr>
          <w:rFonts w:ascii="Arial" w:cs="Arial" w:eastAsia="Arial" w:hAnsi="Arial"/>
          <w:sz w:val="12"/>
          <w:szCs w:val="12"/>
          <w:color w:val="auto"/>
        </w:rPr>
        <w:t>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50" w:lineRule="exact"/>
        <w:rPr>
          <w:sz w:val="20"/>
          <w:szCs w:val="20"/>
          <w:color w:val="auto"/>
        </w:rPr>
      </w:pPr>
    </w:p>
    <w:p>
      <w:pPr>
        <w:ind w:left="1080" w:right="60" w:firstLine="389"/>
        <w:spacing w:after="0" w:line="320" w:lineRule="auto"/>
        <w:tabs>
          <w:tab w:leader="none" w:pos="1646" w:val="left"/>
        </w:tabs>
        <w:numPr>
          <w:ilvl w:val="0"/>
          <w:numId w:val="24"/>
        </w:numPr>
        <w:rPr>
          <w:rFonts w:ascii="Arial" w:cs="Arial" w:eastAsia="Arial" w:hAnsi="Arial"/>
          <w:sz w:val="12"/>
          <w:szCs w:val="12"/>
          <w:color w:val="auto"/>
        </w:rPr>
      </w:pPr>
      <w:r>
        <w:rPr>
          <w:rFonts w:ascii="Arial" w:cs="Arial" w:eastAsia="Arial" w:hAnsi="Arial"/>
          <w:sz w:val="12"/>
          <w:szCs w:val="12"/>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2"/>
          <w:szCs w:val="12"/>
          <w:i w:val="1"/>
          <w:iCs w:val="1"/>
          <w:color w:val="auto"/>
        </w:rPr>
        <w:t>bona fide</w:t>
      </w:r>
      <w:r>
        <w:rPr>
          <w:rFonts w:ascii="Arial" w:cs="Arial" w:eastAsia="Arial" w:hAnsi="Arial"/>
          <w:sz w:val="12"/>
          <w:szCs w:val="12"/>
          <w:color w:val="auto"/>
        </w:rPr>
        <w:t xml:space="preserve"> offering thereof.</w:t>
      </w:r>
    </w:p>
    <w:p>
      <w:pPr>
        <w:spacing w:after="0" w:line="35" w:lineRule="exact"/>
        <w:rPr>
          <w:rFonts w:ascii="Arial" w:cs="Arial" w:eastAsia="Arial" w:hAnsi="Arial"/>
          <w:sz w:val="12"/>
          <w:szCs w:val="12"/>
          <w:color w:val="auto"/>
        </w:rPr>
      </w:pPr>
    </w:p>
    <w:p>
      <w:pPr>
        <w:ind w:left="1660" w:hanging="191"/>
        <w:spacing w:after="0"/>
        <w:tabs>
          <w:tab w:leader="none" w:pos="166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To remove from registration by means of a post-effective amendment any of the securities being registered which remain unsold at the termination of the offering.</w:t>
      </w:r>
    </w:p>
    <w:p>
      <w:pPr>
        <w:spacing w:after="0" w:line="107" w:lineRule="exact"/>
        <w:rPr>
          <w:rFonts w:ascii="Arial" w:cs="Arial" w:eastAsia="Arial" w:hAnsi="Arial"/>
          <w:sz w:val="12"/>
          <w:szCs w:val="12"/>
          <w:color w:val="auto"/>
        </w:rPr>
      </w:pPr>
    </w:p>
    <w:p>
      <w:pPr>
        <w:ind w:left="1660" w:hanging="191"/>
        <w:spacing w:after="0"/>
        <w:tabs>
          <w:tab w:leader="none" w:pos="16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That, for the purpose of determining liability under the Securities Act of 1933 to any purchaser:</w:t>
      </w:r>
    </w:p>
    <w:p>
      <w:pPr>
        <w:spacing w:after="0" w:line="96" w:lineRule="exact"/>
        <w:rPr>
          <w:rFonts w:ascii="Arial" w:cs="Arial" w:eastAsia="Arial" w:hAnsi="Arial"/>
          <w:sz w:val="13"/>
          <w:szCs w:val="13"/>
          <w:color w:val="auto"/>
        </w:rPr>
      </w:pPr>
    </w:p>
    <w:p>
      <w:pPr>
        <w:ind w:left="1480" w:right="220" w:firstLine="372"/>
        <w:spacing w:after="0" w:line="276" w:lineRule="auto"/>
        <w:tabs>
          <w:tab w:leader="none" w:pos="2062" w:val="left"/>
        </w:tabs>
        <w:numPr>
          <w:ilvl w:val="1"/>
          <w:numId w:val="24"/>
        </w:numPr>
        <w:rPr>
          <w:rFonts w:ascii="Arial" w:cs="Arial" w:eastAsia="Arial" w:hAnsi="Arial"/>
          <w:sz w:val="13"/>
          <w:szCs w:val="13"/>
          <w:color w:val="auto"/>
        </w:rPr>
      </w:pPr>
      <w:r>
        <w:rPr>
          <w:rFonts w:ascii="Arial" w:cs="Arial" w:eastAsia="Arial" w:hAnsi="Arial"/>
          <w:sz w:val="13"/>
          <w:szCs w:val="13"/>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59" w:lineRule="exact"/>
        <w:rPr>
          <w:rFonts w:ascii="Arial" w:cs="Arial" w:eastAsia="Arial" w:hAnsi="Arial"/>
          <w:sz w:val="13"/>
          <w:szCs w:val="13"/>
          <w:color w:val="auto"/>
        </w:rPr>
      </w:pPr>
    </w:p>
    <w:p>
      <w:pPr>
        <w:ind w:left="1480" w:right="40" w:firstLine="372"/>
        <w:spacing w:after="0" w:line="280" w:lineRule="auto"/>
        <w:tabs>
          <w:tab w:leader="none" w:pos="2055" w:val="left"/>
        </w:tabs>
        <w:numPr>
          <w:ilvl w:val="1"/>
          <w:numId w:val="24"/>
        </w:numPr>
        <w:rPr>
          <w:rFonts w:ascii="Arial" w:cs="Arial" w:eastAsia="Arial" w:hAnsi="Arial"/>
          <w:sz w:val="12"/>
          <w:szCs w:val="12"/>
          <w:color w:val="auto"/>
        </w:rPr>
      </w:pPr>
      <w:r>
        <w:rPr>
          <w:rFonts w:ascii="Arial" w:cs="Arial" w:eastAsia="Arial" w:hAnsi="Arial"/>
          <w:sz w:val="12"/>
          <w:szCs w:val="12"/>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2"/>
          <w:szCs w:val="12"/>
          <w:i w:val="1"/>
          <w:iCs w:val="1"/>
          <w:color w:val="auto"/>
        </w:rPr>
        <w:t>bona fide</w:t>
      </w:r>
      <w:r>
        <w:rPr>
          <w:rFonts w:ascii="Arial" w:cs="Arial" w:eastAsia="Arial" w:hAnsi="Arial"/>
          <w:sz w:val="12"/>
          <w:szCs w:val="12"/>
          <w:color w:val="auto"/>
        </w:rPr>
        <w:t xml:space="preserve"> offering thereof.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w:t>
      </w:r>
    </w:p>
    <w:p>
      <w:pPr>
        <w:spacing w:after="0" w:line="26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480"/>
        <w:spacing w:after="0"/>
        <w:rPr>
          <w:sz w:val="20"/>
          <w:szCs w:val="20"/>
          <w:color w:val="auto"/>
        </w:rPr>
      </w:pPr>
      <w:r>
        <w:rPr>
          <w:rFonts w:ascii="Arial" w:cs="Arial" w:eastAsia="Arial" w:hAnsi="Arial"/>
          <w:sz w:val="12"/>
          <w:szCs w:val="12"/>
          <w:color w:val="auto"/>
        </w:rPr>
        <w:t>was made in the registration statement or prospectus that was part of the registration statement or made in any such document immediately prior to such effective date.</w:t>
      </w:r>
    </w:p>
    <w:p>
      <w:pPr>
        <w:spacing w:after="0" w:line="108" w:lineRule="exact"/>
        <w:rPr>
          <w:sz w:val="20"/>
          <w:szCs w:val="20"/>
          <w:color w:val="auto"/>
        </w:rPr>
      </w:pPr>
    </w:p>
    <w:p>
      <w:pPr>
        <w:ind w:left="1460"/>
        <w:spacing w:after="0"/>
        <w:rPr>
          <w:sz w:val="20"/>
          <w:szCs w:val="20"/>
          <w:color w:val="auto"/>
        </w:rPr>
      </w:pPr>
      <w:r>
        <w:rPr>
          <w:rFonts w:ascii="Arial" w:cs="Arial" w:eastAsia="Arial" w:hAnsi="Arial"/>
          <w:sz w:val="13"/>
          <w:szCs w:val="13"/>
          <w:color w:val="auto"/>
        </w:rPr>
        <w:t>(5) That, for the purpose of determining liability of the registrant under the Securities Act of 1933 to any purchaser in the initial distribution of the securities:</w:t>
      </w:r>
    </w:p>
    <w:p>
      <w:pPr>
        <w:spacing w:after="0" w:line="96" w:lineRule="exact"/>
        <w:rPr>
          <w:sz w:val="20"/>
          <w:szCs w:val="20"/>
          <w:color w:val="auto"/>
        </w:rPr>
      </w:pPr>
    </w:p>
    <w:p>
      <w:pPr>
        <w:ind w:left="1080" w:right="500" w:firstLine="383"/>
        <w:spacing w:after="0" w:line="296" w:lineRule="auto"/>
        <w:rPr>
          <w:sz w:val="20"/>
          <w:szCs w:val="20"/>
          <w:color w:val="auto"/>
        </w:rPr>
      </w:pPr>
      <w:r>
        <w:rPr>
          <w:rFonts w:ascii="Arial" w:cs="Arial" w:eastAsia="Arial" w:hAnsi="Arial"/>
          <w:sz w:val="12"/>
          <w:szCs w:val="12"/>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0" w:lineRule="exact"/>
        <w:rPr>
          <w:sz w:val="20"/>
          <w:szCs w:val="20"/>
          <w:color w:val="auto"/>
        </w:rPr>
      </w:pPr>
    </w:p>
    <w:p>
      <w:pPr>
        <w:ind w:left="2000" w:hanging="148"/>
        <w:spacing w:after="0"/>
        <w:tabs>
          <w:tab w:leader="none" w:pos="2000" w:val="left"/>
        </w:tabs>
        <w:numPr>
          <w:ilvl w:val="1"/>
          <w:numId w:val="25"/>
        </w:numPr>
        <w:rPr>
          <w:rFonts w:ascii="Arial" w:cs="Arial" w:eastAsia="Arial" w:hAnsi="Arial"/>
          <w:sz w:val="13"/>
          <w:szCs w:val="13"/>
          <w:color w:val="auto"/>
        </w:rPr>
      </w:pPr>
      <w:r>
        <w:rPr>
          <w:rFonts w:ascii="Arial" w:cs="Arial" w:eastAsia="Arial" w:hAnsi="Arial"/>
          <w:sz w:val="13"/>
          <w:szCs w:val="13"/>
          <w:color w:val="auto"/>
        </w:rPr>
        <w:t>Any preliminary prospectus or prospectus of the undersigned registrant relating to the offering required to be filed pursuant to Rule 424;</w:t>
      </w:r>
    </w:p>
    <w:p>
      <w:pPr>
        <w:spacing w:after="0" w:line="96" w:lineRule="exact"/>
        <w:rPr>
          <w:rFonts w:ascii="Arial" w:cs="Arial" w:eastAsia="Arial" w:hAnsi="Arial"/>
          <w:sz w:val="13"/>
          <w:szCs w:val="13"/>
          <w:color w:val="auto"/>
        </w:rPr>
      </w:pPr>
    </w:p>
    <w:p>
      <w:pPr>
        <w:ind w:left="2040" w:hanging="188"/>
        <w:spacing w:after="0"/>
        <w:tabs>
          <w:tab w:leader="none" w:pos="20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Any free writing prospectus relating to the offering prepared by or on behalf of the undersigned registrant or used or referred to by the undersigned registrant;</w:t>
      </w:r>
    </w:p>
    <w:p>
      <w:pPr>
        <w:spacing w:after="0" w:line="107" w:lineRule="exact"/>
        <w:rPr>
          <w:rFonts w:ascii="Arial" w:cs="Arial" w:eastAsia="Arial" w:hAnsi="Arial"/>
          <w:sz w:val="12"/>
          <w:szCs w:val="12"/>
          <w:color w:val="auto"/>
        </w:rPr>
      </w:pPr>
    </w:p>
    <w:p>
      <w:pPr>
        <w:ind w:left="1480" w:right="420" w:firstLine="372"/>
        <w:spacing w:after="0" w:line="276" w:lineRule="auto"/>
        <w:tabs>
          <w:tab w:leader="none" w:pos="2074" w:val="left"/>
        </w:tabs>
        <w:numPr>
          <w:ilvl w:val="1"/>
          <w:numId w:val="25"/>
        </w:numPr>
        <w:rPr>
          <w:rFonts w:ascii="Arial" w:cs="Arial" w:eastAsia="Arial" w:hAnsi="Arial"/>
          <w:sz w:val="13"/>
          <w:szCs w:val="13"/>
          <w:color w:val="auto"/>
        </w:rPr>
      </w:pPr>
      <w:r>
        <w:rPr>
          <w:rFonts w:ascii="Arial" w:cs="Arial" w:eastAsia="Arial" w:hAnsi="Arial"/>
          <w:sz w:val="13"/>
          <w:szCs w:val="13"/>
          <w:color w:val="auto"/>
        </w:rPr>
        <w:t>The portion of any other free writing prospectus relating to the offering containing material information about the undersigned registrant or their securities provided by or on behalf of the undersigned registrant; and</w:t>
      </w:r>
    </w:p>
    <w:p>
      <w:pPr>
        <w:spacing w:after="0" w:line="59" w:lineRule="exact"/>
        <w:rPr>
          <w:rFonts w:ascii="Arial" w:cs="Arial" w:eastAsia="Arial" w:hAnsi="Arial"/>
          <w:sz w:val="13"/>
          <w:szCs w:val="13"/>
          <w:color w:val="auto"/>
        </w:rPr>
      </w:pPr>
    </w:p>
    <w:p>
      <w:pPr>
        <w:ind w:left="2060" w:hanging="208"/>
        <w:spacing w:after="0"/>
        <w:tabs>
          <w:tab w:leader="none" w:pos="2060" w:val="left"/>
        </w:tabs>
        <w:numPr>
          <w:ilvl w:val="1"/>
          <w:numId w:val="25"/>
        </w:numPr>
        <w:rPr>
          <w:rFonts w:ascii="Arial" w:cs="Arial" w:eastAsia="Arial" w:hAnsi="Arial"/>
          <w:sz w:val="13"/>
          <w:szCs w:val="13"/>
          <w:color w:val="auto"/>
        </w:rPr>
      </w:pPr>
      <w:r>
        <w:rPr>
          <w:rFonts w:ascii="Arial" w:cs="Arial" w:eastAsia="Arial" w:hAnsi="Arial"/>
          <w:sz w:val="13"/>
          <w:szCs w:val="13"/>
          <w:color w:val="auto"/>
        </w:rPr>
        <w:t>Any other communication that is an offer in the offering made by the undersigned registrant to the purchaser.</w:t>
      </w:r>
    </w:p>
    <w:p>
      <w:pPr>
        <w:spacing w:after="0" w:line="96" w:lineRule="exact"/>
        <w:rPr>
          <w:rFonts w:ascii="Arial" w:cs="Arial" w:eastAsia="Arial" w:hAnsi="Arial"/>
          <w:sz w:val="13"/>
          <w:szCs w:val="13"/>
          <w:color w:val="auto"/>
        </w:rPr>
      </w:pPr>
    </w:p>
    <w:p>
      <w:pPr>
        <w:ind w:left="1080" w:right="340" w:firstLine="389"/>
        <w:spacing w:after="0" w:line="280" w:lineRule="auto"/>
        <w:tabs>
          <w:tab w:leader="none" w:pos="1646"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w:t>
      </w:r>
    </w:p>
    <w:p>
      <w:pPr>
        <w:ind w:left="1080" w:right="180"/>
        <w:spacing w:after="0" w:line="264" w:lineRule="auto"/>
        <w:rPr>
          <w:rFonts w:ascii="Arial" w:cs="Arial" w:eastAsia="Arial" w:hAnsi="Arial"/>
          <w:sz w:val="12"/>
          <w:szCs w:val="12"/>
          <w:color w:val="auto"/>
        </w:rPr>
      </w:pPr>
      <w:r>
        <w:rPr>
          <w:rFonts w:ascii="Arial" w:cs="Arial" w:eastAsia="Arial" w:hAnsi="Arial"/>
          <w:sz w:val="13"/>
          <w:szCs w:val="13"/>
          <w:color w:val="auto"/>
        </w:rPr>
        <w:t>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66" w:lineRule="exact"/>
        <w:rPr>
          <w:rFonts w:ascii="Arial" w:cs="Arial" w:eastAsia="Arial" w:hAnsi="Arial"/>
          <w:sz w:val="12"/>
          <w:szCs w:val="12"/>
          <w:color w:val="auto"/>
        </w:rPr>
      </w:pPr>
    </w:p>
    <w:p>
      <w:pPr>
        <w:ind w:left="1080" w:right="120" w:firstLine="389"/>
        <w:spacing w:after="0" w:line="276" w:lineRule="auto"/>
        <w:tabs>
          <w:tab w:leader="none" w:pos="1646" w:val="left"/>
        </w:tabs>
        <w:numPr>
          <w:ilvl w:val="0"/>
          <w:numId w:val="26"/>
        </w:numPr>
        <w:rPr>
          <w:rFonts w:ascii="Arial" w:cs="Arial" w:eastAsia="Arial" w:hAnsi="Arial"/>
          <w:sz w:val="13"/>
          <w:szCs w:val="13"/>
          <w:color w:val="auto"/>
        </w:rPr>
      </w:pPr>
      <w:r>
        <w:rPr>
          <w:rFonts w:ascii="Arial" w:cs="Arial" w:eastAsia="Arial" w:hAnsi="Arial"/>
          <w:sz w:val="13"/>
          <w:szCs w:val="13"/>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26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80"/>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000" w:firstLine="399"/>
        <w:spacing w:after="0" w:line="264" w:lineRule="auto"/>
        <w:rPr>
          <w:sz w:val="20"/>
          <w:szCs w:val="20"/>
          <w:color w:val="auto"/>
        </w:rPr>
      </w:pPr>
      <w:r>
        <w:rPr>
          <w:rFonts w:ascii="Arial" w:cs="Arial" w:eastAsia="Arial" w:hAnsi="Arial"/>
          <w:sz w:val="13"/>
          <w:szCs w:val="13"/>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Norwood, Commonwealth of Massachusetts, on June 25, 2009.</w:t>
      </w: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ANALOG DEVICES,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JERALD G. FISHMAN</w:t>
      </w:r>
    </w:p>
    <w:p>
      <w:pPr>
        <w:spacing w:after="0" w:line="15" w:lineRule="exact"/>
        <w:rPr>
          <w:sz w:val="20"/>
          <w:szCs w:val="20"/>
          <w:color w:val="auto"/>
        </w:rPr>
      </w:pPr>
    </w:p>
    <w:tbl>
      <w:tblPr>
        <w:tblLayout w:type="fixed"/>
        <w:tblInd w:w="5980" w:type="dxa"/>
        <w:tblCellMar>
          <w:top w:w="0" w:type="dxa"/>
          <w:left w:w="0" w:type="dxa"/>
          <w:bottom w:w="0" w:type="dxa"/>
          <w:right w:w="0" w:type="dxa"/>
        </w:tblCellMar>
      </w:tblPr>
      <w:tr>
        <w:trPr>
          <w:trHeight w:val="149"/>
        </w:trPr>
        <w:tc>
          <w:tcPr>
            <w:tcW w:w="4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Name:</w:t>
            </w:r>
          </w:p>
        </w:tc>
        <w:tc>
          <w:tcPr>
            <w:tcW w:w="514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Jerald G. Fishman</w:t>
            </w:r>
          </w:p>
        </w:tc>
      </w:tr>
      <w:tr>
        <w:trPr>
          <w:trHeight w:val="165"/>
        </w:trPr>
        <w:tc>
          <w:tcPr>
            <w:tcW w:w="420" w:type="dxa"/>
            <w:vAlign w:val="bottom"/>
          </w:tcPr>
          <w:p>
            <w:pPr>
              <w:spacing w:after="0"/>
              <w:rPr>
                <w:sz w:val="20"/>
                <w:szCs w:val="20"/>
                <w:color w:val="auto"/>
              </w:rPr>
            </w:pPr>
            <w:r>
              <w:rPr>
                <w:rFonts w:ascii="Arial" w:cs="Arial" w:eastAsia="Arial" w:hAnsi="Arial"/>
                <w:sz w:val="13"/>
                <w:szCs w:val="13"/>
                <w:color w:val="auto"/>
              </w:rPr>
              <w:t>Title:</w:t>
            </w:r>
          </w:p>
        </w:tc>
        <w:tc>
          <w:tcPr>
            <w:tcW w:w="5140" w:type="dxa"/>
            <w:vAlign w:val="bottom"/>
          </w:tcPr>
          <w:p>
            <w:pPr>
              <w:ind w:left="380"/>
              <w:spacing w:after="0"/>
              <w:rPr>
                <w:sz w:val="20"/>
                <w:szCs w:val="20"/>
                <w:color w:val="auto"/>
              </w:rPr>
            </w:pPr>
            <w:r>
              <w:rPr>
                <w:rFonts w:ascii="Arial" w:cs="Arial" w:eastAsia="Arial" w:hAnsi="Arial"/>
                <w:sz w:val="13"/>
                <w:szCs w:val="13"/>
                <w:color w:val="auto"/>
              </w:rPr>
              <w:t>President and Chief Executive Officer</w:t>
            </w:r>
          </w:p>
        </w:tc>
      </w:tr>
    </w:tbl>
    <w:p>
      <w:pPr>
        <w:spacing w:after="0" w:line="81" w:lineRule="exact"/>
        <w:rPr>
          <w:sz w:val="20"/>
          <w:szCs w:val="20"/>
          <w:color w:val="auto"/>
        </w:rPr>
      </w:pPr>
    </w:p>
    <w:p>
      <w:pPr>
        <w:ind w:left="680" w:right="940" w:firstLine="399"/>
        <w:spacing w:after="0" w:line="281" w:lineRule="auto"/>
        <w:rPr>
          <w:sz w:val="20"/>
          <w:szCs w:val="20"/>
          <w:color w:val="auto"/>
        </w:rPr>
      </w:pPr>
      <w:r>
        <w:rPr>
          <w:rFonts w:ascii="Arial" w:cs="Arial" w:eastAsia="Arial" w:hAnsi="Arial"/>
          <w:sz w:val="12"/>
          <w:szCs w:val="12"/>
          <w:color w:val="auto"/>
        </w:rPr>
        <w:t>We, the undersigned officers and directors of Analog Devices, Inc., hereby severally constitute and appoint Jerald G. Fishman, David A. Zinsner and Margaret K. Seif, and each of them singly, our true and lawful attorneys with full power to any of them, and to each of them singly, to sign for us and in our names in the capacities indicated below the Registration Statement on Form S-3 filed herewith and any and all amendments (including post-effective amendments) to said Registration Statement and any subsequent registration statement filed pursuant to Rule 462(b) under the Securities Act of 1933, as amended, and to file the same with all exhibits thereto, and the other documents in connection therewith, with the Securities and Exchange Commission, and generally to do all such things in our name and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 and any and all amendments thereto.</w:t>
      </w:r>
    </w:p>
    <w:p>
      <w:pPr>
        <w:spacing w:after="0" w:line="58" w:lineRule="exact"/>
        <w:rPr>
          <w:sz w:val="20"/>
          <w:szCs w:val="20"/>
          <w:color w:val="auto"/>
        </w:rPr>
      </w:pPr>
    </w:p>
    <w:p>
      <w:pPr>
        <w:ind w:left="680" w:right="1300" w:firstLine="399"/>
        <w:spacing w:after="0" w:line="276" w:lineRule="auto"/>
        <w:rPr>
          <w:sz w:val="20"/>
          <w:szCs w:val="20"/>
          <w:color w:val="auto"/>
        </w:rPr>
      </w:pPr>
      <w:r>
        <w:rPr>
          <w:rFonts w:ascii="Arial" w:cs="Arial" w:eastAsia="Arial" w:hAnsi="Arial"/>
          <w:sz w:val="13"/>
          <w:szCs w:val="13"/>
          <w:color w:val="auto"/>
        </w:rPr>
        <w:t>Pursuant to the requirements of the Securities Act of 1933, as amended, this Registration Statement has been signed by the following persons in the capacities and on the dates indicated.</w:t>
      </w:r>
    </w:p>
    <w:p>
      <w:pPr>
        <w:spacing w:after="0" w:line="61" w:lineRule="exact"/>
        <w:rPr>
          <w:sz w:val="20"/>
          <w:szCs w:val="20"/>
          <w:color w:val="auto"/>
        </w:rPr>
      </w:pPr>
    </w:p>
    <w:p>
      <w:pPr>
        <w:ind w:left="2820"/>
        <w:spacing w:after="0"/>
        <w:tabs>
          <w:tab w:leader="none" w:pos="7200" w:val="left"/>
          <w:tab w:leader="none" w:pos="100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6390640</wp:posOffset>
            </wp:positionH>
            <wp:positionV relativeFrom="paragraph">
              <wp:posOffset>12700</wp:posOffset>
            </wp:positionV>
            <wp:extent cx="635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RAY STATA</w:t>
            </w:r>
          </w:p>
        </w:tc>
        <w:tc>
          <w:tcPr>
            <w:tcW w:w="4160" w:type="dxa"/>
            <w:vAlign w:val="bottom"/>
          </w:tcPr>
          <w:p>
            <w:pPr>
              <w:jc w:val="center"/>
              <w:ind w:left="254"/>
              <w:spacing w:after="0"/>
              <w:rPr>
                <w:sz w:val="20"/>
                <w:szCs w:val="20"/>
                <w:color w:val="auto"/>
              </w:rPr>
            </w:pPr>
            <w:r>
              <w:rPr>
                <w:rFonts w:ascii="Arial" w:cs="Arial" w:eastAsia="Arial" w:hAnsi="Arial"/>
                <w:sz w:val="13"/>
                <w:szCs w:val="13"/>
                <w:color w:val="auto"/>
                <w:w w:val="91"/>
              </w:rPr>
              <w:t>Chairman of the Board</w:t>
            </w:r>
          </w:p>
        </w:tc>
        <w:tc>
          <w:tcPr>
            <w:tcW w:w="2300" w:type="dxa"/>
            <w:vAlign w:val="bottom"/>
          </w:tcPr>
          <w:p>
            <w:pPr>
              <w:ind w:left="540"/>
              <w:spacing w:after="0"/>
              <w:rPr>
                <w:sz w:val="20"/>
                <w:szCs w:val="20"/>
                <w:color w:val="auto"/>
              </w:rPr>
            </w:pPr>
            <w:r>
              <w:rPr>
                <w:rFonts w:ascii="Arial" w:cs="Arial" w:eastAsia="Arial" w:hAnsi="Arial"/>
                <w:sz w:val="13"/>
                <w:szCs w:val="13"/>
                <w:color w:val="auto"/>
              </w:rPr>
              <w:t>June 25, 2009</w:t>
            </w:r>
          </w:p>
        </w:tc>
      </w:tr>
      <w:tr>
        <w:trPr>
          <w:trHeight w:val="155"/>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Ray Stata</w:t>
            </w:r>
          </w:p>
        </w:tc>
        <w:tc>
          <w:tcPr>
            <w:tcW w:w="416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JERALD G. FISHMAN</w:t>
            </w:r>
          </w:p>
        </w:tc>
        <w:tc>
          <w:tcPr>
            <w:tcW w:w="4160" w:type="dxa"/>
            <w:vAlign w:val="bottom"/>
          </w:tcPr>
          <w:p>
            <w:pPr>
              <w:jc w:val="center"/>
              <w:ind w:left="254"/>
              <w:spacing w:after="0"/>
              <w:rPr>
                <w:sz w:val="20"/>
                <w:szCs w:val="20"/>
                <w:color w:val="auto"/>
              </w:rPr>
            </w:pPr>
            <w:r>
              <w:rPr>
                <w:rFonts w:ascii="Arial" w:cs="Arial" w:eastAsia="Arial" w:hAnsi="Arial"/>
                <w:sz w:val="13"/>
                <w:szCs w:val="13"/>
                <w:color w:val="auto"/>
                <w:w w:val="91"/>
              </w:rPr>
              <w:t>President, Chief Executive</w:t>
            </w:r>
          </w:p>
        </w:tc>
        <w:tc>
          <w:tcPr>
            <w:tcW w:w="2300" w:type="dxa"/>
            <w:vAlign w:val="bottom"/>
          </w:tcPr>
          <w:p>
            <w:pPr>
              <w:ind w:left="540"/>
              <w:spacing w:after="0"/>
              <w:rPr>
                <w:sz w:val="20"/>
                <w:szCs w:val="20"/>
                <w:color w:val="auto"/>
              </w:rPr>
            </w:pPr>
            <w:r>
              <w:rPr>
                <w:rFonts w:ascii="Arial" w:cs="Arial" w:eastAsia="Arial" w:hAnsi="Arial"/>
                <w:sz w:val="13"/>
                <w:szCs w:val="13"/>
                <w:color w:val="auto"/>
              </w:rPr>
              <w:t>June 25, 2009</w:t>
            </w:r>
          </w:p>
        </w:tc>
      </w:tr>
      <w:tr>
        <w:trPr>
          <w:trHeight w:val="130"/>
        </w:trPr>
        <w:tc>
          <w:tcPr>
            <w:tcW w:w="680" w:type="dxa"/>
            <w:vAlign w:val="bottom"/>
          </w:tcPr>
          <w:p>
            <w:pPr>
              <w:spacing w:after="0"/>
              <w:rPr>
                <w:sz w:val="11"/>
                <w:szCs w:val="11"/>
                <w:color w:val="auto"/>
              </w:rPr>
            </w:pPr>
          </w:p>
        </w:tc>
        <w:tc>
          <w:tcPr>
            <w:tcW w:w="4320" w:type="dxa"/>
            <w:vAlign w:val="bottom"/>
          </w:tcPr>
          <w:p>
            <w:pPr>
              <w:spacing w:after="0" w:line="130" w:lineRule="exact"/>
              <w:rPr>
                <w:sz w:val="20"/>
                <w:szCs w:val="20"/>
                <w:color w:val="auto"/>
              </w:rPr>
            </w:pPr>
            <w:r>
              <w:rPr>
                <w:rFonts w:ascii="Arial" w:cs="Arial" w:eastAsia="Arial" w:hAnsi="Arial"/>
                <w:sz w:val="13"/>
                <w:szCs w:val="13"/>
                <w:color w:val="auto"/>
              </w:rPr>
              <w:t>Jerald G. Fishman</w:t>
            </w:r>
          </w:p>
        </w:tc>
        <w:tc>
          <w:tcPr>
            <w:tcW w:w="4160" w:type="dxa"/>
            <w:vAlign w:val="bottom"/>
          </w:tcPr>
          <w:p>
            <w:pPr>
              <w:jc w:val="center"/>
              <w:ind w:left="254"/>
              <w:spacing w:after="0" w:line="130" w:lineRule="exact"/>
              <w:rPr>
                <w:sz w:val="20"/>
                <w:szCs w:val="20"/>
                <w:color w:val="auto"/>
              </w:rPr>
            </w:pPr>
            <w:r>
              <w:rPr>
                <w:rFonts w:ascii="Arial" w:cs="Arial" w:eastAsia="Arial" w:hAnsi="Arial"/>
                <w:sz w:val="13"/>
                <w:szCs w:val="13"/>
                <w:color w:val="auto"/>
                <w:w w:val="95"/>
              </w:rPr>
              <w:t>Officer and Director</w:t>
            </w:r>
          </w:p>
        </w:tc>
        <w:tc>
          <w:tcPr>
            <w:tcW w:w="230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160" w:type="dxa"/>
            <w:vAlign w:val="bottom"/>
          </w:tcPr>
          <w:p>
            <w:pPr>
              <w:jc w:val="center"/>
              <w:ind w:left="254"/>
              <w:spacing w:after="0"/>
              <w:rPr>
                <w:sz w:val="20"/>
                <w:szCs w:val="20"/>
                <w:color w:val="auto"/>
              </w:rPr>
            </w:pPr>
            <w:r>
              <w:rPr>
                <w:rFonts w:ascii="Arial" w:cs="Arial" w:eastAsia="Arial" w:hAnsi="Arial"/>
                <w:sz w:val="13"/>
                <w:szCs w:val="13"/>
                <w:color w:val="auto"/>
                <w:w w:val="94"/>
              </w:rPr>
              <w:t>(Principal Executive Officer)</w:t>
            </w:r>
          </w:p>
        </w:tc>
        <w:tc>
          <w:tcPr>
            <w:tcW w:w="230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DAVID A. ZINSNER</w:t>
            </w:r>
          </w:p>
        </w:tc>
        <w:tc>
          <w:tcPr>
            <w:tcW w:w="4160" w:type="dxa"/>
            <w:vAlign w:val="bottom"/>
          </w:tcPr>
          <w:p>
            <w:pPr>
              <w:jc w:val="center"/>
              <w:ind w:left="254"/>
              <w:spacing w:after="0"/>
              <w:rPr>
                <w:sz w:val="20"/>
                <w:szCs w:val="20"/>
                <w:color w:val="auto"/>
              </w:rPr>
            </w:pPr>
            <w:r>
              <w:rPr>
                <w:rFonts w:ascii="Arial" w:cs="Arial" w:eastAsia="Arial" w:hAnsi="Arial"/>
                <w:sz w:val="13"/>
                <w:szCs w:val="13"/>
                <w:color w:val="auto"/>
                <w:w w:val="92"/>
              </w:rPr>
              <w:t>Vice President, Finance and Chief Financial Officer</w:t>
            </w:r>
          </w:p>
        </w:tc>
        <w:tc>
          <w:tcPr>
            <w:tcW w:w="2300" w:type="dxa"/>
            <w:vAlign w:val="bottom"/>
          </w:tcPr>
          <w:p>
            <w:pPr>
              <w:ind w:left="540"/>
              <w:spacing w:after="0"/>
              <w:rPr>
                <w:sz w:val="20"/>
                <w:szCs w:val="20"/>
                <w:color w:val="auto"/>
              </w:rPr>
            </w:pPr>
            <w:r>
              <w:rPr>
                <w:rFonts w:ascii="Arial" w:cs="Arial" w:eastAsia="Arial" w:hAnsi="Arial"/>
                <w:sz w:val="13"/>
                <w:szCs w:val="13"/>
                <w:color w:val="auto"/>
              </w:rPr>
              <w:t>June 25, 2009</w:t>
            </w:r>
          </w:p>
        </w:tc>
      </w:tr>
      <w:tr>
        <w:trPr>
          <w:trHeight w:val="156"/>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David A. Zinsner</w:t>
            </w:r>
          </w:p>
        </w:tc>
        <w:tc>
          <w:tcPr>
            <w:tcW w:w="4160" w:type="dxa"/>
            <w:vAlign w:val="bottom"/>
          </w:tcPr>
          <w:p>
            <w:pPr>
              <w:jc w:val="center"/>
              <w:ind w:left="254"/>
              <w:spacing w:after="0" w:line="145" w:lineRule="exact"/>
              <w:rPr>
                <w:sz w:val="20"/>
                <w:szCs w:val="20"/>
                <w:color w:val="auto"/>
              </w:rPr>
            </w:pPr>
            <w:r>
              <w:rPr>
                <w:rFonts w:ascii="Arial" w:cs="Arial" w:eastAsia="Arial" w:hAnsi="Arial"/>
                <w:sz w:val="13"/>
                <w:szCs w:val="13"/>
                <w:color w:val="auto"/>
                <w:w w:val="94"/>
              </w:rPr>
              <w:t>(Principal Financial Officer)</w:t>
            </w:r>
          </w:p>
        </w:tc>
        <w:tc>
          <w:tcPr>
            <w:tcW w:w="23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SEAMUS BRENNAN</w:t>
            </w:r>
          </w:p>
        </w:tc>
        <w:tc>
          <w:tcPr>
            <w:tcW w:w="4160" w:type="dxa"/>
            <w:vAlign w:val="bottom"/>
          </w:tcPr>
          <w:p>
            <w:pPr>
              <w:jc w:val="center"/>
              <w:ind w:left="254"/>
              <w:spacing w:after="0"/>
              <w:rPr>
                <w:sz w:val="20"/>
                <w:szCs w:val="20"/>
                <w:color w:val="auto"/>
              </w:rPr>
            </w:pPr>
            <w:r>
              <w:rPr>
                <w:rFonts w:ascii="Arial" w:cs="Arial" w:eastAsia="Arial" w:hAnsi="Arial"/>
                <w:sz w:val="13"/>
                <w:szCs w:val="13"/>
                <w:color w:val="auto"/>
                <w:w w:val="91"/>
              </w:rPr>
              <w:t>Vice President, Corporate Controller</w:t>
            </w:r>
          </w:p>
        </w:tc>
        <w:tc>
          <w:tcPr>
            <w:tcW w:w="2300" w:type="dxa"/>
            <w:vAlign w:val="bottom"/>
          </w:tcPr>
          <w:p>
            <w:pPr>
              <w:ind w:left="540"/>
              <w:spacing w:after="0"/>
              <w:rPr>
                <w:sz w:val="20"/>
                <w:szCs w:val="20"/>
                <w:color w:val="auto"/>
              </w:rPr>
            </w:pPr>
            <w:r>
              <w:rPr>
                <w:rFonts w:ascii="Arial" w:cs="Arial" w:eastAsia="Arial" w:hAnsi="Arial"/>
                <w:sz w:val="13"/>
                <w:szCs w:val="13"/>
                <w:color w:val="auto"/>
              </w:rPr>
              <w:t>June 25, 2009</w:t>
            </w:r>
          </w:p>
        </w:tc>
      </w:tr>
      <w:tr>
        <w:trPr>
          <w:trHeight w:val="130"/>
        </w:trPr>
        <w:tc>
          <w:tcPr>
            <w:tcW w:w="680" w:type="dxa"/>
            <w:vAlign w:val="bottom"/>
          </w:tcPr>
          <w:p>
            <w:pPr>
              <w:spacing w:after="0"/>
              <w:rPr>
                <w:sz w:val="11"/>
                <w:szCs w:val="11"/>
                <w:color w:val="auto"/>
              </w:rPr>
            </w:pPr>
          </w:p>
        </w:tc>
        <w:tc>
          <w:tcPr>
            <w:tcW w:w="4320" w:type="dxa"/>
            <w:vAlign w:val="bottom"/>
          </w:tcPr>
          <w:p>
            <w:pPr>
              <w:spacing w:after="0" w:line="130" w:lineRule="exact"/>
              <w:rPr>
                <w:sz w:val="20"/>
                <w:szCs w:val="20"/>
                <w:color w:val="auto"/>
              </w:rPr>
            </w:pPr>
            <w:r>
              <w:rPr>
                <w:rFonts w:ascii="Arial" w:cs="Arial" w:eastAsia="Arial" w:hAnsi="Arial"/>
                <w:sz w:val="13"/>
                <w:szCs w:val="13"/>
                <w:color w:val="auto"/>
              </w:rPr>
              <w:t>Seamus Brennan</w:t>
            </w:r>
          </w:p>
        </w:tc>
        <w:tc>
          <w:tcPr>
            <w:tcW w:w="4160" w:type="dxa"/>
            <w:vAlign w:val="bottom"/>
          </w:tcPr>
          <w:p>
            <w:pPr>
              <w:jc w:val="center"/>
              <w:ind w:left="254"/>
              <w:spacing w:after="0" w:line="130" w:lineRule="exact"/>
              <w:rPr>
                <w:sz w:val="20"/>
                <w:szCs w:val="20"/>
                <w:color w:val="auto"/>
              </w:rPr>
            </w:pPr>
            <w:r>
              <w:rPr>
                <w:rFonts w:ascii="Arial" w:cs="Arial" w:eastAsia="Arial" w:hAnsi="Arial"/>
                <w:sz w:val="13"/>
                <w:szCs w:val="13"/>
                <w:color w:val="auto"/>
                <w:w w:val="94"/>
              </w:rPr>
              <w:t>and Chief Accounting Officer</w:t>
            </w:r>
          </w:p>
        </w:tc>
        <w:tc>
          <w:tcPr>
            <w:tcW w:w="2300" w:type="dxa"/>
            <w:vAlign w:val="bottom"/>
          </w:tcPr>
          <w:p>
            <w:pPr>
              <w:spacing w:after="0"/>
              <w:rPr>
                <w:sz w:val="11"/>
                <w:szCs w:val="11"/>
                <w:color w:val="auto"/>
              </w:rPr>
            </w:pPr>
          </w:p>
        </w:tc>
      </w:tr>
      <w:tr>
        <w:trPr>
          <w:trHeight w:val="165"/>
        </w:trPr>
        <w:tc>
          <w:tcPr>
            <w:tcW w:w="6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4160" w:type="dxa"/>
            <w:vAlign w:val="bottom"/>
          </w:tcPr>
          <w:p>
            <w:pPr>
              <w:jc w:val="center"/>
              <w:ind w:left="254"/>
              <w:spacing w:after="0"/>
              <w:rPr>
                <w:sz w:val="20"/>
                <w:szCs w:val="20"/>
                <w:color w:val="auto"/>
              </w:rPr>
            </w:pPr>
            <w:r>
              <w:rPr>
                <w:rFonts w:ascii="Arial" w:cs="Arial" w:eastAsia="Arial" w:hAnsi="Arial"/>
                <w:sz w:val="13"/>
                <w:szCs w:val="13"/>
                <w:color w:val="auto"/>
                <w:w w:val="95"/>
              </w:rPr>
              <w:t>(Principal Accounting Officer)</w:t>
            </w:r>
          </w:p>
        </w:tc>
        <w:tc>
          <w:tcPr>
            <w:tcW w:w="2300" w:type="dxa"/>
            <w:vAlign w:val="bottom"/>
          </w:tcPr>
          <w:p>
            <w:pPr>
              <w:spacing w:after="0"/>
              <w:rPr>
                <w:sz w:val="14"/>
                <w:szCs w:val="14"/>
                <w:color w:val="auto"/>
              </w:rPr>
            </w:pPr>
          </w:p>
        </w:tc>
      </w:tr>
      <w:tr>
        <w:trPr>
          <w:trHeight w:val="315"/>
        </w:trPr>
        <w:tc>
          <w:tcPr>
            <w:tcW w:w="68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JAMES A. CHAMPY</w:t>
            </w:r>
          </w:p>
        </w:tc>
        <w:tc>
          <w:tcPr>
            <w:tcW w:w="4160" w:type="dxa"/>
            <w:vAlign w:val="bottom"/>
          </w:tcPr>
          <w:p>
            <w:pPr>
              <w:jc w:val="center"/>
              <w:ind w:left="254"/>
              <w:spacing w:after="0"/>
              <w:rPr>
                <w:sz w:val="20"/>
                <w:szCs w:val="20"/>
                <w:color w:val="auto"/>
              </w:rPr>
            </w:pPr>
            <w:r>
              <w:rPr>
                <w:rFonts w:ascii="Arial" w:cs="Arial" w:eastAsia="Arial" w:hAnsi="Arial"/>
                <w:sz w:val="13"/>
                <w:szCs w:val="13"/>
                <w:color w:val="auto"/>
                <w:w w:val="96"/>
              </w:rPr>
              <w:t>Director</w:t>
            </w:r>
          </w:p>
        </w:tc>
        <w:tc>
          <w:tcPr>
            <w:tcW w:w="2300" w:type="dxa"/>
            <w:vAlign w:val="bottom"/>
          </w:tcPr>
          <w:p>
            <w:pPr>
              <w:ind w:left="540"/>
              <w:spacing w:after="0"/>
              <w:rPr>
                <w:sz w:val="20"/>
                <w:szCs w:val="20"/>
                <w:color w:val="auto"/>
              </w:rPr>
            </w:pPr>
            <w:r>
              <w:rPr>
                <w:rFonts w:ascii="Arial" w:cs="Arial" w:eastAsia="Arial" w:hAnsi="Arial"/>
                <w:sz w:val="13"/>
                <w:szCs w:val="13"/>
                <w:color w:val="auto"/>
              </w:rPr>
              <w:t>June 25, 2009</w:t>
            </w:r>
          </w:p>
        </w:tc>
      </w:tr>
      <w:tr>
        <w:trPr>
          <w:trHeight w:val="155"/>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James A. Champy</w:t>
            </w:r>
          </w:p>
        </w:tc>
        <w:tc>
          <w:tcPr>
            <w:tcW w:w="416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JOHN L. DOYLE</w:t>
            </w:r>
          </w:p>
        </w:tc>
        <w:tc>
          <w:tcPr>
            <w:tcW w:w="4160" w:type="dxa"/>
            <w:vAlign w:val="bottom"/>
          </w:tcPr>
          <w:p>
            <w:pPr>
              <w:jc w:val="center"/>
              <w:ind w:left="254"/>
              <w:spacing w:after="0"/>
              <w:rPr>
                <w:sz w:val="20"/>
                <w:szCs w:val="20"/>
                <w:color w:val="auto"/>
              </w:rPr>
            </w:pPr>
            <w:r>
              <w:rPr>
                <w:rFonts w:ascii="Arial" w:cs="Arial" w:eastAsia="Arial" w:hAnsi="Arial"/>
                <w:sz w:val="13"/>
                <w:szCs w:val="13"/>
                <w:color w:val="auto"/>
                <w:w w:val="96"/>
              </w:rPr>
              <w:t>Director</w:t>
            </w:r>
          </w:p>
        </w:tc>
        <w:tc>
          <w:tcPr>
            <w:tcW w:w="2300" w:type="dxa"/>
            <w:vAlign w:val="bottom"/>
          </w:tcPr>
          <w:p>
            <w:pPr>
              <w:ind w:left="540"/>
              <w:spacing w:after="0"/>
              <w:rPr>
                <w:sz w:val="20"/>
                <w:szCs w:val="20"/>
                <w:color w:val="auto"/>
              </w:rPr>
            </w:pPr>
            <w:r>
              <w:rPr>
                <w:rFonts w:ascii="Arial" w:cs="Arial" w:eastAsia="Arial" w:hAnsi="Arial"/>
                <w:sz w:val="13"/>
                <w:szCs w:val="13"/>
                <w:color w:val="auto"/>
              </w:rPr>
              <w:t>June 25, 2009</w:t>
            </w:r>
          </w:p>
        </w:tc>
      </w:tr>
      <w:tr>
        <w:trPr>
          <w:trHeight w:val="155"/>
        </w:trPr>
        <w:tc>
          <w:tcPr>
            <w:tcW w:w="68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Arial" w:cs="Arial" w:eastAsia="Arial" w:hAnsi="Arial"/>
                <w:sz w:val="13"/>
                <w:szCs w:val="13"/>
                <w:color w:val="auto"/>
              </w:rPr>
              <w:t>John L. Doyle</w:t>
            </w:r>
          </w:p>
        </w:tc>
        <w:tc>
          <w:tcPr>
            <w:tcW w:w="416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160" w:type="dxa"/>
            <w:vAlign w:val="bottom"/>
          </w:tcPr>
          <w:p>
            <w:pPr>
              <w:ind w:left="580"/>
              <w:spacing w:after="0"/>
              <w:rPr>
                <w:sz w:val="20"/>
                <w:szCs w:val="20"/>
                <w:color w:val="auto"/>
              </w:rPr>
            </w:pPr>
            <w:r>
              <w:rPr>
                <w:rFonts w:ascii="Arial" w:cs="Arial" w:eastAsia="Arial" w:hAnsi="Arial"/>
                <w:sz w:val="13"/>
                <w:szCs w:val="13"/>
                <w:color w:val="auto"/>
              </w:rPr>
              <w:t>II-5</w:t>
            </w:r>
          </w:p>
        </w:tc>
        <w:tc>
          <w:tcPr>
            <w:tcW w:w="23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320" w:type="dxa"/>
            <w:vAlign w:val="bottom"/>
            <w:tcBorders>
              <w:bottom w:val="single" w:sz="8" w:color="808080"/>
            </w:tcBorders>
          </w:tcPr>
          <w:p>
            <w:pPr>
              <w:spacing w:after="0"/>
              <w:rPr>
                <w:sz w:val="14"/>
                <w:szCs w:val="14"/>
                <w:color w:val="auto"/>
              </w:rPr>
            </w:pPr>
          </w:p>
        </w:tc>
        <w:tc>
          <w:tcPr>
            <w:tcW w:w="4160" w:type="dxa"/>
            <w:vAlign w:val="bottom"/>
            <w:tcBorders>
              <w:bottom w:val="single" w:sz="8" w:color="808080"/>
            </w:tcBorders>
          </w:tcPr>
          <w:p>
            <w:pPr>
              <w:spacing w:after="0"/>
              <w:rPr>
                <w:sz w:val="14"/>
                <w:szCs w:val="14"/>
                <w:color w:val="auto"/>
              </w:rPr>
            </w:pPr>
          </w:p>
        </w:tc>
        <w:tc>
          <w:tcPr>
            <w:tcW w:w="23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540"/>
          </w:cols>
          <w:pgMar w:left="220" w:top="343" w:right="1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2820"/>
        <w:spacing w:after="0"/>
        <w:tabs>
          <w:tab w:leader="none" w:pos="7200" w:val="left"/>
          <w:tab w:leader="none" w:pos="100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6390640</wp:posOffset>
            </wp:positionH>
            <wp:positionV relativeFrom="paragraph">
              <wp:posOffset>12700</wp:posOffset>
            </wp:positionV>
            <wp:extent cx="635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gridSpan w:val="2"/>
          </w:tcPr>
          <w:p>
            <w:pPr>
              <w:ind w:left="680"/>
              <w:spacing w:after="0"/>
              <w:rPr>
                <w:sz w:val="20"/>
                <w:szCs w:val="20"/>
                <w:color w:val="auto"/>
              </w:rPr>
            </w:pPr>
            <w:r>
              <w:rPr>
                <w:rFonts w:ascii="Arial" w:cs="Arial" w:eastAsia="Arial" w:hAnsi="Arial"/>
                <w:sz w:val="13"/>
                <w:szCs w:val="13"/>
                <w:color w:val="auto"/>
              </w:rPr>
              <w:t>/s/ JOHN C. HODGSON</w:t>
            </w:r>
          </w:p>
        </w:tc>
        <w:tc>
          <w:tcPr>
            <w:tcW w:w="358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2880" w:type="dxa"/>
            <w:vAlign w:val="bottom"/>
          </w:tcPr>
          <w:p>
            <w:pPr>
              <w:ind w:left="1120"/>
              <w:spacing w:after="0"/>
              <w:rPr>
                <w:sz w:val="20"/>
                <w:szCs w:val="20"/>
                <w:color w:val="auto"/>
              </w:rPr>
            </w:pPr>
            <w:r>
              <w:rPr>
                <w:rFonts w:ascii="Arial" w:cs="Arial" w:eastAsia="Arial" w:hAnsi="Arial"/>
                <w:sz w:val="13"/>
                <w:szCs w:val="13"/>
                <w:color w:val="auto"/>
              </w:rPr>
              <w:t>June 25, 2009</w:t>
            </w:r>
          </w:p>
        </w:tc>
      </w:tr>
      <w:tr>
        <w:trPr>
          <w:trHeight w:val="160"/>
        </w:trPr>
        <w:tc>
          <w:tcPr>
            <w:tcW w:w="820" w:type="dxa"/>
            <w:vAlign w:val="bottom"/>
          </w:tcPr>
          <w:p>
            <w:pPr>
              <w:spacing w:after="0"/>
              <w:rPr>
                <w:sz w:val="13"/>
                <w:szCs w:val="13"/>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John C. Hodgson</w:t>
            </w:r>
          </w:p>
        </w:tc>
        <w:tc>
          <w:tcPr>
            <w:tcW w:w="358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301"/>
        </w:trPr>
        <w:tc>
          <w:tcPr>
            <w:tcW w:w="5000" w:type="dxa"/>
            <w:vAlign w:val="bottom"/>
            <w:gridSpan w:val="2"/>
          </w:tcPr>
          <w:p>
            <w:pPr>
              <w:ind w:left="680"/>
              <w:spacing w:after="0"/>
              <w:rPr>
                <w:sz w:val="20"/>
                <w:szCs w:val="20"/>
                <w:color w:val="auto"/>
              </w:rPr>
            </w:pPr>
            <w:r>
              <w:rPr>
                <w:rFonts w:ascii="Arial" w:cs="Arial" w:eastAsia="Arial" w:hAnsi="Arial"/>
                <w:sz w:val="13"/>
                <w:szCs w:val="13"/>
                <w:color w:val="auto"/>
              </w:rPr>
              <w:t>/s/ YVES-ANDRE ISTEL</w:t>
            </w:r>
          </w:p>
        </w:tc>
        <w:tc>
          <w:tcPr>
            <w:tcW w:w="358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2880" w:type="dxa"/>
            <w:vAlign w:val="bottom"/>
          </w:tcPr>
          <w:p>
            <w:pPr>
              <w:ind w:left="1120"/>
              <w:spacing w:after="0"/>
              <w:rPr>
                <w:sz w:val="20"/>
                <w:szCs w:val="20"/>
                <w:color w:val="auto"/>
              </w:rPr>
            </w:pPr>
            <w:r>
              <w:rPr>
                <w:rFonts w:ascii="Arial" w:cs="Arial" w:eastAsia="Arial" w:hAnsi="Arial"/>
                <w:sz w:val="13"/>
                <w:szCs w:val="13"/>
                <w:color w:val="auto"/>
              </w:rPr>
              <w:t>June 25, 2009</w:t>
            </w:r>
          </w:p>
        </w:tc>
      </w:tr>
      <w:tr>
        <w:trPr>
          <w:trHeight w:val="160"/>
        </w:trPr>
        <w:tc>
          <w:tcPr>
            <w:tcW w:w="820" w:type="dxa"/>
            <w:vAlign w:val="bottom"/>
          </w:tcPr>
          <w:p>
            <w:pPr>
              <w:spacing w:after="0"/>
              <w:rPr>
                <w:sz w:val="13"/>
                <w:szCs w:val="13"/>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Yves-Andre Istel</w:t>
            </w:r>
          </w:p>
        </w:tc>
        <w:tc>
          <w:tcPr>
            <w:tcW w:w="358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301"/>
        </w:trPr>
        <w:tc>
          <w:tcPr>
            <w:tcW w:w="5000" w:type="dxa"/>
            <w:vAlign w:val="bottom"/>
            <w:gridSpan w:val="2"/>
          </w:tcPr>
          <w:p>
            <w:pPr>
              <w:ind w:left="680"/>
              <w:spacing w:after="0"/>
              <w:rPr>
                <w:sz w:val="20"/>
                <w:szCs w:val="20"/>
                <w:color w:val="auto"/>
              </w:rPr>
            </w:pPr>
            <w:r>
              <w:rPr>
                <w:rFonts w:ascii="Arial" w:cs="Arial" w:eastAsia="Arial" w:hAnsi="Arial"/>
                <w:sz w:val="13"/>
                <w:szCs w:val="13"/>
                <w:color w:val="auto"/>
              </w:rPr>
              <w:t>/s/ NEIL NOVICH</w:t>
            </w:r>
          </w:p>
        </w:tc>
        <w:tc>
          <w:tcPr>
            <w:tcW w:w="358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2880" w:type="dxa"/>
            <w:vAlign w:val="bottom"/>
          </w:tcPr>
          <w:p>
            <w:pPr>
              <w:ind w:left="1120"/>
              <w:spacing w:after="0"/>
              <w:rPr>
                <w:sz w:val="20"/>
                <w:szCs w:val="20"/>
                <w:color w:val="auto"/>
              </w:rPr>
            </w:pPr>
            <w:r>
              <w:rPr>
                <w:rFonts w:ascii="Arial" w:cs="Arial" w:eastAsia="Arial" w:hAnsi="Arial"/>
                <w:sz w:val="13"/>
                <w:szCs w:val="13"/>
                <w:color w:val="auto"/>
              </w:rPr>
              <w:t>June 25, 2009</w:t>
            </w:r>
          </w:p>
        </w:tc>
      </w:tr>
      <w:tr>
        <w:trPr>
          <w:trHeight w:val="160"/>
        </w:trPr>
        <w:tc>
          <w:tcPr>
            <w:tcW w:w="820" w:type="dxa"/>
            <w:vAlign w:val="bottom"/>
          </w:tcPr>
          <w:p>
            <w:pPr>
              <w:spacing w:after="0"/>
              <w:rPr>
                <w:sz w:val="13"/>
                <w:szCs w:val="13"/>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Neil Novich</w:t>
            </w:r>
          </w:p>
        </w:tc>
        <w:tc>
          <w:tcPr>
            <w:tcW w:w="358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301"/>
        </w:trPr>
        <w:tc>
          <w:tcPr>
            <w:tcW w:w="5000" w:type="dxa"/>
            <w:vAlign w:val="bottom"/>
            <w:gridSpan w:val="2"/>
          </w:tcPr>
          <w:p>
            <w:pPr>
              <w:ind w:left="680"/>
              <w:spacing w:after="0"/>
              <w:rPr>
                <w:sz w:val="20"/>
                <w:szCs w:val="20"/>
                <w:color w:val="auto"/>
              </w:rPr>
            </w:pPr>
            <w:r>
              <w:rPr>
                <w:rFonts w:ascii="Arial" w:cs="Arial" w:eastAsia="Arial" w:hAnsi="Arial"/>
                <w:sz w:val="13"/>
                <w:szCs w:val="13"/>
                <w:color w:val="auto"/>
              </w:rPr>
              <w:t>/s/ F. GRANT SAVIERS</w:t>
            </w:r>
          </w:p>
        </w:tc>
        <w:tc>
          <w:tcPr>
            <w:tcW w:w="358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2880" w:type="dxa"/>
            <w:vAlign w:val="bottom"/>
          </w:tcPr>
          <w:p>
            <w:pPr>
              <w:ind w:left="1120"/>
              <w:spacing w:after="0"/>
              <w:rPr>
                <w:sz w:val="20"/>
                <w:szCs w:val="20"/>
                <w:color w:val="auto"/>
              </w:rPr>
            </w:pPr>
            <w:r>
              <w:rPr>
                <w:rFonts w:ascii="Arial" w:cs="Arial" w:eastAsia="Arial" w:hAnsi="Arial"/>
                <w:sz w:val="13"/>
                <w:szCs w:val="13"/>
                <w:color w:val="auto"/>
              </w:rPr>
              <w:t>June 25, 2009</w:t>
            </w:r>
          </w:p>
        </w:tc>
      </w:tr>
      <w:tr>
        <w:trPr>
          <w:trHeight w:val="160"/>
        </w:trPr>
        <w:tc>
          <w:tcPr>
            <w:tcW w:w="820" w:type="dxa"/>
            <w:vAlign w:val="bottom"/>
          </w:tcPr>
          <w:p>
            <w:pPr>
              <w:spacing w:after="0"/>
              <w:rPr>
                <w:sz w:val="13"/>
                <w:szCs w:val="13"/>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F. Grant Saviers</w:t>
            </w:r>
          </w:p>
        </w:tc>
        <w:tc>
          <w:tcPr>
            <w:tcW w:w="358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301"/>
        </w:trPr>
        <w:tc>
          <w:tcPr>
            <w:tcW w:w="5000" w:type="dxa"/>
            <w:vAlign w:val="bottom"/>
            <w:gridSpan w:val="2"/>
          </w:tcPr>
          <w:p>
            <w:pPr>
              <w:ind w:left="680"/>
              <w:spacing w:after="0"/>
              <w:rPr>
                <w:sz w:val="20"/>
                <w:szCs w:val="20"/>
                <w:color w:val="auto"/>
              </w:rPr>
            </w:pPr>
            <w:r>
              <w:rPr>
                <w:rFonts w:ascii="Arial" w:cs="Arial" w:eastAsia="Arial" w:hAnsi="Arial"/>
                <w:sz w:val="13"/>
                <w:szCs w:val="13"/>
                <w:color w:val="auto"/>
              </w:rPr>
              <w:t>/s/ PAUL J. SEVERINO</w:t>
            </w:r>
          </w:p>
        </w:tc>
        <w:tc>
          <w:tcPr>
            <w:tcW w:w="358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2880" w:type="dxa"/>
            <w:vAlign w:val="bottom"/>
          </w:tcPr>
          <w:p>
            <w:pPr>
              <w:ind w:left="1120"/>
              <w:spacing w:after="0"/>
              <w:rPr>
                <w:sz w:val="20"/>
                <w:szCs w:val="20"/>
                <w:color w:val="auto"/>
              </w:rPr>
            </w:pPr>
            <w:r>
              <w:rPr>
                <w:rFonts w:ascii="Arial" w:cs="Arial" w:eastAsia="Arial" w:hAnsi="Arial"/>
                <w:sz w:val="13"/>
                <w:szCs w:val="13"/>
                <w:color w:val="auto"/>
              </w:rPr>
              <w:t>June 25, 2009</w:t>
            </w:r>
          </w:p>
        </w:tc>
      </w:tr>
      <w:tr>
        <w:trPr>
          <w:trHeight w:val="160"/>
        </w:trPr>
        <w:tc>
          <w:tcPr>
            <w:tcW w:w="820" w:type="dxa"/>
            <w:vAlign w:val="bottom"/>
          </w:tcPr>
          <w:p>
            <w:pPr>
              <w:spacing w:after="0"/>
              <w:rPr>
                <w:sz w:val="13"/>
                <w:szCs w:val="13"/>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Paul J. Severino</w:t>
            </w:r>
          </w:p>
        </w:tc>
        <w:tc>
          <w:tcPr>
            <w:tcW w:w="358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301"/>
        </w:trPr>
        <w:tc>
          <w:tcPr>
            <w:tcW w:w="5000" w:type="dxa"/>
            <w:vAlign w:val="bottom"/>
            <w:gridSpan w:val="2"/>
          </w:tcPr>
          <w:p>
            <w:pPr>
              <w:ind w:left="680"/>
              <w:spacing w:after="0"/>
              <w:rPr>
                <w:sz w:val="20"/>
                <w:szCs w:val="20"/>
                <w:color w:val="auto"/>
              </w:rPr>
            </w:pPr>
            <w:r>
              <w:rPr>
                <w:rFonts w:ascii="Arial" w:cs="Arial" w:eastAsia="Arial" w:hAnsi="Arial"/>
                <w:sz w:val="13"/>
                <w:szCs w:val="13"/>
                <w:color w:val="auto"/>
              </w:rPr>
              <w:t>/s/ KENTON J. SICCHITANO</w:t>
            </w:r>
          </w:p>
        </w:tc>
        <w:tc>
          <w:tcPr>
            <w:tcW w:w="3580" w:type="dxa"/>
            <w:vAlign w:val="bottom"/>
          </w:tcPr>
          <w:p>
            <w:pPr>
              <w:ind w:left="2020"/>
              <w:spacing w:after="0"/>
              <w:rPr>
                <w:sz w:val="20"/>
                <w:szCs w:val="20"/>
                <w:color w:val="auto"/>
              </w:rPr>
            </w:pPr>
            <w:r>
              <w:rPr>
                <w:rFonts w:ascii="Arial" w:cs="Arial" w:eastAsia="Arial" w:hAnsi="Arial"/>
                <w:sz w:val="13"/>
                <w:szCs w:val="13"/>
                <w:color w:val="auto"/>
              </w:rPr>
              <w:t>Director</w:t>
            </w:r>
          </w:p>
        </w:tc>
        <w:tc>
          <w:tcPr>
            <w:tcW w:w="2880" w:type="dxa"/>
            <w:vAlign w:val="bottom"/>
          </w:tcPr>
          <w:p>
            <w:pPr>
              <w:ind w:left="1120"/>
              <w:spacing w:after="0"/>
              <w:rPr>
                <w:sz w:val="20"/>
                <w:szCs w:val="20"/>
                <w:color w:val="auto"/>
              </w:rPr>
            </w:pPr>
            <w:r>
              <w:rPr>
                <w:rFonts w:ascii="Arial" w:cs="Arial" w:eastAsia="Arial" w:hAnsi="Arial"/>
                <w:sz w:val="13"/>
                <w:szCs w:val="13"/>
                <w:color w:val="auto"/>
              </w:rPr>
              <w:t>June 25, 2009</w:t>
            </w:r>
          </w:p>
        </w:tc>
      </w:tr>
      <w:tr>
        <w:trPr>
          <w:trHeight w:val="160"/>
        </w:trPr>
        <w:tc>
          <w:tcPr>
            <w:tcW w:w="820" w:type="dxa"/>
            <w:vAlign w:val="bottom"/>
          </w:tcPr>
          <w:p>
            <w:pPr>
              <w:spacing w:after="0"/>
              <w:rPr>
                <w:sz w:val="13"/>
                <w:szCs w:val="13"/>
                <w:color w:val="auto"/>
              </w:rPr>
            </w:pPr>
          </w:p>
        </w:tc>
        <w:tc>
          <w:tcPr>
            <w:tcW w:w="41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Kenton J. Sicchitano</w:t>
            </w:r>
          </w:p>
        </w:tc>
        <w:tc>
          <w:tcPr>
            <w:tcW w:w="358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434"/>
        </w:trPr>
        <w:tc>
          <w:tcPr>
            <w:tcW w:w="8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580" w:type="dxa"/>
            <w:vAlign w:val="bottom"/>
          </w:tcPr>
          <w:p>
            <w:pPr>
              <w:ind w:left="580"/>
              <w:spacing w:after="0"/>
              <w:rPr>
                <w:sz w:val="20"/>
                <w:szCs w:val="20"/>
                <w:color w:val="auto"/>
              </w:rPr>
            </w:pPr>
            <w:r>
              <w:rPr>
                <w:rFonts w:ascii="Arial" w:cs="Arial" w:eastAsia="Arial" w:hAnsi="Arial"/>
                <w:sz w:val="13"/>
                <w:szCs w:val="13"/>
                <w:color w:val="auto"/>
              </w:rPr>
              <w:t>II-6</w:t>
            </w:r>
          </w:p>
        </w:tc>
        <w:tc>
          <w:tcPr>
            <w:tcW w:w="2880" w:type="dxa"/>
            <w:vAlign w:val="bottom"/>
          </w:tcPr>
          <w:p>
            <w:pPr>
              <w:spacing w:after="0"/>
              <w:rPr>
                <w:sz w:val="24"/>
                <w:szCs w:val="24"/>
                <w:color w:val="auto"/>
              </w:rPr>
            </w:pPr>
          </w:p>
        </w:tc>
      </w:tr>
      <w:tr>
        <w:trPr>
          <w:trHeight w:val="163"/>
        </w:trPr>
        <w:tc>
          <w:tcPr>
            <w:tcW w:w="820" w:type="dxa"/>
            <w:vAlign w:val="bottom"/>
            <w:tcBorders>
              <w:bottom w:val="single" w:sz="8" w:color="808080"/>
            </w:tcBorders>
          </w:tcPr>
          <w:p>
            <w:pPr>
              <w:spacing w:after="0"/>
              <w:rPr>
                <w:sz w:val="14"/>
                <w:szCs w:val="14"/>
                <w:color w:val="auto"/>
              </w:rPr>
            </w:pPr>
          </w:p>
        </w:tc>
        <w:tc>
          <w:tcPr>
            <w:tcW w:w="4180" w:type="dxa"/>
            <w:vAlign w:val="bottom"/>
            <w:tcBorders>
              <w:bottom w:val="single" w:sz="8" w:color="808080"/>
            </w:tcBorders>
          </w:tcPr>
          <w:p>
            <w:pPr>
              <w:spacing w:after="0"/>
              <w:rPr>
                <w:sz w:val="14"/>
                <w:szCs w:val="14"/>
                <w:color w:val="auto"/>
              </w:rPr>
            </w:pPr>
          </w:p>
        </w:tc>
        <w:tc>
          <w:tcPr>
            <w:tcW w:w="3580" w:type="dxa"/>
            <w:vAlign w:val="bottom"/>
            <w:tcBorders>
              <w:bottom w:val="single" w:sz="8" w:color="808080"/>
            </w:tcBorders>
          </w:tcPr>
          <w:p>
            <w:pPr>
              <w:spacing w:after="0"/>
              <w:rPr>
                <w:sz w:val="14"/>
                <w:szCs w:val="14"/>
                <w:color w:val="auto"/>
              </w:rPr>
            </w:pPr>
          </w:p>
        </w:tc>
        <w:tc>
          <w:tcPr>
            <w:tcW w:w="28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880" w:type="dxa"/>
        <w:tblCellMar>
          <w:top w:w="0" w:type="dxa"/>
          <w:left w:w="0" w:type="dxa"/>
          <w:bottom w:w="0" w:type="dxa"/>
          <w:right w:w="0" w:type="dxa"/>
        </w:tblCellMar>
      </w:tblPr>
      <w:tr>
        <w:trPr>
          <w:trHeight w:val="169"/>
        </w:trPr>
        <w:tc>
          <w:tcPr>
            <w:tcW w:w="2420" w:type="dxa"/>
            <w:vAlign w:val="bottom"/>
          </w:tcPr>
          <w:p>
            <w:pPr>
              <w:spacing w:after="0"/>
              <w:rPr>
                <w:sz w:val="14"/>
                <w:szCs w:val="14"/>
                <w:color w:val="auto"/>
              </w:rPr>
            </w:pPr>
          </w:p>
        </w:tc>
        <w:tc>
          <w:tcPr>
            <w:tcW w:w="3720" w:type="dxa"/>
            <w:vAlign w:val="bottom"/>
            <w:gridSpan w:val="3"/>
          </w:tcPr>
          <w:p>
            <w:pPr>
              <w:ind w:left="186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1"/>
        </w:trPr>
        <w:tc>
          <w:tcPr>
            <w:tcW w:w="24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2740" w:type="dxa"/>
            <w:vAlign w:val="bottom"/>
          </w:tcPr>
          <w:p>
            <w:pPr>
              <w:spacing w:after="0"/>
              <w:rPr>
                <w:sz w:val="16"/>
                <w:szCs w:val="16"/>
                <w:color w:val="auto"/>
              </w:rPr>
            </w:pPr>
          </w:p>
        </w:tc>
        <w:tc>
          <w:tcPr>
            <w:tcW w:w="980" w:type="dxa"/>
            <w:vAlign w:val="bottom"/>
            <w:gridSpan w:val="2"/>
            <w:vMerge w:val="restart"/>
          </w:tcPr>
          <w:p>
            <w:pPr>
              <w:spacing w:after="0"/>
              <w:rPr>
                <w:sz w:val="20"/>
                <w:szCs w:val="20"/>
                <w:color w:val="auto"/>
              </w:rPr>
            </w:pPr>
            <w:r>
              <w:rPr>
                <w:rFonts w:ascii="Arial" w:cs="Arial" w:eastAsia="Arial" w:hAnsi="Arial"/>
                <w:sz w:val="10"/>
                <w:szCs w:val="10"/>
                <w:b w:val="1"/>
                <w:bCs w:val="1"/>
                <w:color w:val="auto"/>
                <w:w w:val="92"/>
              </w:rPr>
              <w:t>Description of Exhibit</w:t>
            </w:r>
          </w:p>
        </w:tc>
        <w:tc>
          <w:tcPr>
            <w:tcW w:w="0" w:type="dxa"/>
            <w:vAlign w:val="bottom"/>
          </w:tcPr>
          <w:p>
            <w:pPr>
              <w:spacing w:after="0"/>
              <w:rPr>
                <w:sz w:val="1"/>
                <w:szCs w:val="1"/>
                <w:color w:val="auto"/>
              </w:rPr>
            </w:pPr>
          </w:p>
        </w:tc>
      </w:tr>
      <w:tr>
        <w:trPr>
          <w:trHeight w:val="135"/>
        </w:trPr>
        <w:tc>
          <w:tcPr>
            <w:tcW w:w="242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274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-5715</wp:posOffset>
            </wp:positionV>
            <wp:extent cx="635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1"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1.1*</w:t>
      </w:r>
      <w:r>
        <w:rPr>
          <w:sz w:val="20"/>
          <w:szCs w:val="20"/>
          <w:color w:val="auto"/>
        </w:rPr>
        <w:tab/>
      </w:r>
      <w:r>
        <w:rPr>
          <w:rFonts w:ascii="Arial" w:cs="Arial" w:eastAsia="Arial" w:hAnsi="Arial"/>
          <w:sz w:val="12"/>
          <w:szCs w:val="12"/>
          <w:color w:val="auto"/>
        </w:rPr>
        <w:t>Form of Underwriting Agreement.</w:t>
      </w:r>
    </w:p>
    <w:p>
      <w:pPr>
        <w:spacing w:after="0" w:line="15" w:lineRule="exact"/>
        <w:rPr>
          <w:sz w:val="20"/>
          <w:szCs w:val="20"/>
          <w:color w:val="auto"/>
        </w:rPr>
      </w:pPr>
    </w:p>
    <w:p>
      <w:pPr>
        <w:ind w:left="1500" w:hanging="458"/>
        <w:spacing w:after="0" w:line="252" w:lineRule="auto"/>
        <w:tabs>
          <w:tab w:leader="none" w:pos="1480" w:val="left"/>
        </w:tabs>
        <w:rPr>
          <w:sz w:val="20"/>
          <w:szCs w:val="20"/>
          <w:color w:val="auto"/>
        </w:rPr>
      </w:pPr>
      <w:r>
        <w:rPr>
          <w:rFonts w:ascii="Arial" w:cs="Arial" w:eastAsia="Arial" w:hAnsi="Arial"/>
          <w:sz w:val="13"/>
          <w:szCs w:val="13"/>
          <w:color w:val="auto"/>
        </w:rPr>
        <w:t>3.1ˆ</w:t>
      </w:r>
      <w:r>
        <w:rPr>
          <w:sz w:val="20"/>
          <w:szCs w:val="20"/>
          <w:color w:val="auto"/>
        </w:rPr>
        <w:tab/>
      </w:r>
      <w:r>
        <w:rPr>
          <w:rFonts w:ascii="Arial" w:cs="Arial" w:eastAsia="Arial" w:hAnsi="Arial"/>
          <w:sz w:val="13"/>
          <w:szCs w:val="13"/>
          <w:color w:val="auto"/>
        </w:rPr>
        <w:t>Restated Articles of Organization of the Company. Filed as Exhibit 3.1 to the Company’s Quarterly Report on Form 10-Q for the fiscal quarter ended May 3, 2008, filed on May 20, 2008.</w:t>
      </w:r>
    </w:p>
    <w:p>
      <w:pPr>
        <w:spacing w:after="0" w:line="1"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3.2ˆ</w:t>
      </w:r>
      <w:r>
        <w:rPr>
          <w:sz w:val="20"/>
          <w:szCs w:val="20"/>
          <w:color w:val="auto"/>
        </w:rPr>
        <w:tab/>
      </w:r>
      <w:r>
        <w:rPr>
          <w:rFonts w:ascii="Arial" w:cs="Arial" w:eastAsia="Arial" w:hAnsi="Arial"/>
          <w:sz w:val="12"/>
          <w:szCs w:val="12"/>
          <w:color w:val="auto"/>
        </w:rPr>
        <w:t>Amendment to Restated Articles of Organization of the Company. Filed as Exhibit 3.1 to the Company’s Current Report on Form 8-K filed on December 8, 2008.</w:t>
      </w:r>
    </w:p>
    <w:p>
      <w:pPr>
        <w:spacing w:after="0" w:line="8"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3.3ˆ</w:t>
      </w:r>
      <w:r>
        <w:rPr>
          <w:sz w:val="20"/>
          <w:szCs w:val="20"/>
          <w:color w:val="auto"/>
        </w:rPr>
        <w:tab/>
      </w:r>
      <w:r>
        <w:rPr>
          <w:rFonts w:ascii="Arial" w:cs="Arial" w:eastAsia="Arial" w:hAnsi="Arial"/>
          <w:sz w:val="11"/>
          <w:szCs w:val="11"/>
          <w:color w:val="auto"/>
        </w:rPr>
        <w:t>Amended and Restated By-laws of the Company. Filed as Exhibit 3.1 to the Company’s Current Report on Form 8-K filed on December 3, 2008.</w:t>
      </w:r>
    </w:p>
    <w:p>
      <w:pPr>
        <w:spacing w:after="0" w:line="8"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1"/>
          <w:szCs w:val="11"/>
          <w:color w:val="auto"/>
        </w:rPr>
        <w:t>Form of Indenture, by and among the Company and The Bank of New York Mellon Trust Company, N.A. (as Trustee).</w:t>
      </w:r>
    </w:p>
    <w:p>
      <w:pPr>
        <w:spacing w:after="0" w:line="8" w:lineRule="exact"/>
        <w:rPr>
          <w:sz w:val="20"/>
          <w:szCs w:val="20"/>
          <w:color w:val="auto"/>
        </w:rPr>
      </w:pPr>
    </w:p>
    <w:p>
      <w:pPr>
        <w:ind w:left="1040"/>
        <w:spacing w:after="0"/>
        <w:tabs>
          <w:tab w:leader="none" w:pos="1480" w:val="left"/>
        </w:tabs>
        <w:rPr>
          <w:sz w:val="20"/>
          <w:szCs w:val="20"/>
          <w:color w:val="auto"/>
        </w:rPr>
      </w:pPr>
      <w:r>
        <w:rPr>
          <w:rFonts w:ascii="Arial" w:cs="Arial" w:eastAsia="Arial" w:hAnsi="Arial"/>
          <w:sz w:val="13"/>
          <w:szCs w:val="13"/>
          <w:color w:val="auto"/>
        </w:rPr>
        <w:t>5.1</w:t>
      </w:r>
      <w:r>
        <w:rPr>
          <w:sz w:val="20"/>
          <w:szCs w:val="20"/>
          <w:color w:val="auto"/>
        </w:rPr>
        <w:tab/>
      </w:r>
      <w:r>
        <w:rPr>
          <w:rFonts w:ascii="Arial" w:cs="Arial" w:eastAsia="Arial" w:hAnsi="Arial"/>
          <w:sz w:val="12"/>
          <w:szCs w:val="12"/>
          <w:color w:val="auto"/>
        </w:rPr>
        <w:t>Opinion of Wilmer Cutler Pickering Hale and Dorr LLP.</w:t>
      </w:r>
    </w:p>
    <w:p>
      <w:pPr>
        <w:spacing w:after="0" w:line="8"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12.1</w:t>
      </w:r>
      <w:r>
        <w:rPr>
          <w:sz w:val="20"/>
          <w:szCs w:val="20"/>
          <w:color w:val="auto"/>
        </w:rPr>
        <w:tab/>
      </w:r>
      <w:r>
        <w:rPr>
          <w:rFonts w:ascii="Arial" w:cs="Arial" w:eastAsia="Arial" w:hAnsi="Arial"/>
          <w:sz w:val="11"/>
          <w:szCs w:val="11"/>
          <w:color w:val="auto"/>
        </w:rPr>
        <w:t>Computation of Consolidated Ratios of Earnings to Fixed Charges.</w:t>
      </w:r>
    </w:p>
    <w:p>
      <w:pPr>
        <w:spacing w:after="0" w:line="8"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Ernst &amp; Young LLP.</w:t>
      </w:r>
    </w:p>
    <w:p>
      <w:pPr>
        <w:spacing w:after="0" w:line="8"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23.2</w:t>
      </w:r>
      <w:r>
        <w:rPr>
          <w:sz w:val="20"/>
          <w:szCs w:val="20"/>
          <w:color w:val="auto"/>
        </w:rPr>
        <w:tab/>
      </w:r>
      <w:r>
        <w:rPr>
          <w:rFonts w:ascii="Arial" w:cs="Arial" w:eastAsia="Arial" w:hAnsi="Arial"/>
          <w:sz w:val="12"/>
          <w:szCs w:val="12"/>
          <w:color w:val="auto"/>
        </w:rPr>
        <w:t>Consent of Wilmer Cutler Pickering Hale and Dorr LLP (included in Exhibit 5.1).</w:t>
      </w:r>
    </w:p>
    <w:p>
      <w:pPr>
        <w:spacing w:after="0" w:line="8"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24.1</w:t>
      </w:r>
      <w:r>
        <w:rPr>
          <w:sz w:val="20"/>
          <w:szCs w:val="20"/>
          <w:color w:val="auto"/>
        </w:rPr>
        <w:tab/>
      </w:r>
      <w:r>
        <w:rPr>
          <w:rFonts w:ascii="Arial" w:cs="Arial" w:eastAsia="Arial" w:hAnsi="Arial"/>
          <w:sz w:val="11"/>
          <w:szCs w:val="11"/>
          <w:color w:val="auto"/>
        </w:rPr>
        <w:t>Powers of Attorney (included on signature pages).</w:t>
      </w:r>
    </w:p>
    <w:p>
      <w:pPr>
        <w:spacing w:after="0" w:line="8" w:lineRule="exact"/>
        <w:rPr>
          <w:sz w:val="20"/>
          <w:szCs w:val="20"/>
          <w:color w:val="auto"/>
        </w:rPr>
      </w:pPr>
    </w:p>
    <w:p>
      <w:pPr>
        <w:ind w:left="980"/>
        <w:spacing w:after="0"/>
        <w:tabs>
          <w:tab w:leader="none" w:pos="1480" w:val="left"/>
        </w:tabs>
        <w:rPr>
          <w:sz w:val="20"/>
          <w:szCs w:val="20"/>
          <w:color w:val="auto"/>
        </w:rPr>
      </w:pPr>
      <w:r>
        <w:rPr>
          <w:rFonts w:ascii="Arial" w:cs="Arial" w:eastAsia="Arial" w:hAnsi="Arial"/>
          <w:sz w:val="13"/>
          <w:szCs w:val="13"/>
          <w:color w:val="auto"/>
        </w:rPr>
        <w:t>25.1</w:t>
      </w:r>
      <w:r>
        <w:rPr>
          <w:sz w:val="20"/>
          <w:szCs w:val="20"/>
          <w:color w:val="auto"/>
        </w:rPr>
        <w:tab/>
      </w:r>
      <w:r>
        <w:rPr>
          <w:rFonts w:ascii="Arial" w:cs="Arial" w:eastAsia="Arial" w:hAnsi="Arial"/>
          <w:sz w:val="12"/>
          <w:szCs w:val="12"/>
          <w:color w:val="auto"/>
        </w:rPr>
        <w:t>Statement of Eligibility on Form T-1 of The Bank of New York Mellon Trust Company, N.A.,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823595"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38" w:lineRule="exact"/>
        <w:rPr>
          <w:sz w:val="20"/>
          <w:szCs w:val="20"/>
          <w:color w:val="auto"/>
        </w:rPr>
      </w:pPr>
    </w:p>
    <w:p>
      <w:pPr>
        <w:ind w:left="680" w:right="1400" w:firstLine="7"/>
        <w:spacing w:after="0" w:line="340" w:lineRule="auto"/>
        <w:tabs>
          <w:tab w:leader="none" w:pos="886" w:val="left"/>
        </w:tabs>
        <w:numPr>
          <w:ilvl w:val="0"/>
          <w:numId w:val="27"/>
        </w:numPr>
        <w:rPr>
          <w:rFonts w:ascii="Arial" w:cs="Arial" w:eastAsia="Arial" w:hAnsi="Arial"/>
          <w:sz w:val="13"/>
          <w:szCs w:val="13"/>
          <w:color w:val="auto"/>
        </w:rPr>
      </w:pPr>
      <w:r>
        <w:rPr>
          <w:rFonts w:ascii="Arial" w:cs="Arial" w:eastAsia="Arial" w:hAnsi="Arial"/>
          <w:sz w:val="13"/>
          <w:szCs w:val="13"/>
          <w:color w:val="auto"/>
        </w:rPr>
        <w:t>To be filed by an amendment or as an exhibit to a report filed under the Securities Exchange Act of 1934, as amended, and incorporated herein by reference. ˆ Previously filed with the Securities and Exchange Commission and incorporated by reference herein.</w:t>
      </w:r>
    </w:p>
    <w:p>
      <w:pPr>
        <w:sectPr>
          <w:pgSz w:w="11900" w:h="16838" w:orient="portrait"/>
          <w:cols w:equalWidth="0" w:num="1">
            <w:col w:w="10500"/>
          </w:cols>
          <w:pgMar w:left="220" w:top="343" w:right="1179" w:bottom="1440" w:gutter="0" w:footer="0" w:header="0"/>
        </w:sectPr>
      </w:pPr>
    </w:p>
    <w:bookmarkStart w:id="24" w:name="page25"/>
    <w:bookmarkEnd w:id="24"/>
    <w:p>
      <w:pPr>
        <w:jc w:val="right"/>
        <w:spacing w:after="0"/>
        <w:rPr>
          <w:sz w:val="20"/>
          <w:szCs w:val="20"/>
          <w:color w:val="auto"/>
        </w:rPr>
      </w:pPr>
      <w:r>
        <w:rPr>
          <w:rFonts w:ascii="Arial" w:cs="Arial" w:eastAsia="Arial" w:hAnsi="Arial"/>
          <w:sz w:val="13"/>
          <w:szCs w:val="13"/>
          <w:color w:val="auto"/>
        </w:rPr>
        <w:t>Exhibit 4.1</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Form of Indenture</w:t>
      </w:r>
    </w:p>
    <w:p>
      <w:pPr>
        <w:spacing w:after="0" w:line="240" w:lineRule="exact"/>
        <w:rPr>
          <w:sz w:val="20"/>
          <w:szCs w:val="20"/>
          <w:color w:val="auto"/>
        </w:rPr>
      </w:pPr>
    </w:p>
    <w:p>
      <w:pPr>
        <w:ind w:left="3940"/>
        <w:spacing w:after="0"/>
        <w:rPr>
          <w:sz w:val="20"/>
          <w:szCs w:val="20"/>
          <w:color w:val="auto"/>
        </w:rPr>
      </w:pPr>
      <w:r>
        <w:rPr>
          <w:rFonts w:ascii="Arial" w:cs="Arial" w:eastAsia="Arial" w:hAnsi="Arial"/>
          <w:sz w:val="13"/>
          <w:szCs w:val="13"/>
          <w:b w:val="1"/>
          <w:bCs w:val="1"/>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144145</wp:posOffset>
            </wp:positionV>
            <wp:extent cx="189103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91030" cy="6350"/>
                    </a:xfrm>
                    <a:prstGeom prst="rect">
                      <a:avLst/>
                    </a:prstGeom>
                    <a:noFill/>
                  </pic:spPr>
                </pic:pic>
              </a:graphicData>
            </a:graphic>
          </wp:anchor>
        </w:drawing>
      </w:r>
    </w:p>
    <w:p>
      <w:pPr>
        <w:spacing w:after="0" w:line="332"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INDENTURE</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Dated as of [</w:t>
      </w:r>
      <w:r>
        <w:rPr>
          <w:rFonts w:ascii="Arial" w:cs="Arial" w:eastAsia="Arial" w:hAnsi="Arial"/>
          <w:sz w:val="13"/>
          <w:szCs w:val="13"/>
          <w:b w:val="1"/>
          <w:bCs w:val="1"/>
          <w:color w:val="auto"/>
        </w:rPr>
        <w:t>•</w:t>
      </w:r>
      <w:r>
        <w:rPr>
          <w:rFonts w:ascii="Arial" w:cs="Arial" w:eastAsia="Arial" w:hAnsi="Arial"/>
          <w:sz w:val="13"/>
          <w:szCs w:val="13"/>
          <w:color w:val="auto"/>
        </w:rPr>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1920875</wp:posOffset>
            </wp:positionH>
            <wp:positionV relativeFrom="paragraph">
              <wp:posOffset>150495</wp:posOffset>
            </wp:positionV>
            <wp:extent cx="189103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91030" cy="6350"/>
                    </a:xfrm>
                    <a:prstGeom prst="rect">
                      <a:avLst/>
                    </a:prstGeom>
                    <a:noFill/>
                  </pic:spPr>
                </pic:pic>
              </a:graphicData>
            </a:graphic>
          </wp:anchor>
        </w:drawing>
      </w:r>
    </w:p>
    <w:p>
      <w:pPr>
        <w:spacing w:after="0" w:line="342"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The Bank of New York Mellon Trust Company, N.A.</w:t>
      </w:r>
    </w:p>
    <w:p>
      <w:pPr>
        <w:spacing w:after="0" w:line="102"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288290</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131" w:right="2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9"/>
        </w:trPr>
        <w:tc>
          <w:tcPr>
            <w:tcW w:w="4460" w:type="dxa"/>
            <w:vAlign w:val="bottom"/>
          </w:tcPr>
          <w:p>
            <w:pPr>
              <w:spacing w:after="0"/>
              <w:rPr>
                <w:sz w:val="14"/>
                <w:szCs w:val="14"/>
                <w:color w:val="auto"/>
              </w:rPr>
            </w:pPr>
          </w:p>
        </w:tc>
        <w:tc>
          <w:tcPr>
            <w:tcW w:w="7000" w:type="dxa"/>
            <w:vAlign w:val="bottom"/>
            <w:gridSpan w:val="2"/>
          </w:tcPr>
          <w:p>
            <w:pPr>
              <w:jc w:val="right"/>
              <w:ind w:right="4968"/>
              <w:spacing w:after="0"/>
              <w:rPr>
                <w:sz w:val="20"/>
                <w:szCs w:val="20"/>
                <w:color w:val="auto"/>
              </w:rPr>
            </w:pPr>
            <w:r>
              <w:rPr>
                <w:rFonts w:ascii="Arial" w:cs="Arial" w:eastAsia="Arial" w:hAnsi="Arial"/>
                <w:sz w:val="13"/>
                <w:szCs w:val="13"/>
                <w:b w:val="1"/>
                <w:bCs w:val="1"/>
                <w:color w:val="auto"/>
              </w:rPr>
              <w:t>TABLE OF CONTENTS</w:t>
            </w:r>
          </w:p>
        </w:tc>
      </w:tr>
      <w:tr>
        <w:trPr>
          <w:trHeight w:val="267"/>
        </w:trPr>
        <w:tc>
          <w:tcPr>
            <w:tcW w:w="446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36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Page</w:t>
            </w:r>
          </w:p>
        </w:tc>
      </w:tr>
      <w:tr>
        <w:trPr>
          <w:trHeight w:val="296"/>
        </w:trPr>
        <w:tc>
          <w:tcPr>
            <w:tcW w:w="4460" w:type="dxa"/>
            <w:vAlign w:val="bottom"/>
          </w:tcPr>
          <w:p>
            <w:pPr>
              <w:spacing w:after="0"/>
              <w:rPr>
                <w:sz w:val="20"/>
                <w:szCs w:val="20"/>
                <w:color w:val="auto"/>
              </w:rPr>
            </w:pPr>
            <w:r>
              <w:rPr>
                <w:rFonts w:ascii="Arial" w:cs="Arial" w:eastAsia="Arial" w:hAnsi="Arial"/>
                <w:sz w:val="13"/>
                <w:szCs w:val="13"/>
                <w:color w:val="auto"/>
              </w:rPr>
              <w:t>ARTICLE I. DEFINITIONS AND INCORPORATION BY REFERENCE</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1.1. Definitions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1.2. Other Definitions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4</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1.3. Incorporation by Reference of Trust Indenture Act</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4</w:t>
            </w:r>
          </w:p>
        </w:tc>
      </w:tr>
      <w:tr>
        <w:trPr>
          <w:trHeight w:val="165"/>
        </w:trPr>
        <w:tc>
          <w:tcPr>
            <w:tcW w:w="4460" w:type="dxa"/>
            <w:vAlign w:val="bottom"/>
          </w:tcPr>
          <w:p>
            <w:pPr>
              <w:ind w:left="140"/>
              <w:spacing w:after="0"/>
              <w:rPr>
                <w:sz w:val="20"/>
                <w:szCs w:val="20"/>
                <w:color w:val="auto"/>
              </w:rPr>
            </w:pPr>
            <w:r>
              <w:rPr>
                <w:rFonts w:ascii="Arial" w:cs="Arial" w:eastAsia="Arial" w:hAnsi="Arial"/>
                <w:sz w:val="13"/>
                <w:szCs w:val="13"/>
                <w:color w:val="auto"/>
              </w:rPr>
              <w:t>Section 1.4. Rules of Construction</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5</w:t>
            </w:r>
          </w:p>
        </w:tc>
      </w:tr>
      <w:tr>
        <w:trPr>
          <w:trHeight w:val="307"/>
        </w:trPr>
        <w:tc>
          <w:tcPr>
            <w:tcW w:w="4460" w:type="dxa"/>
            <w:vAlign w:val="bottom"/>
          </w:tcPr>
          <w:p>
            <w:pPr>
              <w:spacing w:after="0"/>
              <w:rPr>
                <w:sz w:val="20"/>
                <w:szCs w:val="20"/>
                <w:color w:val="auto"/>
              </w:rPr>
            </w:pPr>
            <w:r>
              <w:rPr>
                <w:rFonts w:ascii="Arial" w:cs="Arial" w:eastAsia="Arial" w:hAnsi="Arial"/>
                <w:sz w:val="13"/>
                <w:szCs w:val="13"/>
                <w:color w:val="auto"/>
              </w:rPr>
              <w:t>ARTICLE II. THE SECURITIES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5</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 Issuable in Series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5</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2.2. Establishment of Terms of Series of Securities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5</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2.3. Execution and Authentication</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7</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2.4. Registrar and Paying Agent</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8</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2.5. Paying Agent to Hold Money in Trust</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9</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2.6. Securityholder Lists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9</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2.7. Transfer and Exchange</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9</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2.8. Mutilated, Destroyed, Lost and Stolen Securities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10</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2.9. Outstanding Securities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10</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2.10. Treasury Securities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11</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2.11. Temporary Securities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11</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2.12. Cancellation</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11</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2.13. Defaulted Interest</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11</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2.14. Global Securities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11</w:t>
            </w:r>
          </w:p>
        </w:tc>
      </w:tr>
      <w:tr>
        <w:trPr>
          <w:trHeight w:val="165"/>
        </w:trPr>
        <w:tc>
          <w:tcPr>
            <w:tcW w:w="4460" w:type="dxa"/>
            <w:vAlign w:val="bottom"/>
          </w:tcPr>
          <w:p>
            <w:pPr>
              <w:ind w:left="140"/>
              <w:spacing w:after="0"/>
              <w:rPr>
                <w:sz w:val="20"/>
                <w:szCs w:val="20"/>
                <w:color w:val="auto"/>
              </w:rPr>
            </w:pPr>
            <w:r>
              <w:rPr>
                <w:rFonts w:ascii="Arial" w:cs="Arial" w:eastAsia="Arial" w:hAnsi="Arial"/>
                <w:sz w:val="13"/>
                <w:szCs w:val="13"/>
                <w:color w:val="auto"/>
              </w:rPr>
              <w:t>Section 2.15. CUSIP Numbers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12</w:t>
            </w:r>
          </w:p>
        </w:tc>
      </w:tr>
      <w:tr>
        <w:trPr>
          <w:trHeight w:val="307"/>
        </w:trPr>
        <w:tc>
          <w:tcPr>
            <w:tcW w:w="4460" w:type="dxa"/>
            <w:vAlign w:val="bottom"/>
          </w:tcPr>
          <w:p>
            <w:pPr>
              <w:spacing w:after="0"/>
              <w:rPr>
                <w:sz w:val="20"/>
                <w:szCs w:val="20"/>
                <w:color w:val="auto"/>
              </w:rPr>
            </w:pPr>
            <w:r>
              <w:rPr>
                <w:rFonts w:ascii="Arial" w:cs="Arial" w:eastAsia="Arial" w:hAnsi="Arial"/>
                <w:sz w:val="13"/>
                <w:szCs w:val="13"/>
                <w:color w:val="auto"/>
              </w:rPr>
              <w:t>ARTICLE III. REDEMPTION</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13</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3.1. Notice to Trustee</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13</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3.2. Selection of Securities to be Redeemed</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13</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3.3. Notice of Redemption</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13</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3.4. Effect of Notice of Redemption</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14</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3.5. Deposit of Redemption Price</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14</w:t>
            </w:r>
          </w:p>
        </w:tc>
      </w:tr>
      <w:tr>
        <w:trPr>
          <w:trHeight w:val="165"/>
        </w:trPr>
        <w:tc>
          <w:tcPr>
            <w:tcW w:w="4460" w:type="dxa"/>
            <w:vAlign w:val="bottom"/>
          </w:tcPr>
          <w:p>
            <w:pPr>
              <w:ind w:left="140"/>
              <w:spacing w:after="0"/>
              <w:rPr>
                <w:sz w:val="20"/>
                <w:szCs w:val="20"/>
                <w:color w:val="auto"/>
              </w:rPr>
            </w:pPr>
            <w:r>
              <w:rPr>
                <w:rFonts w:ascii="Arial" w:cs="Arial" w:eastAsia="Arial" w:hAnsi="Arial"/>
                <w:sz w:val="13"/>
                <w:szCs w:val="13"/>
                <w:color w:val="auto"/>
              </w:rPr>
              <w:t>Section 3.6. Securities Redeemed in Part</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14</w:t>
            </w:r>
          </w:p>
        </w:tc>
      </w:tr>
      <w:tr>
        <w:trPr>
          <w:trHeight w:val="307"/>
        </w:trPr>
        <w:tc>
          <w:tcPr>
            <w:tcW w:w="4460" w:type="dxa"/>
            <w:vAlign w:val="bottom"/>
          </w:tcPr>
          <w:p>
            <w:pPr>
              <w:spacing w:after="0"/>
              <w:rPr>
                <w:sz w:val="20"/>
                <w:szCs w:val="20"/>
                <w:color w:val="auto"/>
              </w:rPr>
            </w:pPr>
            <w:r>
              <w:rPr>
                <w:rFonts w:ascii="Arial" w:cs="Arial" w:eastAsia="Arial" w:hAnsi="Arial"/>
                <w:sz w:val="13"/>
                <w:szCs w:val="13"/>
                <w:color w:val="auto"/>
              </w:rPr>
              <w:t>ARTICLE IV. COVENANTS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14</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4.1. Payment of Principal and Interest</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14</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4.2. SEC Reports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14</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4.3. Compliance Certificate</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15</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4.4. Stay, Extension and Usury Laws.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15</w:t>
            </w:r>
          </w:p>
        </w:tc>
      </w:tr>
      <w:tr>
        <w:trPr>
          <w:trHeight w:val="165"/>
        </w:trPr>
        <w:tc>
          <w:tcPr>
            <w:tcW w:w="4460" w:type="dxa"/>
            <w:vAlign w:val="bottom"/>
          </w:tcPr>
          <w:p>
            <w:pPr>
              <w:ind w:left="140"/>
              <w:spacing w:after="0"/>
              <w:rPr>
                <w:sz w:val="20"/>
                <w:szCs w:val="20"/>
                <w:color w:val="auto"/>
              </w:rPr>
            </w:pPr>
            <w:r>
              <w:rPr>
                <w:rFonts w:ascii="Arial" w:cs="Arial" w:eastAsia="Arial" w:hAnsi="Arial"/>
                <w:sz w:val="13"/>
                <w:szCs w:val="13"/>
                <w:color w:val="auto"/>
              </w:rPr>
              <w:t>Section 4.5. Corporate Existence</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15</w:t>
            </w:r>
          </w:p>
        </w:tc>
      </w:tr>
      <w:tr>
        <w:trPr>
          <w:trHeight w:val="307"/>
        </w:trPr>
        <w:tc>
          <w:tcPr>
            <w:tcW w:w="4460" w:type="dxa"/>
            <w:vAlign w:val="bottom"/>
          </w:tcPr>
          <w:p>
            <w:pPr>
              <w:spacing w:after="0"/>
              <w:rPr>
                <w:sz w:val="20"/>
                <w:szCs w:val="20"/>
                <w:color w:val="auto"/>
              </w:rPr>
            </w:pPr>
            <w:r>
              <w:rPr>
                <w:rFonts w:ascii="Arial" w:cs="Arial" w:eastAsia="Arial" w:hAnsi="Arial"/>
                <w:sz w:val="13"/>
                <w:szCs w:val="13"/>
                <w:color w:val="auto"/>
              </w:rPr>
              <w:t>ARTICLE V. SUCCESSORS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15</w:t>
            </w:r>
          </w:p>
        </w:tc>
      </w:tr>
      <w:tr>
        <w:trPr>
          <w:trHeight w:val="157"/>
        </w:trPr>
        <w:tc>
          <w:tcPr>
            <w:tcW w:w="4460" w:type="dxa"/>
            <w:vAlign w:val="bottom"/>
          </w:tcPr>
          <w:p>
            <w:pPr>
              <w:ind w:left="140"/>
              <w:spacing w:after="0"/>
              <w:rPr>
                <w:sz w:val="20"/>
                <w:szCs w:val="20"/>
                <w:color w:val="auto"/>
              </w:rPr>
            </w:pPr>
            <w:r>
              <w:rPr>
                <w:rFonts w:ascii="Arial" w:cs="Arial" w:eastAsia="Arial" w:hAnsi="Arial"/>
                <w:sz w:val="13"/>
                <w:szCs w:val="13"/>
                <w:color w:val="auto"/>
              </w:rPr>
              <w:t>Section 5.1. Consolidation, Merger and Sale of Assets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15</w:t>
            </w:r>
          </w:p>
        </w:tc>
      </w:tr>
      <w:tr>
        <w:trPr>
          <w:trHeight w:val="165"/>
        </w:trPr>
        <w:tc>
          <w:tcPr>
            <w:tcW w:w="4460" w:type="dxa"/>
            <w:vAlign w:val="bottom"/>
          </w:tcPr>
          <w:p>
            <w:pPr>
              <w:ind w:left="140"/>
              <w:spacing w:after="0"/>
              <w:rPr>
                <w:sz w:val="20"/>
                <w:szCs w:val="20"/>
                <w:color w:val="auto"/>
              </w:rPr>
            </w:pPr>
            <w:r>
              <w:rPr>
                <w:rFonts w:ascii="Arial" w:cs="Arial" w:eastAsia="Arial" w:hAnsi="Arial"/>
                <w:sz w:val="13"/>
                <w:szCs w:val="13"/>
                <w:color w:val="auto"/>
              </w:rPr>
              <w:t>Section 5.2. Successor Corporation Substituted</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16</w:t>
            </w:r>
          </w:p>
        </w:tc>
      </w:tr>
      <w:tr>
        <w:trPr>
          <w:trHeight w:val="307"/>
        </w:trPr>
        <w:tc>
          <w:tcPr>
            <w:tcW w:w="4460" w:type="dxa"/>
            <w:vAlign w:val="bottom"/>
          </w:tcPr>
          <w:p>
            <w:pPr>
              <w:spacing w:after="0"/>
              <w:rPr>
                <w:sz w:val="20"/>
                <w:szCs w:val="20"/>
                <w:color w:val="auto"/>
              </w:rPr>
            </w:pPr>
            <w:r>
              <w:rPr>
                <w:rFonts w:ascii="Arial" w:cs="Arial" w:eastAsia="Arial" w:hAnsi="Arial"/>
                <w:sz w:val="13"/>
                <w:szCs w:val="13"/>
                <w:color w:val="auto"/>
              </w:rPr>
              <w:t>ARTICLE VI. DEFAULTS AND REMEDIES</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16</w:t>
            </w:r>
          </w:p>
        </w:tc>
      </w:tr>
      <w:tr>
        <w:trPr>
          <w:trHeight w:val="165"/>
        </w:trPr>
        <w:tc>
          <w:tcPr>
            <w:tcW w:w="4460" w:type="dxa"/>
            <w:vAlign w:val="bottom"/>
          </w:tcPr>
          <w:p>
            <w:pPr>
              <w:ind w:left="140"/>
              <w:spacing w:after="0"/>
              <w:rPr>
                <w:sz w:val="20"/>
                <w:szCs w:val="20"/>
                <w:color w:val="auto"/>
              </w:rPr>
            </w:pPr>
            <w:r>
              <w:rPr>
                <w:rFonts w:ascii="Arial" w:cs="Arial" w:eastAsia="Arial" w:hAnsi="Arial"/>
                <w:sz w:val="13"/>
                <w:szCs w:val="13"/>
                <w:color w:val="auto"/>
              </w:rPr>
              <w:t>Section 6.1. Events of Default</w:t>
            </w:r>
          </w:p>
        </w:tc>
        <w:tc>
          <w:tcPr>
            <w:tcW w:w="7000" w:type="dxa"/>
            <w:vAlign w:val="bottom"/>
            <w:gridSpan w:val="2"/>
          </w:tcPr>
          <w:p>
            <w:pPr>
              <w:jc w:val="right"/>
              <w:ind w:right="48"/>
              <w:spacing w:after="0"/>
              <w:rPr>
                <w:sz w:val="20"/>
                <w:szCs w:val="20"/>
                <w:color w:val="auto"/>
              </w:rPr>
            </w:pPr>
            <w:r>
              <w:rPr>
                <w:rFonts w:ascii="Arial" w:cs="Arial" w:eastAsia="Arial" w:hAnsi="Arial"/>
                <w:sz w:val="13"/>
                <w:szCs w:val="13"/>
                <w:color w:val="auto"/>
              </w:rPr>
              <w:t>16</w:t>
            </w: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21"/>
        </w:trPr>
        <w:tc>
          <w:tcPr>
            <w:tcW w:w="11100" w:type="dxa"/>
            <w:vAlign w:val="bottom"/>
          </w:tcPr>
          <w:p>
            <w:pPr>
              <w:spacing w:after="0"/>
              <w:rPr>
                <w:sz w:val="10"/>
                <w:szCs w:val="10"/>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5"/>
              </w:rPr>
              <w:t>Page</w:t>
            </w:r>
          </w:p>
        </w:tc>
      </w:tr>
      <w:tr>
        <w:trPr>
          <w:trHeight w:val="296"/>
        </w:trPr>
        <w:tc>
          <w:tcPr>
            <w:tcW w:w="11100" w:type="dxa"/>
            <w:vAlign w:val="bottom"/>
          </w:tcPr>
          <w:p>
            <w:pPr>
              <w:ind w:left="140"/>
              <w:spacing w:after="0"/>
              <w:rPr>
                <w:sz w:val="20"/>
                <w:szCs w:val="20"/>
                <w:color w:val="auto"/>
              </w:rPr>
            </w:pPr>
            <w:r>
              <w:rPr>
                <w:rFonts w:ascii="Arial" w:cs="Arial" w:eastAsia="Arial" w:hAnsi="Arial"/>
                <w:sz w:val="13"/>
                <w:szCs w:val="13"/>
                <w:color w:val="auto"/>
              </w:rPr>
              <w:t>Section 6.2. Acceleration of Maturity; Rescission and Annulment</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17</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6.3. Collection of Indebtedness and Suits for Enforcement by Trustee</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18</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6.4. Trustee May File Proofs of Claim</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18</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6.5. Trustee May Enforce Claims Without Possession of Securities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19</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6.6. Application of Money Collected</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19</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6.7. Limitation on Suits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19</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6.8. Unconditional Right of Holders to Receive Principal and Interest</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20</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6.9. Restoration of Rights and Remedies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20</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6.10. Rights and Remedies Cumulative</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20</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6.11. Delay or Omission Not Waiver</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20</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6.12. Control by Holders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21</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6.13. Waiver of Past Defaults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21</w:t>
            </w:r>
          </w:p>
        </w:tc>
      </w:tr>
      <w:tr>
        <w:trPr>
          <w:trHeight w:val="165"/>
        </w:trPr>
        <w:tc>
          <w:tcPr>
            <w:tcW w:w="11100" w:type="dxa"/>
            <w:vAlign w:val="bottom"/>
          </w:tcPr>
          <w:p>
            <w:pPr>
              <w:ind w:left="140"/>
              <w:spacing w:after="0"/>
              <w:rPr>
                <w:sz w:val="20"/>
                <w:szCs w:val="20"/>
                <w:color w:val="auto"/>
              </w:rPr>
            </w:pPr>
            <w:r>
              <w:rPr>
                <w:rFonts w:ascii="Arial" w:cs="Arial" w:eastAsia="Arial" w:hAnsi="Arial"/>
                <w:sz w:val="13"/>
                <w:szCs w:val="13"/>
                <w:color w:val="auto"/>
              </w:rPr>
              <w:t>Section 6.14. Undertaking for Costs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21</w:t>
            </w:r>
          </w:p>
        </w:tc>
      </w:tr>
      <w:tr>
        <w:trPr>
          <w:trHeight w:val="307"/>
        </w:trPr>
        <w:tc>
          <w:tcPr>
            <w:tcW w:w="11100" w:type="dxa"/>
            <w:vAlign w:val="bottom"/>
          </w:tcPr>
          <w:p>
            <w:pPr>
              <w:spacing w:after="0"/>
              <w:rPr>
                <w:sz w:val="20"/>
                <w:szCs w:val="20"/>
                <w:color w:val="auto"/>
              </w:rPr>
            </w:pPr>
            <w:r>
              <w:rPr>
                <w:rFonts w:ascii="Arial" w:cs="Arial" w:eastAsia="Arial" w:hAnsi="Arial"/>
                <w:sz w:val="13"/>
                <w:szCs w:val="13"/>
                <w:color w:val="auto"/>
              </w:rPr>
              <w:t>ARTICLE VII. TRUSTEE</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21</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7.1. Duties of Trustee</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21</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7.2. Rights of Trustee</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23</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7.3. Individual Rights of Trustee</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24</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7.4. Trustee’s Disclaimer</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24</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7.5. Notice of Defaults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24</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7.6. Reports by Trustee to Holders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24</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7.7. Compensation and Indemnity</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24</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7.8. Replacement of Trustee</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25</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7.9. Successor Trustee by Merger, etc.</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26</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7.10. Eligibility; Disqualification</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26</w:t>
            </w:r>
          </w:p>
        </w:tc>
      </w:tr>
      <w:tr>
        <w:trPr>
          <w:trHeight w:val="165"/>
        </w:trPr>
        <w:tc>
          <w:tcPr>
            <w:tcW w:w="11100" w:type="dxa"/>
            <w:vAlign w:val="bottom"/>
          </w:tcPr>
          <w:p>
            <w:pPr>
              <w:ind w:left="140"/>
              <w:spacing w:after="0"/>
              <w:rPr>
                <w:sz w:val="20"/>
                <w:szCs w:val="20"/>
                <w:color w:val="auto"/>
              </w:rPr>
            </w:pPr>
            <w:r>
              <w:rPr>
                <w:rFonts w:ascii="Arial" w:cs="Arial" w:eastAsia="Arial" w:hAnsi="Arial"/>
                <w:sz w:val="13"/>
                <w:szCs w:val="13"/>
                <w:color w:val="auto"/>
              </w:rPr>
              <w:t>Section 7.11. Preferential Collection of Claims Against Company</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26</w:t>
            </w:r>
          </w:p>
        </w:tc>
      </w:tr>
      <w:tr>
        <w:trPr>
          <w:trHeight w:val="307"/>
        </w:trPr>
        <w:tc>
          <w:tcPr>
            <w:tcW w:w="11100" w:type="dxa"/>
            <w:vAlign w:val="bottom"/>
          </w:tcPr>
          <w:p>
            <w:pPr>
              <w:spacing w:after="0"/>
              <w:rPr>
                <w:sz w:val="20"/>
                <w:szCs w:val="20"/>
                <w:color w:val="auto"/>
              </w:rPr>
            </w:pPr>
            <w:r>
              <w:rPr>
                <w:rFonts w:ascii="Arial" w:cs="Arial" w:eastAsia="Arial" w:hAnsi="Arial"/>
                <w:sz w:val="13"/>
                <w:szCs w:val="13"/>
                <w:color w:val="auto"/>
              </w:rPr>
              <w:t>ARTICLE VIII. SATISFACTION AND DISCHARGE; DEFEASANCE</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26</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8.1. Satisfaction and Discharge of Indenture</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26</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8.2. Application of Trust Funds; Indemnification</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27</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8.3. Legal Defeasance of Securities of any Series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28</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8.4. Covenant Defeasance</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29</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8.5. Repayment to Company</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30</w:t>
            </w:r>
          </w:p>
        </w:tc>
      </w:tr>
      <w:tr>
        <w:trPr>
          <w:trHeight w:val="165"/>
        </w:trPr>
        <w:tc>
          <w:tcPr>
            <w:tcW w:w="11100" w:type="dxa"/>
            <w:vAlign w:val="bottom"/>
          </w:tcPr>
          <w:p>
            <w:pPr>
              <w:ind w:left="140"/>
              <w:spacing w:after="0"/>
              <w:rPr>
                <w:sz w:val="20"/>
                <w:szCs w:val="20"/>
                <w:color w:val="auto"/>
              </w:rPr>
            </w:pPr>
            <w:r>
              <w:rPr>
                <w:rFonts w:ascii="Arial" w:cs="Arial" w:eastAsia="Arial" w:hAnsi="Arial"/>
                <w:sz w:val="13"/>
                <w:szCs w:val="13"/>
                <w:color w:val="auto"/>
              </w:rPr>
              <w:t>Section 8.6. Reinstatement</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30</w:t>
            </w:r>
          </w:p>
        </w:tc>
      </w:tr>
      <w:tr>
        <w:trPr>
          <w:trHeight w:val="307"/>
        </w:trPr>
        <w:tc>
          <w:tcPr>
            <w:tcW w:w="11100" w:type="dxa"/>
            <w:vAlign w:val="bottom"/>
          </w:tcPr>
          <w:p>
            <w:pPr>
              <w:spacing w:after="0"/>
              <w:rPr>
                <w:sz w:val="20"/>
                <w:szCs w:val="20"/>
                <w:color w:val="auto"/>
              </w:rPr>
            </w:pPr>
            <w:r>
              <w:rPr>
                <w:rFonts w:ascii="Arial" w:cs="Arial" w:eastAsia="Arial" w:hAnsi="Arial"/>
                <w:sz w:val="13"/>
                <w:szCs w:val="13"/>
                <w:color w:val="auto"/>
              </w:rPr>
              <w:t>ARTICLE IX. AMENDMENTS AND WAIVERS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30</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9.1. Without Consent of Holders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30</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9.2. With Consent of Holders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31</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9.3. Limitations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31</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9.4. Compliance with Trust Indenture Act</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32</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9.5. Revocation and Effect of Consents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32</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9.6. Notation on or Exchange of Securities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32</w:t>
            </w:r>
          </w:p>
        </w:tc>
      </w:tr>
      <w:tr>
        <w:trPr>
          <w:trHeight w:val="165"/>
        </w:trPr>
        <w:tc>
          <w:tcPr>
            <w:tcW w:w="11100" w:type="dxa"/>
            <w:vAlign w:val="bottom"/>
          </w:tcPr>
          <w:p>
            <w:pPr>
              <w:ind w:left="140"/>
              <w:spacing w:after="0"/>
              <w:rPr>
                <w:sz w:val="20"/>
                <w:szCs w:val="20"/>
                <w:color w:val="auto"/>
              </w:rPr>
            </w:pPr>
            <w:r>
              <w:rPr>
                <w:rFonts w:ascii="Arial" w:cs="Arial" w:eastAsia="Arial" w:hAnsi="Arial"/>
                <w:sz w:val="13"/>
                <w:szCs w:val="13"/>
                <w:color w:val="auto"/>
              </w:rPr>
              <w:t>Section 9.7. Trustee Protected</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32</w:t>
            </w:r>
          </w:p>
        </w:tc>
      </w:tr>
      <w:tr>
        <w:trPr>
          <w:trHeight w:val="307"/>
        </w:trPr>
        <w:tc>
          <w:tcPr>
            <w:tcW w:w="11100" w:type="dxa"/>
            <w:vAlign w:val="bottom"/>
          </w:tcPr>
          <w:p>
            <w:pPr>
              <w:spacing w:after="0"/>
              <w:rPr>
                <w:sz w:val="20"/>
                <w:szCs w:val="20"/>
                <w:color w:val="auto"/>
              </w:rPr>
            </w:pPr>
            <w:r>
              <w:rPr>
                <w:rFonts w:ascii="Arial" w:cs="Arial" w:eastAsia="Arial" w:hAnsi="Arial"/>
                <w:sz w:val="13"/>
                <w:szCs w:val="13"/>
                <w:color w:val="auto"/>
              </w:rPr>
              <w:t>ARTICLE X. MISCELLANEOUS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33</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10.1. Trust Indenture Act Controls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33</w:t>
            </w:r>
          </w:p>
        </w:tc>
      </w:tr>
      <w:tr>
        <w:trPr>
          <w:trHeight w:val="165"/>
        </w:trPr>
        <w:tc>
          <w:tcPr>
            <w:tcW w:w="11100" w:type="dxa"/>
            <w:vAlign w:val="bottom"/>
          </w:tcPr>
          <w:p>
            <w:pPr>
              <w:ind w:left="140"/>
              <w:spacing w:after="0"/>
              <w:rPr>
                <w:sz w:val="20"/>
                <w:szCs w:val="20"/>
                <w:color w:val="auto"/>
              </w:rPr>
            </w:pPr>
            <w:r>
              <w:rPr>
                <w:rFonts w:ascii="Arial" w:cs="Arial" w:eastAsia="Arial" w:hAnsi="Arial"/>
                <w:sz w:val="13"/>
                <w:szCs w:val="13"/>
                <w:color w:val="auto"/>
              </w:rPr>
              <w:t>Section 10.2. Notices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33</w:t>
            </w: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21"/>
        </w:trPr>
        <w:tc>
          <w:tcPr>
            <w:tcW w:w="11100" w:type="dxa"/>
            <w:vAlign w:val="bottom"/>
          </w:tcPr>
          <w:p>
            <w:pPr>
              <w:spacing w:after="0"/>
              <w:rPr>
                <w:sz w:val="10"/>
                <w:szCs w:val="10"/>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0"/>
                <w:szCs w:val="10"/>
                <w:color w:val="auto"/>
                <w:w w:val="85"/>
              </w:rPr>
              <w:t>Page</w:t>
            </w:r>
          </w:p>
        </w:tc>
      </w:tr>
      <w:tr>
        <w:trPr>
          <w:trHeight w:val="296"/>
        </w:trPr>
        <w:tc>
          <w:tcPr>
            <w:tcW w:w="11100" w:type="dxa"/>
            <w:vAlign w:val="bottom"/>
          </w:tcPr>
          <w:p>
            <w:pPr>
              <w:ind w:left="140"/>
              <w:spacing w:after="0"/>
              <w:rPr>
                <w:sz w:val="20"/>
                <w:szCs w:val="20"/>
                <w:color w:val="auto"/>
              </w:rPr>
            </w:pPr>
            <w:r>
              <w:rPr>
                <w:rFonts w:ascii="Arial" w:cs="Arial" w:eastAsia="Arial" w:hAnsi="Arial"/>
                <w:sz w:val="13"/>
                <w:szCs w:val="13"/>
                <w:color w:val="auto"/>
              </w:rPr>
              <w:t>Section 10.3. Communication by Holders with Other Holders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34</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10.4. Certificate and Opinion as to Conditions Precedent</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34</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10.5. Statements Required in Certificate or Opinion</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34</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10.6. Rules by Trustee and Agents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34</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10.7. Legal Holidays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34</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10.8. No Recourse Against Others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35</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10.9. Counterparts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35</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10.10. Governing Laws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35</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10.11. No Adverse Interpretation of Other Agreements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35</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10.12. Successors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35</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10.13. Severability</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35</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10.14. Table of Contents, Headings, Etc.</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35</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10.15. Securities in a Foreign Currency</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35</w:t>
            </w:r>
          </w:p>
        </w:tc>
      </w:tr>
      <w:tr>
        <w:trPr>
          <w:trHeight w:val="165"/>
        </w:trPr>
        <w:tc>
          <w:tcPr>
            <w:tcW w:w="11100" w:type="dxa"/>
            <w:vAlign w:val="bottom"/>
          </w:tcPr>
          <w:p>
            <w:pPr>
              <w:ind w:left="140"/>
              <w:spacing w:after="0"/>
              <w:rPr>
                <w:sz w:val="20"/>
                <w:szCs w:val="20"/>
                <w:color w:val="auto"/>
              </w:rPr>
            </w:pPr>
            <w:r>
              <w:rPr>
                <w:rFonts w:ascii="Arial" w:cs="Arial" w:eastAsia="Arial" w:hAnsi="Arial"/>
                <w:sz w:val="13"/>
                <w:szCs w:val="13"/>
                <w:color w:val="auto"/>
              </w:rPr>
              <w:t>Section 10.16. Judgment Currency</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36</w:t>
            </w:r>
          </w:p>
        </w:tc>
      </w:tr>
      <w:tr>
        <w:trPr>
          <w:trHeight w:val="307"/>
        </w:trPr>
        <w:tc>
          <w:tcPr>
            <w:tcW w:w="11100" w:type="dxa"/>
            <w:vAlign w:val="bottom"/>
          </w:tcPr>
          <w:p>
            <w:pPr>
              <w:spacing w:after="0"/>
              <w:rPr>
                <w:sz w:val="20"/>
                <w:szCs w:val="20"/>
                <w:color w:val="auto"/>
              </w:rPr>
            </w:pPr>
            <w:r>
              <w:rPr>
                <w:rFonts w:ascii="Arial" w:cs="Arial" w:eastAsia="Arial" w:hAnsi="Arial"/>
                <w:sz w:val="13"/>
                <w:szCs w:val="13"/>
                <w:color w:val="auto"/>
              </w:rPr>
              <w:t>ARTICLE XI. SINKING FUNDS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36</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11.1. Applicability of Article</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36</w:t>
            </w:r>
          </w:p>
        </w:tc>
      </w:tr>
      <w:tr>
        <w:trPr>
          <w:trHeight w:val="157"/>
        </w:trPr>
        <w:tc>
          <w:tcPr>
            <w:tcW w:w="11100" w:type="dxa"/>
            <w:vAlign w:val="bottom"/>
          </w:tcPr>
          <w:p>
            <w:pPr>
              <w:ind w:left="140"/>
              <w:spacing w:after="0"/>
              <w:rPr>
                <w:sz w:val="20"/>
                <w:szCs w:val="20"/>
                <w:color w:val="auto"/>
              </w:rPr>
            </w:pPr>
            <w:r>
              <w:rPr>
                <w:rFonts w:ascii="Arial" w:cs="Arial" w:eastAsia="Arial" w:hAnsi="Arial"/>
                <w:sz w:val="13"/>
                <w:szCs w:val="13"/>
                <w:color w:val="auto"/>
              </w:rPr>
              <w:t>Section 11.2. Satisfaction of Sinking Fund Payments with Securities</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37</w:t>
            </w:r>
          </w:p>
        </w:tc>
      </w:tr>
      <w:tr>
        <w:trPr>
          <w:trHeight w:val="165"/>
        </w:trPr>
        <w:tc>
          <w:tcPr>
            <w:tcW w:w="11100" w:type="dxa"/>
            <w:vAlign w:val="bottom"/>
          </w:tcPr>
          <w:p>
            <w:pPr>
              <w:ind w:left="140"/>
              <w:spacing w:after="0"/>
              <w:rPr>
                <w:sz w:val="20"/>
                <w:szCs w:val="20"/>
                <w:color w:val="auto"/>
              </w:rPr>
            </w:pPr>
            <w:r>
              <w:rPr>
                <w:rFonts w:ascii="Arial" w:cs="Arial" w:eastAsia="Arial" w:hAnsi="Arial"/>
                <w:sz w:val="13"/>
                <w:szCs w:val="13"/>
                <w:color w:val="auto"/>
              </w:rPr>
              <w:t>Section 11.3. Redemption of Securities for Sinking Fund</w:t>
            </w:r>
          </w:p>
        </w:tc>
        <w:tc>
          <w:tcPr>
            <w:tcW w:w="360" w:type="dxa"/>
            <w:vAlign w:val="bottom"/>
          </w:tcPr>
          <w:p>
            <w:pPr>
              <w:jc w:val="center"/>
              <w:spacing w:after="0"/>
              <w:rPr>
                <w:sz w:val="20"/>
                <w:szCs w:val="20"/>
                <w:color w:val="auto"/>
              </w:rPr>
            </w:pPr>
            <w:r>
              <w:rPr>
                <w:rFonts w:ascii="Arial" w:cs="Arial" w:eastAsia="Arial" w:hAnsi="Arial"/>
                <w:sz w:val="13"/>
                <w:szCs w:val="13"/>
                <w:color w:val="auto"/>
                <w:w w:val="96"/>
              </w:rPr>
              <w:t>37</w:t>
            </w:r>
          </w:p>
        </w:tc>
      </w:tr>
    </w:tbl>
    <w:p>
      <w:pPr>
        <w:spacing w:after="0" w:line="1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28" w:name="page29"/>
    <w:bookmarkEnd w:id="28"/>
    <w:tbl>
      <w:tblPr>
        <w:tblLayout w:type="fixed"/>
        <w:tblInd w:w="820" w:type="dxa"/>
        <w:tblCellMar>
          <w:top w:w="0" w:type="dxa"/>
          <w:left w:w="0" w:type="dxa"/>
          <w:bottom w:w="0" w:type="dxa"/>
          <w:right w:w="0" w:type="dxa"/>
        </w:tblCellMar>
      </w:tblPr>
      <w:tr>
        <w:trPr>
          <w:trHeight w:val="169"/>
        </w:trPr>
        <w:tc>
          <w:tcPr>
            <w:tcW w:w="1900" w:type="dxa"/>
            <w:vAlign w:val="bottom"/>
          </w:tcPr>
          <w:p>
            <w:pPr>
              <w:spacing w:after="0"/>
              <w:rPr>
                <w:sz w:val="14"/>
                <w:szCs w:val="14"/>
                <w:color w:val="auto"/>
              </w:rPr>
            </w:pPr>
          </w:p>
        </w:tc>
        <w:tc>
          <w:tcPr>
            <w:tcW w:w="7960" w:type="dxa"/>
            <w:vAlign w:val="bottom"/>
          </w:tcPr>
          <w:p>
            <w:pPr>
              <w:jc w:val="center"/>
              <w:ind w:right="1874"/>
              <w:spacing w:after="0"/>
              <w:rPr>
                <w:sz w:val="20"/>
                <w:szCs w:val="20"/>
                <w:color w:val="auto"/>
              </w:rPr>
            </w:pPr>
            <w:r>
              <w:rPr>
                <w:rFonts w:ascii="Arial" w:cs="Arial" w:eastAsia="Arial" w:hAnsi="Arial"/>
                <w:sz w:val="13"/>
                <w:szCs w:val="13"/>
                <w:b w:val="1"/>
                <w:bCs w:val="1"/>
                <w:color w:val="auto"/>
              </w:rPr>
              <w:t>ANALOG DEVICES, INC.</w:t>
            </w:r>
          </w:p>
        </w:tc>
      </w:tr>
      <w:tr>
        <w:trPr>
          <w:trHeight w:val="224"/>
        </w:trPr>
        <w:tc>
          <w:tcPr>
            <w:tcW w:w="1900" w:type="dxa"/>
            <w:vAlign w:val="bottom"/>
          </w:tcPr>
          <w:p>
            <w:pPr>
              <w:spacing w:after="0"/>
              <w:rPr>
                <w:sz w:val="19"/>
                <w:szCs w:val="19"/>
                <w:color w:val="auto"/>
              </w:rPr>
            </w:pPr>
          </w:p>
        </w:tc>
        <w:tc>
          <w:tcPr>
            <w:tcW w:w="7960" w:type="dxa"/>
            <w:vAlign w:val="bottom"/>
          </w:tcPr>
          <w:p>
            <w:pPr>
              <w:jc w:val="center"/>
              <w:ind w:right="1874"/>
              <w:spacing w:after="0"/>
              <w:rPr>
                <w:sz w:val="20"/>
                <w:szCs w:val="20"/>
                <w:color w:val="auto"/>
              </w:rPr>
            </w:pPr>
            <w:r>
              <w:rPr>
                <w:rFonts w:ascii="Arial" w:cs="Arial" w:eastAsia="Arial" w:hAnsi="Arial"/>
                <w:sz w:val="13"/>
                <w:szCs w:val="13"/>
                <w:color w:val="auto"/>
                <w:w w:val="92"/>
              </w:rPr>
              <w:t>Reconciliation and tie between Trust Indenture Act of 1939 and</w:t>
            </w:r>
          </w:p>
        </w:tc>
      </w:tr>
      <w:tr>
        <w:trPr>
          <w:trHeight w:val="169"/>
        </w:trPr>
        <w:tc>
          <w:tcPr>
            <w:tcW w:w="1900" w:type="dxa"/>
            <w:vAlign w:val="bottom"/>
          </w:tcPr>
          <w:p>
            <w:pPr>
              <w:spacing w:after="0"/>
              <w:rPr>
                <w:sz w:val="14"/>
                <w:szCs w:val="14"/>
                <w:color w:val="auto"/>
              </w:rPr>
            </w:pPr>
          </w:p>
        </w:tc>
        <w:tc>
          <w:tcPr>
            <w:tcW w:w="7960" w:type="dxa"/>
            <w:vAlign w:val="bottom"/>
          </w:tcPr>
          <w:p>
            <w:pPr>
              <w:jc w:val="center"/>
              <w:ind w:right="1874"/>
              <w:spacing w:after="0"/>
              <w:rPr>
                <w:sz w:val="20"/>
                <w:szCs w:val="20"/>
                <w:color w:val="auto"/>
              </w:rPr>
            </w:pPr>
            <w:r>
              <w:rPr>
                <w:rFonts w:ascii="Arial" w:cs="Arial" w:eastAsia="Arial" w:hAnsi="Arial"/>
                <w:sz w:val="13"/>
                <w:szCs w:val="13"/>
                <w:color w:val="auto"/>
                <w:w w:val="90"/>
              </w:rPr>
              <w:t>Indenture, dated as of [</w:t>
            </w:r>
            <w:r>
              <w:rPr>
                <w:rFonts w:ascii="Arial" w:cs="Arial" w:eastAsia="Arial" w:hAnsi="Arial"/>
                <w:sz w:val="13"/>
                <w:szCs w:val="13"/>
                <w:b w:val="1"/>
                <w:bCs w:val="1"/>
                <w:color w:val="auto"/>
                <w:w w:val="90"/>
              </w:rPr>
              <w:t>•</w:t>
            </w:r>
            <w:r>
              <w:rPr>
                <w:rFonts w:ascii="Arial" w:cs="Arial" w:eastAsia="Arial" w:hAnsi="Arial"/>
                <w:sz w:val="13"/>
                <w:szCs w:val="13"/>
                <w:color w:val="auto"/>
                <w:w w:val="90"/>
              </w:rPr>
              <w:t>], 2009</w:t>
            </w:r>
          </w:p>
        </w:tc>
      </w:tr>
      <w:tr>
        <w:trPr>
          <w:trHeight w:val="307"/>
        </w:trPr>
        <w:tc>
          <w:tcPr>
            <w:tcW w:w="1900" w:type="dxa"/>
            <w:vAlign w:val="bottom"/>
          </w:tcPr>
          <w:p>
            <w:pPr>
              <w:jc w:val="right"/>
              <w:ind w:right="1274"/>
              <w:spacing w:after="0"/>
              <w:rPr>
                <w:sz w:val="20"/>
                <w:szCs w:val="20"/>
                <w:color w:val="auto"/>
              </w:rPr>
            </w:pPr>
            <w:r>
              <w:rPr>
                <w:rFonts w:ascii="Arial" w:cs="Arial" w:eastAsia="Arial" w:hAnsi="Arial"/>
                <w:sz w:val="13"/>
                <w:szCs w:val="13"/>
                <w:color w:val="auto"/>
                <w:w w:val="88"/>
              </w:rPr>
              <w:t>§310(a)(1)</w:t>
            </w:r>
          </w:p>
        </w:tc>
        <w:tc>
          <w:tcPr>
            <w:tcW w:w="7960" w:type="dxa"/>
            <w:vAlign w:val="bottom"/>
          </w:tcPr>
          <w:p>
            <w:pPr>
              <w:ind w:left="7140"/>
              <w:spacing w:after="0"/>
              <w:rPr>
                <w:sz w:val="20"/>
                <w:szCs w:val="20"/>
                <w:color w:val="auto"/>
              </w:rPr>
            </w:pPr>
            <w:r>
              <w:rPr>
                <w:rFonts w:ascii="Arial" w:cs="Arial" w:eastAsia="Arial" w:hAnsi="Arial"/>
                <w:sz w:val="13"/>
                <w:szCs w:val="13"/>
                <w:color w:val="auto"/>
              </w:rPr>
              <w:t>7.10</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(a)(2)</w:t>
            </w:r>
          </w:p>
        </w:tc>
        <w:tc>
          <w:tcPr>
            <w:tcW w:w="7960" w:type="dxa"/>
            <w:vAlign w:val="bottom"/>
          </w:tcPr>
          <w:p>
            <w:pPr>
              <w:ind w:left="7140"/>
              <w:spacing w:after="0"/>
              <w:rPr>
                <w:sz w:val="20"/>
                <w:szCs w:val="20"/>
                <w:color w:val="auto"/>
              </w:rPr>
            </w:pPr>
            <w:r>
              <w:rPr>
                <w:rFonts w:ascii="Arial" w:cs="Arial" w:eastAsia="Arial" w:hAnsi="Arial"/>
                <w:sz w:val="13"/>
                <w:szCs w:val="13"/>
                <w:color w:val="auto"/>
              </w:rPr>
              <w:t>7.10</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(a)(3)</w:t>
            </w:r>
          </w:p>
        </w:tc>
        <w:tc>
          <w:tcPr>
            <w:tcW w:w="7960" w:type="dxa"/>
            <w:vAlign w:val="bottom"/>
          </w:tcPr>
          <w:p>
            <w:pPr>
              <w:ind w:left="7140"/>
              <w:spacing w:after="0"/>
              <w:rPr>
                <w:sz w:val="20"/>
                <w:szCs w:val="20"/>
                <w:color w:val="auto"/>
              </w:rPr>
            </w:pPr>
            <w:r>
              <w:rPr>
                <w:rFonts w:ascii="Arial" w:cs="Arial" w:eastAsia="Arial" w:hAnsi="Arial"/>
                <w:sz w:val="13"/>
                <w:szCs w:val="13"/>
                <w:color w:val="auto"/>
                <w:w w:val="95"/>
              </w:rPr>
              <w:t>Not Applicable</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(a)(4)</w:t>
            </w:r>
          </w:p>
        </w:tc>
        <w:tc>
          <w:tcPr>
            <w:tcW w:w="7960" w:type="dxa"/>
            <w:vAlign w:val="bottom"/>
          </w:tcPr>
          <w:p>
            <w:pPr>
              <w:ind w:left="7140"/>
              <w:spacing w:after="0"/>
              <w:rPr>
                <w:sz w:val="20"/>
                <w:szCs w:val="20"/>
                <w:color w:val="auto"/>
              </w:rPr>
            </w:pPr>
            <w:r>
              <w:rPr>
                <w:rFonts w:ascii="Arial" w:cs="Arial" w:eastAsia="Arial" w:hAnsi="Arial"/>
                <w:sz w:val="13"/>
                <w:szCs w:val="13"/>
                <w:color w:val="auto"/>
                <w:w w:val="95"/>
              </w:rPr>
              <w:t>Not Applicable</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(a)(5)</w:t>
            </w:r>
          </w:p>
        </w:tc>
        <w:tc>
          <w:tcPr>
            <w:tcW w:w="7960" w:type="dxa"/>
            <w:vAlign w:val="bottom"/>
          </w:tcPr>
          <w:p>
            <w:pPr>
              <w:ind w:left="7140"/>
              <w:spacing w:after="0"/>
              <w:rPr>
                <w:sz w:val="20"/>
                <w:szCs w:val="20"/>
                <w:color w:val="auto"/>
              </w:rPr>
            </w:pPr>
            <w:r>
              <w:rPr>
                <w:rFonts w:ascii="Arial" w:cs="Arial" w:eastAsia="Arial" w:hAnsi="Arial"/>
                <w:sz w:val="13"/>
                <w:szCs w:val="13"/>
                <w:color w:val="auto"/>
              </w:rPr>
              <w:t>7.10</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(b)</w:t>
            </w:r>
          </w:p>
        </w:tc>
        <w:tc>
          <w:tcPr>
            <w:tcW w:w="7960" w:type="dxa"/>
            <w:vAlign w:val="bottom"/>
          </w:tcPr>
          <w:p>
            <w:pPr>
              <w:ind w:left="7140"/>
              <w:spacing w:after="0"/>
              <w:rPr>
                <w:sz w:val="20"/>
                <w:szCs w:val="20"/>
                <w:color w:val="auto"/>
              </w:rPr>
            </w:pPr>
            <w:r>
              <w:rPr>
                <w:rFonts w:ascii="Arial" w:cs="Arial" w:eastAsia="Arial" w:hAnsi="Arial"/>
                <w:sz w:val="13"/>
                <w:szCs w:val="13"/>
                <w:color w:val="auto"/>
              </w:rPr>
              <w:t>7.10</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 311(a)</w:t>
            </w:r>
          </w:p>
        </w:tc>
        <w:tc>
          <w:tcPr>
            <w:tcW w:w="7960" w:type="dxa"/>
            <w:vAlign w:val="bottom"/>
          </w:tcPr>
          <w:p>
            <w:pPr>
              <w:ind w:left="7140"/>
              <w:spacing w:after="0"/>
              <w:rPr>
                <w:sz w:val="20"/>
                <w:szCs w:val="20"/>
                <w:color w:val="auto"/>
              </w:rPr>
            </w:pPr>
            <w:r>
              <w:rPr>
                <w:rFonts w:ascii="Arial" w:cs="Arial" w:eastAsia="Arial" w:hAnsi="Arial"/>
                <w:sz w:val="13"/>
                <w:szCs w:val="13"/>
                <w:color w:val="auto"/>
              </w:rPr>
              <w:t>7.11</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(b)</w:t>
            </w:r>
          </w:p>
        </w:tc>
        <w:tc>
          <w:tcPr>
            <w:tcW w:w="7960" w:type="dxa"/>
            <w:vAlign w:val="bottom"/>
          </w:tcPr>
          <w:p>
            <w:pPr>
              <w:ind w:left="7140"/>
              <w:spacing w:after="0"/>
              <w:rPr>
                <w:sz w:val="20"/>
                <w:szCs w:val="20"/>
                <w:color w:val="auto"/>
              </w:rPr>
            </w:pPr>
            <w:r>
              <w:rPr>
                <w:rFonts w:ascii="Arial" w:cs="Arial" w:eastAsia="Arial" w:hAnsi="Arial"/>
                <w:sz w:val="13"/>
                <w:szCs w:val="13"/>
                <w:color w:val="auto"/>
              </w:rPr>
              <w:t>7.11</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(c)</w:t>
            </w:r>
          </w:p>
        </w:tc>
        <w:tc>
          <w:tcPr>
            <w:tcW w:w="7960" w:type="dxa"/>
            <w:vAlign w:val="bottom"/>
          </w:tcPr>
          <w:p>
            <w:pPr>
              <w:ind w:left="7140"/>
              <w:spacing w:after="0"/>
              <w:rPr>
                <w:sz w:val="20"/>
                <w:szCs w:val="20"/>
                <w:color w:val="auto"/>
              </w:rPr>
            </w:pPr>
            <w:r>
              <w:rPr>
                <w:rFonts w:ascii="Arial" w:cs="Arial" w:eastAsia="Arial" w:hAnsi="Arial"/>
                <w:sz w:val="13"/>
                <w:szCs w:val="13"/>
                <w:color w:val="auto"/>
                <w:w w:val="95"/>
              </w:rPr>
              <w:t>Not Applicable</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 312(a)</w:t>
            </w:r>
          </w:p>
        </w:tc>
        <w:tc>
          <w:tcPr>
            <w:tcW w:w="7960" w:type="dxa"/>
            <w:vAlign w:val="bottom"/>
          </w:tcPr>
          <w:p>
            <w:pPr>
              <w:ind w:left="7140"/>
              <w:spacing w:after="0"/>
              <w:rPr>
                <w:sz w:val="20"/>
                <w:szCs w:val="20"/>
                <w:color w:val="auto"/>
              </w:rPr>
            </w:pPr>
            <w:r>
              <w:rPr>
                <w:rFonts w:ascii="Arial" w:cs="Arial" w:eastAsia="Arial" w:hAnsi="Arial"/>
                <w:sz w:val="13"/>
                <w:szCs w:val="13"/>
                <w:color w:val="auto"/>
              </w:rPr>
              <w:t>2.6</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(b)</w:t>
            </w:r>
          </w:p>
        </w:tc>
        <w:tc>
          <w:tcPr>
            <w:tcW w:w="7960" w:type="dxa"/>
            <w:vAlign w:val="bottom"/>
          </w:tcPr>
          <w:p>
            <w:pPr>
              <w:ind w:left="7140"/>
              <w:spacing w:after="0"/>
              <w:rPr>
                <w:sz w:val="20"/>
                <w:szCs w:val="20"/>
                <w:color w:val="auto"/>
              </w:rPr>
            </w:pPr>
            <w:r>
              <w:rPr>
                <w:rFonts w:ascii="Arial" w:cs="Arial" w:eastAsia="Arial" w:hAnsi="Arial"/>
                <w:sz w:val="13"/>
                <w:szCs w:val="13"/>
                <w:color w:val="auto"/>
              </w:rPr>
              <w:t>10.3</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(c)</w:t>
            </w:r>
          </w:p>
        </w:tc>
        <w:tc>
          <w:tcPr>
            <w:tcW w:w="7960" w:type="dxa"/>
            <w:vAlign w:val="bottom"/>
          </w:tcPr>
          <w:p>
            <w:pPr>
              <w:ind w:left="7140"/>
              <w:spacing w:after="0"/>
              <w:rPr>
                <w:sz w:val="20"/>
                <w:szCs w:val="20"/>
                <w:color w:val="auto"/>
              </w:rPr>
            </w:pPr>
            <w:r>
              <w:rPr>
                <w:rFonts w:ascii="Arial" w:cs="Arial" w:eastAsia="Arial" w:hAnsi="Arial"/>
                <w:sz w:val="13"/>
                <w:szCs w:val="13"/>
                <w:color w:val="auto"/>
              </w:rPr>
              <w:t>10.3</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§313(a)</w:t>
            </w:r>
          </w:p>
        </w:tc>
        <w:tc>
          <w:tcPr>
            <w:tcW w:w="7960" w:type="dxa"/>
            <w:vAlign w:val="bottom"/>
          </w:tcPr>
          <w:p>
            <w:pPr>
              <w:ind w:left="7140"/>
              <w:spacing w:after="0"/>
              <w:rPr>
                <w:sz w:val="20"/>
                <w:szCs w:val="20"/>
                <w:color w:val="auto"/>
              </w:rPr>
            </w:pPr>
            <w:r>
              <w:rPr>
                <w:rFonts w:ascii="Arial" w:cs="Arial" w:eastAsia="Arial" w:hAnsi="Arial"/>
                <w:sz w:val="13"/>
                <w:szCs w:val="13"/>
                <w:color w:val="auto"/>
              </w:rPr>
              <w:t>7.6</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(b)(1)</w:t>
            </w:r>
          </w:p>
        </w:tc>
        <w:tc>
          <w:tcPr>
            <w:tcW w:w="7960" w:type="dxa"/>
            <w:vAlign w:val="bottom"/>
          </w:tcPr>
          <w:p>
            <w:pPr>
              <w:ind w:left="7140"/>
              <w:spacing w:after="0"/>
              <w:rPr>
                <w:sz w:val="20"/>
                <w:szCs w:val="20"/>
                <w:color w:val="auto"/>
              </w:rPr>
            </w:pPr>
            <w:r>
              <w:rPr>
                <w:rFonts w:ascii="Arial" w:cs="Arial" w:eastAsia="Arial" w:hAnsi="Arial"/>
                <w:sz w:val="13"/>
                <w:szCs w:val="13"/>
                <w:color w:val="auto"/>
              </w:rPr>
              <w:t>7.6</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(b)(2)</w:t>
            </w:r>
          </w:p>
        </w:tc>
        <w:tc>
          <w:tcPr>
            <w:tcW w:w="7960" w:type="dxa"/>
            <w:vAlign w:val="bottom"/>
          </w:tcPr>
          <w:p>
            <w:pPr>
              <w:ind w:left="7140"/>
              <w:spacing w:after="0"/>
              <w:rPr>
                <w:sz w:val="20"/>
                <w:szCs w:val="20"/>
                <w:color w:val="auto"/>
              </w:rPr>
            </w:pPr>
            <w:r>
              <w:rPr>
                <w:rFonts w:ascii="Arial" w:cs="Arial" w:eastAsia="Arial" w:hAnsi="Arial"/>
                <w:sz w:val="13"/>
                <w:szCs w:val="13"/>
                <w:color w:val="auto"/>
              </w:rPr>
              <w:t>7.6</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(c)(1)</w:t>
            </w:r>
          </w:p>
        </w:tc>
        <w:tc>
          <w:tcPr>
            <w:tcW w:w="7960" w:type="dxa"/>
            <w:vAlign w:val="bottom"/>
          </w:tcPr>
          <w:p>
            <w:pPr>
              <w:ind w:left="7140"/>
              <w:spacing w:after="0"/>
              <w:rPr>
                <w:sz w:val="20"/>
                <w:szCs w:val="20"/>
                <w:color w:val="auto"/>
              </w:rPr>
            </w:pPr>
            <w:r>
              <w:rPr>
                <w:rFonts w:ascii="Arial" w:cs="Arial" w:eastAsia="Arial" w:hAnsi="Arial"/>
                <w:sz w:val="13"/>
                <w:szCs w:val="13"/>
                <w:color w:val="auto"/>
              </w:rPr>
              <w:t>7.6</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(d)</w:t>
            </w:r>
          </w:p>
        </w:tc>
        <w:tc>
          <w:tcPr>
            <w:tcW w:w="7960" w:type="dxa"/>
            <w:vAlign w:val="bottom"/>
          </w:tcPr>
          <w:p>
            <w:pPr>
              <w:ind w:left="7140"/>
              <w:spacing w:after="0"/>
              <w:rPr>
                <w:sz w:val="20"/>
                <w:szCs w:val="20"/>
                <w:color w:val="auto"/>
              </w:rPr>
            </w:pPr>
            <w:r>
              <w:rPr>
                <w:rFonts w:ascii="Arial" w:cs="Arial" w:eastAsia="Arial" w:hAnsi="Arial"/>
                <w:sz w:val="13"/>
                <w:szCs w:val="13"/>
                <w:color w:val="auto"/>
              </w:rPr>
              <w:t>7.6</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 314(a)</w:t>
            </w:r>
          </w:p>
        </w:tc>
        <w:tc>
          <w:tcPr>
            <w:tcW w:w="7960" w:type="dxa"/>
            <w:vAlign w:val="bottom"/>
          </w:tcPr>
          <w:p>
            <w:pPr>
              <w:ind w:left="7140"/>
              <w:spacing w:after="0"/>
              <w:rPr>
                <w:sz w:val="20"/>
                <w:szCs w:val="20"/>
                <w:color w:val="auto"/>
              </w:rPr>
            </w:pPr>
            <w:r>
              <w:rPr>
                <w:rFonts w:ascii="Arial" w:cs="Arial" w:eastAsia="Arial" w:hAnsi="Arial"/>
                <w:sz w:val="13"/>
                <w:szCs w:val="13"/>
                <w:color w:val="auto"/>
              </w:rPr>
              <w:t>4.2, 4.3</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(b)</w:t>
            </w:r>
          </w:p>
        </w:tc>
        <w:tc>
          <w:tcPr>
            <w:tcW w:w="7960" w:type="dxa"/>
            <w:vAlign w:val="bottom"/>
          </w:tcPr>
          <w:p>
            <w:pPr>
              <w:ind w:left="7140"/>
              <w:spacing w:after="0"/>
              <w:rPr>
                <w:sz w:val="20"/>
                <w:szCs w:val="20"/>
                <w:color w:val="auto"/>
              </w:rPr>
            </w:pPr>
            <w:r>
              <w:rPr>
                <w:rFonts w:ascii="Arial" w:cs="Arial" w:eastAsia="Arial" w:hAnsi="Arial"/>
                <w:sz w:val="13"/>
                <w:szCs w:val="13"/>
                <w:color w:val="auto"/>
                <w:w w:val="95"/>
              </w:rPr>
              <w:t>Not Applicable</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(c)(1)</w:t>
            </w:r>
          </w:p>
        </w:tc>
        <w:tc>
          <w:tcPr>
            <w:tcW w:w="7960" w:type="dxa"/>
            <w:vAlign w:val="bottom"/>
          </w:tcPr>
          <w:p>
            <w:pPr>
              <w:ind w:left="7140"/>
              <w:spacing w:after="0"/>
              <w:rPr>
                <w:sz w:val="20"/>
                <w:szCs w:val="20"/>
                <w:color w:val="auto"/>
              </w:rPr>
            </w:pPr>
            <w:r>
              <w:rPr>
                <w:rFonts w:ascii="Arial" w:cs="Arial" w:eastAsia="Arial" w:hAnsi="Arial"/>
                <w:sz w:val="13"/>
                <w:szCs w:val="13"/>
                <w:color w:val="auto"/>
              </w:rPr>
              <w:t>10.4</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(c)(2)</w:t>
            </w:r>
          </w:p>
        </w:tc>
        <w:tc>
          <w:tcPr>
            <w:tcW w:w="7960" w:type="dxa"/>
            <w:vAlign w:val="bottom"/>
          </w:tcPr>
          <w:p>
            <w:pPr>
              <w:ind w:left="7140"/>
              <w:spacing w:after="0"/>
              <w:rPr>
                <w:sz w:val="20"/>
                <w:szCs w:val="20"/>
                <w:color w:val="auto"/>
              </w:rPr>
            </w:pPr>
            <w:r>
              <w:rPr>
                <w:rFonts w:ascii="Arial" w:cs="Arial" w:eastAsia="Arial" w:hAnsi="Arial"/>
                <w:sz w:val="13"/>
                <w:szCs w:val="13"/>
                <w:color w:val="auto"/>
              </w:rPr>
              <w:t>10.4</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(c)(3)</w:t>
            </w:r>
          </w:p>
        </w:tc>
        <w:tc>
          <w:tcPr>
            <w:tcW w:w="7960" w:type="dxa"/>
            <w:vAlign w:val="bottom"/>
          </w:tcPr>
          <w:p>
            <w:pPr>
              <w:ind w:left="7140"/>
              <w:spacing w:after="0"/>
              <w:rPr>
                <w:sz w:val="20"/>
                <w:szCs w:val="20"/>
                <w:color w:val="auto"/>
              </w:rPr>
            </w:pPr>
            <w:r>
              <w:rPr>
                <w:rFonts w:ascii="Arial" w:cs="Arial" w:eastAsia="Arial" w:hAnsi="Arial"/>
                <w:sz w:val="13"/>
                <w:szCs w:val="13"/>
                <w:color w:val="auto"/>
                <w:w w:val="95"/>
              </w:rPr>
              <w:t>Not Applicable</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(d)</w:t>
            </w:r>
          </w:p>
        </w:tc>
        <w:tc>
          <w:tcPr>
            <w:tcW w:w="7960" w:type="dxa"/>
            <w:vAlign w:val="bottom"/>
          </w:tcPr>
          <w:p>
            <w:pPr>
              <w:ind w:left="7140"/>
              <w:spacing w:after="0"/>
              <w:rPr>
                <w:sz w:val="20"/>
                <w:szCs w:val="20"/>
                <w:color w:val="auto"/>
              </w:rPr>
            </w:pPr>
            <w:r>
              <w:rPr>
                <w:rFonts w:ascii="Arial" w:cs="Arial" w:eastAsia="Arial" w:hAnsi="Arial"/>
                <w:sz w:val="13"/>
                <w:szCs w:val="13"/>
                <w:color w:val="auto"/>
                <w:w w:val="95"/>
              </w:rPr>
              <w:t>Not Applicable</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(e)</w:t>
            </w:r>
          </w:p>
        </w:tc>
        <w:tc>
          <w:tcPr>
            <w:tcW w:w="7960" w:type="dxa"/>
            <w:vAlign w:val="bottom"/>
          </w:tcPr>
          <w:p>
            <w:pPr>
              <w:ind w:left="7140"/>
              <w:spacing w:after="0"/>
              <w:rPr>
                <w:sz w:val="20"/>
                <w:szCs w:val="20"/>
                <w:color w:val="auto"/>
              </w:rPr>
            </w:pPr>
            <w:r>
              <w:rPr>
                <w:rFonts w:ascii="Arial" w:cs="Arial" w:eastAsia="Arial" w:hAnsi="Arial"/>
                <w:sz w:val="13"/>
                <w:szCs w:val="13"/>
                <w:color w:val="auto"/>
              </w:rPr>
              <w:t>10.5</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(f)</w:t>
            </w:r>
          </w:p>
        </w:tc>
        <w:tc>
          <w:tcPr>
            <w:tcW w:w="7960" w:type="dxa"/>
            <w:vAlign w:val="bottom"/>
          </w:tcPr>
          <w:p>
            <w:pPr>
              <w:ind w:left="7140"/>
              <w:spacing w:after="0"/>
              <w:rPr>
                <w:sz w:val="20"/>
                <w:szCs w:val="20"/>
                <w:color w:val="auto"/>
              </w:rPr>
            </w:pPr>
            <w:r>
              <w:rPr>
                <w:rFonts w:ascii="Arial" w:cs="Arial" w:eastAsia="Arial" w:hAnsi="Arial"/>
                <w:sz w:val="13"/>
                <w:szCs w:val="13"/>
                <w:color w:val="auto"/>
                <w:w w:val="95"/>
              </w:rPr>
              <w:t>Not Applicable</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 315(a)</w:t>
            </w:r>
          </w:p>
        </w:tc>
        <w:tc>
          <w:tcPr>
            <w:tcW w:w="7960" w:type="dxa"/>
            <w:vAlign w:val="bottom"/>
          </w:tcPr>
          <w:p>
            <w:pPr>
              <w:ind w:left="7140"/>
              <w:spacing w:after="0"/>
              <w:rPr>
                <w:sz w:val="20"/>
                <w:szCs w:val="20"/>
                <w:color w:val="auto"/>
              </w:rPr>
            </w:pPr>
            <w:r>
              <w:rPr>
                <w:rFonts w:ascii="Arial" w:cs="Arial" w:eastAsia="Arial" w:hAnsi="Arial"/>
                <w:sz w:val="13"/>
                <w:szCs w:val="13"/>
                <w:color w:val="auto"/>
              </w:rPr>
              <w:t>7.1</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(b)</w:t>
            </w:r>
          </w:p>
        </w:tc>
        <w:tc>
          <w:tcPr>
            <w:tcW w:w="7960" w:type="dxa"/>
            <w:vAlign w:val="bottom"/>
          </w:tcPr>
          <w:p>
            <w:pPr>
              <w:ind w:left="7140"/>
              <w:spacing w:after="0"/>
              <w:rPr>
                <w:sz w:val="20"/>
                <w:szCs w:val="20"/>
                <w:color w:val="auto"/>
              </w:rPr>
            </w:pPr>
            <w:r>
              <w:rPr>
                <w:rFonts w:ascii="Arial" w:cs="Arial" w:eastAsia="Arial" w:hAnsi="Arial"/>
                <w:sz w:val="13"/>
                <w:szCs w:val="13"/>
                <w:color w:val="auto"/>
              </w:rPr>
              <w:t>7.5</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(c)</w:t>
            </w:r>
          </w:p>
        </w:tc>
        <w:tc>
          <w:tcPr>
            <w:tcW w:w="7960" w:type="dxa"/>
            <w:vAlign w:val="bottom"/>
          </w:tcPr>
          <w:p>
            <w:pPr>
              <w:ind w:left="7140"/>
              <w:spacing w:after="0"/>
              <w:rPr>
                <w:sz w:val="20"/>
                <w:szCs w:val="20"/>
                <w:color w:val="auto"/>
              </w:rPr>
            </w:pPr>
            <w:r>
              <w:rPr>
                <w:rFonts w:ascii="Arial" w:cs="Arial" w:eastAsia="Arial" w:hAnsi="Arial"/>
                <w:sz w:val="13"/>
                <w:szCs w:val="13"/>
                <w:color w:val="auto"/>
              </w:rPr>
              <w:t>7.1</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(d)</w:t>
            </w:r>
          </w:p>
        </w:tc>
        <w:tc>
          <w:tcPr>
            <w:tcW w:w="7960" w:type="dxa"/>
            <w:vAlign w:val="bottom"/>
          </w:tcPr>
          <w:p>
            <w:pPr>
              <w:ind w:left="7140"/>
              <w:spacing w:after="0"/>
              <w:rPr>
                <w:sz w:val="20"/>
                <w:szCs w:val="20"/>
                <w:color w:val="auto"/>
              </w:rPr>
            </w:pPr>
            <w:r>
              <w:rPr>
                <w:rFonts w:ascii="Arial" w:cs="Arial" w:eastAsia="Arial" w:hAnsi="Arial"/>
                <w:sz w:val="13"/>
                <w:szCs w:val="13"/>
                <w:color w:val="auto"/>
              </w:rPr>
              <w:t>7.1</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(e)</w:t>
            </w:r>
          </w:p>
        </w:tc>
        <w:tc>
          <w:tcPr>
            <w:tcW w:w="7960" w:type="dxa"/>
            <w:vAlign w:val="bottom"/>
          </w:tcPr>
          <w:p>
            <w:pPr>
              <w:ind w:left="7140"/>
              <w:spacing w:after="0"/>
              <w:rPr>
                <w:sz w:val="20"/>
                <w:szCs w:val="20"/>
                <w:color w:val="auto"/>
              </w:rPr>
            </w:pPr>
            <w:r>
              <w:rPr>
                <w:rFonts w:ascii="Arial" w:cs="Arial" w:eastAsia="Arial" w:hAnsi="Arial"/>
                <w:sz w:val="13"/>
                <w:szCs w:val="13"/>
                <w:color w:val="auto"/>
              </w:rPr>
              <w:t>6.14</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§316(a)</w:t>
            </w:r>
          </w:p>
        </w:tc>
        <w:tc>
          <w:tcPr>
            <w:tcW w:w="7960" w:type="dxa"/>
            <w:vAlign w:val="bottom"/>
          </w:tcPr>
          <w:p>
            <w:pPr>
              <w:ind w:left="7140"/>
              <w:spacing w:after="0"/>
              <w:rPr>
                <w:sz w:val="20"/>
                <w:szCs w:val="20"/>
                <w:color w:val="auto"/>
              </w:rPr>
            </w:pPr>
            <w:r>
              <w:rPr>
                <w:rFonts w:ascii="Arial" w:cs="Arial" w:eastAsia="Arial" w:hAnsi="Arial"/>
                <w:sz w:val="13"/>
                <w:szCs w:val="13"/>
                <w:color w:val="auto"/>
              </w:rPr>
              <w:t>2.10</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(a)(1)(A)</w:t>
            </w:r>
          </w:p>
        </w:tc>
        <w:tc>
          <w:tcPr>
            <w:tcW w:w="7960" w:type="dxa"/>
            <w:vAlign w:val="bottom"/>
          </w:tcPr>
          <w:p>
            <w:pPr>
              <w:ind w:left="7140"/>
              <w:spacing w:after="0"/>
              <w:rPr>
                <w:sz w:val="20"/>
                <w:szCs w:val="20"/>
                <w:color w:val="auto"/>
              </w:rPr>
            </w:pPr>
            <w:r>
              <w:rPr>
                <w:rFonts w:ascii="Arial" w:cs="Arial" w:eastAsia="Arial" w:hAnsi="Arial"/>
                <w:sz w:val="13"/>
                <w:szCs w:val="13"/>
                <w:color w:val="auto"/>
              </w:rPr>
              <w:t>6.12</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(a)(1)(B)</w:t>
            </w:r>
          </w:p>
        </w:tc>
        <w:tc>
          <w:tcPr>
            <w:tcW w:w="7960" w:type="dxa"/>
            <w:vAlign w:val="bottom"/>
          </w:tcPr>
          <w:p>
            <w:pPr>
              <w:ind w:left="7140"/>
              <w:spacing w:after="0"/>
              <w:rPr>
                <w:sz w:val="20"/>
                <w:szCs w:val="20"/>
                <w:color w:val="auto"/>
              </w:rPr>
            </w:pPr>
            <w:r>
              <w:rPr>
                <w:rFonts w:ascii="Arial" w:cs="Arial" w:eastAsia="Arial" w:hAnsi="Arial"/>
                <w:sz w:val="13"/>
                <w:szCs w:val="13"/>
                <w:color w:val="auto"/>
              </w:rPr>
              <w:t>6.13</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(b)</w:t>
            </w:r>
          </w:p>
        </w:tc>
        <w:tc>
          <w:tcPr>
            <w:tcW w:w="7960" w:type="dxa"/>
            <w:vAlign w:val="bottom"/>
          </w:tcPr>
          <w:p>
            <w:pPr>
              <w:ind w:left="7140"/>
              <w:spacing w:after="0"/>
              <w:rPr>
                <w:sz w:val="20"/>
                <w:szCs w:val="20"/>
                <w:color w:val="auto"/>
              </w:rPr>
            </w:pPr>
            <w:r>
              <w:rPr>
                <w:rFonts w:ascii="Arial" w:cs="Arial" w:eastAsia="Arial" w:hAnsi="Arial"/>
                <w:sz w:val="13"/>
                <w:szCs w:val="13"/>
                <w:color w:val="auto"/>
              </w:rPr>
              <w:t>6.8</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w w:val="88"/>
              </w:rPr>
              <w:t>§317(a)(1)</w:t>
            </w:r>
          </w:p>
        </w:tc>
        <w:tc>
          <w:tcPr>
            <w:tcW w:w="7960" w:type="dxa"/>
            <w:vAlign w:val="bottom"/>
          </w:tcPr>
          <w:p>
            <w:pPr>
              <w:ind w:left="7140"/>
              <w:spacing w:after="0"/>
              <w:rPr>
                <w:sz w:val="20"/>
                <w:szCs w:val="20"/>
                <w:color w:val="auto"/>
              </w:rPr>
            </w:pPr>
            <w:r>
              <w:rPr>
                <w:rFonts w:ascii="Arial" w:cs="Arial" w:eastAsia="Arial" w:hAnsi="Arial"/>
                <w:sz w:val="13"/>
                <w:szCs w:val="13"/>
                <w:color w:val="auto"/>
              </w:rPr>
              <w:t>6.3</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(a)(2)</w:t>
            </w:r>
          </w:p>
        </w:tc>
        <w:tc>
          <w:tcPr>
            <w:tcW w:w="7960" w:type="dxa"/>
            <w:vAlign w:val="bottom"/>
          </w:tcPr>
          <w:p>
            <w:pPr>
              <w:ind w:left="7140"/>
              <w:spacing w:after="0"/>
              <w:rPr>
                <w:sz w:val="20"/>
                <w:szCs w:val="20"/>
                <w:color w:val="auto"/>
              </w:rPr>
            </w:pPr>
            <w:r>
              <w:rPr>
                <w:rFonts w:ascii="Arial" w:cs="Arial" w:eastAsia="Arial" w:hAnsi="Arial"/>
                <w:sz w:val="13"/>
                <w:szCs w:val="13"/>
                <w:color w:val="auto"/>
              </w:rPr>
              <w:t>6.4</w:t>
            </w:r>
          </w:p>
        </w:tc>
      </w:tr>
      <w:tr>
        <w:trPr>
          <w:trHeight w:val="157"/>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(b)</w:t>
            </w:r>
          </w:p>
        </w:tc>
        <w:tc>
          <w:tcPr>
            <w:tcW w:w="7960" w:type="dxa"/>
            <w:vAlign w:val="bottom"/>
          </w:tcPr>
          <w:p>
            <w:pPr>
              <w:ind w:left="7140"/>
              <w:spacing w:after="0"/>
              <w:rPr>
                <w:sz w:val="20"/>
                <w:szCs w:val="20"/>
                <w:color w:val="auto"/>
              </w:rPr>
            </w:pPr>
            <w:r>
              <w:rPr>
                <w:rFonts w:ascii="Arial" w:cs="Arial" w:eastAsia="Arial" w:hAnsi="Arial"/>
                <w:sz w:val="13"/>
                <w:szCs w:val="13"/>
                <w:color w:val="auto"/>
              </w:rPr>
              <w:t>2.5</w:t>
            </w:r>
          </w:p>
        </w:tc>
      </w:tr>
      <w:tr>
        <w:trPr>
          <w:trHeight w:val="165"/>
        </w:trPr>
        <w:tc>
          <w:tcPr>
            <w:tcW w:w="1900" w:type="dxa"/>
            <w:vAlign w:val="bottom"/>
          </w:tcPr>
          <w:p>
            <w:pPr>
              <w:jc w:val="right"/>
              <w:ind w:right="1274"/>
              <w:spacing w:after="0"/>
              <w:rPr>
                <w:sz w:val="20"/>
                <w:szCs w:val="20"/>
                <w:color w:val="auto"/>
              </w:rPr>
            </w:pPr>
            <w:r>
              <w:rPr>
                <w:rFonts w:ascii="Arial" w:cs="Arial" w:eastAsia="Arial" w:hAnsi="Arial"/>
                <w:sz w:val="13"/>
                <w:szCs w:val="13"/>
                <w:color w:val="auto"/>
              </w:rPr>
              <w:t>§ 318(a)</w:t>
            </w:r>
          </w:p>
        </w:tc>
        <w:tc>
          <w:tcPr>
            <w:tcW w:w="7960" w:type="dxa"/>
            <w:vAlign w:val="bottom"/>
          </w:tcPr>
          <w:p>
            <w:pPr>
              <w:ind w:left="7140"/>
              <w:spacing w:after="0"/>
              <w:rPr>
                <w:sz w:val="20"/>
                <w:szCs w:val="20"/>
                <w:color w:val="auto"/>
              </w:rPr>
            </w:pPr>
            <w:r>
              <w:rPr>
                <w:rFonts w:ascii="Arial" w:cs="Arial" w:eastAsia="Arial" w:hAnsi="Arial"/>
                <w:sz w:val="13"/>
                <w:szCs w:val="13"/>
                <w:color w:val="auto"/>
              </w:rPr>
              <w:t>10.1</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3"/>
          <w:szCs w:val="13"/>
          <w:color w:val="auto"/>
        </w:rPr>
        <w:t>Note: This reconciliation and tie shall not, for any purpose, be deemed to be part of the Indenture.</w:t>
      </w:r>
    </w:p>
    <w:p>
      <w:pPr>
        <w:spacing w:after="0" w:line="244" w:lineRule="exact"/>
        <w:rPr>
          <w:sz w:val="20"/>
          <w:szCs w:val="20"/>
          <w:color w:val="auto"/>
        </w:rPr>
      </w:pPr>
    </w:p>
    <w:p>
      <w:pPr>
        <w:ind w:left="5680"/>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80"/>
          </w:cols>
          <w:pgMar w:left="220" w:top="736" w:right="999" w:bottom="1440" w:gutter="0" w:footer="0" w:header="0"/>
        </w:sectPr>
      </w:pPr>
    </w:p>
    <w:bookmarkStart w:id="29" w:name="page30"/>
    <w:bookmarkEnd w:id="29"/>
    <w:p>
      <w:pPr>
        <w:ind w:left="160"/>
        <w:spacing w:after="0"/>
        <w:rPr>
          <w:sz w:val="20"/>
          <w:szCs w:val="20"/>
          <w:color w:val="auto"/>
        </w:rPr>
      </w:pPr>
      <w:r>
        <w:rPr>
          <w:rFonts w:ascii="Arial" w:cs="Arial" w:eastAsia="Arial" w:hAnsi="Arial"/>
          <w:sz w:val="12"/>
          <w:szCs w:val="12"/>
          <w:color w:val="auto"/>
        </w:rPr>
        <w:t>Indenture dated as of [</w:t>
      </w:r>
      <w:r>
        <w:rPr>
          <w:rFonts w:ascii="Arial" w:cs="Arial" w:eastAsia="Arial" w:hAnsi="Arial"/>
          <w:sz w:val="12"/>
          <w:szCs w:val="12"/>
          <w:b w:val="1"/>
          <w:bCs w:val="1"/>
          <w:color w:val="auto"/>
        </w:rPr>
        <w:t>•</w:t>
      </w:r>
      <w:r>
        <w:rPr>
          <w:rFonts w:ascii="Arial" w:cs="Arial" w:eastAsia="Arial" w:hAnsi="Arial"/>
          <w:sz w:val="12"/>
          <w:szCs w:val="12"/>
          <w:color w:val="auto"/>
        </w:rPr>
        <w:t>], 2009 between Analog Devices, Inc., a Massachusetts corporation (“Company”), and The Bank of New York Mellon Trust Company, N.A., a national banking association (“Trustee”).</w:t>
      </w:r>
    </w:p>
    <w:p>
      <w:pPr>
        <w:spacing w:after="0" w:line="10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Each party agrees as follows for the benefit of the other party and for the equal and ratable benefit of the Holders of the Securities issued under this Indenture.</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DEFINITIONS AND INCORPORATION BY REFERENCE</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1.1. </w:t>
      </w:r>
      <w:r>
        <w:rPr>
          <w:rFonts w:ascii="Arial" w:cs="Arial" w:eastAsia="Arial" w:hAnsi="Arial"/>
          <w:sz w:val="13"/>
          <w:szCs w:val="13"/>
          <w:u w:val="single" w:color="auto"/>
          <w:color w:val="auto"/>
        </w:rPr>
        <w:t>Definitions</w:t>
      </w:r>
    </w:p>
    <w:p>
      <w:pPr>
        <w:spacing w:after="0" w:line="86"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i w:val="1"/>
          <w:iCs w:val="1"/>
          <w:color w:val="auto"/>
        </w:rPr>
        <w:t xml:space="preserve">“Affiliate” </w:t>
      </w:r>
      <w:r>
        <w:rPr>
          <w:rFonts w:ascii="Arial" w:cs="Arial" w:eastAsia="Arial" w:hAnsi="Arial"/>
          <w:sz w:val="13"/>
          <w:szCs w:val="13"/>
          <w:color w:val="auto"/>
        </w:rPr>
        <w:t>of any specified person means any other person directly or indirectly controlling or controlled by or under common control with such specified person. For the purposes of this definition, “control”</w:t>
      </w:r>
      <w:r>
        <w:rPr>
          <w:rFonts w:ascii="Arial" w:cs="Arial" w:eastAsia="Arial" w:hAnsi="Arial"/>
          <w:sz w:val="13"/>
          <w:szCs w:val="13"/>
          <w:i w:val="1"/>
          <w:iCs w:val="1"/>
          <w:color w:val="auto"/>
        </w:rPr>
        <w:t xml:space="preserve"> </w:t>
      </w:r>
      <w:r>
        <w:rPr>
          <w:rFonts w:ascii="Arial" w:cs="Arial" w:eastAsia="Arial" w:hAnsi="Arial"/>
          <w:sz w:val="13"/>
          <w:szCs w:val="13"/>
          <w:color w:val="auto"/>
        </w:rPr>
        <w:t>(including,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“Agent” </w:t>
      </w:r>
      <w:r>
        <w:rPr>
          <w:rFonts w:ascii="Arial" w:cs="Arial" w:eastAsia="Arial" w:hAnsi="Arial"/>
          <w:sz w:val="13"/>
          <w:szCs w:val="13"/>
          <w:color w:val="auto"/>
        </w:rPr>
        <w:t>means any Registrar, Paying Agent or Service Agent.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“Board of Directors” </w:t>
      </w:r>
      <w:r>
        <w:rPr>
          <w:rFonts w:ascii="Arial" w:cs="Arial" w:eastAsia="Arial" w:hAnsi="Arial"/>
          <w:sz w:val="13"/>
          <w:szCs w:val="13"/>
          <w:color w:val="auto"/>
        </w:rPr>
        <w:t>means the Board of Directors of the Company.</w:t>
      </w:r>
    </w:p>
    <w:p>
      <w:pPr>
        <w:spacing w:after="0" w:line="86" w:lineRule="exact"/>
        <w:rPr>
          <w:sz w:val="20"/>
          <w:szCs w:val="20"/>
          <w:color w:val="auto"/>
        </w:rPr>
      </w:pPr>
    </w:p>
    <w:p>
      <w:pPr>
        <w:ind w:right="260" w:firstLine="164"/>
        <w:spacing w:after="0" w:line="320" w:lineRule="auto"/>
        <w:rPr>
          <w:sz w:val="20"/>
          <w:szCs w:val="20"/>
          <w:color w:val="auto"/>
        </w:rPr>
      </w:pPr>
      <w:r>
        <w:rPr>
          <w:rFonts w:ascii="Arial" w:cs="Arial" w:eastAsia="Arial" w:hAnsi="Arial"/>
          <w:sz w:val="12"/>
          <w:szCs w:val="12"/>
          <w:i w:val="1"/>
          <w:iCs w:val="1"/>
          <w:color w:val="auto"/>
        </w:rPr>
        <w:t xml:space="preserve">“Board Resolution” </w:t>
      </w:r>
      <w:r>
        <w:rPr>
          <w:rFonts w:ascii="Arial" w:cs="Arial" w:eastAsia="Arial" w:hAnsi="Arial"/>
          <w:sz w:val="12"/>
          <w:szCs w:val="12"/>
          <w:color w:val="auto"/>
        </w:rPr>
        <w:t>means a copy of a resolution certified by the Secretary or an Assistant Secretary of the Company to have been adopted by the Board of Directors or any duly authorized committee thereof or</w:t>
      </w:r>
      <w:r>
        <w:rPr>
          <w:rFonts w:ascii="Arial" w:cs="Arial" w:eastAsia="Arial" w:hAnsi="Arial"/>
          <w:sz w:val="12"/>
          <w:szCs w:val="12"/>
          <w:i w:val="1"/>
          <w:iCs w:val="1"/>
          <w:color w:val="auto"/>
        </w:rPr>
        <w:t xml:space="preserve"> </w:t>
      </w:r>
      <w:r>
        <w:rPr>
          <w:rFonts w:ascii="Arial" w:cs="Arial" w:eastAsia="Arial" w:hAnsi="Arial"/>
          <w:sz w:val="12"/>
          <w:szCs w:val="12"/>
          <w:color w:val="auto"/>
        </w:rPr>
        <w:t>pursuant to authorization by the Board of Directors or any duly authorized committee thereof and to be in full force and effect on the date of the certificate and delivered to the Trustee.</w:t>
      </w:r>
    </w:p>
    <w:p>
      <w:pPr>
        <w:spacing w:after="0" w:line="25"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i w:val="1"/>
          <w:iCs w:val="1"/>
          <w:color w:val="auto"/>
        </w:rPr>
        <w:t xml:space="preserve">“Business Day” </w:t>
      </w:r>
      <w:r>
        <w:rPr>
          <w:rFonts w:ascii="Arial" w:cs="Arial" w:eastAsia="Arial" w:hAnsi="Arial"/>
          <w:sz w:val="13"/>
          <w:szCs w:val="13"/>
          <w:color w:val="auto"/>
        </w:rPr>
        <w:t>means, unless otherwise provided by Board Resolution, Officers’ Certificate or supplemental indenture hereto for a particular Series, any day except a Saturday, Sunday or a legal holiday in The City</w:t>
      </w:r>
      <w:r>
        <w:rPr>
          <w:rFonts w:ascii="Arial" w:cs="Arial" w:eastAsia="Arial" w:hAnsi="Arial"/>
          <w:sz w:val="13"/>
          <w:szCs w:val="13"/>
          <w:i w:val="1"/>
          <w:iCs w:val="1"/>
          <w:color w:val="auto"/>
        </w:rPr>
        <w:t xml:space="preserve"> </w:t>
      </w:r>
      <w:r>
        <w:rPr>
          <w:rFonts w:ascii="Arial" w:cs="Arial" w:eastAsia="Arial" w:hAnsi="Arial"/>
          <w:sz w:val="13"/>
          <w:szCs w:val="13"/>
          <w:color w:val="auto"/>
        </w:rPr>
        <w:t>of New York on which banking institutions are authorized or required by law, regulation or executive order to close.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“Capital Stock” </w:t>
      </w:r>
      <w:r>
        <w:rPr>
          <w:rFonts w:ascii="Arial" w:cs="Arial" w:eastAsia="Arial" w:hAnsi="Arial"/>
          <w:sz w:val="13"/>
          <w:szCs w:val="13"/>
          <w:color w:val="auto"/>
        </w:rPr>
        <w:t>means any and all shares, interests, participations, rights or other equivalents (however designated) of corporate stock.</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“Company” </w:t>
      </w:r>
      <w:r>
        <w:rPr>
          <w:rFonts w:ascii="Arial" w:cs="Arial" w:eastAsia="Arial" w:hAnsi="Arial"/>
          <w:sz w:val="13"/>
          <w:szCs w:val="13"/>
          <w:color w:val="auto"/>
        </w:rPr>
        <w:t>means the party named as such above until a successor replaces it and thereafter means the successor.</w:t>
      </w:r>
    </w:p>
    <w:p>
      <w:pPr>
        <w:spacing w:after="0" w:line="86" w:lineRule="exact"/>
        <w:rPr>
          <w:sz w:val="20"/>
          <w:szCs w:val="20"/>
          <w:color w:val="auto"/>
        </w:rPr>
      </w:pPr>
    </w:p>
    <w:p>
      <w:pPr>
        <w:ind w:right="280" w:firstLine="164"/>
        <w:spacing w:after="0" w:line="276" w:lineRule="auto"/>
        <w:rPr>
          <w:sz w:val="20"/>
          <w:szCs w:val="20"/>
          <w:color w:val="auto"/>
        </w:rPr>
      </w:pPr>
      <w:r>
        <w:rPr>
          <w:rFonts w:ascii="Arial" w:cs="Arial" w:eastAsia="Arial" w:hAnsi="Arial"/>
          <w:sz w:val="13"/>
          <w:szCs w:val="13"/>
          <w:i w:val="1"/>
          <w:iCs w:val="1"/>
          <w:color w:val="auto"/>
        </w:rPr>
        <w:t xml:space="preserve">“Company Order” </w:t>
      </w:r>
      <w:r>
        <w:rPr>
          <w:rFonts w:ascii="Arial" w:cs="Arial" w:eastAsia="Arial" w:hAnsi="Arial"/>
          <w:sz w:val="13"/>
          <w:szCs w:val="13"/>
          <w:color w:val="auto"/>
        </w:rPr>
        <w:t>means a written order signed in the name of the Company by two Officers, one of whom must be the Company’s principal executive officer, principal financial officer or principal accounting</w:t>
      </w:r>
      <w:r>
        <w:rPr>
          <w:rFonts w:ascii="Arial" w:cs="Arial" w:eastAsia="Arial" w:hAnsi="Arial"/>
          <w:sz w:val="13"/>
          <w:szCs w:val="13"/>
          <w:i w:val="1"/>
          <w:iCs w:val="1"/>
          <w:color w:val="auto"/>
        </w:rPr>
        <w:t xml:space="preserve"> </w:t>
      </w:r>
      <w:r>
        <w:rPr>
          <w:rFonts w:ascii="Arial" w:cs="Arial" w:eastAsia="Arial" w:hAnsi="Arial"/>
          <w:sz w:val="13"/>
          <w:szCs w:val="13"/>
          <w:color w:val="auto"/>
        </w:rPr>
        <w:t>officer.</w:t>
      </w:r>
    </w:p>
    <w:p>
      <w:pPr>
        <w:spacing w:after="0" w:line="49" w:lineRule="exact"/>
        <w:rPr>
          <w:sz w:val="20"/>
          <w:szCs w:val="20"/>
          <w:color w:val="auto"/>
        </w:rPr>
      </w:pPr>
    </w:p>
    <w:p>
      <w:pPr>
        <w:ind w:right="300" w:firstLine="164"/>
        <w:spacing w:after="0" w:line="276" w:lineRule="auto"/>
        <w:rPr>
          <w:sz w:val="20"/>
          <w:szCs w:val="20"/>
          <w:color w:val="auto"/>
        </w:rPr>
      </w:pPr>
      <w:r>
        <w:rPr>
          <w:rFonts w:ascii="Arial" w:cs="Arial" w:eastAsia="Arial" w:hAnsi="Arial"/>
          <w:sz w:val="13"/>
          <w:szCs w:val="13"/>
          <w:i w:val="1"/>
          <w:iCs w:val="1"/>
          <w:color w:val="auto"/>
        </w:rPr>
        <w:t xml:space="preserve">“Company Request” </w:t>
      </w:r>
      <w:r>
        <w:rPr>
          <w:rFonts w:ascii="Arial" w:cs="Arial" w:eastAsia="Arial" w:hAnsi="Arial"/>
          <w:sz w:val="13"/>
          <w:szCs w:val="13"/>
          <w:color w:val="auto"/>
        </w:rPr>
        <w:t>means a written request signed in the name of the Company by its Chief Executive Officer, the President or a Vice President, and by its Treasurer, an Assistant Treasurer, its Secretary or an</w:t>
      </w:r>
      <w:r>
        <w:rPr>
          <w:rFonts w:ascii="Arial" w:cs="Arial" w:eastAsia="Arial" w:hAnsi="Arial"/>
          <w:sz w:val="13"/>
          <w:szCs w:val="13"/>
          <w:i w:val="1"/>
          <w:iCs w:val="1"/>
          <w:color w:val="auto"/>
        </w:rPr>
        <w:t xml:space="preserve"> </w:t>
      </w:r>
      <w:r>
        <w:rPr>
          <w:rFonts w:ascii="Arial" w:cs="Arial" w:eastAsia="Arial" w:hAnsi="Arial"/>
          <w:sz w:val="13"/>
          <w:szCs w:val="13"/>
          <w:color w:val="auto"/>
        </w:rPr>
        <w:t>Assistant Secretary, and delivered to the Trustee.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“Corporate Trust Office” </w:t>
      </w:r>
      <w:r>
        <w:rPr>
          <w:rFonts w:ascii="Arial" w:cs="Arial" w:eastAsia="Arial" w:hAnsi="Arial"/>
          <w:sz w:val="13"/>
          <w:szCs w:val="13"/>
          <w:color w:val="auto"/>
        </w:rPr>
        <w:t>means the office of the Trustee at which at any particular time its corporate trust business shall be principally administered.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16" w:right="239" w:bottom="1440" w:gutter="0" w:footer="0" w:header="0"/>
        </w:sectPr>
      </w:pPr>
    </w:p>
    <w:bookmarkStart w:id="30" w:name="page31"/>
    <w:bookmarkEnd w:id="30"/>
    <w:p>
      <w:pPr>
        <w:ind w:left="160"/>
        <w:spacing w:after="0"/>
        <w:rPr>
          <w:sz w:val="20"/>
          <w:szCs w:val="20"/>
          <w:color w:val="auto"/>
        </w:rPr>
      </w:pPr>
      <w:r>
        <w:rPr>
          <w:rFonts w:ascii="Arial" w:cs="Arial" w:eastAsia="Arial" w:hAnsi="Arial"/>
          <w:sz w:val="13"/>
          <w:szCs w:val="13"/>
          <w:i w:val="1"/>
          <w:iCs w:val="1"/>
          <w:color w:val="auto"/>
        </w:rPr>
        <w:t xml:space="preserve">“Default” </w:t>
      </w:r>
      <w:r>
        <w:rPr>
          <w:rFonts w:ascii="Arial" w:cs="Arial" w:eastAsia="Arial" w:hAnsi="Arial"/>
          <w:sz w:val="13"/>
          <w:szCs w:val="13"/>
          <w:color w:val="auto"/>
        </w:rPr>
        <w:t>means any event which is, or after notice or passage of time or both would be, an Event of Default.</w:t>
      </w:r>
    </w:p>
    <w:p>
      <w:pPr>
        <w:spacing w:after="0" w:line="86"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i w:val="1"/>
          <w:iCs w:val="1"/>
          <w:color w:val="auto"/>
        </w:rPr>
        <w:t xml:space="preserve">“Depositary” </w:t>
      </w:r>
      <w:r>
        <w:rPr>
          <w:rFonts w:ascii="Arial" w:cs="Arial" w:eastAsia="Arial" w:hAnsi="Arial"/>
          <w:sz w:val="13"/>
          <w:szCs w:val="13"/>
          <w:color w:val="auto"/>
        </w:rPr>
        <w:t>means, with respect to the Securities of any Series issuable or issued in whole or in part in the form of one or more Global Securities, the person designated as Depositary for such Series by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57" w:lineRule="exact"/>
        <w:rPr>
          <w:sz w:val="20"/>
          <w:szCs w:val="20"/>
          <w:color w:val="auto"/>
        </w:rPr>
      </w:pPr>
    </w:p>
    <w:p>
      <w:pPr>
        <w:ind w:right="560" w:firstLine="164"/>
        <w:spacing w:after="0" w:line="276" w:lineRule="auto"/>
        <w:rPr>
          <w:sz w:val="20"/>
          <w:szCs w:val="20"/>
          <w:color w:val="auto"/>
        </w:rPr>
      </w:pPr>
      <w:r>
        <w:rPr>
          <w:rFonts w:ascii="Arial" w:cs="Arial" w:eastAsia="Arial" w:hAnsi="Arial"/>
          <w:sz w:val="13"/>
          <w:szCs w:val="13"/>
          <w:i w:val="1"/>
          <w:iCs w:val="1"/>
          <w:color w:val="auto"/>
        </w:rPr>
        <w:t xml:space="preserve">“Discount Security” </w:t>
      </w:r>
      <w:r>
        <w:rPr>
          <w:rFonts w:ascii="Arial" w:cs="Arial" w:eastAsia="Arial" w:hAnsi="Arial"/>
          <w:sz w:val="13"/>
          <w:szCs w:val="13"/>
          <w:color w:val="auto"/>
        </w:rPr>
        <w:t>means any Security that provides for an amount less than the stated principal amount thereof to be due and payable upon declaration of acceleration of the maturity thereof pursuant to</w:t>
      </w:r>
      <w:r>
        <w:rPr>
          <w:rFonts w:ascii="Arial" w:cs="Arial" w:eastAsia="Arial" w:hAnsi="Arial"/>
          <w:sz w:val="13"/>
          <w:szCs w:val="13"/>
          <w:i w:val="1"/>
          <w:iCs w:val="1"/>
          <w:color w:val="auto"/>
        </w:rPr>
        <w:t xml:space="preserve"> </w:t>
      </w:r>
      <w:r>
        <w:rPr>
          <w:rFonts w:ascii="Arial" w:cs="Arial" w:eastAsia="Arial" w:hAnsi="Arial"/>
          <w:sz w:val="13"/>
          <w:szCs w:val="13"/>
          <w:color w:val="auto"/>
        </w:rPr>
        <w:t>Section 6.2.</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“Dollars” </w:t>
      </w:r>
      <w:r>
        <w:rPr>
          <w:rFonts w:ascii="Arial" w:cs="Arial" w:eastAsia="Arial" w:hAnsi="Arial"/>
          <w:sz w:val="13"/>
          <w:szCs w:val="13"/>
          <w:color w:val="auto"/>
        </w:rPr>
        <w:t>and</w:t>
      </w:r>
      <w:r>
        <w:rPr>
          <w:rFonts w:ascii="Arial" w:cs="Arial" w:eastAsia="Arial" w:hAnsi="Arial"/>
          <w:sz w:val="13"/>
          <w:szCs w:val="13"/>
          <w:i w:val="1"/>
          <w:iCs w:val="1"/>
          <w:color w:val="auto"/>
        </w:rPr>
        <w:t xml:space="preserve"> “$” </w:t>
      </w:r>
      <w:r>
        <w:rPr>
          <w:rFonts w:ascii="Arial" w:cs="Arial" w:eastAsia="Arial" w:hAnsi="Arial"/>
          <w:sz w:val="13"/>
          <w:szCs w:val="13"/>
          <w:color w:val="auto"/>
        </w:rPr>
        <w:t>means the currency of The United States of America.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“Exchange Act” </w:t>
      </w:r>
      <w:r>
        <w:rPr>
          <w:rFonts w:ascii="Arial" w:cs="Arial" w:eastAsia="Arial" w:hAnsi="Arial"/>
          <w:sz w:val="13"/>
          <w:szCs w:val="13"/>
          <w:color w:val="auto"/>
        </w:rPr>
        <w:t>means the Securities Exchange Act of 1934, as amended.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“Foreign Currency” </w:t>
      </w:r>
      <w:r>
        <w:rPr>
          <w:rFonts w:ascii="Arial" w:cs="Arial" w:eastAsia="Arial" w:hAnsi="Arial"/>
          <w:sz w:val="13"/>
          <w:szCs w:val="13"/>
          <w:color w:val="auto"/>
        </w:rPr>
        <w:t>means any currency or currency unit issued by a government other than the government of The United States of America.</w:t>
      </w:r>
    </w:p>
    <w:p>
      <w:pPr>
        <w:spacing w:after="0" w:line="86" w:lineRule="exact"/>
        <w:rPr>
          <w:sz w:val="20"/>
          <w:szCs w:val="20"/>
          <w:color w:val="auto"/>
        </w:rPr>
      </w:pPr>
    </w:p>
    <w:p>
      <w:pPr>
        <w:ind w:right="140" w:firstLine="164"/>
        <w:spacing w:after="0" w:line="334" w:lineRule="auto"/>
        <w:rPr>
          <w:sz w:val="20"/>
          <w:szCs w:val="20"/>
          <w:color w:val="auto"/>
        </w:rPr>
      </w:pPr>
      <w:r>
        <w:rPr>
          <w:rFonts w:ascii="Arial" w:cs="Arial" w:eastAsia="Arial" w:hAnsi="Arial"/>
          <w:sz w:val="11"/>
          <w:szCs w:val="11"/>
          <w:i w:val="1"/>
          <w:iCs w:val="1"/>
          <w:color w:val="auto"/>
        </w:rPr>
        <w:t xml:space="preserve">“Foreign Government Obligations” </w:t>
      </w:r>
      <w:r>
        <w:rPr>
          <w:rFonts w:ascii="Arial" w:cs="Arial" w:eastAsia="Arial" w:hAnsi="Arial"/>
          <w:sz w:val="11"/>
          <w:szCs w:val="11"/>
          <w:color w:val="auto"/>
        </w:rPr>
        <w:t>means, with respect to Securities of any Series that are denominated in a Foreign Currency, (i) direct obligations of the government that issued or caused to be issued such</w:t>
      </w:r>
      <w:r>
        <w:rPr>
          <w:rFonts w:ascii="Arial" w:cs="Arial" w:eastAsia="Arial" w:hAnsi="Arial"/>
          <w:sz w:val="11"/>
          <w:szCs w:val="11"/>
          <w:i w:val="1"/>
          <w:iCs w:val="1"/>
          <w:color w:val="auto"/>
        </w:rPr>
        <w:t xml:space="preserve"> </w:t>
      </w:r>
      <w:r>
        <w:rPr>
          <w:rFonts w:ascii="Arial" w:cs="Arial" w:eastAsia="Arial" w:hAnsi="Arial"/>
          <w:sz w:val="11"/>
          <w:szCs w:val="11"/>
          <w:color w:val="auto"/>
        </w:rPr>
        <w:t>currency for the payment of which obligations its full faith and credit is pledged or (ii) obligations of a person controlled or supervised by or acting as an agency or instrumentality of such government the timely payment of which is unconditionally guaranteed as a full faith and credit obligation by such government, which, in either case under clauses (i) or (ii), are not callable or redeemable at the option of the issuer thereof.</w:t>
      </w:r>
    </w:p>
    <w:p>
      <w:pPr>
        <w:spacing w:after="0" w:line="22" w:lineRule="exact"/>
        <w:rPr>
          <w:sz w:val="20"/>
          <w:szCs w:val="20"/>
          <w:color w:val="auto"/>
        </w:rPr>
      </w:pPr>
    </w:p>
    <w:p>
      <w:pPr>
        <w:jc w:val="both"/>
        <w:ind w:right="40" w:firstLine="164"/>
        <w:spacing w:after="0" w:line="264" w:lineRule="auto"/>
        <w:rPr>
          <w:sz w:val="20"/>
          <w:szCs w:val="20"/>
          <w:color w:val="auto"/>
        </w:rPr>
      </w:pPr>
      <w:r>
        <w:rPr>
          <w:rFonts w:ascii="Arial" w:cs="Arial" w:eastAsia="Arial" w:hAnsi="Arial"/>
          <w:sz w:val="13"/>
          <w:szCs w:val="13"/>
          <w:i w:val="1"/>
          <w:iCs w:val="1"/>
          <w:color w:val="auto"/>
        </w:rPr>
        <w:t xml:space="preserve">“GAAP” </w:t>
      </w:r>
      <w:r>
        <w:rPr>
          <w:rFonts w:ascii="Arial" w:cs="Arial" w:eastAsia="Arial" w:hAnsi="Arial"/>
          <w:sz w:val="13"/>
          <w:szCs w:val="13"/>
          <w:color w:val="auto"/>
        </w:rPr>
        <w:t>means generally accepted accounting principles set forth in the opinions and pronouncements of the Accounting Principles Board of the American Institute of Certified Public Accountants and statements</w:t>
      </w:r>
      <w:r>
        <w:rPr>
          <w:rFonts w:ascii="Arial" w:cs="Arial" w:eastAsia="Arial" w:hAnsi="Arial"/>
          <w:sz w:val="13"/>
          <w:szCs w:val="13"/>
          <w:i w:val="1"/>
          <w:iCs w:val="1"/>
          <w:color w:val="auto"/>
        </w:rPr>
        <w:t xml:space="preserve"> </w:t>
      </w:r>
      <w:r>
        <w:rPr>
          <w:rFonts w:ascii="Arial" w:cs="Arial" w:eastAsia="Arial" w:hAnsi="Arial"/>
          <w:sz w:val="13"/>
          <w:szCs w:val="13"/>
          <w:color w:val="auto"/>
        </w:rPr>
        <w:t>and pronouncements of the Financial Accounting Standards Board or in such other statements by such other entity as have been approved by a significant segment of the accounting profession, which are in effect as of the date of determination.</w:t>
      </w:r>
    </w:p>
    <w:p>
      <w:pPr>
        <w:spacing w:after="0" w:line="57"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i w:val="1"/>
          <w:iCs w:val="1"/>
          <w:color w:val="auto"/>
        </w:rPr>
        <w:t xml:space="preserve">“Global Security” </w:t>
      </w:r>
      <w:r>
        <w:rPr>
          <w:rFonts w:ascii="Arial" w:cs="Arial" w:eastAsia="Arial" w:hAnsi="Arial"/>
          <w:sz w:val="13"/>
          <w:szCs w:val="13"/>
          <w:color w:val="auto"/>
        </w:rPr>
        <w:t>or</w:t>
      </w:r>
      <w:r>
        <w:rPr>
          <w:rFonts w:ascii="Arial" w:cs="Arial" w:eastAsia="Arial" w:hAnsi="Arial"/>
          <w:sz w:val="13"/>
          <w:szCs w:val="13"/>
          <w:i w:val="1"/>
          <w:iCs w:val="1"/>
          <w:color w:val="auto"/>
        </w:rPr>
        <w:t xml:space="preserve"> “Global Securities” </w:t>
      </w:r>
      <w:r>
        <w:rPr>
          <w:rFonts w:ascii="Arial" w:cs="Arial" w:eastAsia="Arial" w:hAnsi="Arial"/>
          <w:sz w:val="13"/>
          <w:szCs w:val="13"/>
          <w:color w:val="auto"/>
        </w:rPr>
        <w:t>means a Security or Securities, as the case may be, in the form established pursuant to Section 2.2 evidencing all or part of a Series of Securities, issued to the Depositary</w:t>
      </w:r>
      <w:r>
        <w:rPr>
          <w:rFonts w:ascii="Arial" w:cs="Arial" w:eastAsia="Arial" w:hAnsi="Arial"/>
          <w:sz w:val="13"/>
          <w:szCs w:val="13"/>
          <w:i w:val="1"/>
          <w:iCs w:val="1"/>
          <w:color w:val="auto"/>
        </w:rPr>
        <w:t xml:space="preserve"> </w:t>
      </w:r>
      <w:r>
        <w:rPr>
          <w:rFonts w:ascii="Arial" w:cs="Arial" w:eastAsia="Arial" w:hAnsi="Arial"/>
          <w:sz w:val="13"/>
          <w:szCs w:val="13"/>
          <w:color w:val="auto"/>
        </w:rPr>
        <w:t>for such Series or its nominee, and registered in the name of such Depositary or nominee.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“Holder” </w:t>
      </w:r>
      <w:r>
        <w:rPr>
          <w:rFonts w:ascii="Arial" w:cs="Arial" w:eastAsia="Arial" w:hAnsi="Arial"/>
          <w:sz w:val="13"/>
          <w:szCs w:val="13"/>
          <w:color w:val="auto"/>
        </w:rPr>
        <w:t>or</w:t>
      </w:r>
      <w:r>
        <w:rPr>
          <w:rFonts w:ascii="Arial" w:cs="Arial" w:eastAsia="Arial" w:hAnsi="Arial"/>
          <w:sz w:val="13"/>
          <w:szCs w:val="13"/>
          <w:i w:val="1"/>
          <w:iCs w:val="1"/>
          <w:color w:val="auto"/>
        </w:rPr>
        <w:t xml:space="preserve"> “Securityholder” </w:t>
      </w:r>
      <w:r>
        <w:rPr>
          <w:rFonts w:ascii="Arial" w:cs="Arial" w:eastAsia="Arial" w:hAnsi="Arial"/>
          <w:sz w:val="13"/>
          <w:szCs w:val="13"/>
          <w:color w:val="auto"/>
        </w:rPr>
        <w:t>means a person in whose name a Security is registered.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“Indenture” </w:t>
      </w:r>
      <w:r>
        <w:rPr>
          <w:rFonts w:ascii="Arial" w:cs="Arial" w:eastAsia="Arial" w:hAnsi="Arial"/>
          <w:sz w:val="13"/>
          <w:szCs w:val="13"/>
          <w:color w:val="auto"/>
        </w:rPr>
        <w:t>means this Indenture as amended or supplemented from time to time and shall include the form and terms of particular Series of Securities established as contemplated hereunder.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“interest” </w:t>
      </w:r>
      <w:r>
        <w:rPr>
          <w:rFonts w:ascii="Arial" w:cs="Arial" w:eastAsia="Arial" w:hAnsi="Arial"/>
          <w:sz w:val="13"/>
          <w:szCs w:val="13"/>
          <w:color w:val="auto"/>
        </w:rPr>
        <w:t>with respect to any Discount Security which by its terms bears interest only after Maturity, means interest payable after Maturity.</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i w:val="1"/>
          <w:iCs w:val="1"/>
          <w:color w:val="auto"/>
        </w:rPr>
        <w:t xml:space="preserve">“Maturity” </w:t>
      </w:r>
      <w:r>
        <w:rPr>
          <w:rFonts w:ascii="Arial" w:cs="Arial" w:eastAsia="Arial" w:hAnsi="Arial"/>
          <w:sz w:val="13"/>
          <w:szCs w:val="13"/>
          <w:color w:val="auto"/>
        </w:rPr>
        <w:t>when used with respect to any Security, means the date on which the principal of such Security becomes due and payable as therein or herein provided, whether at the Stated Maturity or by declaration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acceleration, call for redemption or otherwise.</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31" w:name="page32"/>
    <w:bookmarkEnd w:id="31"/>
    <w:p>
      <w:pPr>
        <w:ind w:left="160"/>
        <w:spacing w:after="0"/>
        <w:rPr>
          <w:sz w:val="20"/>
          <w:szCs w:val="20"/>
          <w:color w:val="auto"/>
        </w:rPr>
      </w:pPr>
      <w:r>
        <w:rPr>
          <w:rFonts w:ascii="Arial" w:cs="Arial" w:eastAsia="Arial" w:hAnsi="Arial"/>
          <w:sz w:val="13"/>
          <w:szCs w:val="13"/>
          <w:i w:val="1"/>
          <w:iCs w:val="1"/>
          <w:color w:val="auto"/>
        </w:rPr>
        <w:t xml:space="preserve">“Officer” </w:t>
      </w:r>
      <w:r>
        <w:rPr>
          <w:rFonts w:ascii="Arial" w:cs="Arial" w:eastAsia="Arial" w:hAnsi="Arial"/>
          <w:sz w:val="13"/>
          <w:szCs w:val="13"/>
          <w:color w:val="auto"/>
        </w:rPr>
        <w:t>means the Chief Executive Officer, President, any Vice President, the Treasurer, the Secretary, any Assistant Treasurer or any Assistant Secretary of the Company.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“Officers’ Certificate” </w:t>
      </w:r>
      <w:r>
        <w:rPr>
          <w:rFonts w:ascii="Arial" w:cs="Arial" w:eastAsia="Arial" w:hAnsi="Arial"/>
          <w:sz w:val="13"/>
          <w:szCs w:val="13"/>
          <w:color w:val="auto"/>
        </w:rPr>
        <w:t>means a certificate signed by two Officers, one of whom must be the Company’s principal executive officer, principal financial officer or principal accounting officer.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“Opinion of Counsel” </w:t>
      </w:r>
      <w:r>
        <w:rPr>
          <w:rFonts w:ascii="Arial" w:cs="Arial" w:eastAsia="Arial" w:hAnsi="Arial"/>
          <w:sz w:val="13"/>
          <w:szCs w:val="13"/>
          <w:color w:val="auto"/>
        </w:rPr>
        <w:t>means a written opinion of legal counsel who is acceptable to the Trustee. The counsel may be an employee of or counsel to the Company.</w:t>
      </w:r>
    </w:p>
    <w:p>
      <w:pPr>
        <w:spacing w:after="0" w:line="86" w:lineRule="exact"/>
        <w:rPr>
          <w:sz w:val="20"/>
          <w:szCs w:val="20"/>
          <w:color w:val="auto"/>
        </w:rPr>
      </w:pPr>
    </w:p>
    <w:p>
      <w:pPr>
        <w:ind w:right="260" w:firstLine="164"/>
        <w:spacing w:after="0" w:line="276" w:lineRule="auto"/>
        <w:rPr>
          <w:sz w:val="20"/>
          <w:szCs w:val="20"/>
          <w:color w:val="auto"/>
        </w:rPr>
      </w:pPr>
      <w:r>
        <w:rPr>
          <w:rFonts w:ascii="Arial" w:cs="Arial" w:eastAsia="Arial" w:hAnsi="Arial"/>
          <w:sz w:val="13"/>
          <w:szCs w:val="13"/>
          <w:i w:val="1"/>
          <w:iCs w:val="1"/>
          <w:color w:val="auto"/>
        </w:rPr>
        <w:t xml:space="preserve">“person” </w:t>
      </w:r>
      <w:r>
        <w:rPr>
          <w:rFonts w:ascii="Arial" w:cs="Arial" w:eastAsia="Arial" w:hAnsi="Arial"/>
          <w:sz w:val="13"/>
          <w:szCs w:val="13"/>
          <w:color w:val="auto"/>
        </w:rPr>
        <w:t>means any individual, corporation, partnership, joint venture, association, limited liability company, joint-stock company, trust, unincorporated organization or government or any agency or political</w:t>
      </w:r>
      <w:r>
        <w:rPr>
          <w:rFonts w:ascii="Arial" w:cs="Arial" w:eastAsia="Arial" w:hAnsi="Arial"/>
          <w:sz w:val="13"/>
          <w:szCs w:val="13"/>
          <w:i w:val="1"/>
          <w:iCs w:val="1"/>
          <w:color w:val="auto"/>
        </w:rPr>
        <w:t xml:space="preserve"> </w:t>
      </w:r>
      <w:r>
        <w:rPr>
          <w:rFonts w:ascii="Arial" w:cs="Arial" w:eastAsia="Arial" w:hAnsi="Arial"/>
          <w:sz w:val="13"/>
          <w:szCs w:val="13"/>
          <w:color w:val="auto"/>
        </w:rPr>
        <w:t>subdivision thereof.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“principal” </w:t>
      </w:r>
      <w:r>
        <w:rPr>
          <w:rFonts w:ascii="Arial" w:cs="Arial" w:eastAsia="Arial" w:hAnsi="Arial"/>
          <w:sz w:val="13"/>
          <w:szCs w:val="13"/>
          <w:color w:val="auto"/>
        </w:rPr>
        <w:t>of a Security means the principal of the Security plus, when appropriate, the premium, if any, on the Security.</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i w:val="1"/>
          <w:iCs w:val="1"/>
          <w:color w:val="auto"/>
        </w:rPr>
        <w:t xml:space="preserve">“Responsible Officer” </w:t>
      </w:r>
      <w:r>
        <w:rPr>
          <w:rFonts w:ascii="Arial" w:cs="Arial" w:eastAsia="Arial" w:hAnsi="Arial"/>
          <w:sz w:val="13"/>
          <w:szCs w:val="13"/>
          <w:color w:val="auto"/>
        </w:rPr>
        <w:t>means any officer of the Trustee in its Corporate Trust Office having direct responsibility for the administration of this Indenture and also means, with respect to a particular corporate trust</w:t>
      </w:r>
      <w:r>
        <w:rPr>
          <w:rFonts w:ascii="Arial" w:cs="Arial" w:eastAsia="Arial" w:hAnsi="Arial"/>
          <w:sz w:val="13"/>
          <w:szCs w:val="13"/>
          <w:i w:val="1"/>
          <w:iCs w:val="1"/>
          <w:color w:val="auto"/>
        </w:rPr>
        <w:t xml:space="preserve"> </w:t>
      </w:r>
      <w:r>
        <w:rPr>
          <w:rFonts w:ascii="Arial" w:cs="Arial" w:eastAsia="Arial" w:hAnsi="Arial"/>
          <w:sz w:val="13"/>
          <w:szCs w:val="13"/>
          <w:color w:val="auto"/>
        </w:rPr>
        <w:t>matter, any other officer to whom any corporate trust matter is referred because of his or her knowledge of and familiarity with a particular subject.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“SEC” </w:t>
      </w:r>
      <w:r>
        <w:rPr>
          <w:rFonts w:ascii="Arial" w:cs="Arial" w:eastAsia="Arial" w:hAnsi="Arial"/>
          <w:sz w:val="13"/>
          <w:szCs w:val="13"/>
          <w:color w:val="auto"/>
        </w:rPr>
        <w:t>means the United States Securities and Exchange Commission.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“Securities” </w:t>
      </w:r>
      <w:r>
        <w:rPr>
          <w:rFonts w:ascii="Arial" w:cs="Arial" w:eastAsia="Arial" w:hAnsi="Arial"/>
          <w:sz w:val="13"/>
          <w:szCs w:val="13"/>
          <w:color w:val="auto"/>
        </w:rPr>
        <w:t>means the debentures, notes or other debt instruments of the Company of any Series authenticated and delivered under this Indenture.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“Series” </w:t>
      </w:r>
      <w:r>
        <w:rPr>
          <w:rFonts w:ascii="Arial" w:cs="Arial" w:eastAsia="Arial" w:hAnsi="Arial"/>
          <w:sz w:val="13"/>
          <w:szCs w:val="13"/>
          <w:color w:val="auto"/>
        </w:rPr>
        <w:t>or</w:t>
      </w:r>
      <w:r>
        <w:rPr>
          <w:rFonts w:ascii="Arial" w:cs="Arial" w:eastAsia="Arial" w:hAnsi="Arial"/>
          <w:sz w:val="13"/>
          <w:szCs w:val="13"/>
          <w:i w:val="1"/>
          <w:iCs w:val="1"/>
          <w:color w:val="auto"/>
        </w:rPr>
        <w:t xml:space="preserve"> “Series of Securities” </w:t>
      </w:r>
      <w:r>
        <w:rPr>
          <w:rFonts w:ascii="Arial" w:cs="Arial" w:eastAsia="Arial" w:hAnsi="Arial"/>
          <w:sz w:val="13"/>
          <w:szCs w:val="13"/>
          <w:color w:val="auto"/>
        </w:rPr>
        <w:t>means each series of debentures, notes or other debt instruments of the Company created pursuant to Sections 2.1 and 2.2 hereof.</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“Stated Maturity” </w:t>
      </w:r>
      <w:r>
        <w:rPr>
          <w:rFonts w:ascii="Arial" w:cs="Arial" w:eastAsia="Arial" w:hAnsi="Arial"/>
          <w:sz w:val="13"/>
          <w:szCs w:val="13"/>
          <w:color w:val="auto"/>
        </w:rPr>
        <w:t>when used with respect to any Security, means the date specified in such Security as the fixed date on which the principal of such Security or interest is due and payable.</w:t>
      </w:r>
    </w:p>
    <w:p>
      <w:pPr>
        <w:spacing w:after="0" w:line="86"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i w:val="1"/>
          <w:iCs w:val="1"/>
          <w:color w:val="auto"/>
        </w:rPr>
        <w:t xml:space="preserve">“Subsidiary” </w:t>
      </w:r>
      <w:r>
        <w:rPr>
          <w:rFonts w:ascii="Arial" w:cs="Arial" w:eastAsia="Arial" w:hAnsi="Arial"/>
          <w:sz w:val="13"/>
          <w:szCs w:val="13"/>
          <w:color w:val="auto"/>
        </w:rPr>
        <w:t>of any specified person means any corporation, association or other business entity of which more than 50% of the total voting power of shares of Capital Stock entitled (without regard to the</w:t>
      </w:r>
      <w:r>
        <w:rPr>
          <w:rFonts w:ascii="Arial" w:cs="Arial" w:eastAsia="Arial" w:hAnsi="Arial"/>
          <w:sz w:val="13"/>
          <w:szCs w:val="13"/>
          <w:i w:val="1"/>
          <w:iCs w:val="1"/>
          <w:color w:val="auto"/>
        </w:rPr>
        <w:t xml:space="preserve"> </w:t>
      </w:r>
      <w:r>
        <w:rPr>
          <w:rFonts w:ascii="Arial" w:cs="Arial" w:eastAsia="Arial" w:hAnsi="Arial"/>
          <w:sz w:val="13"/>
          <w:szCs w:val="13"/>
          <w:color w:val="auto"/>
        </w:rPr>
        <w:t>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57"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i w:val="1"/>
          <w:iCs w:val="1"/>
          <w:color w:val="auto"/>
        </w:rPr>
        <w:t xml:space="preserve">“TIA” </w:t>
      </w:r>
      <w:r>
        <w:rPr>
          <w:rFonts w:ascii="Arial" w:cs="Arial" w:eastAsia="Arial" w:hAnsi="Arial"/>
          <w:sz w:val="13"/>
          <w:szCs w:val="13"/>
          <w:color w:val="auto"/>
        </w:rPr>
        <w:t>means the Trust Indenture Act of 1939 (15 U.S. Code §§ 77aaa-77bbbb) as in effect on the date of this Indenture; provided, however, that in the event the Trust Indenture Act of 1939 is amended after such</w:t>
      </w:r>
      <w:r>
        <w:rPr>
          <w:rFonts w:ascii="Arial" w:cs="Arial" w:eastAsia="Arial" w:hAnsi="Arial"/>
          <w:sz w:val="13"/>
          <w:szCs w:val="13"/>
          <w:i w:val="1"/>
          <w:iCs w:val="1"/>
          <w:color w:val="auto"/>
        </w:rPr>
        <w:t xml:space="preserve"> </w:t>
      </w:r>
      <w:r>
        <w:rPr>
          <w:rFonts w:ascii="Arial" w:cs="Arial" w:eastAsia="Arial" w:hAnsi="Arial"/>
          <w:sz w:val="13"/>
          <w:szCs w:val="13"/>
          <w:color w:val="auto"/>
        </w:rPr>
        <w:t>date, “TIA” means, to the extent required by any such amendment, the Trust Indenture Act as so amended.</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i w:val="1"/>
          <w:iCs w:val="1"/>
          <w:color w:val="auto"/>
        </w:rPr>
        <w:t xml:space="preserve">“Trustee” </w:t>
      </w:r>
      <w:r>
        <w:rPr>
          <w:rFonts w:ascii="Arial" w:cs="Arial" w:eastAsia="Arial" w:hAnsi="Arial"/>
          <w:sz w:val="13"/>
          <w:szCs w:val="13"/>
          <w:color w:val="auto"/>
        </w:rPr>
        <w:t>means the person named as the “Trustee” in the first paragraph of this instrument until a successor Trustee shall have become such pursuant to the applicable provisions of this Indenture, and thereafter</w:t>
      </w:r>
      <w:r>
        <w:rPr>
          <w:rFonts w:ascii="Arial" w:cs="Arial" w:eastAsia="Arial" w:hAnsi="Arial"/>
          <w:sz w:val="13"/>
          <w:szCs w:val="13"/>
          <w:i w:val="1"/>
          <w:iCs w:val="1"/>
          <w:color w:val="auto"/>
        </w:rPr>
        <w:t xml:space="preserve"> </w:t>
      </w:r>
      <w:r>
        <w:rPr>
          <w:rFonts w:ascii="Arial" w:cs="Arial" w:eastAsia="Arial" w:hAnsi="Arial"/>
          <w:sz w:val="13"/>
          <w:szCs w:val="13"/>
          <w:color w:val="auto"/>
        </w:rPr>
        <w:t>“Trustee”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U.S. Government Obligations”</w:t>
      </w:r>
      <w:r>
        <w:rPr>
          <w:rFonts w:ascii="Arial" w:cs="Arial" w:eastAsia="Arial" w:hAnsi="Arial"/>
          <w:sz w:val="13"/>
          <w:szCs w:val="13"/>
          <w:color w:val="auto"/>
        </w:rPr>
        <w:t xml:space="preserve"> means securities which are (i) direct obligations of The United States of America for the payment of which its full faith and credit is pledged or (ii) obligations of a</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220" w:top="720" w:right="379" w:bottom="1440" w:gutter="0" w:footer="0" w:header="0"/>
        </w:sectPr>
      </w:pPr>
    </w:p>
    <w:bookmarkStart w:id="32" w:name="page33"/>
    <w:bookmarkEnd w:id="32"/>
    <w:p>
      <w:pPr>
        <w:ind w:right="100"/>
        <w:spacing w:after="0" w:line="285" w:lineRule="auto"/>
        <w:rPr>
          <w:sz w:val="20"/>
          <w:szCs w:val="20"/>
          <w:color w:val="auto"/>
        </w:rPr>
      </w:pPr>
      <w:r>
        <w:rPr>
          <w:rFonts w:ascii="Arial" w:cs="Arial" w:eastAsia="Arial" w:hAnsi="Arial"/>
          <w:sz w:val="12"/>
          <w:szCs w:val="12"/>
          <w:color w:val="auto"/>
        </w:rPr>
        <w:t>person controlled or supervised by and acting as an agency or instrumentality of The United States of America the payment of which is unconditionally guaranteed as a full faith and credit obligation by The United States of America, and which in the case of (i) and (ii)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1.2. </w:t>
      </w:r>
      <w:r>
        <w:rPr>
          <w:rFonts w:ascii="Arial" w:cs="Arial" w:eastAsia="Arial" w:hAnsi="Arial"/>
          <w:sz w:val="13"/>
          <w:szCs w:val="13"/>
          <w:u w:val="single" w:color="auto"/>
          <w:color w:val="auto"/>
        </w:rPr>
        <w:t>Other Definitions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rPr>
              <w:t>DEFINED</w:t>
            </w:r>
          </w:p>
        </w:tc>
      </w:tr>
      <w:tr>
        <w:trPr>
          <w:trHeight w:val="108"/>
        </w:trPr>
        <w:tc>
          <w:tcPr>
            <w:tcW w:w="20" w:type="dxa"/>
            <w:vAlign w:val="bottom"/>
          </w:tcPr>
          <w:p>
            <w:pPr>
              <w:spacing w:after="0"/>
              <w:rPr>
                <w:sz w:val="9"/>
                <w:szCs w:val="9"/>
                <w:color w:val="auto"/>
              </w:rPr>
            </w:pPr>
          </w:p>
        </w:tc>
        <w:tc>
          <w:tcPr>
            <w:tcW w:w="9900" w:type="dxa"/>
            <w:vAlign w:val="bottom"/>
          </w:tcPr>
          <w:p>
            <w:pPr>
              <w:spacing w:after="0"/>
              <w:rPr>
                <w:sz w:val="9"/>
                <w:szCs w:val="9"/>
                <w:color w:val="auto"/>
              </w:rPr>
            </w:pPr>
          </w:p>
        </w:tc>
        <w:tc>
          <w:tcPr>
            <w:tcW w:w="560" w:type="dxa"/>
            <w:vAlign w:val="bottom"/>
          </w:tcPr>
          <w:p>
            <w:pPr>
              <w:spacing w:after="0"/>
              <w:rPr>
                <w:sz w:val="9"/>
                <w:szCs w:val="9"/>
                <w:color w:val="auto"/>
              </w:rPr>
            </w:pPr>
          </w:p>
        </w:tc>
        <w:tc>
          <w:tcPr>
            <w:tcW w:w="980" w:type="dxa"/>
            <w:vAlign w:val="bottom"/>
          </w:tcPr>
          <w:p>
            <w:pPr>
              <w:jc w:val="center"/>
              <w:spacing w:after="0" w:line="108" w:lineRule="exact"/>
              <w:rPr>
                <w:sz w:val="20"/>
                <w:szCs w:val="20"/>
                <w:color w:val="auto"/>
              </w:rPr>
            </w:pPr>
            <w:r>
              <w:rPr>
                <w:rFonts w:ascii="Arial" w:cs="Arial" w:eastAsia="Arial" w:hAnsi="Arial"/>
                <w:sz w:val="10"/>
                <w:szCs w:val="10"/>
                <w:color w:val="auto"/>
              </w:rPr>
              <w:t>IN</w:t>
            </w:r>
          </w:p>
        </w:tc>
      </w:tr>
      <w:tr>
        <w:trPr>
          <w:trHeight w:val="121"/>
        </w:trPr>
        <w:tc>
          <w:tcPr>
            <w:tcW w:w="9920" w:type="dxa"/>
            <w:vAlign w:val="bottom"/>
            <w:gridSpan w:val="2"/>
          </w:tcPr>
          <w:p>
            <w:pPr>
              <w:spacing w:after="0"/>
              <w:rPr>
                <w:sz w:val="20"/>
                <w:szCs w:val="20"/>
                <w:color w:val="auto"/>
              </w:rPr>
            </w:pPr>
            <w:r>
              <w:rPr>
                <w:rFonts w:ascii="Arial" w:cs="Arial" w:eastAsia="Arial" w:hAnsi="Arial"/>
                <w:sz w:val="10"/>
                <w:szCs w:val="10"/>
                <w:color w:val="auto"/>
              </w:rPr>
              <w:t>TERM</w:t>
            </w:r>
          </w:p>
        </w:tc>
        <w:tc>
          <w:tcPr>
            <w:tcW w:w="560" w:type="dxa"/>
            <w:vAlign w:val="bottom"/>
          </w:tcPr>
          <w:p>
            <w:pPr>
              <w:spacing w:after="0"/>
              <w:rPr>
                <w:sz w:val="10"/>
                <w:szCs w:val="10"/>
                <w:color w:val="auto"/>
              </w:rPr>
            </w:pPr>
          </w:p>
        </w:tc>
        <w:tc>
          <w:tcPr>
            <w:tcW w:w="980" w:type="dxa"/>
            <w:vAlign w:val="bottom"/>
          </w:tcPr>
          <w:p>
            <w:pPr>
              <w:jc w:val="center"/>
              <w:spacing w:after="0"/>
              <w:rPr>
                <w:sz w:val="20"/>
                <w:szCs w:val="20"/>
                <w:color w:val="auto"/>
              </w:rPr>
            </w:pPr>
            <w:r>
              <w:rPr>
                <w:rFonts w:ascii="Arial" w:cs="Arial" w:eastAsia="Arial" w:hAnsi="Arial"/>
                <w:sz w:val="10"/>
                <w:szCs w:val="10"/>
                <w:color w:val="auto"/>
                <w:w w:val="98"/>
              </w:rPr>
              <w:t>SECTION</w:t>
            </w:r>
          </w:p>
        </w:tc>
      </w:tr>
      <w:tr>
        <w:trPr>
          <w:trHeight w:val="147"/>
        </w:trPr>
        <w:tc>
          <w:tcPr>
            <w:tcW w:w="20" w:type="dxa"/>
            <w:vAlign w:val="bottom"/>
          </w:tcPr>
          <w:p>
            <w:pPr>
              <w:spacing w:after="0"/>
              <w:rPr>
                <w:sz w:val="12"/>
                <w:szCs w:val="12"/>
                <w:color w:val="auto"/>
              </w:rPr>
            </w:pPr>
          </w:p>
        </w:tc>
        <w:tc>
          <w:tcPr>
            <w:tcW w:w="9900" w:type="dxa"/>
            <w:vAlign w:val="bottom"/>
            <w:tcBorders>
              <w:top w:val="single" w:sz="8" w:color="auto"/>
            </w:tcBorders>
            <w:shd w:val="clear" w:color="auto" w:fill="CCEEFF"/>
          </w:tcPr>
          <w:p>
            <w:pPr>
              <w:spacing w:after="0" w:line="148" w:lineRule="exact"/>
              <w:rPr>
                <w:sz w:val="20"/>
                <w:szCs w:val="20"/>
                <w:color w:val="auto"/>
              </w:rPr>
            </w:pPr>
            <w:r>
              <w:rPr>
                <w:rFonts w:ascii="Arial" w:cs="Arial" w:eastAsia="Arial" w:hAnsi="Arial"/>
                <w:sz w:val="13"/>
                <w:szCs w:val="13"/>
                <w:i w:val="1"/>
                <w:iCs w:val="1"/>
                <w:color w:val="auto"/>
              </w:rPr>
              <w:t>“Bankruptcy Law”</w:t>
            </w:r>
          </w:p>
        </w:tc>
        <w:tc>
          <w:tcPr>
            <w:tcW w:w="560" w:type="dxa"/>
            <w:vAlign w:val="bottom"/>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284"/>
              <w:spacing w:after="0" w:line="148" w:lineRule="exact"/>
              <w:rPr>
                <w:sz w:val="20"/>
                <w:szCs w:val="20"/>
                <w:color w:val="auto"/>
              </w:rPr>
            </w:pPr>
            <w:r>
              <w:rPr>
                <w:rFonts w:ascii="Arial" w:cs="Arial" w:eastAsia="Arial" w:hAnsi="Arial"/>
                <w:sz w:val="13"/>
                <w:szCs w:val="13"/>
                <w:color w:val="auto"/>
              </w:rPr>
              <w:t>6.1</w:t>
            </w:r>
          </w:p>
        </w:tc>
      </w:tr>
      <w:tr>
        <w:trPr>
          <w:trHeight w:val="157"/>
        </w:trPr>
        <w:tc>
          <w:tcPr>
            <w:tcW w:w="20" w:type="dxa"/>
            <w:vAlign w:val="bottom"/>
          </w:tcPr>
          <w:p>
            <w:pPr>
              <w:spacing w:after="0"/>
              <w:rPr>
                <w:sz w:val="13"/>
                <w:szCs w:val="13"/>
                <w:color w:val="auto"/>
              </w:rPr>
            </w:pPr>
          </w:p>
        </w:tc>
        <w:tc>
          <w:tcPr>
            <w:tcW w:w="9900" w:type="dxa"/>
            <w:vAlign w:val="bottom"/>
          </w:tcPr>
          <w:p>
            <w:pPr>
              <w:spacing w:after="0"/>
              <w:rPr>
                <w:sz w:val="20"/>
                <w:szCs w:val="20"/>
                <w:color w:val="auto"/>
              </w:rPr>
            </w:pPr>
            <w:r>
              <w:rPr>
                <w:rFonts w:ascii="Arial" w:cs="Arial" w:eastAsia="Arial" w:hAnsi="Arial"/>
                <w:sz w:val="13"/>
                <w:szCs w:val="13"/>
                <w:i w:val="1"/>
                <w:iCs w:val="1"/>
                <w:color w:val="auto"/>
              </w:rPr>
              <w:t>“Custodian”</w:t>
            </w:r>
          </w:p>
        </w:tc>
        <w:tc>
          <w:tcPr>
            <w:tcW w:w="1540" w:type="dxa"/>
            <w:vAlign w:val="bottom"/>
            <w:gridSpan w:val="2"/>
          </w:tcPr>
          <w:p>
            <w:pPr>
              <w:jc w:val="right"/>
              <w:ind w:right="284"/>
              <w:spacing w:after="0"/>
              <w:rPr>
                <w:sz w:val="20"/>
                <w:szCs w:val="20"/>
                <w:color w:val="auto"/>
              </w:rPr>
            </w:pPr>
            <w:r>
              <w:rPr>
                <w:rFonts w:ascii="Arial" w:cs="Arial" w:eastAsia="Arial" w:hAnsi="Arial"/>
                <w:sz w:val="13"/>
                <w:szCs w:val="13"/>
                <w:color w:val="auto"/>
              </w:rPr>
              <w:t>6.1</w:t>
            </w:r>
          </w:p>
        </w:tc>
      </w:tr>
      <w:tr>
        <w:trPr>
          <w:trHeight w:val="157"/>
        </w:trPr>
        <w:tc>
          <w:tcPr>
            <w:tcW w:w="20" w:type="dxa"/>
            <w:vAlign w:val="bottom"/>
          </w:tcPr>
          <w:p>
            <w:pPr>
              <w:spacing w:after="0"/>
              <w:rPr>
                <w:sz w:val="13"/>
                <w:szCs w:val="13"/>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“Event of Default”</w:t>
            </w:r>
          </w:p>
        </w:tc>
        <w:tc>
          <w:tcPr>
            <w:tcW w:w="1540" w:type="dxa"/>
            <w:vAlign w:val="bottom"/>
            <w:gridSpan w:val="2"/>
            <w:shd w:val="clear" w:color="auto" w:fill="CCEEFF"/>
          </w:tcPr>
          <w:p>
            <w:pPr>
              <w:jc w:val="right"/>
              <w:ind w:right="284"/>
              <w:spacing w:after="0"/>
              <w:rPr>
                <w:sz w:val="20"/>
                <w:szCs w:val="20"/>
                <w:color w:val="auto"/>
              </w:rPr>
            </w:pPr>
            <w:r>
              <w:rPr>
                <w:rFonts w:ascii="Arial" w:cs="Arial" w:eastAsia="Arial" w:hAnsi="Arial"/>
                <w:sz w:val="13"/>
                <w:szCs w:val="13"/>
                <w:color w:val="auto"/>
              </w:rPr>
              <w:t>6.1</w:t>
            </w:r>
          </w:p>
        </w:tc>
      </w:tr>
      <w:tr>
        <w:trPr>
          <w:trHeight w:val="157"/>
        </w:trPr>
        <w:tc>
          <w:tcPr>
            <w:tcW w:w="20" w:type="dxa"/>
            <w:vAlign w:val="bottom"/>
          </w:tcPr>
          <w:p>
            <w:pPr>
              <w:spacing w:after="0"/>
              <w:rPr>
                <w:sz w:val="13"/>
                <w:szCs w:val="13"/>
                <w:color w:val="auto"/>
              </w:rPr>
            </w:pPr>
          </w:p>
        </w:tc>
        <w:tc>
          <w:tcPr>
            <w:tcW w:w="9900" w:type="dxa"/>
            <w:vAlign w:val="bottom"/>
          </w:tcPr>
          <w:p>
            <w:pPr>
              <w:spacing w:after="0"/>
              <w:rPr>
                <w:sz w:val="20"/>
                <w:szCs w:val="20"/>
                <w:color w:val="auto"/>
              </w:rPr>
            </w:pPr>
            <w:r>
              <w:rPr>
                <w:rFonts w:ascii="Arial" w:cs="Arial" w:eastAsia="Arial" w:hAnsi="Arial"/>
                <w:sz w:val="13"/>
                <w:szCs w:val="13"/>
                <w:i w:val="1"/>
                <w:iCs w:val="1"/>
                <w:color w:val="auto"/>
              </w:rPr>
              <w:t>“Judgment Currency”</w:t>
            </w:r>
          </w:p>
        </w:tc>
        <w:tc>
          <w:tcPr>
            <w:tcW w:w="1540" w:type="dxa"/>
            <w:vAlign w:val="bottom"/>
            <w:gridSpan w:val="2"/>
          </w:tcPr>
          <w:p>
            <w:pPr>
              <w:jc w:val="right"/>
              <w:ind w:right="284"/>
              <w:spacing w:after="0"/>
              <w:rPr>
                <w:sz w:val="20"/>
                <w:szCs w:val="20"/>
                <w:color w:val="auto"/>
              </w:rPr>
            </w:pPr>
            <w:r>
              <w:rPr>
                <w:rFonts w:ascii="Arial" w:cs="Arial" w:eastAsia="Arial" w:hAnsi="Arial"/>
                <w:sz w:val="13"/>
                <w:szCs w:val="13"/>
                <w:color w:val="auto"/>
              </w:rPr>
              <w:t>10.16</w:t>
            </w:r>
          </w:p>
        </w:tc>
      </w:tr>
      <w:tr>
        <w:trPr>
          <w:trHeight w:val="157"/>
        </w:trPr>
        <w:tc>
          <w:tcPr>
            <w:tcW w:w="20" w:type="dxa"/>
            <w:vAlign w:val="bottom"/>
          </w:tcPr>
          <w:p>
            <w:pPr>
              <w:spacing w:after="0"/>
              <w:rPr>
                <w:sz w:val="13"/>
                <w:szCs w:val="13"/>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“Legal Holiday”</w:t>
            </w:r>
          </w:p>
        </w:tc>
        <w:tc>
          <w:tcPr>
            <w:tcW w:w="1540" w:type="dxa"/>
            <w:vAlign w:val="bottom"/>
            <w:gridSpan w:val="2"/>
            <w:shd w:val="clear" w:color="auto" w:fill="CCEEFF"/>
          </w:tcPr>
          <w:p>
            <w:pPr>
              <w:jc w:val="right"/>
              <w:ind w:right="284"/>
              <w:spacing w:after="0"/>
              <w:rPr>
                <w:sz w:val="20"/>
                <w:szCs w:val="20"/>
                <w:color w:val="auto"/>
              </w:rPr>
            </w:pPr>
            <w:r>
              <w:rPr>
                <w:rFonts w:ascii="Arial" w:cs="Arial" w:eastAsia="Arial" w:hAnsi="Arial"/>
                <w:sz w:val="13"/>
                <w:szCs w:val="13"/>
                <w:color w:val="auto"/>
              </w:rPr>
              <w:t>10.7</w:t>
            </w:r>
          </w:p>
        </w:tc>
      </w:tr>
      <w:tr>
        <w:trPr>
          <w:trHeight w:val="157"/>
        </w:trPr>
        <w:tc>
          <w:tcPr>
            <w:tcW w:w="20" w:type="dxa"/>
            <w:vAlign w:val="bottom"/>
          </w:tcPr>
          <w:p>
            <w:pPr>
              <w:spacing w:after="0"/>
              <w:rPr>
                <w:sz w:val="13"/>
                <w:szCs w:val="13"/>
                <w:color w:val="auto"/>
              </w:rPr>
            </w:pPr>
          </w:p>
        </w:tc>
        <w:tc>
          <w:tcPr>
            <w:tcW w:w="9900" w:type="dxa"/>
            <w:vAlign w:val="bottom"/>
          </w:tcPr>
          <w:p>
            <w:pPr>
              <w:spacing w:after="0"/>
              <w:rPr>
                <w:sz w:val="20"/>
                <w:szCs w:val="20"/>
                <w:color w:val="auto"/>
              </w:rPr>
            </w:pPr>
            <w:r>
              <w:rPr>
                <w:rFonts w:ascii="Arial" w:cs="Arial" w:eastAsia="Arial" w:hAnsi="Arial"/>
                <w:sz w:val="13"/>
                <w:szCs w:val="13"/>
                <w:i w:val="1"/>
                <w:iCs w:val="1"/>
                <w:color w:val="auto"/>
              </w:rPr>
              <w:t>“mandatory sinking fund payment”</w:t>
            </w:r>
          </w:p>
        </w:tc>
        <w:tc>
          <w:tcPr>
            <w:tcW w:w="1540" w:type="dxa"/>
            <w:vAlign w:val="bottom"/>
            <w:gridSpan w:val="2"/>
          </w:tcPr>
          <w:p>
            <w:pPr>
              <w:jc w:val="right"/>
              <w:ind w:right="284"/>
              <w:spacing w:after="0"/>
              <w:rPr>
                <w:sz w:val="20"/>
                <w:szCs w:val="20"/>
                <w:color w:val="auto"/>
              </w:rPr>
            </w:pPr>
            <w:r>
              <w:rPr>
                <w:rFonts w:ascii="Arial" w:cs="Arial" w:eastAsia="Arial" w:hAnsi="Arial"/>
                <w:sz w:val="13"/>
                <w:szCs w:val="13"/>
                <w:color w:val="auto"/>
              </w:rPr>
              <w:t>11.1</w:t>
            </w:r>
          </w:p>
        </w:tc>
      </w:tr>
      <w:tr>
        <w:trPr>
          <w:trHeight w:val="157"/>
        </w:trPr>
        <w:tc>
          <w:tcPr>
            <w:tcW w:w="20" w:type="dxa"/>
            <w:vAlign w:val="bottom"/>
          </w:tcPr>
          <w:p>
            <w:pPr>
              <w:spacing w:after="0"/>
              <w:rPr>
                <w:sz w:val="13"/>
                <w:szCs w:val="13"/>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“Market Exchange Rate”</w:t>
            </w:r>
          </w:p>
        </w:tc>
        <w:tc>
          <w:tcPr>
            <w:tcW w:w="1540" w:type="dxa"/>
            <w:vAlign w:val="bottom"/>
            <w:gridSpan w:val="2"/>
            <w:shd w:val="clear" w:color="auto" w:fill="CCEEFF"/>
          </w:tcPr>
          <w:p>
            <w:pPr>
              <w:jc w:val="right"/>
              <w:ind w:right="284"/>
              <w:spacing w:after="0"/>
              <w:rPr>
                <w:sz w:val="20"/>
                <w:szCs w:val="20"/>
                <w:color w:val="auto"/>
              </w:rPr>
            </w:pPr>
            <w:r>
              <w:rPr>
                <w:rFonts w:ascii="Arial" w:cs="Arial" w:eastAsia="Arial" w:hAnsi="Arial"/>
                <w:sz w:val="13"/>
                <w:szCs w:val="13"/>
                <w:color w:val="auto"/>
              </w:rPr>
              <w:t>10.15</w:t>
            </w:r>
          </w:p>
        </w:tc>
      </w:tr>
      <w:tr>
        <w:trPr>
          <w:trHeight w:val="157"/>
        </w:trPr>
        <w:tc>
          <w:tcPr>
            <w:tcW w:w="20" w:type="dxa"/>
            <w:vAlign w:val="bottom"/>
          </w:tcPr>
          <w:p>
            <w:pPr>
              <w:spacing w:after="0"/>
              <w:rPr>
                <w:sz w:val="13"/>
                <w:szCs w:val="13"/>
                <w:color w:val="auto"/>
              </w:rPr>
            </w:pPr>
          </w:p>
        </w:tc>
        <w:tc>
          <w:tcPr>
            <w:tcW w:w="9900" w:type="dxa"/>
            <w:vAlign w:val="bottom"/>
          </w:tcPr>
          <w:p>
            <w:pPr>
              <w:spacing w:after="0"/>
              <w:rPr>
                <w:sz w:val="20"/>
                <w:szCs w:val="20"/>
                <w:color w:val="auto"/>
              </w:rPr>
            </w:pPr>
            <w:r>
              <w:rPr>
                <w:rFonts w:ascii="Arial" w:cs="Arial" w:eastAsia="Arial" w:hAnsi="Arial"/>
                <w:sz w:val="13"/>
                <w:szCs w:val="13"/>
                <w:i w:val="1"/>
                <w:iCs w:val="1"/>
                <w:color w:val="auto"/>
              </w:rPr>
              <w:t>“New York Banking Day”</w:t>
            </w:r>
          </w:p>
        </w:tc>
        <w:tc>
          <w:tcPr>
            <w:tcW w:w="1540" w:type="dxa"/>
            <w:vAlign w:val="bottom"/>
            <w:gridSpan w:val="2"/>
          </w:tcPr>
          <w:p>
            <w:pPr>
              <w:jc w:val="right"/>
              <w:ind w:right="284"/>
              <w:spacing w:after="0"/>
              <w:rPr>
                <w:sz w:val="20"/>
                <w:szCs w:val="20"/>
                <w:color w:val="auto"/>
              </w:rPr>
            </w:pPr>
            <w:r>
              <w:rPr>
                <w:rFonts w:ascii="Arial" w:cs="Arial" w:eastAsia="Arial" w:hAnsi="Arial"/>
                <w:sz w:val="13"/>
                <w:szCs w:val="13"/>
                <w:color w:val="auto"/>
              </w:rPr>
              <w:t>10.16</w:t>
            </w:r>
          </w:p>
        </w:tc>
      </w:tr>
      <w:tr>
        <w:trPr>
          <w:trHeight w:val="157"/>
        </w:trPr>
        <w:tc>
          <w:tcPr>
            <w:tcW w:w="20" w:type="dxa"/>
            <w:vAlign w:val="bottom"/>
          </w:tcPr>
          <w:p>
            <w:pPr>
              <w:spacing w:after="0"/>
              <w:rPr>
                <w:sz w:val="13"/>
                <w:szCs w:val="13"/>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“optional sinking fund payment”</w:t>
            </w:r>
          </w:p>
        </w:tc>
        <w:tc>
          <w:tcPr>
            <w:tcW w:w="1540" w:type="dxa"/>
            <w:vAlign w:val="bottom"/>
            <w:gridSpan w:val="2"/>
            <w:shd w:val="clear" w:color="auto" w:fill="CCEEFF"/>
          </w:tcPr>
          <w:p>
            <w:pPr>
              <w:jc w:val="right"/>
              <w:ind w:right="284"/>
              <w:spacing w:after="0"/>
              <w:rPr>
                <w:sz w:val="20"/>
                <w:szCs w:val="20"/>
                <w:color w:val="auto"/>
              </w:rPr>
            </w:pPr>
            <w:r>
              <w:rPr>
                <w:rFonts w:ascii="Arial" w:cs="Arial" w:eastAsia="Arial" w:hAnsi="Arial"/>
                <w:sz w:val="13"/>
                <w:szCs w:val="13"/>
                <w:color w:val="auto"/>
              </w:rPr>
              <w:t>11.1</w:t>
            </w:r>
          </w:p>
        </w:tc>
      </w:tr>
      <w:tr>
        <w:trPr>
          <w:trHeight w:val="157"/>
        </w:trPr>
        <w:tc>
          <w:tcPr>
            <w:tcW w:w="20" w:type="dxa"/>
            <w:vAlign w:val="bottom"/>
          </w:tcPr>
          <w:p>
            <w:pPr>
              <w:spacing w:after="0"/>
              <w:rPr>
                <w:sz w:val="13"/>
                <w:szCs w:val="13"/>
                <w:color w:val="auto"/>
              </w:rPr>
            </w:pPr>
          </w:p>
        </w:tc>
        <w:tc>
          <w:tcPr>
            <w:tcW w:w="9900" w:type="dxa"/>
            <w:vAlign w:val="bottom"/>
          </w:tcPr>
          <w:p>
            <w:pPr>
              <w:spacing w:after="0"/>
              <w:rPr>
                <w:sz w:val="20"/>
                <w:szCs w:val="20"/>
                <w:color w:val="auto"/>
              </w:rPr>
            </w:pPr>
            <w:r>
              <w:rPr>
                <w:rFonts w:ascii="Arial" w:cs="Arial" w:eastAsia="Arial" w:hAnsi="Arial"/>
                <w:sz w:val="13"/>
                <w:szCs w:val="13"/>
                <w:i w:val="1"/>
                <w:iCs w:val="1"/>
                <w:color w:val="auto"/>
              </w:rPr>
              <w:t>“Paying Agent”</w:t>
            </w:r>
          </w:p>
        </w:tc>
        <w:tc>
          <w:tcPr>
            <w:tcW w:w="1540" w:type="dxa"/>
            <w:vAlign w:val="bottom"/>
            <w:gridSpan w:val="2"/>
          </w:tcPr>
          <w:p>
            <w:pPr>
              <w:jc w:val="right"/>
              <w:ind w:right="284"/>
              <w:spacing w:after="0"/>
              <w:rPr>
                <w:sz w:val="20"/>
                <w:szCs w:val="20"/>
                <w:color w:val="auto"/>
              </w:rPr>
            </w:pPr>
            <w:r>
              <w:rPr>
                <w:rFonts w:ascii="Arial" w:cs="Arial" w:eastAsia="Arial" w:hAnsi="Arial"/>
                <w:sz w:val="13"/>
                <w:szCs w:val="13"/>
                <w:color w:val="auto"/>
              </w:rPr>
              <w:t>2.4</w:t>
            </w:r>
          </w:p>
        </w:tc>
      </w:tr>
      <w:tr>
        <w:trPr>
          <w:trHeight w:val="157"/>
        </w:trPr>
        <w:tc>
          <w:tcPr>
            <w:tcW w:w="20" w:type="dxa"/>
            <w:vAlign w:val="bottom"/>
          </w:tcPr>
          <w:p>
            <w:pPr>
              <w:spacing w:after="0"/>
              <w:rPr>
                <w:sz w:val="13"/>
                <w:szCs w:val="13"/>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“Registrar”</w:t>
            </w:r>
          </w:p>
        </w:tc>
        <w:tc>
          <w:tcPr>
            <w:tcW w:w="1540" w:type="dxa"/>
            <w:vAlign w:val="bottom"/>
            <w:gridSpan w:val="2"/>
            <w:shd w:val="clear" w:color="auto" w:fill="CCEEFF"/>
          </w:tcPr>
          <w:p>
            <w:pPr>
              <w:jc w:val="right"/>
              <w:ind w:right="284"/>
              <w:spacing w:after="0"/>
              <w:rPr>
                <w:sz w:val="20"/>
                <w:szCs w:val="20"/>
                <w:color w:val="auto"/>
              </w:rPr>
            </w:pPr>
            <w:r>
              <w:rPr>
                <w:rFonts w:ascii="Arial" w:cs="Arial" w:eastAsia="Arial" w:hAnsi="Arial"/>
                <w:sz w:val="13"/>
                <w:szCs w:val="13"/>
                <w:color w:val="auto"/>
              </w:rPr>
              <w:t>2.4</w:t>
            </w:r>
          </w:p>
        </w:tc>
      </w:tr>
      <w:tr>
        <w:trPr>
          <w:trHeight w:val="157"/>
        </w:trPr>
        <w:tc>
          <w:tcPr>
            <w:tcW w:w="20" w:type="dxa"/>
            <w:vAlign w:val="bottom"/>
          </w:tcPr>
          <w:p>
            <w:pPr>
              <w:spacing w:after="0"/>
              <w:rPr>
                <w:sz w:val="13"/>
                <w:szCs w:val="13"/>
                <w:color w:val="auto"/>
              </w:rPr>
            </w:pPr>
          </w:p>
        </w:tc>
        <w:tc>
          <w:tcPr>
            <w:tcW w:w="9900" w:type="dxa"/>
            <w:vAlign w:val="bottom"/>
          </w:tcPr>
          <w:p>
            <w:pPr>
              <w:spacing w:after="0"/>
              <w:rPr>
                <w:sz w:val="20"/>
                <w:szCs w:val="20"/>
                <w:color w:val="auto"/>
              </w:rPr>
            </w:pPr>
            <w:r>
              <w:rPr>
                <w:rFonts w:ascii="Arial" w:cs="Arial" w:eastAsia="Arial" w:hAnsi="Arial"/>
                <w:sz w:val="13"/>
                <w:szCs w:val="13"/>
                <w:i w:val="1"/>
                <w:iCs w:val="1"/>
                <w:color w:val="auto"/>
              </w:rPr>
              <w:t>“Required Currency”</w:t>
            </w:r>
          </w:p>
        </w:tc>
        <w:tc>
          <w:tcPr>
            <w:tcW w:w="1540" w:type="dxa"/>
            <w:vAlign w:val="bottom"/>
            <w:gridSpan w:val="2"/>
          </w:tcPr>
          <w:p>
            <w:pPr>
              <w:jc w:val="right"/>
              <w:ind w:right="284"/>
              <w:spacing w:after="0"/>
              <w:rPr>
                <w:sz w:val="20"/>
                <w:szCs w:val="20"/>
                <w:color w:val="auto"/>
              </w:rPr>
            </w:pPr>
            <w:r>
              <w:rPr>
                <w:rFonts w:ascii="Arial" w:cs="Arial" w:eastAsia="Arial" w:hAnsi="Arial"/>
                <w:sz w:val="13"/>
                <w:szCs w:val="13"/>
                <w:color w:val="auto"/>
              </w:rPr>
              <w:t>10.16</w:t>
            </w:r>
          </w:p>
        </w:tc>
      </w:tr>
      <w:tr>
        <w:trPr>
          <w:trHeight w:val="157"/>
        </w:trPr>
        <w:tc>
          <w:tcPr>
            <w:tcW w:w="20" w:type="dxa"/>
            <w:vAlign w:val="bottom"/>
          </w:tcPr>
          <w:p>
            <w:pPr>
              <w:spacing w:after="0"/>
              <w:rPr>
                <w:sz w:val="13"/>
                <w:szCs w:val="13"/>
                <w:color w:val="auto"/>
              </w:rPr>
            </w:pPr>
          </w:p>
        </w:tc>
        <w:tc>
          <w:tcPr>
            <w:tcW w:w="9900" w:type="dxa"/>
            <w:vAlign w:val="bottom"/>
            <w:shd w:val="clear" w:color="auto" w:fill="CCEEFF"/>
          </w:tcPr>
          <w:p>
            <w:pPr>
              <w:spacing w:after="0"/>
              <w:rPr>
                <w:sz w:val="20"/>
                <w:szCs w:val="20"/>
                <w:color w:val="auto"/>
              </w:rPr>
            </w:pPr>
            <w:r>
              <w:rPr>
                <w:rFonts w:ascii="Arial" w:cs="Arial" w:eastAsia="Arial" w:hAnsi="Arial"/>
                <w:sz w:val="13"/>
                <w:szCs w:val="13"/>
                <w:i w:val="1"/>
                <w:iCs w:val="1"/>
                <w:color w:val="auto"/>
              </w:rPr>
              <w:t>“Service Agent”</w:t>
            </w:r>
          </w:p>
        </w:tc>
        <w:tc>
          <w:tcPr>
            <w:tcW w:w="1540" w:type="dxa"/>
            <w:vAlign w:val="bottom"/>
            <w:gridSpan w:val="2"/>
            <w:shd w:val="clear" w:color="auto" w:fill="CCEEFF"/>
          </w:tcPr>
          <w:p>
            <w:pPr>
              <w:jc w:val="right"/>
              <w:ind w:right="284"/>
              <w:spacing w:after="0"/>
              <w:rPr>
                <w:sz w:val="20"/>
                <w:szCs w:val="20"/>
                <w:color w:val="auto"/>
              </w:rPr>
            </w:pPr>
            <w:r>
              <w:rPr>
                <w:rFonts w:ascii="Arial" w:cs="Arial" w:eastAsia="Arial" w:hAnsi="Arial"/>
                <w:sz w:val="13"/>
                <w:szCs w:val="13"/>
                <w:color w:val="auto"/>
              </w:rPr>
              <w:t>2.4</w:t>
            </w:r>
          </w:p>
        </w:tc>
      </w:tr>
      <w:tr>
        <w:trPr>
          <w:trHeight w:val="165"/>
        </w:trPr>
        <w:tc>
          <w:tcPr>
            <w:tcW w:w="20" w:type="dxa"/>
            <w:vAlign w:val="bottom"/>
          </w:tcPr>
          <w:p>
            <w:pPr>
              <w:spacing w:after="0"/>
              <w:rPr>
                <w:sz w:val="14"/>
                <w:szCs w:val="14"/>
                <w:color w:val="auto"/>
              </w:rPr>
            </w:pPr>
          </w:p>
        </w:tc>
        <w:tc>
          <w:tcPr>
            <w:tcW w:w="9900" w:type="dxa"/>
            <w:vAlign w:val="bottom"/>
          </w:tcPr>
          <w:p>
            <w:pPr>
              <w:spacing w:after="0"/>
              <w:rPr>
                <w:sz w:val="20"/>
                <w:szCs w:val="20"/>
                <w:color w:val="auto"/>
              </w:rPr>
            </w:pPr>
            <w:r>
              <w:rPr>
                <w:rFonts w:ascii="Arial" w:cs="Arial" w:eastAsia="Arial" w:hAnsi="Arial"/>
                <w:sz w:val="13"/>
                <w:szCs w:val="13"/>
                <w:i w:val="1"/>
                <w:iCs w:val="1"/>
                <w:color w:val="auto"/>
              </w:rPr>
              <w:t>“successor person”</w:t>
            </w:r>
          </w:p>
        </w:tc>
        <w:tc>
          <w:tcPr>
            <w:tcW w:w="1540" w:type="dxa"/>
            <w:vAlign w:val="bottom"/>
            <w:gridSpan w:val="2"/>
          </w:tcPr>
          <w:p>
            <w:pPr>
              <w:jc w:val="right"/>
              <w:ind w:right="284"/>
              <w:spacing w:after="0"/>
              <w:rPr>
                <w:sz w:val="20"/>
                <w:szCs w:val="20"/>
                <w:color w:val="auto"/>
              </w:rPr>
            </w:pPr>
            <w:r>
              <w:rPr>
                <w:rFonts w:ascii="Arial" w:cs="Arial" w:eastAsia="Arial" w:hAnsi="Arial"/>
                <w:sz w:val="13"/>
                <w:szCs w:val="13"/>
                <w:color w:val="auto"/>
              </w:rPr>
              <w:t>5.1</w:t>
            </w:r>
          </w:p>
        </w:tc>
      </w:tr>
    </w:tbl>
    <w:p>
      <w:pPr>
        <w:spacing w:after="0" w:line="6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1.3. </w:t>
      </w:r>
      <w:r>
        <w:rPr>
          <w:rFonts w:ascii="Arial" w:cs="Arial" w:eastAsia="Arial" w:hAnsi="Arial"/>
          <w:sz w:val="13"/>
          <w:szCs w:val="13"/>
          <w:u w:val="single" w:color="auto"/>
          <w:color w:val="auto"/>
        </w:rPr>
        <w:t>Incorporation by Reference of Trust Indenture Act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Whenever this Indenture refers to a provision of the TIA, the provision is incorporated by reference in and made a part of this Indenture. The following TIA terms used in this Indenture have the following meanings:</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“Commission” </w:t>
      </w:r>
      <w:r>
        <w:rPr>
          <w:rFonts w:ascii="Arial" w:cs="Arial" w:eastAsia="Arial" w:hAnsi="Arial"/>
          <w:sz w:val="13"/>
          <w:szCs w:val="13"/>
          <w:color w:val="auto"/>
        </w:rPr>
        <w:t>means the SEC.</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“indenture securities” </w:t>
      </w:r>
      <w:r>
        <w:rPr>
          <w:rFonts w:ascii="Arial" w:cs="Arial" w:eastAsia="Arial" w:hAnsi="Arial"/>
          <w:sz w:val="13"/>
          <w:szCs w:val="13"/>
          <w:color w:val="auto"/>
        </w:rPr>
        <w:t>means the Securities.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“indenture security holder” </w:t>
      </w:r>
      <w:r>
        <w:rPr>
          <w:rFonts w:ascii="Arial" w:cs="Arial" w:eastAsia="Arial" w:hAnsi="Arial"/>
          <w:sz w:val="13"/>
          <w:szCs w:val="13"/>
          <w:color w:val="auto"/>
        </w:rPr>
        <w:t>means a Securityholder.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“indenture to be qualified” </w:t>
      </w:r>
      <w:r>
        <w:rPr>
          <w:rFonts w:ascii="Arial" w:cs="Arial" w:eastAsia="Arial" w:hAnsi="Arial"/>
          <w:sz w:val="13"/>
          <w:szCs w:val="13"/>
          <w:color w:val="auto"/>
        </w:rPr>
        <w:t>means this Indenture.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“indenture trustee” </w:t>
      </w:r>
      <w:r>
        <w:rPr>
          <w:rFonts w:ascii="Arial" w:cs="Arial" w:eastAsia="Arial" w:hAnsi="Arial"/>
          <w:sz w:val="13"/>
          <w:szCs w:val="13"/>
          <w:color w:val="auto"/>
        </w:rPr>
        <w:t>or</w:t>
      </w:r>
      <w:r>
        <w:rPr>
          <w:rFonts w:ascii="Arial" w:cs="Arial" w:eastAsia="Arial" w:hAnsi="Arial"/>
          <w:sz w:val="13"/>
          <w:szCs w:val="13"/>
          <w:i w:val="1"/>
          <w:iCs w:val="1"/>
          <w:color w:val="auto"/>
        </w:rPr>
        <w:t xml:space="preserve"> “institutional trustee” </w:t>
      </w:r>
      <w:r>
        <w:rPr>
          <w:rFonts w:ascii="Arial" w:cs="Arial" w:eastAsia="Arial" w:hAnsi="Arial"/>
          <w:sz w:val="13"/>
          <w:szCs w:val="13"/>
          <w:color w:val="auto"/>
        </w:rPr>
        <w:t>means the Trustee.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i w:val="1"/>
          <w:iCs w:val="1"/>
          <w:color w:val="auto"/>
        </w:rPr>
        <w:t xml:space="preserve">“obligor” </w:t>
      </w:r>
      <w:r>
        <w:rPr>
          <w:rFonts w:ascii="Arial" w:cs="Arial" w:eastAsia="Arial" w:hAnsi="Arial"/>
          <w:sz w:val="13"/>
          <w:szCs w:val="13"/>
          <w:color w:val="auto"/>
        </w:rPr>
        <w:t>on the indenture securities means the Company and any successor obligor upon the Securities.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3" w:name="page34"/>
    <w:bookmarkEnd w:id="33"/>
    <w:p>
      <w:pPr>
        <w:ind w:left="160"/>
        <w:spacing w:after="0"/>
        <w:rPr>
          <w:sz w:val="20"/>
          <w:szCs w:val="20"/>
          <w:color w:val="auto"/>
        </w:rPr>
      </w:pPr>
      <w:r>
        <w:rPr>
          <w:rFonts w:ascii="Arial" w:cs="Arial" w:eastAsia="Arial" w:hAnsi="Arial"/>
          <w:sz w:val="12"/>
          <w:szCs w:val="12"/>
          <w:color w:val="auto"/>
        </w:rPr>
        <w:t>All other terms used in this Indenture that are defined by the TIA, defined by TIA reference to another statute or defined by SEC rule under the TIA and not otherwise defined herein are used herein as so defined.</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1.4. </w:t>
      </w:r>
      <w:r>
        <w:rPr>
          <w:rFonts w:ascii="Arial" w:cs="Arial" w:eastAsia="Arial" w:hAnsi="Arial"/>
          <w:sz w:val="13"/>
          <w:szCs w:val="13"/>
          <w:u w:val="single" w:color="auto"/>
          <w:color w:val="auto"/>
        </w:rPr>
        <w:t>Rules of Construction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Unless the context otherwise requires:</w:t>
      </w:r>
    </w:p>
    <w:p>
      <w:pPr>
        <w:spacing w:after="0" w:line="86" w:lineRule="exact"/>
        <w:rPr>
          <w:sz w:val="20"/>
          <w:szCs w:val="20"/>
          <w:color w:val="auto"/>
        </w:rPr>
      </w:pPr>
    </w:p>
    <w:p>
      <w:pPr>
        <w:ind w:left="340" w:hanging="178"/>
        <w:spacing w:after="0"/>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 term has the meaning assigned to it;</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an accounting term not otherwise defined has the meaning assigned to it in accordance with GAAP;</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i w:val="1"/>
          <w:iCs w:val="1"/>
          <w:color w:val="auto"/>
        </w:rPr>
        <w:t xml:space="preserve">“or” </w:t>
      </w:r>
      <w:r>
        <w:rPr>
          <w:rFonts w:ascii="Arial" w:cs="Arial" w:eastAsia="Arial" w:hAnsi="Arial"/>
          <w:sz w:val="13"/>
          <w:szCs w:val="13"/>
          <w:color w:val="auto"/>
        </w:rPr>
        <w:t>is not exclusive;</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words in the singular include the plural, and in the plural include the singular; and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provisions apply to successive events and transactions.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SECURITIES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 </w:t>
      </w:r>
      <w:r>
        <w:rPr>
          <w:rFonts w:ascii="Arial" w:cs="Arial" w:eastAsia="Arial" w:hAnsi="Arial"/>
          <w:sz w:val="13"/>
          <w:szCs w:val="13"/>
          <w:u w:val="single" w:color="auto"/>
          <w:color w:val="auto"/>
        </w:rPr>
        <w:t>Issuable in Series</w:t>
      </w:r>
    </w:p>
    <w:p>
      <w:pPr>
        <w:spacing w:after="0" w:line="86" w:lineRule="exact"/>
        <w:rPr>
          <w:sz w:val="20"/>
          <w:szCs w:val="20"/>
          <w:color w:val="auto"/>
        </w:rPr>
      </w:pPr>
    </w:p>
    <w:p>
      <w:pPr>
        <w:ind w:firstLine="161"/>
        <w:spacing w:after="0" w:line="285" w:lineRule="auto"/>
        <w:rPr>
          <w:sz w:val="20"/>
          <w:szCs w:val="20"/>
          <w:color w:val="auto"/>
        </w:rPr>
      </w:pPr>
      <w:r>
        <w:rPr>
          <w:rFonts w:ascii="Arial" w:cs="Arial" w:eastAsia="Arial" w:hAnsi="Arial"/>
          <w:sz w:val="12"/>
          <w:szCs w:val="12"/>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supplemental indenture or Officers’ Certificate detailing the adoption of the terms thereof pursuant to authority granted under a Board Resolution. In the case of Securities of a Series to be issued from time to time, the Board Resolution, supplemental indenture or Officers’ Certificate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2.2. </w:t>
      </w:r>
      <w:r>
        <w:rPr>
          <w:rFonts w:ascii="Arial" w:cs="Arial" w:eastAsia="Arial" w:hAnsi="Arial"/>
          <w:sz w:val="13"/>
          <w:szCs w:val="13"/>
          <w:u w:val="single" w:color="auto"/>
          <w:color w:val="auto"/>
        </w:rPr>
        <w:t>Establishment of Terms of Series of Securities</w:t>
      </w:r>
    </w:p>
    <w:p>
      <w:pPr>
        <w:spacing w:after="0" w:line="86" w:lineRule="exact"/>
        <w:rPr>
          <w:sz w:val="20"/>
          <w:szCs w:val="20"/>
          <w:color w:val="auto"/>
        </w:rPr>
      </w:pPr>
    </w:p>
    <w:p>
      <w:pPr>
        <w:ind w:right="180" w:firstLine="157"/>
        <w:spacing w:after="0" w:line="264" w:lineRule="auto"/>
        <w:rPr>
          <w:sz w:val="20"/>
          <w:szCs w:val="20"/>
          <w:color w:val="auto"/>
        </w:rPr>
      </w:pPr>
      <w:r>
        <w:rPr>
          <w:rFonts w:ascii="Arial" w:cs="Arial" w:eastAsia="Arial" w:hAnsi="Arial"/>
          <w:sz w:val="13"/>
          <w:szCs w:val="13"/>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2.2.25) by or pursuant to a Board Resolution, and set forth or determined in the manner provided in a Board Resolution, supplemental indenture or Officers’ Certificate: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2.2.1 the title of the Series (which shall distinguish the Securities of that particular Series from the Securities of any other Series);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2.2.2 the price or prices (expressed as a percentage of the principal amount thereof) at which the Securities of the Series will be issued;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2.2.3 any limit upon the aggregate principal amount of the Securities of the Series which may be authenticated and delivered under this Indenture (except for Securities authenticated and delivered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4" w:name="page35"/>
    <w:bookmarkEnd w:id="34"/>
    <w:p>
      <w:pPr>
        <w:spacing w:after="0"/>
        <w:rPr>
          <w:sz w:val="20"/>
          <w:szCs w:val="20"/>
          <w:color w:val="auto"/>
        </w:rPr>
      </w:pPr>
      <w:r>
        <w:rPr>
          <w:rFonts w:ascii="Arial" w:cs="Arial" w:eastAsia="Arial" w:hAnsi="Arial"/>
          <w:sz w:val="13"/>
          <w:szCs w:val="13"/>
          <w:color w:val="auto"/>
        </w:rPr>
        <w:t>upon registration of transfer of, or in exchange for, or in lieu of, other Securities of the Series pursuant to Section 2.7, 2.8, 2.11, 3.6 or 9.6);</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2.2.4 the date or dates on which the principal of the Securities of the Series is payable;</w:t>
      </w:r>
    </w:p>
    <w:p>
      <w:pPr>
        <w:spacing w:after="0" w:line="86"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57" w:lineRule="exact"/>
        <w:rPr>
          <w:sz w:val="20"/>
          <w:szCs w:val="20"/>
          <w:color w:val="auto"/>
        </w:rPr>
      </w:pPr>
    </w:p>
    <w:p>
      <w:pPr>
        <w:ind w:right="100" w:firstLine="164"/>
        <w:spacing w:after="0" w:line="320" w:lineRule="auto"/>
        <w:rPr>
          <w:sz w:val="20"/>
          <w:szCs w:val="20"/>
          <w:color w:val="auto"/>
        </w:rPr>
      </w:pPr>
      <w:r>
        <w:rPr>
          <w:rFonts w:ascii="Arial" w:cs="Arial" w:eastAsia="Arial" w:hAnsi="Arial"/>
          <w:sz w:val="12"/>
          <w:szCs w:val="12"/>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spacing w:after="0" w:line="25" w:lineRule="exact"/>
        <w:rPr>
          <w:sz w:val="20"/>
          <w:szCs w:val="20"/>
          <w:color w:val="auto"/>
        </w:rPr>
      </w:pPr>
    </w:p>
    <w:p>
      <w:pPr>
        <w:ind w:right="320" w:firstLine="164"/>
        <w:spacing w:after="0" w:line="276" w:lineRule="auto"/>
        <w:rPr>
          <w:sz w:val="20"/>
          <w:szCs w:val="20"/>
          <w:color w:val="auto"/>
        </w:rPr>
      </w:pPr>
      <w:r>
        <w:rPr>
          <w:rFonts w:ascii="Arial" w:cs="Arial" w:eastAsia="Arial" w:hAnsi="Arial"/>
          <w:sz w:val="13"/>
          <w:szCs w:val="13"/>
          <w:color w:val="auto"/>
        </w:rPr>
        <w:t>2.2.7 if applicable, the period or periods within which, the price or prices at which and the terms and conditions upon which the Securities of the Series may be redeemed, in whole or in part, at the option of the Company;</w:t>
      </w:r>
    </w:p>
    <w:p>
      <w:pPr>
        <w:spacing w:after="0" w:line="49" w:lineRule="exact"/>
        <w:rPr>
          <w:sz w:val="20"/>
          <w:szCs w:val="20"/>
          <w:color w:val="auto"/>
        </w:rPr>
      </w:pPr>
    </w:p>
    <w:p>
      <w:pPr>
        <w:ind w:firstLine="164"/>
        <w:spacing w:after="0" w:line="320" w:lineRule="auto"/>
        <w:rPr>
          <w:sz w:val="20"/>
          <w:szCs w:val="20"/>
          <w:color w:val="auto"/>
        </w:rPr>
      </w:pPr>
      <w:r>
        <w:rPr>
          <w:rFonts w:ascii="Arial" w:cs="Arial" w:eastAsia="Arial" w:hAnsi="Arial"/>
          <w:sz w:val="12"/>
          <w:szCs w:val="12"/>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25"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2.2.10 if other than denominations of $1,000 and any integral multiple thereof, the denominations in which the Securities of the Series shall be issuable;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2.2.11 the forms of the Securities of the Series and whether the Securities will be issuable as Global Securities;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1"/>
          <w:szCs w:val="11"/>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0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2.2.13 the currency of denomination of the Securities of the Series, which may be Dollars or any Foreign Currency;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2.2.14 the designation of the currency, currencies or currency units in which payment of the principal of and interest, if any, on the Securities of the Series will be made;</w:t>
      </w:r>
    </w:p>
    <w:p>
      <w:pPr>
        <w:spacing w:after="0" w:line="86"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5" w:name="page36"/>
    <w:bookmarkEnd w:id="35"/>
    <w:p>
      <w:pPr>
        <w:ind w:right="320" w:firstLine="164"/>
        <w:spacing w:after="0" w:line="320" w:lineRule="auto"/>
        <w:rPr>
          <w:sz w:val="20"/>
          <w:szCs w:val="20"/>
          <w:color w:val="auto"/>
        </w:rPr>
      </w:pPr>
      <w:r>
        <w:rPr>
          <w:rFonts w:ascii="Arial" w:cs="Arial" w:eastAsia="Arial" w:hAnsi="Arial"/>
          <w:sz w:val="12"/>
          <w:szCs w:val="12"/>
          <w:color w:val="auto"/>
        </w:rPr>
        <w:t>2.2.16 the manner in which the amounts of payment of principal of or interest, if any, on the Securities of the Series will be determined, if such amounts may be determined by reference to an index based on a currency or currencies other than that which the Securities are denominated or designated to be payable or by reference to a commodity, commodity index, stock exchange index or financial index;</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2.2.17 the provisions, if any, relating to any security provided for the Securities of the Series;</w:t>
      </w:r>
    </w:p>
    <w:p>
      <w:pPr>
        <w:spacing w:after="0" w:line="86"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color w:val="auto"/>
        </w:rPr>
        <w:t>2.2.18 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2.2.19 any addition to or change in the covenants set forth in Articles IV or V which applies to Securities of the Series;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2.2.20 whether the Securities of the Series will be listed on a securities exchange;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2.2.21 the initial public offering price, if any has been established for the Securities of the Series;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2.2.22 any other terms of the Securities of the Series (which may supplement, modify or delete any provision of this Indenture insofar as it applies to such Series);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2.2.23 any depositaries, interest rate calculation agents, exchange rate calculation agents or other agents with respect to Securities of such Series if other than those appointed herein;</w:t>
      </w:r>
    </w:p>
    <w:p>
      <w:pPr>
        <w:spacing w:after="0" w:line="86" w:lineRule="exact"/>
        <w:rPr>
          <w:sz w:val="20"/>
          <w:szCs w:val="20"/>
          <w:color w:val="auto"/>
        </w:rPr>
      </w:pPr>
    </w:p>
    <w:p>
      <w:pPr>
        <w:ind w:firstLine="164"/>
        <w:spacing w:after="0" w:line="320" w:lineRule="auto"/>
        <w:rPr>
          <w:sz w:val="20"/>
          <w:szCs w:val="20"/>
          <w:color w:val="auto"/>
        </w:rPr>
      </w:pPr>
      <w:r>
        <w:rPr>
          <w:rFonts w:ascii="Arial" w:cs="Arial" w:eastAsia="Arial" w:hAnsi="Arial"/>
          <w:sz w:val="12"/>
          <w:szCs w:val="12"/>
          <w:color w:val="auto"/>
        </w:rPr>
        <w:t>2.2.24 the provisions, if any, relating to conversion of any Securities of such Series, including if applicable, the conversion price, the conversion period, provisions as to whether conversion will be mandatory, at the option of the Holders thereof or at the option of the Company, the events requiring an adjustment of the conversion price and provisions affecting conversion if such Series of Securities are redeemed; and</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2.2.25 whether the Securities of such Series will be senior debt securities or subordinated debt securities and, if applicable, a description of the subordination terms thereof.</w:t>
      </w:r>
    </w:p>
    <w:p>
      <w:pPr>
        <w:spacing w:after="0" w:line="86" w:lineRule="exact"/>
        <w:rPr>
          <w:sz w:val="20"/>
          <w:szCs w:val="20"/>
          <w:color w:val="auto"/>
        </w:rPr>
      </w:pPr>
    </w:p>
    <w:p>
      <w:pPr>
        <w:ind w:right="540" w:firstLine="157"/>
        <w:spacing w:after="0" w:line="276" w:lineRule="auto"/>
        <w:rPr>
          <w:sz w:val="20"/>
          <w:szCs w:val="20"/>
          <w:color w:val="auto"/>
        </w:rPr>
      </w:pPr>
      <w:r>
        <w:rPr>
          <w:rFonts w:ascii="Arial" w:cs="Arial" w:eastAsia="Arial" w:hAnsi="Arial"/>
          <w:sz w:val="13"/>
          <w:szCs w:val="13"/>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2.3. </w:t>
      </w:r>
      <w:r>
        <w:rPr>
          <w:rFonts w:ascii="Arial" w:cs="Arial" w:eastAsia="Arial" w:hAnsi="Arial"/>
          <w:sz w:val="13"/>
          <w:szCs w:val="13"/>
          <w:u w:val="single" w:color="auto"/>
          <w:color w:val="auto"/>
        </w:rPr>
        <w:t>Execution and Authentication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An Officer shall sign the Securities for the Company by manual or facsimile signature.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If an Officer whose signature is on a Security no longer holds that office at the time the Security is authenticated, the Security shall nevertheless be valid.</w:t>
      </w:r>
    </w:p>
    <w:p>
      <w:pPr>
        <w:spacing w:after="0" w:line="86" w:lineRule="exact"/>
        <w:rPr>
          <w:sz w:val="20"/>
          <w:szCs w:val="20"/>
          <w:color w:val="auto"/>
        </w:rPr>
      </w:pPr>
    </w:p>
    <w:p>
      <w:pPr>
        <w:ind w:right="300" w:firstLine="157"/>
        <w:spacing w:after="0" w:line="276" w:lineRule="auto"/>
        <w:rPr>
          <w:sz w:val="20"/>
          <w:szCs w:val="20"/>
          <w:color w:val="auto"/>
        </w:rPr>
      </w:pPr>
      <w:r>
        <w:rPr>
          <w:rFonts w:ascii="Arial" w:cs="Arial" w:eastAsia="Arial" w:hAnsi="Arial"/>
          <w:sz w:val="13"/>
          <w:szCs w:val="13"/>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36" w:name="page37"/>
    <w:bookmarkEnd w:id="36"/>
    <w:p>
      <w:pPr>
        <w:ind w:right="160" w:firstLine="161"/>
        <w:spacing w:after="0" w:line="260" w:lineRule="auto"/>
        <w:rPr>
          <w:sz w:val="20"/>
          <w:szCs w:val="20"/>
          <w:color w:val="auto"/>
        </w:rPr>
      </w:pPr>
      <w:r>
        <w:rPr>
          <w:rFonts w:ascii="Arial" w:cs="Arial" w:eastAsia="Arial" w:hAnsi="Arial"/>
          <w:sz w:val="13"/>
          <w:szCs w:val="13"/>
          <w:color w:val="auto"/>
        </w:rPr>
        <w:t>The Trustee shall at any time, and from time to time, authenticate Securities for original issue in the principal amount provided in the Board Resolution, supplemental indenture hereto or Officers’ Certificate, upon receipt by the Trustee of a Company Order. Such Company Order may authorize authentication and delivery pursuant to oral or electronic instructions from the Company or its duly authorized agent or agents, which oral instructions shall be promptly confirmed in writing. Each Security shall be dated the date of its authentication unless otherwise provided by a Board Resolution, a supplemental indenture hereto or an Officers’ Certificate.</w:t>
      </w:r>
    </w:p>
    <w:p>
      <w:pPr>
        <w:spacing w:after="0" w:line="60" w:lineRule="exact"/>
        <w:rPr>
          <w:sz w:val="20"/>
          <w:szCs w:val="20"/>
          <w:color w:val="auto"/>
        </w:rPr>
      </w:pPr>
    </w:p>
    <w:p>
      <w:pPr>
        <w:ind w:right="300" w:firstLine="161"/>
        <w:spacing w:after="0" w:line="276" w:lineRule="auto"/>
        <w:rPr>
          <w:sz w:val="20"/>
          <w:szCs w:val="20"/>
          <w:color w:val="auto"/>
        </w:rPr>
      </w:pPr>
      <w:r>
        <w:rPr>
          <w:rFonts w:ascii="Arial" w:cs="Arial" w:eastAsia="Arial" w:hAnsi="Arial"/>
          <w:sz w:val="13"/>
          <w:szCs w:val="13"/>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49" w:lineRule="exact"/>
        <w:rPr>
          <w:sz w:val="20"/>
          <w:szCs w:val="20"/>
          <w:color w:val="auto"/>
        </w:rPr>
      </w:pPr>
    </w:p>
    <w:p>
      <w:pPr>
        <w:ind w:right="80" w:firstLine="164"/>
        <w:spacing w:after="0" w:line="264" w:lineRule="auto"/>
        <w:rPr>
          <w:sz w:val="20"/>
          <w:szCs w:val="20"/>
          <w:color w:val="auto"/>
        </w:rPr>
      </w:pPr>
      <w:r>
        <w:rPr>
          <w:rFonts w:ascii="Arial" w:cs="Arial" w:eastAsia="Arial" w:hAnsi="Arial"/>
          <w:sz w:val="13"/>
          <w:szCs w:val="13"/>
          <w:color w:val="auto"/>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10.4, and (c) an Opinion of Counsel complying with Section 10.4.</w:t>
      </w:r>
    </w:p>
    <w:p>
      <w:pPr>
        <w:spacing w:after="0" w:line="57" w:lineRule="exact"/>
        <w:rPr>
          <w:sz w:val="20"/>
          <w:szCs w:val="20"/>
          <w:color w:val="auto"/>
        </w:rPr>
      </w:pPr>
    </w:p>
    <w:p>
      <w:pPr>
        <w:jc w:val="both"/>
        <w:ind w:right="220" w:firstLine="161"/>
        <w:spacing w:after="0" w:line="264" w:lineRule="auto"/>
        <w:rPr>
          <w:sz w:val="20"/>
          <w:szCs w:val="20"/>
          <w:color w:val="auto"/>
        </w:rPr>
      </w:pPr>
      <w:r>
        <w:rPr>
          <w:rFonts w:ascii="Arial" w:cs="Arial" w:eastAsia="Arial" w:hAnsi="Arial"/>
          <w:sz w:val="13"/>
          <w:szCs w:val="13"/>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 presidents shall determine that such action would expose the Trustee to personal liability to Holders of any then outstanding Series of Securities.</w:t>
      </w:r>
    </w:p>
    <w:p>
      <w:pPr>
        <w:spacing w:after="0" w:line="57" w:lineRule="exact"/>
        <w:rPr>
          <w:sz w:val="20"/>
          <w:szCs w:val="20"/>
          <w:color w:val="auto"/>
        </w:rPr>
      </w:pPr>
    </w:p>
    <w:p>
      <w:pPr>
        <w:jc w:val="both"/>
        <w:ind w:right="220" w:firstLine="161"/>
        <w:spacing w:after="0" w:line="320" w:lineRule="auto"/>
        <w:rPr>
          <w:sz w:val="20"/>
          <w:szCs w:val="20"/>
          <w:color w:val="auto"/>
        </w:rPr>
      </w:pPr>
      <w:r>
        <w:rPr>
          <w:rFonts w:ascii="Arial" w:cs="Arial" w:eastAsia="Arial" w:hAnsi="Arial"/>
          <w:sz w:val="12"/>
          <w:szCs w:val="12"/>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2.4. </w:t>
      </w:r>
      <w:r>
        <w:rPr>
          <w:rFonts w:ascii="Arial" w:cs="Arial" w:eastAsia="Arial" w:hAnsi="Arial"/>
          <w:sz w:val="13"/>
          <w:szCs w:val="13"/>
          <w:u w:val="single" w:color="auto"/>
          <w:color w:val="auto"/>
        </w:rPr>
        <w:t>Registrar and Paying Agent</w:t>
      </w:r>
    </w:p>
    <w:p>
      <w:pPr>
        <w:spacing w:after="0" w:line="86" w:lineRule="exact"/>
        <w:rPr>
          <w:sz w:val="20"/>
          <w:szCs w:val="20"/>
          <w:color w:val="auto"/>
        </w:rPr>
      </w:pPr>
    </w:p>
    <w:p>
      <w:pPr>
        <w:ind w:firstLine="161"/>
        <w:spacing w:after="0" w:line="282" w:lineRule="auto"/>
        <w:rPr>
          <w:sz w:val="20"/>
          <w:szCs w:val="20"/>
          <w:color w:val="auto"/>
        </w:rPr>
      </w:pPr>
      <w:r>
        <w:rPr>
          <w:rFonts w:ascii="Arial" w:cs="Arial" w:eastAsia="Arial" w:hAnsi="Arial"/>
          <w:sz w:val="12"/>
          <w:szCs w:val="12"/>
          <w:color w:val="auto"/>
        </w:rPr>
        <w:t>The Company shall maintain, with respect to each Series of Securities, at the place or places specified with respect to such Series pursuant to Section 2.2, an office or agency where Securities of such Series may be presented or surrendered for payment (“Paying Agent”), where Securities of such Series may be surrendered for registration of transfer or exchange (“Registrar”) and where notices and demands to or upon the Company in respect of the Securities of such Series and this Indenture may be served (“Service Agent”). The Registrar shall keep a register with respect to each Series of Securities and to their transfer and exchange. The Company will give prompt written notice to the Trustee of the name and address, and any change in the name or address, of each Registrar, Paying Agent or Service Agent. If at any time the Company shall fail to maintain any such required Registrar, Paying Agent or Service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w:t>
      </w:r>
    </w:p>
    <w:p>
      <w:pPr>
        <w:spacing w:after="0" w:line="49" w:lineRule="exact"/>
        <w:rPr>
          <w:sz w:val="20"/>
          <w:szCs w:val="20"/>
          <w:color w:val="auto"/>
        </w:rPr>
      </w:pPr>
    </w:p>
    <w:p>
      <w:pPr>
        <w:ind w:right="120" w:firstLine="161"/>
        <w:spacing w:after="0" w:line="276" w:lineRule="auto"/>
        <w:rPr>
          <w:sz w:val="20"/>
          <w:szCs w:val="20"/>
          <w:color w:val="auto"/>
        </w:rPr>
      </w:pPr>
      <w:r>
        <w:rPr>
          <w:rFonts w:ascii="Arial" w:cs="Arial" w:eastAsia="Arial" w:hAnsi="Arial"/>
          <w:sz w:val="13"/>
          <w:szCs w:val="13"/>
          <w:color w:val="auto"/>
        </w:rPr>
        <w:t>The Company may also from time to time designate one or more co-registrars, additional paying agents or additional service agents and may from time to time rescind such designations; provided, however, that no such designation or rescission shall in any manner relieve the Company of its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7" w:name="page38"/>
    <w:bookmarkEnd w:id="37"/>
    <w:p>
      <w:pPr>
        <w:spacing w:after="0"/>
        <w:rPr>
          <w:sz w:val="20"/>
          <w:szCs w:val="20"/>
          <w:color w:val="auto"/>
        </w:rPr>
      </w:pPr>
      <w:r>
        <w:rPr>
          <w:rFonts w:ascii="Arial" w:cs="Arial" w:eastAsia="Arial" w:hAnsi="Arial"/>
          <w:sz w:val="13"/>
          <w:szCs w:val="13"/>
          <w:color w:val="auto"/>
        </w:rPr>
        <w:t>obligations to maintain a Registrar, Paying Agent and Service Agent in each place so specified pursuant to Section 2.2 for Securities of any Series for such purposes.</w:t>
      </w:r>
    </w:p>
    <w:p>
      <w:pPr>
        <w:spacing w:after="0" w:line="86" w:lineRule="exact"/>
        <w:rPr>
          <w:sz w:val="20"/>
          <w:szCs w:val="20"/>
          <w:color w:val="auto"/>
        </w:rPr>
      </w:pPr>
    </w:p>
    <w:p>
      <w:pPr>
        <w:ind w:right="320" w:firstLine="161"/>
        <w:spacing w:after="0" w:line="320" w:lineRule="auto"/>
        <w:rPr>
          <w:sz w:val="20"/>
          <w:szCs w:val="20"/>
          <w:color w:val="auto"/>
        </w:rPr>
      </w:pPr>
      <w:r>
        <w:rPr>
          <w:rFonts w:ascii="Arial" w:cs="Arial" w:eastAsia="Arial" w:hAnsi="Arial"/>
          <w:sz w:val="12"/>
          <w:szCs w:val="12"/>
          <w:color w:val="auto"/>
        </w:rPr>
        <w:t>The Company will give prompt written notice to the Trustee of any such designation or rescission and of any change in the name or address of any such co-registrar, additional paying agent or additional service agent. The term “Registrar” includes any co-registrar; the term “Paying Agent” includes any additional paying agent; and the term “Service Agent” includes any additional service agent.</w:t>
      </w:r>
    </w:p>
    <w:p>
      <w:pPr>
        <w:spacing w:after="0" w:line="25" w:lineRule="exact"/>
        <w:rPr>
          <w:sz w:val="20"/>
          <w:szCs w:val="20"/>
          <w:color w:val="auto"/>
        </w:rPr>
      </w:pPr>
    </w:p>
    <w:p>
      <w:pPr>
        <w:ind w:right="80" w:firstLine="161"/>
        <w:spacing w:after="0" w:line="276" w:lineRule="auto"/>
        <w:rPr>
          <w:sz w:val="20"/>
          <w:szCs w:val="20"/>
          <w:color w:val="auto"/>
        </w:rPr>
      </w:pPr>
      <w:r>
        <w:rPr>
          <w:rFonts w:ascii="Arial" w:cs="Arial" w:eastAsia="Arial" w:hAnsi="Arial"/>
          <w:sz w:val="13"/>
          <w:szCs w:val="13"/>
          <w:color w:val="auto"/>
        </w:rPr>
        <w:t>The Company hereby appoints the Trustee the initial Registrar, Paying Agent and Service Agent for each Series unless another Registrar, Paying Agent or Service Agent, as the case may be, is appointed prior to the time Securities of that Series are first issued.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2.5. </w:t>
      </w:r>
      <w:r>
        <w:rPr>
          <w:rFonts w:ascii="Arial" w:cs="Arial" w:eastAsia="Arial" w:hAnsi="Arial"/>
          <w:sz w:val="13"/>
          <w:szCs w:val="13"/>
          <w:u w:val="single" w:color="auto"/>
          <w:color w:val="auto"/>
        </w:rPr>
        <w:t>Paying Agent to Hold Money in Trust</w:t>
      </w:r>
    </w:p>
    <w:p>
      <w:pPr>
        <w:spacing w:after="0" w:line="86" w:lineRule="exact"/>
        <w:rPr>
          <w:sz w:val="20"/>
          <w:szCs w:val="20"/>
          <w:color w:val="auto"/>
        </w:rPr>
      </w:pPr>
    </w:p>
    <w:p>
      <w:pPr>
        <w:ind w:firstLine="161"/>
        <w:spacing w:after="0" w:line="285" w:lineRule="auto"/>
        <w:rPr>
          <w:sz w:val="20"/>
          <w:szCs w:val="20"/>
          <w:color w:val="auto"/>
        </w:rPr>
      </w:pPr>
      <w:r>
        <w:rPr>
          <w:rFonts w:ascii="Arial" w:cs="Arial" w:eastAsia="Arial" w:hAnsi="Arial"/>
          <w:sz w:val="12"/>
          <w:szCs w:val="12"/>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2.6. </w:t>
      </w:r>
      <w:r>
        <w:rPr>
          <w:rFonts w:ascii="Arial" w:cs="Arial" w:eastAsia="Arial" w:hAnsi="Arial"/>
          <w:sz w:val="13"/>
          <w:szCs w:val="13"/>
          <w:u w:val="single" w:color="auto"/>
          <w:color w:val="auto"/>
        </w:rPr>
        <w:t>Securityholder Lists</w:t>
      </w:r>
    </w:p>
    <w:p>
      <w:pPr>
        <w:spacing w:after="0" w:line="86" w:lineRule="exact"/>
        <w:rPr>
          <w:sz w:val="20"/>
          <w:szCs w:val="20"/>
          <w:color w:val="auto"/>
        </w:rPr>
      </w:pPr>
    </w:p>
    <w:p>
      <w:pPr>
        <w:jc w:val="both"/>
        <w:ind w:right="200" w:firstLine="161"/>
        <w:spacing w:after="0" w:line="264" w:lineRule="auto"/>
        <w:rPr>
          <w:sz w:val="20"/>
          <w:szCs w:val="20"/>
          <w:color w:val="auto"/>
        </w:rPr>
      </w:pPr>
      <w:r>
        <w:rPr>
          <w:rFonts w:ascii="Arial" w:cs="Arial" w:eastAsia="Arial" w:hAnsi="Arial"/>
          <w:sz w:val="13"/>
          <w:szCs w:val="13"/>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2.7. </w:t>
      </w:r>
      <w:r>
        <w:rPr>
          <w:rFonts w:ascii="Arial" w:cs="Arial" w:eastAsia="Arial" w:hAnsi="Arial"/>
          <w:sz w:val="13"/>
          <w:szCs w:val="13"/>
          <w:u w:val="single" w:color="auto"/>
          <w:color w:val="auto"/>
        </w:rPr>
        <w:t>Transfer and Exchange</w:t>
      </w:r>
    </w:p>
    <w:p>
      <w:pPr>
        <w:spacing w:after="0" w:line="86" w:lineRule="exact"/>
        <w:rPr>
          <w:sz w:val="20"/>
          <w:szCs w:val="20"/>
          <w:color w:val="auto"/>
        </w:rPr>
      </w:pPr>
    </w:p>
    <w:p>
      <w:pPr>
        <w:ind w:right="120" w:firstLine="161"/>
        <w:spacing w:after="0" w:line="322" w:lineRule="auto"/>
        <w:rPr>
          <w:sz w:val="20"/>
          <w:szCs w:val="20"/>
          <w:color w:val="auto"/>
        </w:rPr>
      </w:pPr>
      <w:r>
        <w:rPr>
          <w:rFonts w:ascii="Arial" w:cs="Arial" w:eastAsia="Arial" w:hAnsi="Arial"/>
          <w:sz w:val="11"/>
          <w:szCs w:val="11"/>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or the Trustee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29"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and ending at the close of business on the day of such mailing, or (b) thereafter to issue, register the transfer of or exchange (i) any Securities of a Series for which notice has been given calling for redemption of such Series as 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8" w:name="page39"/>
    <w:bookmarkEnd w:id="38"/>
    <w:p>
      <w:pPr>
        <w:spacing w:after="0"/>
        <w:rPr>
          <w:sz w:val="20"/>
          <w:szCs w:val="20"/>
          <w:color w:val="auto"/>
        </w:rPr>
      </w:pPr>
      <w:r>
        <w:rPr>
          <w:rFonts w:ascii="Arial" w:cs="Arial" w:eastAsia="Arial" w:hAnsi="Arial"/>
          <w:sz w:val="13"/>
          <w:szCs w:val="13"/>
          <w:color w:val="auto"/>
        </w:rPr>
        <w:t>whole, or (ii) that portion of the Securities of a Series to be redeemed for which notice has been given calling for redemption of the Series in part.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2.8. </w:t>
      </w:r>
      <w:r>
        <w:rPr>
          <w:rFonts w:ascii="Arial" w:cs="Arial" w:eastAsia="Arial" w:hAnsi="Arial"/>
          <w:sz w:val="13"/>
          <w:szCs w:val="13"/>
          <w:u w:val="single" w:color="auto"/>
          <w:color w:val="auto"/>
        </w:rPr>
        <w:t>Mutilated, Destroyed, Lost and Stolen Securities</w:t>
      </w:r>
    </w:p>
    <w:p>
      <w:pPr>
        <w:spacing w:after="0" w:line="86"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49"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execute and upon its request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case any such mutilated, destroyed, lost or stolen Security has become or is about to become due and payable, the Company in its discretion may, instead of issuing a new Security, pay such Security.</w:t>
      </w:r>
    </w:p>
    <w:p>
      <w:pPr>
        <w:spacing w:after="0" w:line="98"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49" w:lineRule="exact"/>
        <w:rPr>
          <w:sz w:val="20"/>
          <w:szCs w:val="20"/>
          <w:color w:val="auto"/>
        </w:rPr>
      </w:pPr>
    </w:p>
    <w:p>
      <w:pPr>
        <w:ind w:right="320" w:firstLine="164"/>
        <w:spacing w:after="0" w:line="264" w:lineRule="auto"/>
        <w:rPr>
          <w:sz w:val="20"/>
          <w:szCs w:val="20"/>
          <w:color w:val="auto"/>
        </w:rPr>
      </w:pPr>
      <w:r>
        <w:rPr>
          <w:rFonts w:ascii="Arial" w:cs="Arial" w:eastAsia="Arial" w:hAnsi="Arial"/>
          <w:sz w:val="13"/>
          <w:szCs w:val="13"/>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57" w:lineRule="exact"/>
        <w:rPr>
          <w:sz w:val="20"/>
          <w:szCs w:val="20"/>
          <w:color w:val="auto"/>
        </w:rPr>
      </w:pPr>
    </w:p>
    <w:p>
      <w:pPr>
        <w:ind w:left="160" w:right="500" w:hanging="1"/>
        <w:spacing w:after="0" w:line="378" w:lineRule="auto"/>
        <w:rPr>
          <w:sz w:val="20"/>
          <w:szCs w:val="20"/>
          <w:color w:val="auto"/>
        </w:rPr>
      </w:pPr>
      <w:r>
        <w:rPr>
          <w:rFonts w:ascii="Arial" w:cs="Arial" w:eastAsia="Arial" w:hAnsi="Arial"/>
          <w:sz w:val="13"/>
          <w:szCs w:val="13"/>
          <w:color w:val="auto"/>
        </w:rPr>
        <w:t xml:space="preserve">The provisions of this Section are exclusive and shall preclude (to the extent lawful) all other rights and remedies with respect to the replacement or payment of mutilated, destroyed, lost or stolen Securities. Section 2.9. </w:t>
      </w:r>
      <w:r>
        <w:rPr>
          <w:rFonts w:ascii="Arial" w:cs="Arial" w:eastAsia="Arial" w:hAnsi="Arial"/>
          <w:sz w:val="13"/>
          <w:szCs w:val="13"/>
          <w:u w:val="single" w:color="auto"/>
          <w:color w:val="auto"/>
        </w:rPr>
        <w:t>Outstanding Securities</w:t>
      </w:r>
    </w:p>
    <w:p>
      <w:pPr>
        <w:spacing w:after="0" w:line="1" w:lineRule="exact"/>
        <w:rPr>
          <w:sz w:val="20"/>
          <w:szCs w:val="20"/>
          <w:color w:val="auto"/>
        </w:rPr>
      </w:pPr>
    </w:p>
    <w:p>
      <w:pPr>
        <w:ind w:right="320" w:firstLine="161"/>
        <w:spacing w:after="0" w:line="276" w:lineRule="auto"/>
        <w:rPr>
          <w:sz w:val="20"/>
          <w:szCs w:val="20"/>
          <w:color w:val="auto"/>
        </w:rPr>
      </w:pPr>
      <w:r>
        <w:rPr>
          <w:rFonts w:ascii="Arial" w:cs="Arial" w:eastAsia="Arial" w:hAnsi="Arial"/>
          <w:sz w:val="13"/>
          <w:szCs w:val="13"/>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If a Security is replaced pursuant to Section 2.8, it ceases to be outstanding until the Trustee receives proof satisfactory to it that the replaced Security is held by a protected purchaser.</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 Security does not cease to be outstanding because the Company or an Affiliate of the Company holds the Security.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9" w:name="page40"/>
    <w:bookmarkEnd w:id="39"/>
    <w:p>
      <w:pPr>
        <w:ind w:firstLine="164"/>
        <w:spacing w:after="0" w:line="264" w:lineRule="auto"/>
        <w:rPr>
          <w:sz w:val="20"/>
          <w:szCs w:val="20"/>
          <w:color w:val="auto"/>
        </w:rPr>
      </w:pPr>
      <w:r>
        <w:rPr>
          <w:rFonts w:ascii="Arial" w:cs="Arial" w:eastAsia="Arial" w:hAnsi="Arial"/>
          <w:sz w:val="13"/>
          <w:szCs w:val="13"/>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2.10. </w:t>
      </w:r>
      <w:r>
        <w:rPr>
          <w:rFonts w:ascii="Arial" w:cs="Arial" w:eastAsia="Arial" w:hAnsi="Arial"/>
          <w:sz w:val="13"/>
          <w:szCs w:val="13"/>
          <w:u w:val="single" w:color="auto"/>
          <w:color w:val="auto"/>
        </w:rPr>
        <w:t>Treasury Securities</w:t>
      </w:r>
    </w:p>
    <w:p>
      <w:pPr>
        <w:spacing w:after="0" w:line="86"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2.11. </w:t>
      </w:r>
      <w:r>
        <w:rPr>
          <w:rFonts w:ascii="Arial" w:cs="Arial" w:eastAsia="Arial" w:hAnsi="Arial"/>
          <w:sz w:val="13"/>
          <w:szCs w:val="13"/>
          <w:u w:val="single" w:color="auto"/>
          <w:color w:val="auto"/>
        </w:rPr>
        <w:t>Temporary Securities</w:t>
      </w:r>
    </w:p>
    <w:p>
      <w:pPr>
        <w:spacing w:after="0" w:line="86" w:lineRule="exact"/>
        <w:rPr>
          <w:sz w:val="20"/>
          <w:szCs w:val="20"/>
          <w:color w:val="auto"/>
        </w:rPr>
      </w:pPr>
    </w:p>
    <w:p>
      <w:pPr>
        <w:ind w:right="80" w:firstLine="164"/>
        <w:spacing w:after="0" w:line="334" w:lineRule="auto"/>
        <w:rPr>
          <w:sz w:val="20"/>
          <w:szCs w:val="20"/>
          <w:color w:val="auto"/>
        </w:rPr>
      </w:pPr>
      <w:r>
        <w:rPr>
          <w:rFonts w:ascii="Arial" w:cs="Arial" w:eastAsia="Arial" w:hAnsi="Arial"/>
          <w:sz w:val="11"/>
          <w:szCs w:val="11"/>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2.12. </w:t>
      </w:r>
      <w:r>
        <w:rPr>
          <w:rFonts w:ascii="Arial" w:cs="Arial" w:eastAsia="Arial" w:hAnsi="Arial"/>
          <w:sz w:val="13"/>
          <w:szCs w:val="13"/>
          <w:u w:val="single" w:color="auto"/>
          <w:color w:val="auto"/>
        </w:rPr>
        <w:t>Cancellation</w:t>
      </w:r>
    </w:p>
    <w:p>
      <w:pPr>
        <w:spacing w:after="0" w:line="86" w:lineRule="exact"/>
        <w:rPr>
          <w:sz w:val="20"/>
          <w:szCs w:val="20"/>
          <w:color w:val="auto"/>
        </w:rPr>
      </w:pPr>
    </w:p>
    <w:p>
      <w:pPr>
        <w:ind w:right="100" w:firstLine="161"/>
        <w:spacing w:after="0" w:line="260" w:lineRule="auto"/>
        <w:rPr>
          <w:sz w:val="20"/>
          <w:szCs w:val="20"/>
          <w:color w:val="auto"/>
        </w:rPr>
      </w:pPr>
      <w:r>
        <w:rPr>
          <w:rFonts w:ascii="Arial" w:cs="Arial" w:eastAsia="Arial" w:hAnsi="Arial"/>
          <w:sz w:val="13"/>
          <w:szCs w:val="13"/>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upon the Company’s written request, deliver a certificate of such destruction to the Company. The Company may not issue new Securities to replace Securities that it has paid or delivered to the Trustee for cancellation.</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2.13. </w:t>
      </w:r>
      <w:r>
        <w:rPr>
          <w:rFonts w:ascii="Arial" w:cs="Arial" w:eastAsia="Arial" w:hAnsi="Arial"/>
          <w:sz w:val="13"/>
          <w:szCs w:val="13"/>
          <w:u w:val="single" w:color="auto"/>
          <w:color w:val="auto"/>
        </w:rPr>
        <w:t>Defaulted Interest</w:t>
      </w:r>
    </w:p>
    <w:p>
      <w:pPr>
        <w:spacing w:after="0" w:line="86"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If the Company defaults in a payment of interest on a Series of Securities, it shall pay the defaulted interest, plus, to the extent required by the notes in such Series and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mail to the Trustee and to each Securityholder of the Series a notice that states the record date, the payment date and the amount of interest to be paid. The Company may pay defaulted interest in any other lawful manner.</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2.14. </w:t>
      </w:r>
      <w:r>
        <w:rPr>
          <w:rFonts w:ascii="Arial" w:cs="Arial" w:eastAsia="Arial" w:hAnsi="Arial"/>
          <w:sz w:val="13"/>
          <w:szCs w:val="13"/>
          <w:u w:val="single" w:color="auto"/>
          <w:color w:val="auto"/>
        </w:rPr>
        <w:t>Global Securities</w:t>
      </w:r>
    </w:p>
    <w:p>
      <w:pPr>
        <w:spacing w:after="0" w:line="86"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 xml:space="preserve">2.14.1 </w:t>
      </w:r>
      <w:r>
        <w:rPr>
          <w:rFonts w:ascii="Arial" w:cs="Arial" w:eastAsia="Arial" w:hAnsi="Arial"/>
          <w:sz w:val="13"/>
          <w:szCs w:val="13"/>
          <w:u w:val="single" w:color="auto"/>
          <w:color w:val="auto"/>
        </w:rPr>
        <w:t>Terms of Securities</w:t>
      </w:r>
      <w:r>
        <w:rPr>
          <w:rFonts w:ascii="Arial" w:cs="Arial" w:eastAsia="Arial" w:hAnsi="Arial"/>
          <w:sz w:val="13"/>
          <w:szCs w:val="13"/>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40" w:name="page41"/>
    <w:bookmarkEnd w:id="40"/>
    <w:p>
      <w:pPr>
        <w:ind w:right="120" w:firstLine="164"/>
        <w:spacing w:after="0" w:line="257" w:lineRule="auto"/>
        <w:rPr>
          <w:sz w:val="20"/>
          <w:szCs w:val="20"/>
          <w:color w:val="auto"/>
        </w:rPr>
      </w:pPr>
      <w:r>
        <w:rPr>
          <w:rFonts w:ascii="Arial" w:cs="Arial" w:eastAsia="Arial" w:hAnsi="Arial"/>
          <w:sz w:val="13"/>
          <w:szCs w:val="13"/>
          <w:color w:val="auto"/>
        </w:rPr>
        <w:t xml:space="preserve">2.14.2 </w:t>
      </w:r>
      <w:r>
        <w:rPr>
          <w:rFonts w:ascii="Arial" w:cs="Arial" w:eastAsia="Arial" w:hAnsi="Arial"/>
          <w:sz w:val="13"/>
          <w:szCs w:val="13"/>
          <w:u w:val="single" w:color="auto"/>
          <w:color w:val="auto"/>
        </w:rPr>
        <w:t>Transfer and Exchange</w:t>
      </w:r>
      <w:r>
        <w:rPr>
          <w:rFonts w:ascii="Arial" w:cs="Arial" w:eastAsia="Arial" w:hAnsi="Arial"/>
          <w:sz w:val="13"/>
          <w:szCs w:val="13"/>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62" w:lineRule="exact"/>
        <w:rPr>
          <w:sz w:val="20"/>
          <w:szCs w:val="20"/>
          <w:color w:val="auto"/>
        </w:rPr>
      </w:pPr>
    </w:p>
    <w:p>
      <w:pPr>
        <w:ind w:right="180" w:firstLine="164"/>
        <w:spacing w:after="0" w:line="320" w:lineRule="auto"/>
        <w:rPr>
          <w:sz w:val="20"/>
          <w:szCs w:val="20"/>
          <w:color w:val="auto"/>
        </w:rPr>
      </w:pPr>
      <w:r>
        <w:rPr>
          <w:rFonts w:ascii="Arial" w:cs="Arial" w:eastAsia="Arial" w:hAnsi="Arial"/>
          <w:sz w:val="12"/>
          <w:szCs w:val="12"/>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2.14.3 </w:t>
      </w:r>
      <w:r>
        <w:rPr>
          <w:rFonts w:ascii="Arial" w:cs="Arial" w:eastAsia="Arial" w:hAnsi="Arial"/>
          <w:sz w:val="13"/>
          <w:szCs w:val="13"/>
          <w:u w:val="single" w:color="auto"/>
          <w:color w:val="auto"/>
        </w:rPr>
        <w:t>Legend</w:t>
      </w:r>
      <w:r>
        <w:rPr>
          <w:rFonts w:ascii="Arial" w:cs="Arial" w:eastAsia="Arial" w:hAnsi="Arial"/>
          <w:sz w:val="13"/>
          <w:szCs w:val="13"/>
          <w:color w:val="auto"/>
        </w:rPr>
        <w:t>. Any Global Security issued hereunder shall bear a legend in substantially the following form:</w:t>
      </w:r>
    </w:p>
    <w:p>
      <w:pPr>
        <w:spacing w:after="0" w:line="86" w:lineRule="exact"/>
        <w:rPr>
          <w:sz w:val="20"/>
          <w:szCs w:val="20"/>
          <w:color w:val="auto"/>
        </w:rPr>
      </w:pPr>
    </w:p>
    <w:p>
      <w:pPr>
        <w:ind w:right="80" w:firstLine="164"/>
        <w:spacing w:after="0" w:line="260" w:lineRule="auto"/>
        <w:rPr>
          <w:sz w:val="20"/>
          <w:szCs w:val="20"/>
          <w:color w:val="auto"/>
        </w:rPr>
      </w:pPr>
      <w:r>
        <w:rPr>
          <w:rFonts w:ascii="Arial" w:cs="Arial" w:eastAsia="Arial" w:hAnsi="Arial"/>
          <w:sz w:val="13"/>
          <w:szCs w:val="13"/>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60" w:lineRule="exact"/>
        <w:rPr>
          <w:sz w:val="20"/>
          <w:szCs w:val="20"/>
          <w:color w:val="auto"/>
        </w:rPr>
      </w:pPr>
    </w:p>
    <w:p>
      <w:pPr>
        <w:ind w:right="320" w:firstLine="164"/>
        <w:spacing w:after="0" w:line="276" w:lineRule="auto"/>
        <w:rPr>
          <w:sz w:val="20"/>
          <w:szCs w:val="20"/>
          <w:color w:val="auto"/>
        </w:rPr>
      </w:pPr>
      <w:r>
        <w:rPr>
          <w:rFonts w:ascii="Arial" w:cs="Arial" w:eastAsia="Arial" w:hAnsi="Arial"/>
          <w:sz w:val="13"/>
          <w:szCs w:val="13"/>
          <w:color w:val="auto"/>
        </w:rPr>
        <w:t xml:space="preserve">2.14.4 </w:t>
      </w:r>
      <w:r>
        <w:rPr>
          <w:rFonts w:ascii="Arial" w:cs="Arial" w:eastAsia="Arial" w:hAnsi="Arial"/>
          <w:sz w:val="13"/>
          <w:szCs w:val="13"/>
          <w:u w:val="single" w:color="auto"/>
          <w:color w:val="auto"/>
        </w:rPr>
        <w:t>Acts of Holders</w:t>
      </w:r>
      <w:r>
        <w:rPr>
          <w:rFonts w:ascii="Arial" w:cs="Arial" w:eastAsia="Arial" w:hAnsi="Arial"/>
          <w:sz w:val="13"/>
          <w:szCs w:val="13"/>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49" w:lineRule="exact"/>
        <w:rPr>
          <w:sz w:val="20"/>
          <w:szCs w:val="20"/>
          <w:color w:val="auto"/>
        </w:rPr>
      </w:pPr>
    </w:p>
    <w:p>
      <w:pPr>
        <w:ind w:right="200" w:firstLine="164"/>
        <w:spacing w:after="0" w:line="276" w:lineRule="auto"/>
        <w:rPr>
          <w:sz w:val="20"/>
          <w:szCs w:val="20"/>
          <w:color w:val="auto"/>
        </w:rPr>
      </w:pPr>
      <w:r>
        <w:rPr>
          <w:rFonts w:ascii="Arial" w:cs="Arial" w:eastAsia="Arial" w:hAnsi="Arial"/>
          <w:sz w:val="13"/>
          <w:szCs w:val="13"/>
          <w:color w:val="auto"/>
        </w:rPr>
        <w:t xml:space="preserve">2.14.5 </w:t>
      </w:r>
      <w:r>
        <w:rPr>
          <w:rFonts w:ascii="Arial" w:cs="Arial" w:eastAsia="Arial" w:hAnsi="Arial"/>
          <w:sz w:val="13"/>
          <w:szCs w:val="13"/>
          <w:u w:val="single" w:color="auto"/>
          <w:color w:val="auto"/>
        </w:rPr>
        <w:t>Payments</w:t>
      </w:r>
      <w:r>
        <w:rPr>
          <w:rFonts w:ascii="Arial" w:cs="Arial" w:eastAsia="Arial" w:hAnsi="Arial"/>
          <w:sz w:val="13"/>
          <w:szCs w:val="13"/>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49"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 xml:space="preserve">2.14.6 </w:t>
      </w:r>
      <w:r>
        <w:rPr>
          <w:rFonts w:ascii="Arial" w:cs="Arial" w:eastAsia="Arial" w:hAnsi="Arial"/>
          <w:sz w:val="13"/>
          <w:szCs w:val="13"/>
          <w:u w:val="single" w:color="auto"/>
          <w:color w:val="auto"/>
        </w:rPr>
        <w:t>Consents, Declaration and Directions</w:t>
      </w:r>
      <w:r>
        <w:rPr>
          <w:rFonts w:ascii="Arial" w:cs="Arial" w:eastAsia="Arial" w:hAnsi="Arial"/>
          <w:sz w:val="13"/>
          <w:szCs w:val="13"/>
          <w:color w:val="auto"/>
        </w:rPr>
        <w:t>. Except as provided in Section 2.14.5,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2.15. </w:t>
      </w:r>
      <w:r>
        <w:rPr>
          <w:rFonts w:ascii="Arial" w:cs="Arial" w:eastAsia="Arial" w:hAnsi="Arial"/>
          <w:sz w:val="13"/>
          <w:szCs w:val="13"/>
          <w:u w:val="single" w:color="auto"/>
          <w:color w:val="auto"/>
        </w:rPr>
        <w:t>CUSIP Numbers</w:t>
      </w:r>
    </w:p>
    <w:p>
      <w:pPr>
        <w:spacing w:after="0" w:line="86"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shall promptly notify the Trustee of any Series, in writing, of any change in the “CUSIP” numbers of that Series.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1" w:name="page42"/>
    <w:bookmarkEnd w:id="41"/>
    <w:p>
      <w:pPr>
        <w:jc w:val="center"/>
        <w:ind w:right="-99"/>
        <w:spacing w:after="0"/>
        <w:rPr>
          <w:sz w:val="20"/>
          <w:szCs w:val="20"/>
          <w:color w:val="auto"/>
        </w:rPr>
      </w:pPr>
      <w:r>
        <w:rPr>
          <w:rFonts w:ascii="Arial" w:cs="Arial" w:eastAsia="Arial" w:hAnsi="Arial"/>
          <w:sz w:val="13"/>
          <w:szCs w:val="13"/>
          <w:color w:val="auto"/>
        </w:rPr>
        <w:t>ARTICLE III.</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REDEMPTION</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3.1. </w:t>
      </w:r>
      <w:r>
        <w:rPr>
          <w:rFonts w:ascii="Arial" w:cs="Arial" w:eastAsia="Arial" w:hAnsi="Arial"/>
          <w:sz w:val="13"/>
          <w:szCs w:val="13"/>
          <w:u w:val="single" w:color="auto"/>
          <w:color w:val="auto"/>
        </w:rPr>
        <w:t>Notice to Trustee</w:t>
      </w:r>
    </w:p>
    <w:p>
      <w:pPr>
        <w:spacing w:after="0" w:line="86"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notice at least 30 days before the redemption date (or such shorter notice as may be acceptable to the Trustee).</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3.2. </w:t>
      </w:r>
      <w:r>
        <w:rPr>
          <w:rFonts w:ascii="Arial" w:cs="Arial" w:eastAsia="Arial" w:hAnsi="Arial"/>
          <w:sz w:val="13"/>
          <w:szCs w:val="13"/>
          <w:u w:val="single" w:color="auto"/>
          <w:color w:val="auto"/>
        </w:rPr>
        <w:t>Selection of Securities to be Redeemed</w:t>
      </w:r>
    </w:p>
    <w:p>
      <w:pPr>
        <w:spacing w:after="0" w:line="86"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color w:val="auto"/>
        </w:rPr>
        <w:t>Unless otherwise indicated for a particular Series by a Board Resolution, a supplemental indenture hereto or an Officers’ Certificate, if less than all the Securities of a Series are to be redeemed, the Trustee shall select the Securities of the Series to be redeemed in any manner that the Trustee deems fair and appropriate. The Trustee shall make the selection from Securities of the Series outstanding not previously called for redemption. The Trustee may select for redemption portions of the principal of Securities of the Series that have denominations larger than $1,000. Securities of the Series and portions of them it selects shall be in amounts of $1,000 or whole multiples of $1,000 or, with respect to Securities of any Series issuable in other denominations pursuant to Section 2.2.10, the minimum principal denomination for each Series and integral multiples thereof. Provisions of this Indenture that apply to Securities of a Series called for redemption also apply to portions of Securities of that Series called for redemption.</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3.3. </w:t>
      </w:r>
      <w:r>
        <w:rPr>
          <w:rFonts w:ascii="Arial" w:cs="Arial" w:eastAsia="Arial" w:hAnsi="Arial"/>
          <w:sz w:val="13"/>
          <w:szCs w:val="13"/>
          <w:u w:val="single" w:color="auto"/>
          <w:color w:val="auto"/>
        </w:rPr>
        <w:t>Notice of Redemption</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Unless otherwise indicated for a particular Series by Board Resolution, a supplemental indenture hereto or an Officers’ Certificate, at least 15 days but not more than 60 days before a redemption date, the Company shall mail a notice of redemption by first-class mail to each Holder whose Securities are to be redeemed.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notice shall identify the Securities of the Series to be redeemed and shall state:</w:t>
      </w:r>
    </w:p>
    <w:p>
      <w:pPr>
        <w:spacing w:after="0" w:line="86" w:lineRule="exact"/>
        <w:rPr>
          <w:sz w:val="20"/>
          <w:szCs w:val="20"/>
          <w:color w:val="auto"/>
        </w:rPr>
      </w:pPr>
    </w:p>
    <w:p>
      <w:pPr>
        <w:ind w:left="340" w:hanging="178"/>
        <w:spacing w:after="0"/>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redemption date;</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redemption price;</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name and address of the Paying Agent;</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that Securities of the Series called for redemption must be surrendered to the Paying Agent to collect the redemption price;</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that interest on Securities of the Series called for redemption ceases to accrue on and after the redemption date;</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40" w:right="319" w:bottom="1440" w:gutter="0" w:footer="0" w:header="0"/>
        </w:sectPr>
      </w:pPr>
    </w:p>
    <w:bookmarkStart w:id="42" w:name="page43"/>
    <w:bookmarkEnd w:id="42"/>
    <w:p>
      <w:pPr>
        <w:ind w:left="320" w:hanging="158"/>
        <w:spacing w:after="0"/>
        <w:tabs>
          <w:tab w:leader="none" w:pos="3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CUSIP number, if any; and</w:t>
      </w:r>
    </w:p>
    <w:p>
      <w:pPr>
        <w:spacing w:after="0" w:line="86" w:lineRule="exact"/>
        <w:rPr>
          <w:rFonts w:ascii="Arial" w:cs="Arial" w:eastAsia="Arial" w:hAnsi="Arial"/>
          <w:sz w:val="13"/>
          <w:szCs w:val="13"/>
          <w:color w:val="auto"/>
        </w:rPr>
      </w:pPr>
    </w:p>
    <w:p>
      <w:pPr>
        <w:ind w:left="160" w:right="4680" w:firstLine="2"/>
        <w:spacing w:after="0" w:line="447" w:lineRule="auto"/>
        <w:tabs>
          <w:tab w:leader="none" w:pos="353" w:val="left"/>
        </w:tabs>
        <w:numPr>
          <w:ilvl w:val="0"/>
          <w:numId w:val="30"/>
        </w:numPr>
        <w:rPr>
          <w:rFonts w:ascii="Arial" w:cs="Arial" w:eastAsia="Arial" w:hAnsi="Arial"/>
          <w:sz w:val="11"/>
          <w:szCs w:val="11"/>
          <w:color w:val="auto"/>
        </w:rPr>
      </w:pPr>
      <w:r>
        <w:rPr>
          <w:rFonts w:ascii="Arial" w:cs="Arial" w:eastAsia="Arial" w:hAnsi="Arial"/>
          <w:sz w:val="11"/>
          <w:szCs w:val="11"/>
          <w:color w:val="auto"/>
        </w:rPr>
        <w:t>any other information as may be required by the terms of the particular Series or the Securities of a Series being redeemed. At the Company’s request, the Trustee shall give the notice of redemption in the Company’s name and at its expense.</w:t>
      </w:r>
    </w:p>
    <w:p>
      <w:pPr>
        <w:ind w:left="160"/>
        <w:spacing w:after="0"/>
        <w:rPr>
          <w:rFonts w:ascii="Arial" w:cs="Arial" w:eastAsia="Arial" w:hAnsi="Arial"/>
          <w:sz w:val="11"/>
          <w:szCs w:val="11"/>
          <w:color w:val="auto"/>
        </w:rPr>
      </w:pPr>
      <w:r>
        <w:rPr>
          <w:rFonts w:ascii="Arial" w:cs="Arial" w:eastAsia="Arial" w:hAnsi="Arial"/>
          <w:sz w:val="13"/>
          <w:szCs w:val="13"/>
          <w:color w:val="auto"/>
        </w:rPr>
        <w:t xml:space="preserve">Section 3.4. </w:t>
      </w:r>
      <w:r>
        <w:rPr>
          <w:rFonts w:ascii="Arial" w:cs="Arial" w:eastAsia="Arial" w:hAnsi="Arial"/>
          <w:sz w:val="13"/>
          <w:szCs w:val="13"/>
          <w:u w:val="single" w:color="auto"/>
          <w:color w:val="auto"/>
        </w:rPr>
        <w:t>Effect of Notice of Redemption</w:t>
      </w:r>
    </w:p>
    <w:p>
      <w:pPr>
        <w:spacing w:after="0" w:line="86" w:lineRule="exact"/>
        <w:rPr>
          <w:sz w:val="20"/>
          <w:szCs w:val="20"/>
          <w:color w:val="auto"/>
        </w:rPr>
      </w:pPr>
    </w:p>
    <w:p>
      <w:pPr>
        <w:ind w:right="300" w:firstLine="164"/>
        <w:spacing w:after="0" w:line="320" w:lineRule="auto"/>
        <w:rPr>
          <w:sz w:val="20"/>
          <w:szCs w:val="20"/>
          <w:color w:val="auto"/>
        </w:rPr>
      </w:pPr>
      <w:r>
        <w:rPr>
          <w:rFonts w:ascii="Arial" w:cs="Arial" w:eastAsia="Arial" w:hAnsi="Arial"/>
          <w:sz w:val="12"/>
          <w:szCs w:val="12"/>
          <w:color w:val="auto"/>
        </w:rPr>
        <w:t>Once notice of redemption is mailed or published as provided in Section 3.3, Securities of a Series called for redemption become due and payable on the redemption date and at the redemption price. A notice of redemption may not be conditional. Upon surrender to the Paying Agent, such Securities shall be paid at the redemption price plus accrued interest to the redemption date.</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3.5. </w:t>
      </w:r>
      <w:r>
        <w:rPr>
          <w:rFonts w:ascii="Arial" w:cs="Arial" w:eastAsia="Arial" w:hAnsi="Arial"/>
          <w:sz w:val="13"/>
          <w:szCs w:val="13"/>
          <w:u w:val="single" w:color="auto"/>
          <w:color w:val="auto"/>
        </w:rPr>
        <w:t>Deposit of Redemption Price</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color w:val="auto"/>
        </w:rPr>
        <w:t>On or before 10:00 a.m., New York City time, on the redemption date, the Company shall deposit with the Paying Agent money sufficient to pay the redemption price of and accrued interest, if any, on all Securities to be redeemed on that date.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3.6. </w:t>
      </w:r>
      <w:r>
        <w:rPr>
          <w:rFonts w:ascii="Arial" w:cs="Arial" w:eastAsia="Arial" w:hAnsi="Arial"/>
          <w:sz w:val="13"/>
          <w:szCs w:val="13"/>
          <w:u w:val="single" w:color="auto"/>
          <w:color w:val="auto"/>
        </w:rPr>
        <w:t>Securities Redeemed in Part</w:t>
      </w:r>
    </w:p>
    <w:p>
      <w:pPr>
        <w:spacing w:after="0" w:line="86"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207"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ARTICLE IV.</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3"/>
          <w:szCs w:val="13"/>
          <w:color w:val="auto"/>
        </w:rPr>
        <w:t>COVENANTS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4.1. </w:t>
      </w:r>
      <w:r>
        <w:rPr>
          <w:rFonts w:ascii="Arial" w:cs="Arial" w:eastAsia="Arial" w:hAnsi="Arial"/>
          <w:sz w:val="13"/>
          <w:szCs w:val="13"/>
          <w:u w:val="single" w:color="auto"/>
          <w:color w:val="auto"/>
        </w:rPr>
        <w:t>Payment of Principal and Interest</w:t>
      </w:r>
    </w:p>
    <w:p>
      <w:pPr>
        <w:spacing w:after="0" w:line="86"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4.2. </w:t>
      </w:r>
      <w:r>
        <w:rPr>
          <w:rFonts w:ascii="Arial" w:cs="Arial" w:eastAsia="Arial" w:hAnsi="Arial"/>
          <w:sz w:val="13"/>
          <w:szCs w:val="13"/>
          <w:u w:val="single" w:color="auto"/>
          <w:color w:val="auto"/>
        </w:rPr>
        <w:t>SEC Reports</w:t>
      </w:r>
    </w:p>
    <w:p>
      <w:pPr>
        <w:spacing w:after="0" w:line="86" w:lineRule="exact"/>
        <w:rPr>
          <w:sz w:val="20"/>
          <w:szCs w:val="20"/>
          <w:color w:val="auto"/>
        </w:rPr>
      </w:pPr>
    </w:p>
    <w:p>
      <w:pPr>
        <w:ind w:right="200" w:firstLine="161"/>
        <w:spacing w:after="0" w:line="258" w:lineRule="auto"/>
        <w:rPr>
          <w:sz w:val="20"/>
          <w:szCs w:val="20"/>
          <w:color w:val="auto"/>
        </w:rPr>
      </w:pPr>
      <w:r>
        <w:rPr>
          <w:rFonts w:ascii="Arial" w:cs="Arial" w:eastAsia="Arial" w:hAnsi="Arial"/>
          <w:sz w:val="13"/>
          <w:szCs w:val="13"/>
          <w:color w:val="auto"/>
        </w:rPr>
        <w:t>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3" w:name="page44"/>
    <w:bookmarkEnd w:id="43"/>
    <w:p>
      <w:pPr>
        <w:ind w:left="160"/>
        <w:spacing w:after="0"/>
        <w:rPr>
          <w:sz w:val="20"/>
          <w:szCs w:val="20"/>
          <w:color w:val="auto"/>
        </w:rPr>
      </w:pPr>
      <w:r>
        <w:rPr>
          <w:rFonts w:ascii="Arial" w:cs="Arial" w:eastAsia="Arial" w:hAnsi="Arial"/>
          <w:sz w:val="13"/>
          <w:szCs w:val="13"/>
          <w:color w:val="auto"/>
        </w:rPr>
        <w:t xml:space="preserve">Section 4.3. </w:t>
      </w:r>
      <w:r>
        <w:rPr>
          <w:rFonts w:ascii="Arial" w:cs="Arial" w:eastAsia="Arial" w:hAnsi="Arial"/>
          <w:sz w:val="13"/>
          <w:szCs w:val="13"/>
          <w:u w:val="single" w:color="auto"/>
          <w:color w:val="auto"/>
        </w:rPr>
        <w:t>Compliance Certificate</w:t>
      </w:r>
    </w:p>
    <w:p>
      <w:pPr>
        <w:spacing w:after="0" w:line="86" w:lineRule="exact"/>
        <w:rPr>
          <w:sz w:val="20"/>
          <w:szCs w:val="20"/>
          <w:color w:val="auto"/>
        </w:rPr>
      </w:pPr>
    </w:p>
    <w:p>
      <w:pPr>
        <w:ind w:firstLine="161"/>
        <w:spacing w:after="0" w:line="258" w:lineRule="auto"/>
        <w:rPr>
          <w:sz w:val="20"/>
          <w:szCs w:val="20"/>
          <w:color w:val="auto"/>
        </w:rPr>
      </w:pPr>
      <w:r>
        <w:rPr>
          <w:rFonts w:ascii="Arial" w:cs="Arial" w:eastAsia="Arial" w:hAnsi="Arial"/>
          <w:sz w:val="13"/>
          <w:szCs w:val="13"/>
          <w:color w:val="auto"/>
        </w:rPr>
        <w:t>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he may have knowledge).</w:t>
      </w:r>
    </w:p>
    <w:p>
      <w:pPr>
        <w:spacing w:after="0" w:line="61"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 Company will, so long as any of the Securities are outstanding, deliver to the Trustee, promptly upon becoming aware of any Default or Event of Default, an Officers’ Certificate specifying such Default or Event of Default and what action the Company is taking or proposes to take with respect thereto.</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4.4. </w:t>
      </w:r>
      <w:r>
        <w:rPr>
          <w:rFonts w:ascii="Arial" w:cs="Arial" w:eastAsia="Arial" w:hAnsi="Arial"/>
          <w:sz w:val="13"/>
          <w:szCs w:val="13"/>
          <w:u w:val="single" w:color="auto"/>
          <w:color w:val="auto"/>
        </w:rPr>
        <w:t>Stay, Extension and Usury Laws.</w:t>
      </w:r>
    </w:p>
    <w:p>
      <w:pPr>
        <w:spacing w:after="0" w:line="86" w:lineRule="exact"/>
        <w:rPr>
          <w:sz w:val="20"/>
          <w:szCs w:val="20"/>
          <w:color w:val="auto"/>
        </w:rPr>
      </w:pPr>
    </w:p>
    <w:p>
      <w:pPr>
        <w:ind w:right="40" w:firstLine="161"/>
        <w:spacing w:after="0" w:line="260" w:lineRule="auto"/>
        <w:rPr>
          <w:sz w:val="20"/>
          <w:szCs w:val="20"/>
          <w:color w:val="auto"/>
        </w:rPr>
      </w:pPr>
      <w:r>
        <w:rPr>
          <w:rFonts w:ascii="Arial" w:cs="Arial" w:eastAsia="Arial" w:hAnsi="Arial"/>
          <w:sz w:val="13"/>
          <w:szCs w:val="13"/>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4.5. </w:t>
      </w:r>
      <w:r>
        <w:rPr>
          <w:rFonts w:ascii="Arial" w:cs="Arial" w:eastAsia="Arial" w:hAnsi="Arial"/>
          <w:sz w:val="13"/>
          <w:szCs w:val="13"/>
          <w:u w:val="single" w:color="auto"/>
          <w:color w:val="auto"/>
        </w:rPr>
        <w:t>Corporate Existence</w:t>
      </w:r>
    </w:p>
    <w:p>
      <w:pPr>
        <w:spacing w:after="0" w:line="86" w:lineRule="exact"/>
        <w:rPr>
          <w:sz w:val="20"/>
          <w:szCs w:val="20"/>
          <w:color w:val="auto"/>
        </w:rPr>
      </w:pPr>
    </w:p>
    <w:p>
      <w:pPr>
        <w:ind w:right="120" w:firstLine="164"/>
        <w:spacing w:after="0" w:line="264" w:lineRule="auto"/>
        <w:rPr>
          <w:sz w:val="20"/>
          <w:szCs w:val="20"/>
          <w:color w:val="auto"/>
        </w:rPr>
      </w:pPr>
      <w:r>
        <w:rPr>
          <w:rFonts w:ascii="Arial" w:cs="Arial" w:eastAsia="Arial" w:hAnsi="Arial"/>
          <w:sz w:val="13"/>
          <w:szCs w:val="13"/>
          <w:color w:val="auto"/>
        </w:rPr>
        <w:t>Subject to Article V, the Company will do or cause to be done all things necessary to preserve and keep in full force and effect its corporate existence and rights (charter and statutory); provided, however, that the Company shall not be required to preserve any such right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V.</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SUCCESSORS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5.1. </w:t>
      </w:r>
      <w:r>
        <w:rPr>
          <w:rFonts w:ascii="Arial" w:cs="Arial" w:eastAsia="Arial" w:hAnsi="Arial"/>
          <w:sz w:val="13"/>
          <w:szCs w:val="13"/>
          <w:u w:val="single" w:color="auto"/>
          <w:color w:val="auto"/>
        </w:rPr>
        <w:t>Consolidation, Merger and Sale of Assets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shall not consolidate with or merge with or into, or convey, transfer or lease all or substantially all of its properties and assets to, any person (a “successor person”) unless:</w:t>
      </w:r>
    </w:p>
    <w:p>
      <w:pPr>
        <w:spacing w:after="0" w:line="86" w:lineRule="exact"/>
        <w:rPr>
          <w:sz w:val="20"/>
          <w:szCs w:val="20"/>
          <w:color w:val="auto"/>
        </w:rPr>
      </w:pPr>
    </w:p>
    <w:p>
      <w:pPr>
        <w:ind w:right="420" w:firstLine="162"/>
        <w:spacing w:after="0" w:line="276" w:lineRule="auto"/>
        <w:tabs>
          <w:tab w:leader="none" w:pos="342"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Company is the surviving corporation or the successor person (if other than the Company) is a corporation organized and validly existing under the laws of any U.S. domestic jurisdiction and expressly assumes by a supplemental indenture the Company’s obligations on the Securities and under this Indenture; and</w:t>
      </w:r>
    </w:p>
    <w:p>
      <w:pPr>
        <w:spacing w:after="0" w:line="49" w:lineRule="exact"/>
        <w:rPr>
          <w:rFonts w:ascii="Arial" w:cs="Arial" w:eastAsia="Arial" w:hAnsi="Arial"/>
          <w:sz w:val="13"/>
          <w:szCs w:val="13"/>
          <w:color w:val="auto"/>
        </w:rPr>
      </w:pPr>
    </w:p>
    <w:p>
      <w:pPr>
        <w:ind w:left="340" w:hanging="178"/>
        <w:spacing w:after="0"/>
        <w:tabs>
          <w:tab w:leader="none" w:pos="3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immediately after giving effect to the transaction, no Default or Event of Default, shall have occurred and be continuing.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44" w:name="page45"/>
    <w:bookmarkEnd w:id="44"/>
    <w:p>
      <w:pPr>
        <w:ind w:firstLine="161"/>
        <w:spacing w:after="0" w:line="276" w:lineRule="auto"/>
        <w:rPr>
          <w:sz w:val="20"/>
          <w:szCs w:val="20"/>
          <w:color w:val="auto"/>
        </w:rPr>
      </w:pPr>
      <w:r>
        <w:rPr>
          <w:rFonts w:ascii="Arial" w:cs="Arial" w:eastAsia="Arial" w:hAnsi="Arial"/>
          <w:sz w:val="13"/>
          <w:szCs w:val="13"/>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49"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5.2. </w:t>
      </w:r>
      <w:r>
        <w:rPr>
          <w:rFonts w:ascii="Arial" w:cs="Arial" w:eastAsia="Arial" w:hAnsi="Arial"/>
          <w:sz w:val="13"/>
          <w:szCs w:val="13"/>
          <w:u w:val="single" w:color="auto"/>
          <w:color w:val="auto"/>
        </w:rPr>
        <w:t>Successor Corporation Substituted</w:t>
      </w:r>
    </w:p>
    <w:p>
      <w:pPr>
        <w:spacing w:after="0" w:line="86" w:lineRule="exact"/>
        <w:rPr>
          <w:sz w:val="20"/>
          <w:szCs w:val="20"/>
          <w:color w:val="auto"/>
        </w:rPr>
      </w:pPr>
    </w:p>
    <w:p>
      <w:pPr>
        <w:ind w:right="60" w:firstLine="164"/>
        <w:spacing w:after="0" w:line="260" w:lineRule="auto"/>
        <w:rPr>
          <w:sz w:val="20"/>
          <w:szCs w:val="20"/>
          <w:color w:val="auto"/>
        </w:rPr>
      </w:pPr>
      <w:r>
        <w:rPr>
          <w:rFonts w:ascii="Arial" w:cs="Arial" w:eastAsia="Arial" w:hAnsi="Arial"/>
          <w:sz w:val="13"/>
          <w:szCs w:val="13"/>
          <w:color w:val="auto"/>
        </w:rPr>
        <w:t>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provided, however, that the predecessor Company in the case of a sale, conveyance or other disposition (other than a lease) shall be released from all obligations and covenants under this Indenture and the Securities.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ARTICLE VI.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DEFAULTS AND REMEDIES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6.1. </w:t>
      </w:r>
      <w:r>
        <w:rPr>
          <w:rFonts w:ascii="Arial" w:cs="Arial" w:eastAsia="Arial" w:hAnsi="Arial"/>
          <w:sz w:val="13"/>
          <w:szCs w:val="13"/>
          <w:u w:val="single" w:color="auto"/>
          <w:color w:val="auto"/>
        </w:rPr>
        <w:t>Events of Default</w:t>
      </w:r>
    </w:p>
    <w:p>
      <w:pPr>
        <w:spacing w:after="0" w:line="86" w:lineRule="exact"/>
        <w:rPr>
          <w:sz w:val="20"/>
          <w:szCs w:val="20"/>
          <w:color w:val="auto"/>
        </w:rPr>
      </w:pPr>
    </w:p>
    <w:p>
      <w:pPr>
        <w:ind w:right="100" w:firstLine="164"/>
        <w:spacing w:after="0" w:line="276" w:lineRule="auto"/>
        <w:rPr>
          <w:sz w:val="20"/>
          <w:szCs w:val="20"/>
          <w:color w:val="auto"/>
        </w:rPr>
      </w:pPr>
      <w:r>
        <w:rPr>
          <w:rFonts w:ascii="Arial" w:cs="Arial" w:eastAsia="Arial" w:hAnsi="Arial"/>
          <w:sz w:val="13"/>
          <w:szCs w:val="13"/>
          <w:i w:val="1"/>
          <w:iCs w:val="1"/>
          <w:color w:val="auto"/>
        </w:rPr>
        <w:t xml:space="preserve">“Event of Default” </w:t>
      </w:r>
      <w:r>
        <w:rPr>
          <w:rFonts w:ascii="Arial" w:cs="Arial" w:eastAsia="Arial" w:hAnsi="Arial"/>
          <w:sz w:val="13"/>
          <w:szCs w:val="13"/>
          <w:color w:val="auto"/>
        </w:rPr>
        <w:t>wherever used herein with respect to Securities of any Series, means any one of the following events, unless in the establishing Board Resolution, supplemental indenture or Officers’ Certificate,</w:t>
      </w:r>
      <w:r>
        <w:rPr>
          <w:rFonts w:ascii="Arial" w:cs="Arial" w:eastAsia="Arial" w:hAnsi="Arial"/>
          <w:sz w:val="13"/>
          <w:szCs w:val="13"/>
          <w:i w:val="1"/>
          <w:iCs w:val="1"/>
          <w:color w:val="auto"/>
        </w:rPr>
        <w:t xml:space="preserve"> </w:t>
      </w:r>
      <w:r>
        <w:rPr>
          <w:rFonts w:ascii="Arial" w:cs="Arial" w:eastAsia="Arial" w:hAnsi="Arial"/>
          <w:sz w:val="13"/>
          <w:szCs w:val="13"/>
          <w:color w:val="auto"/>
        </w:rPr>
        <w:t>it is provided that such Series shall not have the benefit of said Event of Default:</w:t>
      </w:r>
    </w:p>
    <w:p>
      <w:pPr>
        <w:spacing w:after="0" w:line="49" w:lineRule="exact"/>
        <w:rPr>
          <w:sz w:val="20"/>
          <w:szCs w:val="20"/>
          <w:color w:val="auto"/>
        </w:rPr>
      </w:pPr>
    </w:p>
    <w:p>
      <w:pPr>
        <w:ind w:left="680" w:hanging="455"/>
        <w:spacing w:after="0"/>
        <w:tabs>
          <w:tab w:leader="none" w:pos="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default in the payment of any interest on any Security of that Series when it becomes due and payable, and continuance of such default for a period of 30 days; or</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default in the payment of principal of any Security of that Series at its Maturity; or</w:t>
      </w:r>
    </w:p>
    <w:p>
      <w:pPr>
        <w:spacing w:after="0" w:line="96" w:lineRule="exact"/>
        <w:rPr>
          <w:rFonts w:ascii="Arial" w:cs="Arial" w:eastAsia="Arial" w:hAnsi="Arial"/>
          <w:sz w:val="13"/>
          <w:szCs w:val="13"/>
          <w:color w:val="auto"/>
        </w:rPr>
      </w:pPr>
    </w:p>
    <w:p>
      <w:pPr>
        <w:ind w:left="680" w:right="80" w:hanging="455"/>
        <w:spacing w:after="0" w:line="260" w:lineRule="auto"/>
        <w:tabs>
          <w:tab w:leader="none" w:pos="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default in the performance or breach of any covenant of the Company in this Indenture (other than a covenant that has been included in this Indenture solely for the benefit of Series of Securities other than that Series), which default continues uncured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69" w:lineRule="exact"/>
        <w:rPr>
          <w:rFonts w:ascii="Arial" w:cs="Arial" w:eastAsia="Arial" w:hAnsi="Arial"/>
          <w:sz w:val="13"/>
          <w:szCs w:val="13"/>
          <w:color w:val="auto"/>
        </w:rPr>
      </w:pPr>
    </w:p>
    <w:p>
      <w:pPr>
        <w:ind w:left="680" w:hanging="455"/>
        <w:spacing w:after="0"/>
        <w:tabs>
          <w:tab w:leader="none" w:pos="68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Company pursuant to or within the meaning of any Bankruptcy Law:</w:t>
      </w:r>
    </w:p>
    <w:p>
      <w:pPr>
        <w:spacing w:after="0" w:line="86" w:lineRule="exact"/>
        <w:rPr>
          <w:rFonts w:ascii="Arial" w:cs="Arial" w:eastAsia="Arial" w:hAnsi="Arial"/>
          <w:sz w:val="13"/>
          <w:szCs w:val="13"/>
          <w:color w:val="auto"/>
        </w:rPr>
      </w:pPr>
    </w:p>
    <w:p>
      <w:pPr>
        <w:ind w:left="1140" w:hanging="453"/>
        <w:spacing w:after="0"/>
        <w:tabs>
          <w:tab w:leader="none" w:pos="1140" w:val="left"/>
        </w:tabs>
        <w:numPr>
          <w:ilvl w:val="1"/>
          <w:numId w:val="32"/>
        </w:numPr>
        <w:rPr>
          <w:rFonts w:ascii="Arial" w:cs="Arial" w:eastAsia="Arial" w:hAnsi="Arial"/>
          <w:sz w:val="13"/>
          <w:szCs w:val="13"/>
          <w:color w:val="auto"/>
        </w:rPr>
      </w:pPr>
      <w:r>
        <w:rPr>
          <w:rFonts w:ascii="Arial" w:cs="Arial" w:eastAsia="Arial" w:hAnsi="Arial"/>
          <w:sz w:val="13"/>
          <w:szCs w:val="13"/>
          <w:color w:val="auto"/>
        </w:rPr>
        <w:t>commences a voluntary case,</w:t>
      </w:r>
    </w:p>
    <w:p>
      <w:pPr>
        <w:spacing w:after="0" w:line="96" w:lineRule="exact"/>
        <w:rPr>
          <w:rFonts w:ascii="Arial" w:cs="Arial" w:eastAsia="Arial" w:hAnsi="Arial"/>
          <w:sz w:val="13"/>
          <w:szCs w:val="13"/>
          <w:color w:val="auto"/>
        </w:rPr>
      </w:pPr>
    </w:p>
    <w:p>
      <w:pPr>
        <w:ind w:left="1140" w:hanging="453"/>
        <w:spacing w:after="0"/>
        <w:tabs>
          <w:tab w:leader="none" w:pos="1140" w:val="left"/>
        </w:tabs>
        <w:numPr>
          <w:ilvl w:val="1"/>
          <w:numId w:val="32"/>
        </w:numPr>
        <w:rPr>
          <w:rFonts w:ascii="Arial" w:cs="Arial" w:eastAsia="Arial" w:hAnsi="Arial"/>
          <w:sz w:val="13"/>
          <w:szCs w:val="13"/>
          <w:color w:val="auto"/>
        </w:rPr>
      </w:pPr>
      <w:r>
        <w:rPr>
          <w:rFonts w:ascii="Arial" w:cs="Arial" w:eastAsia="Arial" w:hAnsi="Arial"/>
          <w:sz w:val="13"/>
          <w:szCs w:val="13"/>
          <w:color w:val="auto"/>
        </w:rPr>
        <w:t>consents to the entry of an order for relief against it in an involuntary case,</w:t>
      </w:r>
    </w:p>
    <w:p>
      <w:pPr>
        <w:spacing w:after="0" w:line="96" w:lineRule="exact"/>
        <w:rPr>
          <w:rFonts w:ascii="Arial" w:cs="Arial" w:eastAsia="Arial" w:hAnsi="Arial"/>
          <w:sz w:val="13"/>
          <w:szCs w:val="13"/>
          <w:color w:val="auto"/>
        </w:rPr>
      </w:pPr>
    </w:p>
    <w:p>
      <w:pPr>
        <w:ind w:left="1140" w:hanging="453"/>
        <w:spacing w:after="0"/>
        <w:tabs>
          <w:tab w:leader="none" w:pos="1140" w:val="left"/>
        </w:tabs>
        <w:numPr>
          <w:ilvl w:val="1"/>
          <w:numId w:val="32"/>
        </w:numPr>
        <w:rPr>
          <w:rFonts w:ascii="Arial" w:cs="Arial" w:eastAsia="Arial" w:hAnsi="Arial"/>
          <w:sz w:val="13"/>
          <w:szCs w:val="13"/>
          <w:color w:val="auto"/>
        </w:rPr>
      </w:pPr>
      <w:r>
        <w:rPr>
          <w:rFonts w:ascii="Arial" w:cs="Arial" w:eastAsia="Arial" w:hAnsi="Arial"/>
          <w:sz w:val="13"/>
          <w:szCs w:val="13"/>
          <w:color w:val="auto"/>
        </w:rPr>
        <w:t>consents to the appointment of a Custodian of it or for all or substantially all of its property,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5" w:name="page46"/>
    <w:bookmarkEnd w:id="45"/>
    <w:p>
      <w:pPr>
        <w:ind w:left="1140" w:hanging="453"/>
        <w:spacing w:after="0"/>
        <w:tabs>
          <w:tab w:leader="none" w:pos="1140" w:val="left"/>
        </w:tabs>
        <w:numPr>
          <w:ilvl w:val="1"/>
          <w:numId w:val="33"/>
        </w:numPr>
        <w:rPr>
          <w:rFonts w:ascii="Arial" w:cs="Arial" w:eastAsia="Arial" w:hAnsi="Arial"/>
          <w:sz w:val="13"/>
          <w:szCs w:val="13"/>
          <w:color w:val="auto"/>
        </w:rPr>
      </w:pPr>
      <w:r>
        <w:rPr>
          <w:rFonts w:ascii="Arial" w:cs="Arial" w:eastAsia="Arial" w:hAnsi="Arial"/>
          <w:sz w:val="13"/>
          <w:szCs w:val="13"/>
          <w:color w:val="auto"/>
        </w:rPr>
        <w:t>makes a general assignment for the benefit of its creditors, or</w:t>
      </w:r>
    </w:p>
    <w:p>
      <w:pPr>
        <w:spacing w:after="0" w:line="96" w:lineRule="exact"/>
        <w:rPr>
          <w:rFonts w:ascii="Arial" w:cs="Arial" w:eastAsia="Arial" w:hAnsi="Arial"/>
          <w:sz w:val="13"/>
          <w:szCs w:val="13"/>
          <w:color w:val="auto"/>
        </w:rPr>
      </w:pPr>
    </w:p>
    <w:p>
      <w:pPr>
        <w:ind w:left="1140" w:hanging="453"/>
        <w:spacing w:after="0"/>
        <w:tabs>
          <w:tab w:leader="none" w:pos="1140" w:val="left"/>
        </w:tabs>
        <w:numPr>
          <w:ilvl w:val="1"/>
          <w:numId w:val="33"/>
        </w:numPr>
        <w:rPr>
          <w:rFonts w:ascii="Arial" w:cs="Arial" w:eastAsia="Arial" w:hAnsi="Arial"/>
          <w:sz w:val="13"/>
          <w:szCs w:val="13"/>
          <w:color w:val="auto"/>
        </w:rPr>
      </w:pPr>
      <w:r>
        <w:rPr>
          <w:rFonts w:ascii="Arial" w:cs="Arial" w:eastAsia="Arial" w:hAnsi="Arial"/>
          <w:sz w:val="13"/>
          <w:szCs w:val="13"/>
          <w:color w:val="auto"/>
        </w:rPr>
        <w:t>admits in writing of its inability to pay its debts generally as the same become due; or</w:t>
      </w:r>
    </w:p>
    <w:p>
      <w:pPr>
        <w:spacing w:after="0" w:line="86" w:lineRule="exact"/>
        <w:rPr>
          <w:rFonts w:ascii="Arial" w:cs="Arial" w:eastAsia="Arial" w:hAnsi="Arial"/>
          <w:sz w:val="13"/>
          <w:szCs w:val="13"/>
          <w:color w:val="auto"/>
        </w:rPr>
      </w:pPr>
    </w:p>
    <w:p>
      <w:pPr>
        <w:ind w:left="680" w:hanging="455"/>
        <w:spacing w:after="0"/>
        <w:tabs>
          <w:tab w:leader="none" w:pos="68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 court of competent jurisdiction enters an order or decree under any Bankruptcy Law that:</w:t>
      </w:r>
    </w:p>
    <w:p>
      <w:pPr>
        <w:spacing w:after="0" w:line="86" w:lineRule="exact"/>
        <w:rPr>
          <w:rFonts w:ascii="Arial" w:cs="Arial" w:eastAsia="Arial" w:hAnsi="Arial"/>
          <w:sz w:val="13"/>
          <w:szCs w:val="13"/>
          <w:color w:val="auto"/>
        </w:rPr>
      </w:pPr>
    </w:p>
    <w:p>
      <w:pPr>
        <w:ind w:left="1140" w:hanging="453"/>
        <w:spacing w:after="0"/>
        <w:tabs>
          <w:tab w:leader="none" w:pos="11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is for relief against the Company in an involuntary case,</w:t>
      </w:r>
    </w:p>
    <w:p>
      <w:pPr>
        <w:spacing w:after="0" w:line="96" w:lineRule="exact"/>
        <w:rPr>
          <w:rFonts w:ascii="Arial" w:cs="Arial" w:eastAsia="Arial" w:hAnsi="Arial"/>
          <w:sz w:val="13"/>
          <w:szCs w:val="13"/>
          <w:color w:val="auto"/>
        </w:rPr>
      </w:pPr>
    </w:p>
    <w:p>
      <w:pPr>
        <w:ind w:left="1140" w:hanging="453"/>
        <w:spacing w:after="0"/>
        <w:tabs>
          <w:tab w:leader="none" w:pos="11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appoints a Custodian of the Company or for all or substantially all of its property, or</w:t>
      </w:r>
    </w:p>
    <w:p>
      <w:pPr>
        <w:spacing w:after="0" w:line="96" w:lineRule="exact"/>
        <w:rPr>
          <w:rFonts w:ascii="Arial" w:cs="Arial" w:eastAsia="Arial" w:hAnsi="Arial"/>
          <w:sz w:val="13"/>
          <w:szCs w:val="13"/>
          <w:color w:val="auto"/>
        </w:rPr>
      </w:pPr>
    </w:p>
    <w:p>
      <w:pPr>
        <w:ind w:left="1140" w:hanging="453"/>
        <w:spacing w:after="0"/>
        <w:tabs>
          <w:tab w:leader="none" w:pos="1140" w:val="left"/>
        </w:tabs>
        <w:numPr>
          <w:ilvl w:val="1"/>
          <w:numId w:val="34"/>
        </w:numPr>
        <w:rPr>
          <w:rFonts w:ascii="Arial" w:cs="Arial" w:eastAsia="Arial" w:hAnsi="Arial"/>
          <w:sz w:val="13"/>
          <w:szCs w:val="13"/>
          <w:color w:val="auto"/>
        </w:rPr>
      </w:pPr>
      <w:r>
        <w:rPr>
          <w:rFonts w:ascii="Arial" w:cs="Arial" w:eastAsia="Arial" w:hAnsi="Arial"/>
          <w:sz w:val="13"/>
          <w:szCs w:val="13"/>
          <w:color w:val="auto"/>
        </w:rPr>
        <w:t>orders the liquidation of the Company,</w:t>
      </w:r>
    </w:p>
    <w:p>
      <w:pPr>
        <w:spacing w:after="0" w:line="8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the order or decree remains unstayed and in effect for 60 days; or</w:t>
      </w:r>
    </w:p>
    <w:p>
      <w:pPr>
        <w:spacing w:after="0" w:line="86" w:lineRule="exact"/>
        <w:rPr>
          <w:sz w:val="20"/>
          <w:szCs w:val="20"/>
          <w:color w:val="auto"/>
        </w:rPr>
      </w:pPr>
    </w:p>
    <w:p>
      <w:pPr>
        <w:ind w:left="680" w:right="440" w:hanging="455"/>
        <w:spacing w:after="0" w:line="276" w:lineRule="auto"/>
        <w:tabs>
          <w:tab w:leader="none" w:pos="68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any other Event of Default provided with respect to Securities of that Series, which is specified in a Board Resolution, a supplemental indenture hereto or an Officers’ Certificate, in accordance with Section 2.2.18.</w:t>
      </w:r>
    </w:p>
    <w:p>
      <w:pPr>
        <w:spacing w:after="0" w:line="49" w:lineRule="exact"/>
        <w:rPr>
          <w:sz w:val="20"/>
          <w:szCs w:val="20"/>
          <w:color w:val="auto"/>
        </w:rPr>
      </w:pPr>
    </w:p>
    <w:p>
      <w:pPr>
        <w:ind w:right="20" w:firstLine="161"/>
        <w:spacing w:after="0" w:line="276" w:lineRule="auto"/>
        <w:rPr>
          <w:sz w:val="20"/>
          <w:szCs w:val="20"/>
          <w:color w:val="auto"/>
        </w:rPr>
      </w:pPr>
      <w:r>
        <w:rPr>
          <w:rFonts w:ascii="Arial" w:cs="Arial" w:eastAsia="Arial" w:hAnsi="Arial"/>
          <w:sz w:val="13"/>
          <w:szCs w:val="13"/>
          <w:color w:val="auto"/>
        </w:rPr>
        <w:t>The term “Bankruptcy Law” means Title 11 of the United States Code or any similar U.S. federal or state law for the relief of debtors. The term “Custodian” means any receiver, trustee, assignee, liquidator or similar official under any Bankruptcy Law.</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6.2. </w:t>
      </w:r>
      <w:r>
        <w:rPr>
          <w:rFonts w:ascii="Arial" w:cs="Arial" w:eastAsia="Arial" w:hAnsi="Arial"/>
          <w:sz w:val="13"/>
          <w:szCs w:val="13"/>
          <w:u w:val="single" w:color="auto"/>
          <w:color w:val="auto"/>
        </w:rPr>
        <w:t>Acceleration of Maturity; Rescission and Annulment</w:t>
      </w:r>
    </w:p>
    <w:p>
      <w:pPr>
        <w:spacing w:after="0" w:line="86" w:lineRule="exact"/>
        <w:rPr>
          <w:sz w:val="20"/>
          <w:szCs w:val="20"/>
          <w:color w:val="auto"/>
        </w:rPr>
      </w:pPr>
    </w:p>
    <w:p>
      <w:pPr>
        <w:ind w:right="20" w:firstLine="164"/>
        <w:spacing w:after="0" w:line="257" w:lineRule="auto"/>
        <w:rPr>
          <w:sz w:val="20"/>
          <w:szCs w:val="20"/>
          <w:color w:val="auto"/>
        </w:rPr>
      </w:pPr>
      <w:r>
        <w:rPr>
          <w:rFonts w:ascii="Arial" w:cs="Arial" w:eastAsia="Arial" w:hAnsi="Arial"/>
          <w:sz w:val="13"/>
          <w:szCs w:val="13"/>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 (e) shall occur, the principal amount (or specified amount) of and accrued and unpaid interest, if any, on all outstanding Securities shall ipso facto become and be immediately due and payable without any declaration or other act on the part of the Trustee or any Holder.</w:t>
      </w:r>
    </w:p>
    <w:p>
      <w:pPr>
        <w:spacing w:after="0" w:line="62" w:lineRule="exact"/>
        <w:rPr>
          <w:sz w:val="20"/>
          <w:szCs w:val="20"/>
          <w:color w:val="auto"/>
        </w:rPr>
      </w:pPr>
    </w:p>
    <w:p>
      <w:pPr>
        <w:ind w:firstLine="157"/>
        <w:spacing w:after="0" w:line="289" w:lineRule="auto"/>
        <w:rPr>
          <w:sz w:val="20"/>
          <w:szCs w:val="20"/>
          <w:color w:val="auto"/>
        </w:rPr>
      </w:pPr>
      <w:r>
        <w:rPr>
          <w:rFonts w:ascii="Arial" w:cs="Arial" w:eastAsia="Arial" w:hAnsi="Arial"/>
          <w:sz w:val="12"/>
          <w:szCs w:val="12"/>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of the Securities of that Series which have become due solely by such declaration of acceleration, have been cured or waived as provided in Section 6.13 and the Company has paid to the Trustee all fees and expenses then owed to the Trustee hereunder.</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No such rescission shall affect any subsequent Default or impair any right consequent thereon.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6" w:name="page47"/>
    <w:bookmarkEnd w:id="46"/>
    <w:p>
      <w:pPr>
        <w:ind w:left="160"/>
        <w:spacing w:after="0"/>
        <w:rPr>
          <w:sz w:val="20"/>
          <w:szCs w:val="20"/>
          <w:color w:val="auto"/>
        </w:rPr>
      </w:pPr>
      <w:r>
        <w:rPr>
          <w:rFonts w:ascii="Arial" w:cs="Arial" w:eastAsia="Arial" w:hAnsi="Arial"/>
          <w:sz w:val="13"/>
          <w:szCs w:val="13"/>
          <w:color w:val="auto"/>
        </w:rPr>
        <w:t xml:space="preserve">Section 6.3. </w:t>
      </w:r>
      <w:r>
        <w:rPr>
          <w:rFonts w:ascii="Arial" w:cs="Arial" w:eastAsia="Arial" w:hAnsi="Arial"/>
          <w:sz w:val="13"/>
          <w:szCs w:val="13"/>
          <w:u w:val="single" w:color="auto"/>
          <w:color w:val="auto"/>
        </w:rPr>
        <w:t>Collection of Indebtedness and Suits for Enforcement by Trustee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covenants that if</w:t>
      </w:r>
    </w:p>
    <w:p>
      <w:pPr>
        <w:spacing w:after="0" w:line="86" w:lineRule="exact"/>
        <w:rPr>
          <w:sz w:val="20"/>
          <w:szCs w:val="20"/>
          <w:color w:val="auto"/>
        </w:rPr>
      </w:pPr>
    </w:p>
    <w:p>
      <w:pPr>
        <w:ind w:left="680" w:hanging="455"/>
        <w:spacing w:after="0"/>
        <w:tabs>
          <w:tab w:leader="none" w:pos="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default is made in the payment of any interest on any Security when such interest becomes due and payable and such default continues for a period of 30 days, or</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default is made in the payment of principal of any Security at the Maturity thereof, or</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default is made in the deposit of any sinking fund payment when and as due by the terms of a Security,</w:t>
      </w:r>
    </w:p>
    <w:p>
      <w:pPr>
        <w:spacing w:after="0" w:line="86" w:lineRule="exact"/>
        <w:rPr>
          <w:sz w:val="20"/>
          <w:szCs w:val="20"/>
          <w:color w:val="auto"/>
        </w:rPr>
      </w:pPr>
    </w:p>
    <w:p>
      <w:pPr>
        <w:ind w:right="40"/>
        <w:spacing w:after="0" w:line="296" w:lineRule="auto"/>
        <w:rPr>
          <w:sz w:val="20"/>
          <w:szCs w:val="20"/>
          <w:color w:val="auto"/>
        </w:rPr>
      </w:pPr>
      <w:r>
        <w:rPr>
          <w:rFonts w:ascii="Arial" w:cs="Arial" w:eastAsia="Arial" w:hAnsi="Arial"/>
          <w:sz w:val="12"/>
          <w:szCs w:val="12"/>
          <w:i w:val="1"/>
          <w:iCs w:val="1"/>
          <w:color w:val="auto"/>
        </w:rPr>
        <w:t>then</w:t>
      </w:r>
      <w:r>
        <w:rPr>
          <w:rFonts w:ascii="Arial" w:cs="Arial" w:eastAsia="Arial" w:hAnsi="Arial"/>
          <w:sz w:val="12"/>
          <w:szCs w:val="12"/>
          <w:color w:val="auto"/>
        </w:rPr>
        <w:t>, the Company will, upon demand of the Trustee, pay to it, for the benefit of the Holders of such Securities, the whole amount then due and payable on such Securities for principal and interest and, to the extent that</w:t>
      </w:r>
      <w:r>
        <w:rPr>
          <w:rFonts w:ascii="Arial" w:cs="Arial" w:eastAsia="Arial" w:hAnsi="Arial"/>
          <w:sz w:val="12"/>
          <w:szCs w:val="12"/>
          <w:i w:val="1"/>
          <w:iCs w:val="1"/>
          <w:color w:val="auto"/>
        </w:rPr>
        <w:t xml:space="preserve"> </w:t>
      </w:r>
      <w:r>
        <w:rPr>
          <w:rFonts w:ascii="Arial" w:cs="Arial" w:eastAsia="Arial" w:hAnsi="Arial"/>
          <w:sz w:val="12"/>
          <w:szCs w:val="12"/>
          <w:color w:val="auto"/>
        </w:rPr>
        <w:t>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40"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57" w:lineRule="exact"/>
        <w:rPr>
          <w:sz w:val="20"/>
          <w:szCs w:val="20"/>
          <w:color w:val="auto"/>
        </w:rPr>
      </w:pPr>
    </w:p>
    <w:p>
      <w:pPr>
        <w:jc w:val="both"/>
        <w:ind w:right="60" w:firstLine="164"/>
        <w:spacing w:after="0" w:line="264" w:lineRule="auto"/>
        <w:rPr>
          <w:sz w:val="20"/>
          <w:szCs w:val="20"/>
          <w:color w:val="auto"/>
        </w:rPr>
      </w:pPr>
      <w:r>
        <w:rPr>
          <w:rFonts w:ascii="Arial" w:cs="Arial" w:eastAsia="Arial" w:hAnsi="Arial"/>
          <w:sz w:val="13"/>
          <w:szCs w:val="13"/>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6.4. </w:t>
      </w:r>
      <w:r>
        <w:rPr>
          <w:rFonts w:ascii="Arial" w:cs="Arial" w:eastAsia="Arial" w:hAnsi="Arial"/>
          <w:sz w:val="13"/>
          <w:szCs w:val="13"/>
          <w:u w:val="single" w:color="auto"/>
          <w:color w:val="auto"/>
        </w:rPr>
        <w:t>Trustee May File Proofs of Claim</w:t>
      </w:r>
    </w:p>
    <w:p>
      <w:pPr>
        <w:spacing w:after="0" w:line="86" w:lineRule="exact"/>
        <w:rPr>
          <w:sz w:val="20"/>
          <w:szCs w:val="20"/>
          <w:color w:val="auto"/>
        </w:rPr>
      </w:pPr>
    </w:p>
    <w:p>
      <w:pPr>
        <w:ind w:right="80" w:firstLine="164"/>
        <w:spacing w:after="0" w:line="260" w:lineRule="auto"/>
        <w:rPr>
          <w:sz w:val="20"/>
          <w:szCs w:val="20"/>
          <w:color w:val="auto"/>
        </w:rPr>
      </w:pPr>
      <w:r>
        <w:rPr>
          <w:rFonts w:ascii="Arial" w:cs="Arial" w:eastAsia="Arial" w:hAnsi="Arial"/>
          <w:sz w:val="13"/>
          <w:szCs w:val="13"/>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60" w:lineRule="exact"/>
        <w:rPr>
          <w:sz w:val="20"/>
          <w:szCs w:val="20"/>
          <w:color w:val="auto"/>
        </w:rPr>
      </w:pPr>
    </w:p>
    <w:p>
      <w:pPr>
        <w:ind w:left="680" w:right="80" w:hanging="455"/>
        <w:spacing w:after="0" w:line="264" w:lineRule="auto"/>
        <w:tabs>
          <w:tab w:leader="none" w:pos="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66" w:lineRule="exact"/>
        <w:rPr>
          <w:rFonts w:ascii="Arial" w:cs="Arial" w:eastAsia="Arial" w:hAnsi="Arial"/>
          <w:sz w:val="13"/>
          <w:szCs w:val="13"/>
          <w:color w:val="auto"/>
        </w:rPr>
      </w:pPr>
    </w:p>
    <w:p>
      <w:pPr>
        <w:ind w:left="680" w:hanging="455"/>
        <w:spacing w:after="0"/>
        <w:tabs>
          <w:tab w:leader="none" w:pos="6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to collect and receive any moneys or other property payable or deliverable on any such claims and to distribute the same,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7" w:name="page48"/>
    <w:bookmarkEnd w:id="47"/>
    <w:p>
      <w:pPr>
        <w:jc w:val="both"/>
        <w:ind w:right="80"/>
        <w:spacing w:after="0" w:line="264" w:lineRule="auto"/>
        <w:rPr>
          <w:sz w:val="20"/>
          <w:szCs w:val="20"/>
          <w:color w:val="auto"/>
        </w:rPr>
      </w:pPr>
      <w:r>
        <w:rPr>
          <w:rFonts w:ascii="Arial" w:cs="Arial" w:eastAsia="Arial" w:hAnsi="Arial"/>
          <w:sz w:val="13"/>
          <w:szCs w:val="13"/>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7.7.</w:t>
      </w:r>
    </w:p>
    <w:p>
      <w:pPr>
        <w:spacing w:after="0" w:line="57" w:lineRule="exact"/>
        <w:rPr>
          <w:sz w:val="20"/>
          <w:szCs w:val="20"/>
          <w:color w:val="auto"/>
        </w:rPr>
      </w:pPr>
    </w:p>
    <w:p>
      <w:pPr>
        <w:jc w:val="both"/>
        <w:ind w:right="80" w:firstLine="164"/>
        <w:spacing w:after="0" w:line="276" w:lineRule="auto"/>
        <w:rPr>
          <w:sz w:val="20"/>
          <w:szCs w:val="20"/>
          <w:color w:val="auto"/>
        </w:rPr>
      </w:pPr>
      <w:r>
        <w:rPr>
          <w:rFonts w:ascii="Arial" w:cs="Arial" w:eastAsia="Arial" w:hAnsi="Arial"/>
          <w:sz w:val="13"/>
          <w:szCs w:val="13"/>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6.5. </w:t>
      </w:r>
      <w:r>
        <w:rPr>
          <w:rFonts w:ascii="Arial" w:cs="Arial" w:eastAsia="Arial" w:hAnsi="Arial"/>
          <w:sz w:val="13"/>
          <w:szCs w:val="13"/>
          <w:u w:val="single" w:color="auto"/>
          <w:color w:val="auto"/>
        </w:rPr>
        <w:t>Trustee May Enforce Claims Without Possession of Securities</w:t>
      </w:r>
    </w:p>
    <w:p>
      <w:pPr>
        <w:spacing w:after="0" w:line="86" w:lineRule="exact"/>
        <w:rPr>
          <w:sz w:val="20"/>
          <w:szCs w:val="20"/>
          <w:color w:val="auto"/>
        </w:rPr>
      </w:pPr>
    </w:p>
    <w:p>
      <w:pPr>
        <w:ind w:firstLine="157"/>
        <w:spacing w:after="0" w:line="296" w:lineRule="auto"/>
        <w:rPr>
          <w:sz w:val="20"/>
          <w:szCs w:val="20"/>
          <w:color w:val="auto"/>
        </w:rPr>
      </w:pPr>
      <w:r>
        <w:rPr>
          <w:rFonts w:ascii="Arial" w:cs="Arial" w:eastAsia="Arial" w:hAnsi="Arial"/>
          <w:sz w:val="12"/>
          <w:szCs w:val="12"/>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6.6. </w:t>
      </w:r>
      <w:r>
        <w:rPr>
          <w:rFonts w:ascii="Arial" w:cs="Arial" w:eastAsia="Arial" w:hAnsi="Arial"/>
          <w:sz w:val="13"/>
          <w:szCs w:val="13"/>
          <w:u w:val="single" w:color="auto"/>
          <w:color w:val="auto"/>
        </w:rPr>
        <w:t>Application of Money Collected</w:t>
      </w:r>
    </w:p>
    <w:p>
      <w:pPr>
        <w:spacing w:after="0" w:line="86" w:lineRule="exact"/>
        <w:rPr>
          <w:sz w:val="20"/>
          <w:szCs w:val="20"/>
          <w:color w:val="auto"/>
        </w:rPr>
      </w:pPr>
    </w:p>
    <w:p>
      <w:pPr>
        <w:ind w:right="180" w:firstLine="157"/>
        <w:spacing w:after="0" w:line="276" w:lineRule="auto"/>
        <w:rPr>
          <w:sz w:val="20"/>
          <w:szCs w:val="20"/>
          <w:color w:val="auto"/>
        </w:rPr>
      </w:pPr>
      <w:r>
        <w:rPr>
          <w:rFonts w:ascii="Arial" w:cs="Arial" w:eastAsia="Arial" w:hAnsi="Arial"/>
          <w:sz w:val="13"/>
          <w:szCs w:val="13"/>
          <w:color w:val="auto"/>
        </w:rPr>
        <w:t>Any money collected by the Trustee pursuant to this Article shall be applied in the following order, at the date or dates fixed by the Trustee and, in case of the distribution of such money on account of principal or interest, upon presentation of the Securities and the notation thereon of the payment if only partially paid and upon surrender thereof if fully paid: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First: To the payment of all amounts due the Trustee under Section 7.7; and</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Second: To the payment of the amounts then due and unpaid for principal of and interest on the Securities in respect of which or for the benefit of which such money has been collected, ratably, without preference or priority of any kind, according to the amounts due and payable on such Securities for principal and interest, respectively; and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Third: To the Company.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6.7. </w:t>
      </w:r>
      <w:r>
        <w:rPr>
          <w:rFonts w:ascii="Arial" w:cs="Arial" w:eastAsia="Arial" w:hAnsi="Arial"/>
          <w:sz w:val="13"/>
          <w:szCs w:val="13"/>
          <w:u w:val="single" w:color="auto"/>
          <w:color w:val="auto"/>
        </w:rPr>
        <w:t>Limitation on Suits</w:t>
      </w:r>
    </w:p>
    <w:p>
      <w:pPr>
        <w:spacing w:after="0" w:line="86"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49" w:lineRule="exact"/>
        <w:rPr>
          <w:sz w:val="20"/>
          <w:szCs w:val="20"/>
          <w:color w:val="auto"/>
        </w:rPr>
      </w:pPr>
    </w:p>
    <w:p>
      <w:pPr>
        <w:ind w:left="680" w:hanging="455"/>
        <w:spacing w:after="0"/>
        <w:tabs>
          <w:tab w:leader="none" w:pos="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such Holder has previously given written notice to the Trustee of a continuing Event of Default with respect to the Securities of that Series;</w:t>
      </w:r>
    </w:p>
    <w:p>
      <w:pPr>
        <w:spacing w:after="0" w:line="96" w:lineRule="exact"/>
        <w:rPr>
          <w:rFonts w:ascii="Arial" w:cs="Arial" w:eastAsia="Arial" w:hAnsi="Arial"/>
          <w:sz w:val="13"/>
          <w:szCs w:val="13"/>
          <w:color w:val="auto"/>
        </w:rPr>
      </w:pPr>
    </w:p>
    <w:p>
      <w:pPr>
        <w:ind w:left="680" w:right="60" w:hanging="455"/>
        <w:spacing w:after="0" w:line="276" w:lineRule="auto"/>
        <w:tabs>
          <w:tab w:leader="none" w:pos="6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99" w:right="239" w:bottom="1440" w:gutter="0" w:footer="0" w:header="0"/>
        </w:sectPr>
      </w:pPr>
    </w:p>
    <w:bookmarkStart w:id="48" w:name="page49"/>
    <w:bookmarkEnd w:id="48"/>
    <w:p>
      <w:pPr>
        <w:ind w:left="680" w:hanging="455"/>
        <w:spacing w:after="0"/>
        <w:tabs>
          <w:tab w:leader="none" w:pos="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such Holder or Holders have offered to the Trustee reasonable indemnity against the costs, expenses and liabilities to be incurred in compliance with such request;</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Trustee for 60 days after its receipt of such notice, request and offer of indemnity has failed to institute any such proceeding;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39"/>
        </w:numPr>
        <w:rPr>
          <w:rFonts w:ascii="Arial" w:cs="Arial" w:eastAsia="Arial" w:hAnsi="Arial"/>
          <w:sz w:val="12"/>
          <w:szCs w:val="12"/>
          <w:color w:val="auto"/>
        </w:rPr>
      </w:pPr>
      <w:r>
        <w:rPr>
          <w:rFonts w:ascii="Arial" w:cs="Arial" w:eastAsia="Arial" w:hAnsi="Arial"/>
          <w:sz w:val="12"/>
          <w:szCs w:val="12"/>
          <w:color w:val="auto"/>
        </w:rPr>
        <w:t>no direction inconsistent with such written request has been given to the Trustee during such 60-day period by the Holders of a majority in principal amount of the outstanding Securities of that Series;</w:t>
      </w:r>
    </w:p>
    <w:p>
      <w:pPr>
        <w:spacing w:after="0" w:line="98"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6.8. </w:t>
      </w:r>
      <w:r>
        <w:rPr>
          <w:rFonts w:ascii="Arial" w:cs="Arial" w:eastAsia="Arial" w:hAnsi="Arial"/>
          <w:sz w:val="13"/>
          <w:szCs w:val="13"/>
          <w:u w:val="single" w:color="auto"/>
          <w:color w:val="auto"/>
        </w:rPr>
        <w:t>Unconditional Right of Holders to Receive Principal and Interest</w:t>
      </w:r>
    </w:p>
    <w:p>
      <w:pPr>
        <w:spacing w:after="0" w:line="86" w:lineRule="exact"/>
        <w:rPr>
          <w:sz w:val="20"/>
          <w:szCs w:val="20"/>
          <w:color w:val="auto"/>
        </w:rPr>
      </w:pPr>
    </w:p>
    <w:p>
      <w:pPr>
        <w:ind w:right="60" w:firstLine="164"/>
        <w:spacing w:after="0" w:line="264" w:lineRule="auto"/>
        <w:rPr>
          <w:sz w:val="20"/>
          <w:szCs w:val="20"/>
          <w:color w:val="auto"/>
        </w:rPr>
      </w:pPr>
      <w:r>
        <w:rPr>
          <w:rFonts w:ascii="Arial" w:cs="Arial" w:eastAsia="Arial" w:hAnsi="Arial"/>
          <w:sz w:val="13"/>
          <w:szCs w:val="13"/>
          <w:color w:val="auto"/>
        </w:rPr>
        <w:t>Notwithstanding any other provision in this Indenture, the Holder of any Security shall have the right, which is absolute and unconditional, to receive payment of the principal of and interest, if any, on such Security on the Stated Maturity or Stated Maturities expressed in such Security (or, in the case of redemption, on the redemption date) and to institute suit for the enforcement of any such payment, and such rights shall not be impaired without the consent of such Holder.</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6.9. </w:t>
      </w:r>
      <w:r>
        <w:rPr>
          <w:rFonts w:ascii="Arial" w:cs="Arial" w:eastAsia="Arial" w:hAnsi="Arial"/>
          <w:sz w:val="13"/>
          <w:szCs w:val="13"/>
          <w:u w:val="single" w:color="auto"/>
          <w:color w:val="auto"/>
        </w:rPr>
        <w:t>Restoration of Rights and Remedies</w:t>
      </w:r>
    </w:p>
    <w:p>
      <w:pPr>
        <w:spacing w:after="0" w:line="86" w:lineRule="exact"/>
        <w:rPr>
          <w:sz w:val="20"/>
          <w:szCs w:val="20"/>
          <w:color w:val="auto"/>
        </w:rPr>
      </w:pPr>
    </w:p>
    <w:p>
      <w:pPr>
        <w:ind w:right="240" w:firstLine="164"/>
        <w:spacing w:after="0" w:line="296" w:lineRule="auto"/>
        <w:rPr>
          <w:sz w:val="20"/>
          <w:szCs w:val="20"/>
          <w:color w:val="auto"/>
        </w:rPr>
      </w:pPr>
      <w:r>
        <w:rPr>
          <w:rFonts w:ascii="Arial" w:cs="Arial" w:eastAsia="Arial" w:hAnsi="Arial"/>
          <w:sz w:val="12"/>
          <w:szCs w:val="12"/>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6.10. </w:t>
      </w:r>
      <w:r>
        <w:rPr>
          <w:rFonts w:ascii="Arial" w:cs="Arial" w:eastAsia="Arial" w:hAnsi="Arial"/>
          <w:sz w:val="13"/>
          <w:szCs w:val="13"/>
          <w:u w:val="single" w:color="auto"/>
          <w:color w:val="auto"/>
        </w:rPr>
        <w:t>Rights and Remedies Cumulative</w:t>
      </w:r>
    </w:p>
    <w:p>
      <w:pPr>
        <w:spacing w:after="0" w:line="86"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6.11. </w:t>
      </w:r>
      <w:r>
        <w:rPr>
          <w:rFonts w:ascii="Arial" w:cs="Arial" w:eastAsia="Arial" w:hAnsi="Arial"/>
          <w:sz w:val="13"/>
          <w:szCs w:val="13"/>
          <w:u w:val="single" w:color="auto"/>
          <w:color w:val="auto"/>
        </w:rPr>
        <w:t>Delay or Omission Not Waiver</w:t>
      </w:r>
    </w:p>
    <w:p>
      <w:pPr>
        <w:spacing w:after="0" w:line="86"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49" w:name="page50"/>
    <w:bookmarkEnd w:id="49"/>
    <w:p>
      <w:pPr>
        <w:ind w:left="160"/>
        <w:spacing w:after="0"/>
        <w:rPr>
          <w:sz w:val="20"/>
          <w:szCs w:val="20"/>
          <w:color w:val="auto"/>
        </w:rPr>
      </w:pPr>
      <w:r>
        <w:rPr>
          <w:rFonts w:ascii="Arial" w:cs="Arial" w:eastAsia="Arial" w:hAnsi="Arial"/>
          <w:sz w:val="13"/>
          <w:szCs w:val="13"/>
          <w:color w:val="auto"/>
        </w:rPr>
        <w:t xml:space="preserve">Section 6.12. </w:t>
      </w:r>
      <w:r>
        <w:rPr>
          <w:rFonts w:ascii="Arial" w:cs="Arial" w:eastAsia="Arial" w:hAnsi="Arial"/>
          <w:sz w:val="13"/>
          <w:szCs w:val="13"/>
          <w:u w:val="single" w:color="auto"/>
          <w:color w:val="auto"/>
        </w:rPr>
        <w:t>Control by Holders</w:t>
      </w:r>
    </w:p>
    <w:p>
      <w:pPr>
        <w:spacing w:after="0" w:line="86" w:lineRule="exact"/>
        <w:rPr>
          <w:sz w:val="20"/>
          <w:szCs w:val="20"/>
          <w:color w:val="auto"/>
        </w:rPr>
      </w:pPr>
    </w:p>
    <w:p>
      <w:pPr>
        <w:ind w:right="420" w:firstLine="161"/>
        <w:spacing w:after="0" w:line="276" w:lineRule="auto"/>
        <w:rPr>
          <w:sz w:val="20"/>
          <w:szCs w:val="20"/>
          <w:color w:val="auto"/>
        </w:rPr>
      </w:pPr>
      <w:r>
        <w:rPr>
          <w:rFonts w:ascii="Arial" w:cs="Arial" w:eastAsia="Arial" w:hAnsi="Arial"/>
          <w:sz w:val="13"/>
          <w:szCs w:val="13"/>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49" w:lineRule="exact"/>
        <w:rPr>
          <w:sz w:val="20"/>
          <w:szCs w:val="20"/>
          <w:color w:val="auto"/>
        </w:rPr>
      </w:pPr>
    </w:p>
    <w:p>
      <w:pPr>
        <w:ind w:left="680" w:hanging="455"/>
        <w:spacing w:after="0"/>
        <w:tabs>
          <w:tab w:leader="none" w:pos="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such direction shall not be in conflict with any rule of law or with this Indenture,</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Trustee may take any other action deemed proper by the Trustee which is not inconsistent with such direction, and</w:t>
      </w:r>
    </w:p>
    <w:p>
      <w:pPr>
        <w:spacing w:after="0" w:line="96" w:lineRule="exact"/>
        <w:rPr>
          <w:rFonts w:ascii="Arial" w:cs="Arial" w:eastAsia="Arial" w:hAnsi="Arial"/>
          <w:sz w:val="13"/>
          <w:szCs w:val="13"/>
          <w:color w:val="auto"/>
        </w:rPr>
      </w:pPr>
    </w:p>
    <w:p>
      <w:pPr>
        <w:ind w:left="680" w:right="160" w:hanging="455"/>
        <w:spacing w:after="0" w:line="276" w:lineRule="auto"/>
        <w:tabs>
          <w:tab w:leader="none" w:pos="6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6.13. </w:t>
      </w:r>
      <w:r>
        <w:rPr>
          <w:rFonts w:ascii="Arial" w:cs="Arial" w:eastAsia="Arial" w:hAnsi="Arial"/>
          <w:sz w:val="13"/>
          <w:szCs w:val="13"/>
          <w:u w:val="single" w:color="auto"/>
          <w:color w:val="auto"/>
        </w:rPr>
        <w:t>Waiver of Past Defaults</w:t>
      </w:r>
    </w:p>
    <w:p>
      <w:pPr>
        <w:spacing w:after="0" w:line="86" w:lineRule="exact"/>
        <w:rPr>
          <w:sz w:val="20"/>
          <w:szCs w:val="20"/>
          <w:color w:val="auto"/>
        </w:rPr>
      </w:pPr>
    </w:p>
    <w:p>
      <w:pPr>
        <w:ind w:firstLine="161"/>
        <w:spacing w:after="0" w:line="322" w:lineRule="auto"/>
        <w:rPr>
          <w:sz w:val="20"/>
          <w:szCs w:val="20"/>
          <w:color w:val="auto"/>
        </w:rPr>
      </w:pPr>
      <w:r>
        <w:rPr>
          <w:rFonts w:ascii="Arial" w:cs="Arial" w:eastAsia="Arial" w:hAnsi="Arial"/>
          <w:sz w:val="11"/>
          <w:szCs w:val="11"/>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6.14. </w:t>
      </w:r>
      <w:r>
        <w:rPr>
          <w:rFonts w:ascii="Arial" w:cs="Arial" w:eastAsia="Arial" w:hAnsi="Arial"/>
          <w:sz w:val="13"/>
          <w:szCs w:val="13"/>
          <w:u w:val="single" w:color="auto"/>
          <w:color w:val="auto"/>
        </w:rPr>
        <w:t>Undertaking for Costs</w:t>
      </w:r>
    </w:p>
    <w:p>
      <w:pPr>
        <w:spacing w:after="0" w:line="86" w:lineRule="exact"/>
        <w:rPr>
          <w:sz w:val="20"/>
          <w:szCs w:val="20"/>
          <w:color w:val="auto"/>
        </w:rPr>
      </w:pPr>
    </w:p>
    <w:p>
      <w:pPr>
        <w:ind w:firstLine="157"/>
        <w:spacing w:after="0" w:line="282" w:lineRule="auto"/>
        <w:rPr>
          <w:sz w:val="20"/>
          <w:szCs w:val="20"/>
          <w:color w:val="auto"/>
        </w:rPr>
      </w:pPr>
      <w:r>
        <w:rPr>
          <w:rFonts w:ascii="Arial" w:cs="Arial" w:eastAsia="Arial" w:hAnsi="Arial"/>
          <w:sz w:val="12"/>
          <w:szCs w:val="12"/>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Stated Maturity or Stated Maturities expressed in such Security (or, in the case of redemption, on the redemption date).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VII.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TRUSTEE</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7.1. </w:t>
      </w:r>
      <w:r>
        <w:rPr>
          <w:rFonts w:ascii="Arial" w:cs="Arial" w:eastAsia="Arial" w:hAnsi="Arial"/>
          <w:sz w:val="13"/>
          <w:szCs w:val="13"/>
          <w:u w:val="single" w:color="auto"/>
          <w:color w:val="auto"/>
        </w:rPr>
        <w:t>Duties of Trustee</w:t>
      </w:r>
    </w:p>
    <w:p>
      <w:pPr>
        <w:spacing w:after="0" w:line="86" w:lineRule="exact"/>
        <w:rPr>
          <w:sz w:val="20"/>
          <w:szCs w:val="20"/>
          <w:color w:val="auto"/>
        </w:rPr>
      </w:pPr>
    </w:p>
    <w:p>
      <w:pPr>
        <w:ind w:left="5660" w:right="1460" w:hanging="5435"/>
        <w:spacing w:after="0" w:line="497" w:lineRule="auto"/>
        <w:tabs>
          <w:tab w:leader="none" w:pos="668" w:val="left"/>
        </w:tabs>
        <w:numPr>
          <w:ilvl w:val="0"/>
          <w:numId w:val="41"/>
        </w:numPr>
        <w:rPr>
          <w:rFonts w:ascii="Arial" w:cs="Arial" w:eastAsia="Arial" w:hAnsi="Arial"/>
          <w:sz w:val="13"/>
          <w:szCs w:val="13"/>
          <w:color w:val="auto"/>
        </w:rPr>
      </w:pPr>
      <w:r>
        <w:rPr>
          <w:rFonts w:ascii="Arial" w:cs="Arial" w:eastAsia="Arial" w:hAnsi="Arial"/>
          <w:sz w:val="13"/>
          <w:szCs w:val="13"/>
          <w:color w:val="auto"/>
        </w:rPr>
        <w:t>If an Event of Default has occurred and is continuing, the Trustee shall exercise the rights and powers vested in it by this Indenture and use the same degree of care and skill in its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0" w:name="page51"/>
    <w:bookmarkEnd w:id="50"/>
    <w:p>
      <w:pPr>
        <w:ind w:left="460"/>
        <w:spacing w:after="0"/>
        <w:rPr>
          <w:sz w:val="20"/>
          <w:szCs w:val="20"/>
          <w:color w:val="auto"/>
        </w:rPr>
      </w:pPr>
      <w:r>
        <w:rPr>
          <w:rFonts w:ascii="Arial" w:cs="Arial" w:eastAsia="Arial" w:hAnsi="Arial"/>
          <w:sz w:val="13"/>
          <w:szCs w:val="13"/>
          <w:color w:val="auto"/>
        </w:rPr>
        <w:t>exercise as a prudent man would exercise or use under the circumstances in the conduct of his own affairs.</w:t>
      </w:r>
    </w:p>
    <w:p>
      <w:pPr>
        <w:spacing w:after="0" w:line="96" w:lineRule="exact"/>
        <w:rPr>
          <w:sz w:val="20"/>
          <w:szCs w:val="20"/>
          <w:color w:val="auto"/>
        </w:rPr>
      </w:pPr>
    </w:p>
    <w:p>
      <w:pPr>
        <w:ind w:left="460" w:hanging="455"/>
        <w:spacing w:after="0"/>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Except during the continuance of an Event of Default:</w:t>
      </w:r>
    </w:p>
    <w:p>
      <w:pPr>
        <w:spacing w:after="0" w:line="86" w:lineRule="exact"/>
        <w:rPr>
          <w:rFonts w:ascii="Arial" w:cs="Arial" w:eastAsia="Arial" w:hAnsi="Arial"/>
          <w:sz w:val="13"/>
          <w:szCs w:val="13"/>
          <w:color w:val="auto"/>
        </w:rPr>
      </w:pPr>
    </w:p>
    <w:p>
      <w:pPr>
        <w:ind w:left="920" w:hanging="453"/>
        <w:spacing w:after="0"/>
        <w:tabs>
          <w:tab w:leader="none" w:pos="920" w:val="left"/>
        </w:tabs>
        <w:numPr>
          <w:ilvl w:val="1"/>
          <w:numId w:val="42"/>
        </w:numPr>
        <w:rPr>
          <w:rFonts w:ascii="Arial" w:cs="Arial" w:eastAsia="Arial" w:hAnsi="Arial"/>
          <w:sz w:val="13"/>
          <w:szCs w:val="13"/>
          <w:color w:val="auto"/>
        </w:rPr>
      </w:pPr>
      <w:r>
        <w:rPr>
          <w:rFonts w:ascii="Arial" w:cs="Arial" w:eastAsia="Arial" w:hAnsi="Arial"/>
          <w:sz w:val="13"/>
          <w:szCs w:val="13"/>
          <w:color w:val="auto"/>
        </w:rPr>
        <w:t>The Trustee need perform only those duties that are specifically set forth in this Indenture and no others.</w:t>
      </w:r>
    </w:p>
    <w:p>
      <w:pPr>
        <w:spacing w:after="0" w:line="96" w:lineRule="exact"/>
        <w:rPr>
          <w:rFonts w:ascii="Arial" w:cs="Arial" w:eastAsia="Arial" w:hAnsi="Arial"/>
          <w:sz w:val="13"/>
          <w:szCs w:val="13"/>
          <w:color w:val="auto"/>
        </w:rPr>
      </w:pPr>
    </w:p>
    <w:p>
      <w:pPr>
        <w:ind w:left="920" w:hanging="453"/>
        <w:spacing w:after="0" w:line="260" w:lineRule="auto"/>
        <w:tabs>
          <w:tab w:leader="none" w:pos="920" w:val="left"/>
        </w:tabs>
        <w:numPr>
          <w:ilvl w:val="1"/>
          <w:numId w:val="42"/>
        </w:numPr>
        <w:rPr>
          <w:rFonts w:ascii="Arial" w:cs="Arial" w:eastAsia="Arial" w:hAnsi="Arial"/>
          <w:sz w:val="13"/>
          <w:szCs w:val="13"/>
          <w:color w:val="auto"/>
        </w:rPr>
      </w:pPr>
      <w:r>
        <w:rPr>
          <w:rFonts w:ascii="Arial" w:cs="Arial" w:eastAsia="Arial" w:hAnsi="Arial"/>
          <w:sz w:val="13"/>
          <w:szCs w:val="13"/>
          <w:color w:val="auto"/>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w:t>
      </w:r>
    </w:p>
    <w:p>
      <w:pPr>
        <w:spacing w:after="0" w:line="59" w:lineRule="exact"/>
        <w:rPr>
          <w:rFonts w:ascii="Arial" w:cs="Arial" w:eastAsia="Arial" w:hAnsi="Arial"/>
          <w:sz w:val="13"/>
          <w:szCs w:val="13"/>
          <w:color w:val="auto"/>
        </w:rPr>
      </w:pPr>
    </w:p>
    <w:p>
      <w:pPr>
        <w:ind w:left="460" w:hanging="455"/>
        <w:spacing w:after="0"/>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Trustee may not be relieved from liability for its own negligent action, its own negligent failure to act or its own willful misconduct, except that:</w:t>
      </w:r>
    </w:p>
    <w:p>
      <w:pPr>
        <w:spacing w:after="0" w:line="86" w:lineRule="exact"/>
        <w:rPr>
          <w:rFonts w:ascii="Arial" w:cs="Arial" w:eastAsia="Arial" w:hAnsi="Arial"/>
          <w:sz w:val="13"/>
          <w:szCs w:val="13"/>
          <w:color w:val="auto"/>
        </w:rPr>
      </w:pPr>
    </w:p>
    <w:p>
      <w:pPr>
        <w:ind w:left="920" w:hanging="453"/>
        <w:spacing w:after="0"/>
        <w:tabs>
          <w:tab w:leader="none" w:pos="920" w:val="left"/>
        </w:tabs>
        <w:numPr>
          <w:ilvl w:val="1"/>
          <w:numId w:val="42"/>
        </w:numPr>
        <w:rPr>
          <w:rFonts w:ascii="Arial" w:cs="Arial" w:eastAsia="Arial" w:hAnsi="Arial"/>
          <w:sz w:val="13"/>
          <w:szCs w:val="13"/>
          <w:color w:val="auto"/>
        </w:rPr>
      </w:pPr>
      <w:r>
        <w:rPr>
          <w:rFonts w:ascii="Arial" w:cs="Arial" w:eastAsia="Arial" w:hAnsi="Arial"/>
          <w:sz w:val="13"/>
          <w:szCs w:val="13"/>
          <w:color w:val="auto"/>
        </w:rPr>
        <w:t>This paragraph does not limit the effect of paragraph (b) of this Section.</w:t>
      </w:r>
    </w:p>
    <w:p>
      <w:pPr>
        <w:spacing w:after="0" w:line="96" w:lineRule="exact"/>
        <w:rPr>
          <w:rFonts w:ascii="Arial" w:cs="Arial" w:eastAsia="Arial" w:hAnsi="Arial"/>
          <w:sz w:val="13"/>
          <w:szCs w:val="13"/>
          <w:color w:val="auto"/>
        </w:rPr>
      </w:pPr>
    </w:p>
    <w:p>
      <w:pPr>
        <w:ind w:left="920" w:hanging="453"/>
        <w:spacing w:after="0"/>
        <w:tabs>
          <w:tab w:leader="none" w:pos="920" w:val="left"/>
        </w:tabs>
        <w:numPr>
          <w:ilvl w:val="1"/>
          <w:numId w:val="42"/>
        </w:numPr>
        <w:rPr>
          <w:rFonts w:ascii="Arial" w:cs="Arial" w:eastAsia="Arial" w:hAnsi="Arial"/>
          <w:sz w:val="12"/>
          <w:szCs w:val="12"/>
          <w:color w:val="auto"/>
        </w:rPr>
      </w:pPr>
      <w:r>
        <w:rPr>
          <w:rFonts w:ascii="Arial" w:cs="Arial" w:eastAsia="Arial" w:hAnsi="Arial"/>
          <w:sz w:val="12"/>
          <w:szCs w:val="12"/>
          <w:color w:val="auto"/>
        </w:rPr>
        <w:t>The Trustee shall not be liable for any error of judgment made in good faith by a Responsible Officer, unless it is proved that the Trustee was negligent in ascertaining the pertinent facts.</w:t>
      </w:r>
    </w:p>
    <w:p>
      <w:pPr>
        <w:spacing w:after="0" w:line="107" w:lineRule="exact"/>
        <w:rPr>
          <w:rFonts w:ascii="Arial" w:cs="Arial" w:eastAsia="Arial" w:hAnsi="Arial"/>
          <w:sz w:val="12"/>
          <w:szCs w:val="12"/>
          <w:color w:val="auto"/>
        </w:rPr>
      </w:pPr>
    </w:p>
    <w:p>
      <w:pPr>
        <w:ind w:left="920" w:right="80" w:hanging="453"/>
        <w:spacing w:after="0" w:line="264" w:lineRule="auto"/>
        <w:tabs>
          <w:tab w:leader="none" w:pos="920" w:val="left"/>
        </w:tabs>
        <w:numPr>
          <w:ilvl w:val="1"/>
          <w:numId w:val="42"/>
        </w:numPr>
        <w:rPr>
          <w:rFonts w:ascii="Arial" w:cs="Arial" w:eastAsia="Arial" w:hAnsi="Arial"/>
          <w:sz w:val="13"/>
          <w:szCs w:val="13"/>
          <w:color w:val="auto"/>
        </w:rPr>
      </w:pPr>
      <w:r>
        <w:rPr>
          <w:rFonts w:ascii="Arial" w:cs="Arial" w:eastAsia="Arial" w:hAnsi="Arial"/>
          <w:sz w:val="13"/>
          <w:szCs w:val="13"/>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spacing w:after="0" w:line="57" w:lineRule="exact"/>
        <w:rPr>
          <w:rFonts w:ascii="Arial" w:cs="Arial" w:eastAsia="Arial" w:hAnsi="Arial"/>
          <w:sz w:val="13"/>
          <w:szCs w:val="13"/>
          <w:color w:val="auto"/>
        </w:rPr>
      </w:pPr>
    </w:p>
    <w:p>
      <w:pPr>
        <w:ind w:left="460" w:hanging="455"/>
        <w:spacing w:after="0"/>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Every provision of this Indenture that in any way relates to the Trustee is subject to paragraph (a), (b) and (c) of this Section.</w:t>
      </w:r>
    </w:p>
    <w:p>
      <w:pPr>
        <w:spacing w:after="0" w:line="96" w:lineRule="exact"/>
        <w:rPr>
          <w:rFonts w:ascii="Arial" w:cs="Arial" w:eastAsia="Arial" w:hAnsi="Arial"/>
          <w:sz w:val="13"/>
          <w:szCs w:val="13"/>
          <w:color w:val="auto"/>
        </w:rPr>
      </w:pPr>
    </w:p>
    <w:p>
      <w:pPr>
        <w:ind w:left="460" w:hanging="455"/>
        <w:spacing w:after="0"/>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Trustee may refuse to perform any duty or exercise any right or power unless it receives indemnity satisfactory to it against any loss, liability or expense.</w:t>
      </w:r>
    </w:p>
    <w:p>
      <w:pPr>
        <w:spacing w:after="0" w:line="96" w:lineRule="exact"/>
        <w:rPr>
          <w:rFonts w:ascii="Arial" w:cs="Arial" w:eastAsia="Arial" w:hAnsi="Arial"/>
          <w:sz w:val="13"/>
          <w:szCs w:val="13"/>
          <w:color w:val="auto"/>
        </w:rPr>
      </w:pPr>
    </w:p>
    <w:p>
      <w:pPr>
        <w:ind w:left="460" w:right="100" w:hanging="455"/>
        <w:spacing w:after="0" w:line="276" w:lineRule="auto"/>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59" w:lineRule="exact"/>
        <w:rPr>
          <w:rFonts w:ascii="Arial" w:cs="Arial" w:eastAsia="Arial" w:hAnsi="Arial"/>
          <w:sz w:val="13"/>
          <w:szCs w:val="13"/>
          <w:color w:val="auto"/>
        </w:rPr>
      </w:pPr>
    </w:p>
    <w:p>
      <w:pPr>
        <w:ind w:left="460" w:right="40" w:hanging="455"/>
        <w:spacing w:after="0" w:line="276" w:lineRule="auto"/>
        <w:tabs>
          <w:tab w:leader="none" w:pos="460" w:val="left"/>
        </w:tabs>
        <w:numPr>
          <w:ilvl w:val="0"/>
          <w:numId w:val="42"/>
        </w:numPr>
        <w:rPr>
          <w:rFonts w:ascii="Arial" w:cs="Arial" w:eastAsia="Arial" w:hAnsi="Arial"/>
          <w:sz w:val="13"/>
          <w:szCs w:val="13"/>
          <w:color w:val="auto"/>
        </w:rPr>
      </w:pPr>
      <w:r>
        <w:rPr>
          <w:rFonts w:ascii="Arial" w:cs="Arial" w:eastAsia="Arial" w:hAnsi="Arial"/>
          <w:sz w:val="13"/>
          <w:szCs w:val="13"/>
          <w:color w:val="auto"/>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spacing w:after="0" w:line="108"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51" w:name="page52"/>
    <w:bookmarkEnd w:id="51"/>
    <w:p>
      <w:pPr>
        <w:ind w:left="520" w:right="80" w:hanging="455"/>
        <w:spacing w:after="0" w:line="276" w:lineRule="auto"/>
        <w:tabs>
          <w:tab w:leader="none" w:pos="5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Paying Agent, the Registrar and any authenticating agent shall be entitled to the protections, immunities and standard of care as are set forth in paragraphs (a), (b) and (c) of this Section with respect to the Trustee.</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Section 7.2. </w:t>
      </w:r>
      <w:r>
        <w:rPr>
          <w:rFonts w:ascii="Arial" w:cs="Arial" w:eastAsia="Arial" w:hAnsi="Arial"/>
          <w:sz w:val="13"/>
          <w:szCs w:val="13"/>
          <w:u w:val="single" w:color="auto"/>
          <w:color w:val="auto"/>
        </w:rPr>
        <w:t>Rights of Trustee</w:t>
      </w:r>
    </w:p>
    <w:p>
      <w:pPr>
        <w:spacing w:after="0" w:line="86" w:lineRule="exact"/>
        <w:rPr>
          <w:sz w:val="20"/>
          <w:szCs w:val="20"/>
          <w:color w:val="auto"/>
        </w:rPr>
      </w:pPr>
    </w:p>
    <w:p>
      <w:pPr>
        <w:ind w:left="520" w:right="180" w:hanging="455"/>
        <w:spacing w:after="0" w:line="276" w:lineRule="auto"/>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Trustee may rely on and shall be protected in acting or refraining from acting upon any document believed by it to be genuine and to have been signed or presented by the proper person. The Trustee need not investigate any fact or matter stated in the document.</w:t>
      </w:r>
    </w:p>
    <w:p>
      <w:pPr>
        <w:spacing w:after="0" w:line="59" w:lineRule="exact"/>
        <w:rPr>
          <w:rFonts w:ascii="Arial" w:cs="Arial" w:eastAsia="Arial" w:hAnsi="Arial"/>
          <w:sz w:val="13"/>
          <w:szCs w:val="13"/>
          <w:color w:val="auto"/>
        </w:rPr>
      </w:pPr>
    </w:p>
    <w:p>
      <w:pPr>
        <w:ind w:left="520" w:hanging="455"/>
        <w:spacing w:after="0" w:line="276" w:lineRule="auto"/>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Before the Trustee acts or refrains from acting, it may require an Officers’ Certificate or an Opinion of Counsel. The Trustee shall not be liable for any action it takes or omits to take in good faith in reliance on such Officers’ Certificate or Opinion of Counsel.</w:t>
      </w:r>
    </w:p>
    <w:p>
      <w:pPr>
        <w:spacing w:after="0" w:line="59" w:lineRule="exact"/>
        <w:rPr>
          <w:rFonts w:ascii="Arial" w:cs="Arial" w:eastAsia="Arial" w:hAnsi="Arial"/>
          <w:sz w:val="13"/>
          <w:szCs w:val="13"/>
          <w:color w:val="auto"/>
        </w:rPr>
      </w:pPr>
    </w:p>
    <w:p>
      <w:pPr>
        <w:ind w:left="520" w:right="340" w:hanging="455"/>
        <w:spacing w:after="0" w:line="276" w:lineRule="auto"/>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59" w:lineRule="exact"/>
        <w:rPr>
          <w:rFonts w:ascii="Arial" w:cs="Arial" w:eastAsia="Arial" w:hAnsi="Arial"/>
          <w:sz w:val="13"/>
          <w:szCs w:val="13"/>
          <w:color w:val="auto"/>
        </w:rPr>
      </w:pPr>
    </w:p>
    <w:p>
      <w:pPr>
        <w:ind w:left="520" w:right="200" w:hanging="455"/>
        <w:spacing w:after="0" w:line="276" w:lineRule="auto"/>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Trustee shall not be liable for any action it takes or omits to take in good faith which it believes to be authorized or within its rights or powers, provided that the Trustee’s conduct does not constitute negligence or bad faith.</w:t>
      </w:r>
    </w:p>
    <w:p>
      <w:pPr>
        <w:spacing w:after="0" w:line="59" w:lineRule="exact"/>
        <w:rPr>
          <w:rFonts w:ascii="Arial" w:cs="Arial" w:eastAsia="Arial" w:hAnsi="Arial"/>
          <w:sz w:val="13"/>
          <w:szCs w:val="13"/>
          <w:color w:val="auto"/>
        </w:rPr>
      </w:pPr>
    </w:p>
    <w:p>
      <w:pPr>
        <w:ind w:left="520" w:right="20" w:hanging="455"/>
        <w:spacing w:after="0" w:line="276" w:lineRule="auto"/>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Trustee may consult with counsel and the advice of such counsel or any Opinion of Counsel shall be full and complete authorization and protection in respect of any action taken, suffered or omitted by it hereunder without negligence and in good faith and in reliance thereon.</w:t>
      </w:r>
    </w:p>
    <w:p>
      <w:pPr>
        <w:spacing w:after="0" w:line="59" w:lineRule="exact"/>
        <w:rPr>
          <w:rFonts w:ascii="Arial" w:cs="Arial" w:eastAsia="Arial" w:hAnsi="Arial"/>
          <w:sz w:val="13"/>
          <w:szCs w:val="13"/>
          <w:color w:val="auto"/>
        </w:rPr>
      </w:pPr>
    </w:p>
    <w:p>
      <w:pPr>
        <w:ind w:left="520" w:right="240" w:hanging="455"/>
        <w:spacing w:after="0" w:line="320" w:lineRule="auto"/>
        <w:tabs>
          <w:tab w:leader="none" w:pos="5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Trustee shall be under no obligation to exercise any of the rights or powers vested in it by this Indenture at the request or direction of any of the Holders of Securities unless such Holders shall have offered to the Trustee reasonable security or indemnity against the costs, expenses and liabilities which might be incurred by it in compliance with such request or direction.</w:t>
      </w:r>
    </w:p>
    <w:p>
      <w:pPr>
        <w:spacing w:after="0" w:line="35" w:lineRule="exact"/>
        <w:rPr>
          <w:rFonts w:ascii="Arial" w:cs="Arial" w:eastAsia="Arial" w:hAnsi="Arial"/>
          <w:sz w:val="12"/>
          <w:szCs w:val="12"/>
          <w:color w:val="auto"/>
        </w:rPr>
      </w:pPr>
    </w:p>
    <w:p>
      <w:pPr>
        <w:ind w:left="520" w:right="100" w:hanging="455"/>
        <w:spacing w:after="0" w:line="371" w:lineRule="auto"/>
        <w:tabs>
          <w:tab w:leader="none" w:pos="520" w:val="left"/>
        </w:tabs>
        <w:numPr>
          <w:ilvl w:val="0"/>
          <w:numId w:val="44"/>
        </w:numPr>
        <w:rPr>
          <w:rFonts w:ascii="Arial" w:cs="Arial" w:eastAsia="Arial" w:hAnsi="Arial"/>
          <w:sz w:val="11"/>
          <w:szCs w:val="11"/>
          <w:color w:val="auto"/>
        </w:rPr>
      </w:pPr>
      <w:r>
        <w:rPr>
          <w:rFonts w:ascii="Arial" w:cs="Arial" w:eastAsia="Arial" w:hAnsi="Arial"/>
          <w:sz w:val="11"/>
          <w:szCs w:val="11"/>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1" w:lineRule="exact"/>
        <w:rPr>
          <w:rFonts w:ascii="Arial" w:cs="Arial" w:eastAsia="Arial" w:hAnsi="Arial"/>
          <w:sz w:val="11"/>
          <w:szCs w:val="11"/>
          <w:color w:val="auto"/>
        </w:rPr>
      </w:pPr>
    </w:p>
    <w:p>
      <w:pPr>
        <w:ind w:left="520" w:right="80" w:hanging="455"/>
        <w:spacing w:after="0" w:line="320" w:lineRule="auto"/>
        <w:tabs>
          <w:tab w:leader="none" w:pos="52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35" w:lineRule="exact"/>
        <w:rPr>
          <w:rFonts w:ascii="Arial" w:cs="Arial" w:eastAsia="Arial" w:hAnsi="Arial"/>
          <w:sz w:val="12"/>
          <w:szCs w:val="12"/>
          <w:color w:val="auto"/>
        </w:rPr>
      </w:pPr>
    </w:p>
    <w:p>
      <w:pPr>
        <w:ind w:left="520" w:right="80" w:hanging="455"/>
        <w:spacing w:after="0" w:line="264" w:lineRule="auto"/>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Trustee may request that the Company deliver an Officers’ Certificate setting forth the names of the individuals and/or titles of Officers authorized at such time to take specific actions pursuant to this Indenture, which Officers’ Certificate may be signed by any persons authorized to sign an Officers’ Certificate, including any persons specified as so authorized in any such Officers’ Certificate previously delivered and not superseded.</w:t>
      </w:r>
    </w:p>
    <w:p>
      <w:pPr>
        <w:spacing w:after="0" w:line="116"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20" w:right="219" w:bottom="1440" w:gutter="0" w:footer="0" w:header="0"/>
        </w:sectPr>
      </w:pPr>
    </w:p>
    <w:bookmarkStart w:id="52" w:name="page53"/>
    <w:bookmarkEnd w:id="52"/>
    <w:p>
      <w:pPr>
        <w:ind w:left="700" w:hanging="465"/>
        <w:spacing w:after="0"/>
        <w:tabs>
          <w:tab w:leader="none" w:pos="7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permissive rights of the Trustee enumerated herein shall not be construed as duties.</w:t>
      </w:r>
    </w:p>
    <w:p>
      <w:pPr>
        <w:spacing w:after="0" w:line="165" w:lineRule="exact"/>
        <w:rPr>
          <w:rFonts w:ascii="Arial" w:cs="Arial" w:eastAsia="Arial" w:hAnsi="Arial"/>
          <w:sz w:val="13"/>
          <w:szCs w:val="13"/>
          <w:color w:val="auto"/>
        </w:rPr>
      </w:pPr>
    </w:p>
    <w:p>
      <w:pPr>
        <w:ind w:left="700" w:hanging="465"/>
        <w:spacing w:after="0" w:line="276" w:lineRule="auto"/>
        <w:tabs>
          <w:tab w:leader="none" w:pos="7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rights, privileges, protections, immunities and benefits given to the Trustee, including, without limitation, its right to be indemnified, are extended to, and shall be enforced by, the Trustee in each of its capacities hereunder, and to each agent, custodian and other person employed to act hereunder.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7.3. </w:t>
      </w:r>
      <w:r>
        <w:rPr>
          <w:rFonts w:ascii="Arial" w:cs="Arial" w:eastAsia="Arial" w:hAnsi="Arial"/>
          <w:sz w:val="13"/>
          <w:szCs w:val="13"/>
          <w:u w:val="single" w:color="auto"/>
          <w:color w:val="auto"/>
        </w:rPr>
        <w:t>Individual Rights of Trustee</w:t>
      </w:r>
    </w:p>
    <w:p>
      <w:pPr>
        <w:spacing w:after="0" w:line="86" w:lineRule="exact"/>
        <w:rPr>
          <w:sz w:val="20"/>
          <w:szCs w:val="20"/>
          <w:color w:val="auto"/>
        </w:rPr>
      </w:pPr>
    </w:p>
    <w:p>
      <w:pPr>
        <w:ind w:right="120" w:firstLine="161"/>
        <w:spacing w:after="0" w:line="276" w:lineRule="auto"/>
        <w:rPr>
          <w:sz w:val="20"/>
          <w:szCs w:val="20"/>
          <w:color w:val="auto"/>
        </w:rPr>
      </w:pPr>
      <w:r>
        <w:rPr>
          <w:rFonts w:ascii="Arial" w:cs="Arial" w:eastAsia="Arial" w:hAnsi="Arial"/>
          <w:sz w:val="13"/>
          <w:szCs w:val="13"/>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7.4. </w:t>
      </w:r>
      <w:r>
        <w:rPr>
          <w:rFonts w:ascii="Arial" w:cs="Arial" w:eastAsia="Arial" w:hAnsi="Arial"/>
          <w:sz w:val="13"/>
          <w:szCs w:val="13"/>
          <w:u w:val="single" w:color="auto"/>
          <w:color w:val="auto"/>
        </w:rPr>
        <w:t>Trustee’s Disclaimer</w:t>
      </w:r>
    </w:p>
    <w:p>
      <w:pPr>
        <w:spacing w:after="0" w:line="86" w:lineRule="exact"/>
        <w:rPr>
          <w:sz w:val="20"/>
          <w:szCs w:val="20"/>
          <w:color w:val="auto"/>
        </w:rPr>
      </w:pPr>
    </w:p>
    <w:p>
      <w:pPr>
        <w:ind w:right="440" w:firstLine="161"/>
        <w:spacing w:after="0" w:line="276" w:lineRule="auto"/>
        <w:rPr>
          <w:sz w:val="20"/>
          <w:szCs w:val="20"/>
          <w:color w:val="auto"/>
        </w:rPr>
      </w:pPr>
      <w:r>
        <w:rPr>
          <w:rFonts w:ascii="Arial" w:cs="Arial" w:eastAsia="Arial" w:hAnsi="Arial"/>
          <w:sz w:val="13"/>
          <w:szCs w:val="13"/>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7.5. </w:t>
      </w:r>
      <w:r>
        <w:rPr>
          <w:rFonts w:ascii="Arial" w:cs="Arial" w:eastAsia="Arial" w:hAnsi="Arial"/>
          <w:sz w:val="13"/>
          <w:szCs w:val="13"/>
          <w:u w:val="single" w:color="auto"/>
          <w:color w:val="auto"/>
        </w:rPr>
        <w:t>Notice of Defaults</w:t>
      </w:r>
    </w:p>
    <w:p>
      <w:pPr>
        <w:spacing w:after="0" w:line="86" w:lineRule="exact"/>
        <w:rPr>
          <w:sz w:val="20"/>
          <w:szCs w:val="20"/>
          <w:color w:val="auto"/>
        </w:rPr>
      </w:pPr>
    </w:p>
    <w:p>
      <w:pPr>
        <w:ind w:right="20" w:firstLine="164"/>
        <w:spacing w:after="0" w:line="260" w:lineRule="auto"/>
        <w:rPr>
          <w:sz w:val="20"/>
          <w:szCs w:val="20"/>
          <w:color w:val="auto"/>
        </w:rPr>
      </w:pPr>
      <w:r>
        <w:rPr>
          <w:rFonts w:ascii="Arial" w:cs="Arial" w:eastAsia="Arial" w:hAnsi="Arial"/>
          <w:sz w:val="13"/>
          <w:szCs w:val="13"/>
          <w:color w:val="auto"/>
        </w:rPr>
        <w:t>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7.6. </w:t>
      </w:r>
      <w:r>
        <w:rPr>
          <w:rFonts w:ascii="Arial" w:cs="Arial" w:eastAsia="Arial" w:hAnsi="Arial"/>
          <w:sz w:val="13"/>
          <w:szCs w:val="13"/>
          <w:u w:val="single" w:color="auto"/>
          <w:color w:val="auto"/>
        </w:rPr>
        <w:t>Reports by Trustee to Holders</w:t>
      </w:r>
    </w:p>
    <w:p>
      <w:pPr>
        <w:spacing w:after="0" w:line="86" w:lineRule="exact"/>
        <w:rPr>
          <w:sz w:val="20"/>
          <w:szCs w:val="20"/>
          <w:color w:val="auto"/>
        </w:rPr>
      </w:pPr>
    </w:p>
    <w:p>
      <w:pPr>
        <w:ind w:right="20" w:firstLine="161"/>
        <w:spacing w:after="0" w:line="276" w:lineRule="auto"/>
        <w:rPr>
          <w:sz w:val="20"/>
          <w:szCs w:val="20"/>
          <w:color w:val="auto"/>
        </w:rPr>
      </w:pPr>
      <w:r>
        <w:rPr>
          <w:rFonts w:ascii="Arial" w:cs="Arial" w:eastAsia="Arial" w:hAnsi="Arial"/>
          <w:sz w:val="13"/>
          <w:szCs w:val="13"/>
          <w:color w:val="auto"/>
        </w:rPr>
        <w:t>Within 60 days after May 15 in each year, the Trustee shall transmit by mail to all Securityholders, as their names and addresses appear on the register kept by the Registrar, a brief report dated as of such May 15, in accordance with, and to the extent required under, TIA § 313.</w:t>
      </w:r>
    </w:p>
    <w:p>
      <w:pPr>
        <w:spacing w:after="0" w:line="49" w:lineRule="exact"/>
        <w:rPr>
          <w:sz w:val="20"/>
          <w:szCs w:val="20"/>
          <w:color w:val="auto"/>
        </w:rPr>
      </w:pPr>
    </w:p>
    <w:p>
      <w:pPr>
        <w:ind w:right="220" w:firstLine="157"/>
        <w:spacing w:after="0" w:line="276" w:lineRule="auto"/>
        <w:rPr>
          <w:sz w:val="20"/>
          <w:szCs w:val="20"/>
          <w:color w:val="auto"/>
        </w:rPr>
      </w:pPr>
      <w:r>
        <w:rPr>
          <w:rFonts w:ascii="Arial" w:cs="Arial" w:eastAsia="Arial" w:hAnsi="Arial"/>
          <w:sz w:val="13"/>
          <w:szCs w:val="13"/>
          <w:color w:val="auto"/>
        </w:rPr>
        <w:t>A copy of each report at the time of its mailing to Securityholders of any Series shall be filed with the SEC and each stock exchange on which the Securities of that Series are listed. The Company shall promptly notify the Trustee when Securities of any Series are listed on any stock exchange.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7.7. </w:t>
      </w:r>
      <w:r>
        <w:rPr>
          <w:rFonts w:ascii="Arial" w:cs="Arial" w:eastAsia="Arial" w:hAnsi="Arial"/>
          <w:sz w:val="13"/>
          <w:szCs w:val="13"/>
          <w:u w:val="single" w:color="auto"/>
          <w:color w:val="auto"/>
        </w:rPr>
        <w:t>Compensation and Indemnity</w:t>
      </w:r>
    </w:p>
    <w:p>
      <w:pPr>
        <w:spacing w:after="0" w:line="86" w:lineRule="exact"/>
        <w:rPr>
          <w:sz w:val="20"/>
          <w:szCs w:val="20"/>
          <w:color w:val="auto"/>
        </w:rPr>
      </w:pPr>
    </w:p>
    <w:p>
      <w:pPr>
        <w:jc w:val="both"/>
        <w:ind w:right="60" w:firstLine="161"/>
        <w:spacing w:after="0" w:line="264" w:lineRule="auto"/>
        <w:rPr>
          <w:sz w:val="20"/>
          <w:szCs w:val="20"/>
          <w:color w:val="auto"/>
        </w:rPr>
      </w:pPr>
      <w:r>
        <w:rPr>
          <w:rFonts w:ascii="Arial" w:cs="Arial" w:eastAsia="Arial" w:hAnsi="Arial"/>
          <w:sz w:val="13"/>
          <w:szCs w:val="13"/>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57"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The Company shall indemnify each of the Trustee and any predecessor Trustee (including the cost of defending itself) against any loss, liability or expense,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53" w:name="page54"/>
    <w:bookmarkEnd w:id="53"/>
    <w:p>
      <w:pPr>
        <w:spacing w:after="0"/>
        <w:rPr>
          <w:sz w:val="20"/>
          <w:szCs w:val="20"/>
          <w:color w:val="auto"/>
        </w:rPr>
      </w:pPr>
      <w:r>
        <w:rPr>
          <w:rFonts w:ascii="Arial" w:cs="Arial" w:eastAsia="Arial" w:hAnsi="Arial"/>
          <w:sz w:val="13"/>
          <w:szCs w:val="13"/>
          <w:color w:val="auto"/>
        </w:rPr>
        <w:t>any settlement made without its consent, which consent shall not be unreasonably withheld. This indemnification shall apply to officers, directors, employees, shareholders and agents of the Trustee.</w:t>
      </w:r>
    </w:p>
    <w:p>
      <w:pPr>
        <w:spacing w:after="0" w:line="86" w:lineRule="exact"/>
        <w:rPr>
          <w:sz w:val="20"/>
          <w:szCs w:val="20"/>
          <w:color w:val="auto"/>
        </w:rPr>
      </w:pPr>
    </w:p>
    <w:p>
      <w:pPr>
        <w:ind w:right="200" w:firstLine="161"/>
        <w:spacing w:after="0" w:line="276" w:lineRule="auto"/>
        <w:rPr>
          <w:sz w:val="20"/>
          <w:szCs w:val="20"/>
          <w:color w:val="auto"/>
        </w:rPr>
      </w:pPr>
      <w:r>
        <w:rPr>
          <w:rFonts w:ascii="Arial" w:cs="Arial" w:eastAsia="Arial" w:hAnsi="Arial"/>
          <w:sz w:val="13"/>
          <w:szCs w:val="13"/>
          <w:color w:val="auto"/>
        </w:rPr>
        <w:t>The Company need not reimburse any expense or indemnify against any loss or liability incurred by the Trustee or by any officer, director, employee, shareholder or agent of the Trustee through negligence or bad faith.</w:t>
      </w:r>
    </w:p>
    <w:p>
      <w:pPr>
        <w:spacing w:after="0" w:line="49" w:lineRule="exact"/>
        <w:rPr>
          <w:sz w:val="20"/>
          <w:szCs w:val="20"/>
          <w:color w:val="auto"/>
        </w:rPr>
      </w:pPr>
    </w:p>
    <w:p>
      <w:pPr>
        <w:ind w:right="20" w:firstLine="161"/>
        <w:spacing w:after="0" w:line="276" w:lineRule="auto"/>
        <w:rPr>
          <w:sz w:val="20"/>
          <w:szCs w:val="20"/>
          <w:color w:val="auto"/>
        </w:rPr>
      </w:pPr>
      <w:r>
        <w:rPr>
          <w:rFonts w:ascii="Arial" w:cs="Arial" w:eastAsia="Arial" w:hAnsi="Arial"/>
          <w:sz w:val="13"/>
          <w:szCs w:val="13"/>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49" w:lineRule="exact"/>
        <w:rPr>
          <w:sz w:val="20"/>
          <w:szCs w:val="20"/>
          <w:color w:val="auto"/>
        </w:rPr>
      </w:pPr>
    </w:p>
    <w:p>
      <w:pPr>
        <w:ind w:right="320" w:firstLine="161"/>
        <w:spacing w:after="0" w:line="276" w:lineRule="auto"/>
        <w:rPr>
          <w:sz w:val="20"/>
          <w:szCs w:val="20"/>
          <w:color w:val="auto"/>
        </w:rPr>
      </w:pPr>
      <w:r>
        <w:rPr>
          <w:rFonts w:ascii="Arial" w:cs="Arial" w:eastAsia="Arial" w:hAnsi="Arial"/>
          <w:sz w:val="13"/>
          <w:szCs w:val="13"/>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provisions of this Section shall survive the resignation or removal of the Trustee and the termination of this Indenture.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7.8. </w:t>
      </w:r>
      <w:r>
        <w:rPr>
          <w:rFonts w:ascii="Arial" w:cs="Arial" w:eastAsia="Arial" w:hAnsi="Arial"/>
          <w:sz w:val="13"/>
          <w:szCs w:val="13"/>
          <w:u w:val="single" w:color="auto"/>
          <w:color w:val="auto"/>
        </w:rPr>
        <w:t>Replacement of Trustee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 resignation or removal of the Trustee and appointment of a successor Trustee shall become effective only upon the successor Trustee’s acceptance of appointment as provided in this Section.</w:t>
      </w:r>
    </w:p>
    <w:p>
      <w:pPr>
        <w:spacing w:after="0" w:line="86" w:lineRule="exact"/>
        <w:rPr>
          <w:sz w:val="20"/>
          <w:szCs w:val="20"/>
          <w:color w:val="auto"/>
        </w:rPr>
      </w:pPr>
    </w:p>
    <w:p>
      <w:pPr>
        <w:ind w:firstLine="161"/>
        <w:spacing w:after="0" w:line="371" w:lineRule="auto"/>
        <w:rPr>
          <w:sz w:val="20"/>
          <w:szCs w:val="20"/>
          <w:color w:val="auto"/>
        </w:rPr>
      </w:pPr>
      <w:r>
        <w:rPr>
          <w:rFonts w:ascii="Arial" w:cs="Arial" w:eastAsia="Arial" w:hAnsi="Arial"/>
          <w:sz w:val="11"/>
          <w:szCs w:val="11"/>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2" w:lineRule="exact"/>
        <w:rPr>
          <w:sz w:val="20"/>
          <w:szCs w:val="20"/>
          <w:color w:val="auto"/>
        </w:rPr>
      </w:pPr>
    </w:p>
    <w:p>
      <w:pPr>
        <w:ind w:left="680" w:hanging="455"/>
        <w:spacing w:after="0"/>
        <w:tabs>
          <w:tab w:leader="none" w:pos="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Trustee fails to comply with Section 7.10;</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Trustee is adjudged a bankrupt or an insolvent or an order for relief is entered with respect to the Trustee under any Bankruptcy Law;</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 Custodian or public officer takes charge of the Trustee or its property; or</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46"/>
        </w:numPr>
        <w:rPr>
          <w:rFonts w:ascii="Arial" w:cs="Arial" w:eastAsia="Arial" w:hAnsi="Arial"/>
          <w:sz w:val="13"/>
          <w:szCs w:val="13"/>
          <w:color w:val="auto"/>
        </w:rPr>
      </w:pPr>
      <w:r>
        <w:rPr>
          <w:rFonts w:ascii="Arial" w:cs="Arial" w:eastAsia="Arial" w:hAnsi="Arial"/>
          <w:sz w:val="13"/>
          <w:szCs w:val="13"/>
          <w:color w:val="auto"/>
        </w:rPr>
        <w:t>the Trustee becomes incapable of acting.</w:t>
      </w:r>
    </w:p>
    <w:p>
      <w:pPr>
        <w:spacing w:after="0" w:line="8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49"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49" w:lineRule="exact"/>
        <w:rPr>
          <w:sz w:val="20"/>
          <w:szCs w:val="20"/>
          <w:color w:val="auto"/>
        </w:rPr>
      </w:pPr>
    </w:p>
    <w:p>
      <w:pPr>
        <w:ind w:right="180" w:firstLine="157"/>
        <w:spacing w:after="0" w:line="320" w:lineRule="auto"/>
        <w:rPr>
          <w:sz w:val="20"/>
          <w:szCs w:val="20"/>
          <w:color w:val="auto"/>
        </w:rPr>
      </w:pPr>
      <w:r>
        <w:rPr>
          <w:rFonts w:ascii="Arial" w:cs="Arial" w:eastAsia="Arial" w:hAnsi="Arial"/>
          <w:sz w:val="12"/>
          <w:szCs w:val="12"/>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4" w:name="page55"/>
    <w:bookmarkEnd w:id="54"/>
    <w:p>
      <w:pPr>
        <w:spacing w:after="0" w:line="264" w:lineRule="auto"/>
        <w:rPr>
          <w:sz w:val="20"/>
          <w:szCs w:val="20"/>
          <w:color w:val="auto"/>
        </w:rPr>
      </w:pPr>
      <w:r>
        <w:rPr>
          <w:rFonts w:ascii="Arial" w:cs="Arial" w:eastAsia="Arial" w:hAnsi="Arial"/>
          <w:sz w:val="13"/>
          <w:szCs w:val="13"/>
          <w:color w:val="auto"/>
        </w:rPr>
        <w:t>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prior to such replacement.</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7.9. </w:t>
      </w:r>
      <w:r>
        <w:rPr>
          <w:rFonts w:ascii="Arial" w:cs="Arial" w:eastAsia="Arial" w:hAnsi="Arial"/>
          <w:sz w:val="13"/>
          <w:szCs w:val="13"/>
          <w:u w:val="single" w:color="auto"/>
          <w:color w:val="auto"/>
        </w:rPr>
        <w:t>Successor Trustee by Merger, etc.</w:t>
      </w:r>
    </w:p>
    <w:p>
      <w:pPr>
        <w:spacing w:after="0" w:line="86" w:lineRule="exact"/>
        <w:rPr>
          <w:sz w:val="20"/>
          <w:szCs w:val="20"/>
          <w:color w:val="auto"/>
        </w:rPr>
      </w:pPr>
    </w:p>
    <w:p>
      <w:pPr>
        <w:ind w:right="480" w:firstLine="164"/>
        <w:spacing w:after="0" w:line="276" w:lineRule="auto"/>
        <w:rPr>
          <w:sz w:val="20"/>
          <w:szCs w:val="20"/>
          <w:color w:val="auto"/>
        </w:rPr>
      </w:pPr>
      <w:r>
        <w:rPr>
          <w:rFonts w:ascii="Arial" w:cs="Arial" w:eastAsia="Arial" w:hAnsi="Arial"/>
          <w:sz w:val="13"/>
          <w:szCs w:val="13"/>
          <w:color w:val="auto"/>
        </w:rPr>
        <w:t>If the Trustee consolidates with, merges or converts into, or transfers all or substantially all of its corporate trust business to, another corporation, the successor corporation without any further act shall be the successor Trustee.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7.10. </w:t>
      </w:r>
      <w:r>
        <w:rPr>
          <w:rFonts w:ascii="Arial" w:cs="Arial" w:eastAsia="Arial" w:hAnsi="Arial"/>
          <w:sz w:val="13"/>
          <w:szCs w:val="13"/>
          <w:u w:val="single" w:color="auto"/>
          <w:color w:val="auto"/>
        </w:rPr>
        <w:t>Eligibility; Disqualification</w:t>
      </w:r>
    </w:p>
    <w:p>
      <w:pPr>
        <w:spacing w:after="0" w:line="86" w:lineRule="exact"/>
        <w:rPr>
          <w:sz w:val="20"/>
          <w:szCs w:val="20"/>
          <w:color w:val="auto"/>
        </w:rPr>
      </w:pPr>
    </w:p>
    <w:p>
      <w:pPr>
        <w:ind w:right="80" w:firstLine="161"/>
        <w:spacing w:after="0" w:line="276" w:lineRule="auto"/>
        <w:rPr>
          <w:sz w:val="20"/>
          <w:szCs w:val="20"/>
          <w:color w:val="auto"/>
        </w:rPr>
      </w:pPr>
      <w:r>
        <w:rPr>
          <w:rFonts w:ascii="Arial" w:cs="Arial" w:eastAsia="Arial" w:hAnsi="Arial"/>
          <w:sz w:val="13"/>
          <w:szCs w:val="13"/>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7.11. </w:t>
      </w:r>
      <w:r>
        <w:rPr>
          <w:rFonts w:ascii="Arial" w:cs="Arial" w:eastAsia="Arial" w:hAnsi="Arial"/>
          <w:sz w:val="13"/>
          <w:szCs w:val="13"/>
          <w:u w:val="single" w:color="auto"/>
          <w:color w:val="auto"/>
        </w:rPr>
        <w:t>Preferential Collection of Claims Against Company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Trustee is subject to TIA § 311(a), excluding any creditor relationship listed in TIA § 311(b). A Trustee who has resigned or been removed shall be subject to TIA § 311(a) to the extent indicated.</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VIII.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SATISFACTION AND DISCHARGE; DEFEASANCE</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8.1. </w:t>
      </w:r>
      <w:r>
        <w:rPr>
          <w:rFonts w:ascii="Arial" w:cs="Arial" w:eastAsia="Arial" w:hAnsi="Arial"/>
          <w:sz w:val="13"/>
          <w:szCs w:val="13"/>
          <w:u w:val="single" w:color="auto"/>
          <w:color w:val="auto"/>
        </w:rPr>
        <w:t>Satisfaction and Discharge of Indenture</w:t>
      </w:r>
    </w:p>
    <w:p>
      <w:pPr>
        <w:spacing w:after="0" w:line="86" w:lineRule="exact"/>
        <w:rPr>
          <w:sz w:val="20"/>
          <w:szCs w:val="20"/>
          <w:color w:val="auto"/>
        </w:rPr>
      </w:pPr>
    </w:p>
    <w:p>
      <w:pPr>
        <w:ind w:right="160" w:firstLine="161"/>
        <w:spacing w:after="0" w:line="276" w:lineRule="auto"/>
        <w:rPr>
          <w:sz w:val="20"/>
          <w:szCs w:val="20"/>
          <w:color w:val="auto"/>
        </w:rPr>
      </w:pPr>
      <w:r>
        <w:rPr>
          <w:rFonts w:ascii="Arial" w:cs="Arial" w:eastAsia="Arial" w:hAnsi="Arial"/>
          <w:sz w:val="13"/>
          <w:szCs w:val="13"/>
          <w:color w:val="auto"/>
        </w:rPr>
        <w:t>This Indenture shall, upon Company Request, cease to be of further effect (except as to any surviving rights of registration of transfer or exchange of Securities herein expressly provided for), and the Trustee, if so requested by the Company, shall at the expense of the Company execute proper instruments acknowledging satisfaction and discharge of this Indenture, when</w:t>
      </w:r>
    </w:p>
    <w:p>
      <w:pPr>
        <w:spacing w:after="0" w:line="49" w:lineRule="exact"/>
        <w:rPr>
          <w:sz w:val="20"/>
          <w:szCs w:val="20"/>
          <w:color w:val="auto"/>
        </w:rPr>
      </w:pPr>
    </w:p>
    <w:p>
      <w:pPr>
        <w:ind w:left="680" w:hanging="455"/>
        <w:spacing w:after="0"/>
        <w:tabs>
          <w:tab w:leader="none" w:pos="680" w:val="left"/>
        </w:tabs>
        <w:numPr>
          <w:ilvl w:val="0"/>
          <w:numId w:val="47"/>
        </w:numPr>
        <w:rPr>
          <w:rFonts w:ascii="Arial" w:cs="Arial" w:eastAsia="Arial" w:hAnsi="Arial"/>
          <w:sz w:val="13"/>
          <w:szCs w:val="13"/>
          <w:color w:val="auto"/>
        </w:rPr>
      </w:pPr>
      <w:r>
        <w:rPr>
          <w:rFonts w:ascii="Arial" w:cs="Arial" w:eastAsia="Arial" w:hAnsi="Arial"/>
          <w:sz w:val="13"/>
          <w:szCs w:val="13"/>
          <w:color w:val="auto"/>
        </w:rPr>
        <w:t>either</w:t>
      </w:r>
    </w:p>
    <w:p>
      <w:pPr>
        <w:spacing w:after="0" w:line="86" w:lineRule="exact"/>
        <w:rPr>
          <w:rFonts w:ascii="Arial" w:cs="Arial" w:eastAsia="Arial" w:hAnsi="Arial"/>
          <w:sz w:val="13"/>
          <w:szCs w:val="13"/>
          <w:color w:val="auto"/>
        </w:rPr>
      </w:pPr>
    </w:p>
    <w:p>
      <w:pPr>
        <w:ind w:left="1140" w:hanging="453"/>
        <w:spacing w:after="0"/>
        <w:tabs>
          <w:tab w:leader="none" w:pos="1140" w:val="left"/>
        </w:tabs>
        <w:numPr>
          <w:ilvl w:val="1"/>
          <w:numId w:val="47"/>
        </w:numPr>
        <w:rPr>
          <w:rFonts w:ascii="Arial" w:cs="Arial" w:eastAsia="Arial" w:hAnsi="Arial"/>
          <w:sz w:val="12"/>
          <w:szCs w:val="12"/>
          <w:color w:val="auto"/>
        </w:rPr>
      </w:pPr>
      <w:r>
        <w:rPr>
          <w:rFonts w:ascii="Arial" w:cs="Arial" w:eastAsia="Arial" w:hAnsi="Arial"/>
          <w:sz w:val="12"/>
          <w:szCs w:val="12"/>
          <w:color w:val="auto"/>
        </w:rPr>
        <w:t>all Securities theretofore authenticated and delivered (other than (1) Securities that have been destroyed, lost or stolen and that have been replaced or paid as provided in Section 2.8 and</w:t>
      </w:r>
    </w:p>
    <w:p>
      <w:pPr>
        <w:spacing w:after="0" w:line="26" w:lineRule="exact"/>
        <w:rPr>
          <w:rFonts w:ascii="Arial" w:cs="Arial" w:eastAsia="Arial" w:hAnsi="Arial"/>
          <w:sz w:val="12"/>
          <w:szCs w:val="12"/>
          <w:color w:val="auto"/>
        </w:rPr>
      </w:pPr>
    </w:p>
    <w:p>
      <w:pPr>
        <w:ind w:left="1140" w:right="60" w:hanging="1"/>
        <w:spacing w:after="0" w:line="264" w:lineRule="auto"/>
        <w:tabs>
          <w:tab w:leader="none" w:pos="1326" w:val="left"/>
        </w:tabs>
        <w:numPr>
          <w:ilvl w:val="2"/>
          <w:numId w:val="47"/>
        </w:numPr>
        <w:rPr>
          <w:rFonts w:ascii="Arial" w:cs="Arial" w:eastAsia="Arial" w:hAnsi="Arial"/>
          <w:sz w:val="13"/>
          <w:szCs w:val="13"/>
          <w:color w:val="auto"/>
        </w:rPr>
      </w:pPr>
      <w:r>
        <w:rPr>
          <w:rFonts w:ascii="Arial" w:cs="Arial" w:eastAsia="Arial" w:hAnsi="Arial"/>
          <w:sz w:val="13"/>
          <w:szCs w:val="13"/>
          <w:color w:val="auto"/>
        </w:rPr>
        <w:t>Securities for whose payment money has theretofore been deposited in trust or segregated and held in trust by the Company and thereafter repaid to the Company or discharged from such trust, as provided in Section 8.5, as applicable) have been delivered to the Trustee for cancellation; or</w:t>
      </w:r>
    </w:p>
    <w:p>
      <w:pPr>
        <w:spacing w:after="0" w:line="66" w:lineRule="exact"/>
        <w:rPr>
          <w:rFonts w:ascii="Arial" w:cs="Arial" w:eastAsia="Arial" w:hAnsi="Arial"/>
          <w:sz w:val="13"/>
          <w:szCs w:val="13"/>
          <w:color w:val="auto"/>
        </w:rPr>
      </w:pPr>
    </w:p>
    <w:p>
      <w:pPr>
        <w:ind w:left="1140" w:hanging="453"/>
        <w:spacing w:after="0"/>
        <w:tabs>
          <w:tab w:leader="none" w:pos="1140" w:val="left"/>
        </w:tabs>
        <w:numPr>
          <w:ilvl w:val="1"/>
          <w:numId w:val="47"/>
        </w:numPr>
        <w:rPr>
          <w:rFonts w:ascii="Arial" w:cs="Arial" w:eastAsia="Arial" w:hAnsi="Arial"/>
          <w:sz w:val="13"/>
          <w:szCs w:val="13"/>
          <w:color w:val="auto"/>
        </w:rPr>
      </w:pPr>
      <w:r>
        <w:rPr>
          <w:rFonts w:ascii="Arial" w:cs="Arial" w:eastAsia="Arial" w:hAnsi="Arial"/>
          <w:sz w:val="13"/>
          <w:szCs w:val="13"/>
          <w:color w:val="auto"/>
        </w:rPr>
        <w:t>all such Securities not theretofore delivered to the Trustee for cancellation</w:t>
      </w:r>
    </w:p>
    <w:p>
      <w:pPr>
        <w:spacing w:after="0" w:line="86" w:lineRule="exact"/>
        <w:rPr>
          <w:rFonts w:ascii="Arial" w:cs="Arial" w:eastAsia="Arial" w:hAnsi="Arial"/>
          <w:sz w:val="13"/>
          <w:szCs w:val="13"/>
          <w:color w:val="auto"/>
        </w:rPr>
      </w:pPr>
    </w:p>
    <w:p>
      <w:pPr>
        <w:ind w:left="1600" w:hanging="461"/>
        <w:spacing w:after="0"/>
        <w:tabs>
          <w:tab w:leader="none" w:pos="1600" w:val="left"/>
        </w:tabs>
        <w:numPr>
          <w:ilvl w:val="2"/>
          <w:numId w:val="48"/>
        </w:numPr>
        <w:rPr>
          <w:rFonts w:ascii="Arial" w:cs="Arial" w:eastAsia="Arial" w:hAnsi="Arial"/>
          <w:sz w:val="13"/>
          <w:szCs w:val="13"/>
          <w:color w:val="auto"/>
        </w:rPr>
      </w:pPr>
      <w:r>
        <w:rPr>
          <w:rFonts w:ascii="Arial" w:cs="Arial" w:eastAsia="Arial" w:hAnsi="Arial"/>
          <w:sz w:val="13"/>
          <w:szCs w:val="13"/>
          <w:color w:val="auto"/>
        </w:rPr>
        <w:t>have become due and payable, or</w:t>
      </w:r>
    </w:p>
    <w:p>
      <w:pPr>
        <w:spacing w:after="0" w:line="96" w:lineRule="exact"/>
        <w:rPr>
          <w:rFonts w:ascii="Arial" w:cs="Arial" w:eastAsia="Arial" w:hAnsi="Arial"/>
          <w:sz w:val="13"/>
          <w:szCs w:val="13"/>
          <w:color w:val="auto"/>
        </w:rPr>
      </w:pPr>
    </w:p>
    <w:p>
      <w:pPr>
        <w:ind w:left="1600" w:hanging="461"/>
        <w:spacing w:after="0"/>
        <w:tabs>
          <w:tab w:leader="none" w:pos="1600" w:val="left"/>
        </w:tabs>
        <w:numPr>
          <w:ilvl w:val="2"/>
          <w:numId w:val="48"/>
        </w:numPr>
        <w:rPr>
          <w:rFonts w:ascii="Arial" w:cs="Arial" w:eastAsia="Arial" w:hAnsi="Arial"/>
          <w:sz w:val="13"/>
          <w:szCs w:val="13"/>
          <w:color w:val="auto"/>
        </w:rPr>
      </w:pPr>
      <w:r>
        <w:rPr>
          <w:rFonts w:ascii="Arial" w:cs="Arial" w:eastAsia="Arial" w:hAnsi="Arial"/>
          <w:sz w:val="13"/>
          <w:szCs w:val="13"/>
          <w:color w:val="auto"/>
        </w:rPr>
        <w:t>will become due and payable at their Stated Maturity within one year, or</w:t>
      </w:r>
    </w:p>
    <w:p>
      <w:pPr>
        <w:spacing w:after="0" w:line="96" w:lineRule="exact"/>
        <w:rPr>
          <w:rFonts w:ascii="Arial" w:cs="Arial" w:eastAsia="Arial" w:hAnsi="Arial"/>
          <w:sz w:val="13"/>
          <w:szCs w:val="13"/>
          <w:color w:val="auto"/>
        </w:rPr>
      </w:pPr>
    </w:p>
    <w:p>
      <w:pPr>
        <w:ind w:left="1600" w:hanging="461"/>
        <w:spacing w:after="0"/>
        <w:tabs>
          <w:tab w:leader="none" w:pos="1600" w:val="left"/>
        </w:tabs>
        <w:numPr>
          <w:ilvl w:val="2"/>
          <w:numId w:val="48"/>
        </w:numPr>
        <w:rPr>
          <w:rFonts w:ascii="Arial" w:cs="Arial" w:eastAsia="Arial" w:hAnsi="Arial"/>
          <w:sz w:val="13"/>
          <w:szCs w:val="13"/>
          <w:color w:val="auto"/>
        </w:rPr>
      </w:pPr>
      <w:r>
        <w:rPr>
          <w:rFonts w:ascii="Arial" w:cs="Arial" w:eastAsia="Arial" w:hAnsi="Arial"/>
          <w:sz w:val="13"/>
          <w:szCs w:val="13"/>
          <w:color w:val="auto"/>
        </w:rPr>
        <w:t>have been called for redemption or are to be called for redemption within one year under arrangements satisfactory to the Trustee for the giving of</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55" w:name="page56"/>
    <w:bookmarkEnd w:id="55"/>
    <w:p>
      <w:pPr>
        <w:ind w:left="1600"/>
        <w:spacing w:after="0"/>
        <w:rPr>
          <w:sz w:val="20"/>
          <w:szCs w:val="20"/>
          <w:color w:val="auto"/>
        </w:rPr>
      </w:pPr>
      <w:r>
        <w:rPr>
          <w:rFonts w:ascii="Arial" w:cs="Arial" w:eastAsia="Arial" w:hAnsi="Arial"/>
          <w:sz w:val="13"/>
          <w:szCs w:val="13"/>
          <w:color w:val="auto"/>
        </w:rPr>
        <w:t>notice of redemption by the Trustee in the name, and at the expense, of the Company, or</w:t>
      </w:r>
    </w:p>
    <w:p>
      <w:pPr>
        <w:spacing w:after="0" w:line="96" w:lineRule="exact"/>
        <w:rPr>
          <w:sz w:val="20"/>
          <w:szCs w:val="20"/>
          <w:color w:val="auto"/>
        </w:rPr>
      </w:pPr>
    </w:p>
    <w:p>
      <w:pPr>
        <w:ind w:left="1600" w:hanging="461"/>
        <w:spacing w:after="0"/>
        <w:tabs>
          <w:tab w:leader="none" w:pos="16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are deemed paid and discharged pursuant to Section 8.3, as applicable;</w:t>
      </w:r>
    </w:p>
    <w:p>
      <w:pPr>
        <w:spacing w:after="0" w:line="86"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and the Company, in the case of (1), (2) or (3) above, has deposited or caused to be deposited with the Trustee as trust funds in trust for such purpose, money or U.S. Government Obligations or a combination thereof sufficient (unless funds consist solely of money) in the opinion of a nationally recognized firm of independent public accountants expressed in a written certification thereof delivered to the Trustee, without consideration of any reinvestment, to pay and discharge the entire indebtedness on such Securities not theretofore delivered to the Trustee for cancellation, for principal and interest to the date of such deposit (in the case of Securities which have become due and payable) or to the Stated Maturity or Redemption Date, as the case may be;</w:t>
      </w:r>
    </w:p>
    <w:p>
      <w:pPr>
        <w:spacing w:after="0" w:line="60" w:lineRule="exact"/>
        <w:rPr>
          <w:sz w:val="20"/>
          <w:szCs w:val="20"/>
          <w:color w:val="auto"/>
        </w:rPr>
      </w:pPr>
    </w:p>
    <w:p>
      <w:pPr>
        <w:ind w:left="680" w:hanging="455"/>
        <w:spacing w:after="0"/>
        <w:tabs>
          <w:tab w:leader="none" w:pos="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Company has paid or caused to be paid all other sums payable hereunder by the Company; and</w:t>
      </w:r>
    </w:p>
    <w:p>
      <w:pPr>
        <w:spacing w:after="0" w:line="96" w:lineRule="exact"/>
        <w:rPr>
          <w:rFonts w:ascii="Arial" w:cs="Arial" w:eastAsia="Arial" w:hAnsi="Arial"/>
          <w:sz w:val="13"/>
          <w:szCs w:val="13"/>
          <w:color w:val="auto"/>
        </w:rPr>
      </w:pPr>
    </w:p>
    <w:p>
      <w:pPr>
        <w:ind w:left="680" w:right="160" w:hanging="455"/>
        <w:spacing w:after="0" w:line="276" w:lineRule="auto"/>
        <w:tabs>
          <w:tab w:leader="none" w:pos="68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49"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8.5 and 8.6 shall survive.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8.2. </w:t>
      </w:r>
      <w:r>
        <w:rPr>
          <w:rFonts w:ascii="Arial" w:cs="Arial" w:eastAsia="Arial" w:hAnsi="Arial"/>
          <w:sz w:val="13"/>
          <w:szCs w:val="13"/>
          <w:u w:val="single" w:color="auto"/>
          <w:color w:val="auto"/>
        </w:rPr>
        <w:t>Application of Trust Funds; Indemnification</w:t>
      </w:r>
    </w:p>
    <w:p>
      <w:pPr>
        <w:spacing w:after="0" w:line="86" w:lineRule="exact"/>
        <w:rPr>
          <w:sz w:val="20"/>
          <w:szCs w:val="20"/>
          <w:color w:val="auto"/>
        </w:rPr>
      </w:pPr>
    </w:p>
    <w:p>
      <w:pPr>
        <w:ind w:left="680" w:hanging="455"/>
        <w:spacing w:after="0" w:line="285" w:lineRule="auto"/>
        <w:tabs>
          <w:tab w:leader="none" w:pos="680" w:val="left"/>
        </w:tabs>
        <w:numPr>
          <w:ilvl w:val="0"/>
          <w:numId w:val="51"/>
        </w:numPr>
        <w:rPr>
          <w:rFonts w:ascii="Arial" w:cs="Arial" w:eastAsia="Arial" w:hAnsi="Arial"/>
          <w:sz w:val="12"/>
          <w:szCs w:val="12"/>
          <w:color w:val="auto"/>
        </w:rPr>
      </w:pPr>
      <w:r>
        <w:rPr>
          <w:rFonts w:ascii="Arial" w:cs="Arial" w:eastAsia="Arial" w:hAnsi="Arial"/>
          <w:sz w:val="12"/>
          <w:szCs w:val="12"/>
          <w:color w:val="auto"/>
        </w:rPr>
        <w:t>Subject to the provisions of Section 8.5, all money and U.S. Government Obligations deposited with the Trustee pursuant to Section 8.1, all money and U.S. Government Obligations or Foreign Government Obligations deposited with the Trustee pursuant to Sections 8.3 or 8.4 and all money received by the Trustee in respect of U.S. Government Obligations or Foreign Government Obligations deposited with the Trustee pursuant to Sections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8.3 or 8.4.</w:t>
      </w:r>
    </w:p>
    <w:p>
      <w:pPr>
        <w:spacing w:after="0" w:line="55" w:lineRule="exact"/>
        <w:rPr>
          <w:rFonts w:ascii="Arial" w:cs="Arial" w:eastAsia="Arial" w:hAnsi="Arial"/>
          <w:sz w:val="12"/>
          <w:szCs w:val="12"/>
          <w:color w:val="auto"/>
        </w:rPr>
      </w:pPr>
    </w:p>
    <w:p>
      <w:pPr>
        <w:ind w:left="680" w:right="280" w:hanging="455"/>
        <w:spacing w:after="0" w:line="276" w:lineRule="auto"/>
        <w:tabs>
          <w:tab w:leader="none" w:pos="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59" w:lineRule="exact"/>
        <w:rPr>
          <w:rFonts w:ascii="Arial" w:cs="Arial" w:eastAsia="Arial" w:hAnsi="Arial"/>
          <w:sz w:val="13"/>
          <w:szCs w:val="13"/>
          <w:color w:val="auto"/>
        </w:rPr>
      </w:pPr>
    </w:p>
    <w:p>
      <w:pPr>
        <w:ind w:left="680" w:right="440" w:hanging="455"/>
        <w:spacing w:after="0" w:line="276" w:lineRule="auto"/>
        <w:tabs>
          <w:tab w:leader="none" w:pos="68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Trustee shall deliver or pay to the Company from time to time upon Company Request any U.S. Government Obligations or Foreign Government Obligations or money held by it as provided in Sections 8.1, 8.3 or 8.4 which, in the opinion of a nationally recognized firm of independent certified public accountants expressed in a written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56" w:name="page57"/>
    <w:bookmarkEnd w:id="56"/>
    <w:p>
      <w:pPr>
        <w:jc w:val="both"/>
        <w:ind w:left="680" w:right="120"/>
        <w:spacing w:after="0" w:line="264" w:lineRule="auto"/>
        <w:rPr>
          <w:sz w:val="20"/>
          <w:szCs w:val="20"/>
          <w:color w:val="auto"/>
        </w:rPr>
      </w:pPr>
      <w:r>
        <w:rPr>
          <w:rFonts w:ascii="Arial" w:cs="Arial" w:eastAsia="Arial" w:hAnsi="Arial"/>
          <w:sz w:val="13"/>
          <w:szCs w:val="13"/>
          <w:color w:val="auto"/>
        </w:rPr>
        <w:t>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8.3. </w:t>
      </w:r>
      <w:r>
        <w:rPr>
          <w:rFonts w:ascii="Arial" w:cs="Arial" w:eastAsia="Arial" w:hAnsi="Arial"/>
          <w:sz w:val="13"/>
          <w:szCs w:val="13"/>
          <w:u w:val="single" w:color="auto"/>
          <w:color w:val="auto"/>
        </w:rPr>
        <w:t>Legal Defeasance of Securities of any Series</w:t>
      </w:r>
    </w:p>
    <w:p>
      <w:pPr>
        <w:spacing w:after="0" w:line="86" w:lineRule="exact"/>
        <w:rPr>
          <w:sz w:val="20"/>
          <w:szCs w:val="20"/>
          <w:color w:val="auto"/>
        </w:rPr>
      </w:pPr>
    </w:p>
    <w:p>
      <w:pPr>
        <w:ind w:right="20" w:firstLine="164"/>
        <w:spacing w:after="0" w:line="296" w:lineRule="auto"/>
        <w:rPr>
          <w:sz w:val="20"/>
          <w:szCs w:val="20"/>
          <w:color w:val="auto"/>
        </w:rPr>
      </w:pPr>
      <w:r>
        <w:rPr>
          <w:rFonts w:ascii="Arial" w:cs="Arial" w:eastAsia="Arial" w:hAnsi="Arial"/>
          <w:sz w:val="12"/>
          <w:szCs w:val="12"/>
          <w:color w:val="auto"/>
        </w:rPr>
        <w:t>Unless this Section 8.3 is otherwise specified, pursuant to Section 2.2.22,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at Company Request, execute proper instruments acknowledging the same), except as to:</w:t>
      </w:r>
    </w:p>
    <w:p>
      <w:pPr>
        <w:spacing w:after="0" w:line="40" w:lineRule="exact"/>
        <w:rPr>
          <w:sz w:val="20"/>
          <w:szCs w:val="20"/>
          <w:color w:val="auto"/>
        </w:rPr>
      </w:pPr>
    </w:p>
    <w:p>
      <w:pPr>
        <w:ind w:left="680" w:hanging="455"/>
        <w:spacing w:after="0" w:line="296" w:lineRule="auto"/>
        <w:tabs>
          <w:tab w:leader="none" w:pos="680" w:val="left"/>
        </w:tabs>
        <w:numPr>
          <w:ilvl w:val="0"/>
          <w:numId w:val="52"/>
        </w:numPr>
        <w:rPr>
          <w:rFonts w:ascii="Arial" w:cs="Arial" w:eastAsia="Arial" w:hAnsi="Arial"/>
          <w:sz w:val="12"/>
          <w:szCs w:val="12"/>
          <w:color w:val="auto"/>
        </w:rPr>
      </w:pPr>
      <w:r>
        <w:rPr>
          <w:rFonts w:ascii="Arial" w:cs="Arial" w:eastAsia="Arial" w:hAnsi="Arial"/>
          <w:sz w:val="12"/>
          <w:szCs w:val="12"/>
          <w:color w:val="auto"/>
        </w:rPr>
        <w:t>the rights of Holders of Securities of such Series to receive, from the trust funds described in subparagraph (d) hereof, (i) payment of the principal of and each installment of principal of and interest on the outstanding Securities of such Series on the Stated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49" w:lineRule="exact"/>
        <w:rPr>
          <w:rFonts w:ascii="Arial" w:cs="Arial" w:eastAsia="Arial" w:hAnsi="Arial"/>
          <w:sz w:val="12"/>
          <w:szCs w:val="12"/>
          <w:color w:val="auto"/>
        </w:rPr>
      </w:pPr>
    </w:p>
    <w:p>
      <w:pPr>
        <w:ind w:left="680" w:hanging="455"/>
        <w:spacing w:after="0"/>
        <w:tabs>
          <w:tab w:leader="none" w:pos="6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provisions of Sections 2.4, 2.7, 2.8, 8.2, 8.3 and 8.5;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rights, powers, trust and immunities of the Trustee hereunder;</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provided that, the following conditions shall have been satisfied:</w:t>
      </w:r>
    </w:p>
    <w:p>
      <w:pPr>
        <w:spacing w:after="0" w:line="86" w:lineRule="exact"/>
        <w:rPr>
          <w:sz w:val="20"/>
          <w:szCs w:val="20"/>
          <w:color w:val="auto"/>
        </w:rPr>
      </w:pPr>
    </w:p>
    <w:p>
      <w:pPr>
        <w:ind w:left="680" w:hanging="455"/>
        <w:spacing w:after="0" w:line="256" w:lineRule="auto"/>
        <w:tabs>
          <w:tab w:leader="none" w:pos="68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Company shall have deposited or caused to be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all the Securities of such Series on the dates such installments of interest or principal and such sinking fund payments are due;</w:t>
      </w:r>
    </w:p>
    <w:p>
      <w:pPr>
        <w:spacing w:after="0" w:line="73" w:lineRule="exact"/>
        <w:rPr>
          <w:rFonts w:ascii="Arial" w:cs="Arial" w:eastAsia="Arial" w:hAnsi="Arial"/>
          <w:sz w:val="13"/>
          <w:szCs w:val="13"/>
          <w:color w:val="auto"/>
        </w:rPr>
      </w:pPr>
    </w:p>
    <w:p>
      <w:pPr>
        <w:ind w:left="680" w:hanging="455"/>
        <w:spacing w:after="0"/>
        <w:tabs>
          <w:tab w:leader="none" w:pos="680" w:val="left"/>
        </w:tabs>
        <w:numPr>
          <w:ilvl w:val="0"/>
          <w:numId w:val="53"/>
        </w:numPr>
        <w:rPr>
          <w:rFonts w:ascii="Arial" w:cs="Arial" w:eastAsia="Arial" w:hAnsi="Arial"/>
          <w:sz w:val="12"/>
          <w:szCs w:val="12"/>
          <w:color w:val="auto"/>
        </w:rPr>
      </w:pPr>
      <w:r>
        <w:rPr>
          <w:rFonts w:ascii="Arial" w:cs="Arial" w:eastAsia="Arial" w:hAnsi="Arial"/>
          <w:sz w:val="12"/>
          <w:szCs w:val="12"/>
          <w:color w:val="auto"/>
        </w:rPr>
        <w:t>such deposit will not result in a breach or violation of, or constitute a default under, this Indenture or any other agreement or instrument to which the Company is a party or by which it is bound;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57" w:name="page58"/>
    <w:bookmarkEnd w:id="57"/>
    <w:p>
      <w:pPr>
        <w:ind w:left="680" w:hanging="455"/>
        <w:spacing w:after="0"/>
        <w:tabs>
          <w:tab w:leader="none" w:pos="680" w:val="left"/>
        </w:tabs>
        <w:numPr>
          <w:ilvl w:val="0"/>
          <w:numId w:val="54"/>
        </w:numPr>
        <w:rPr>
          <w:rFonts w:ascii="Arial" w:cs="Arial" w:eastAsia="Arial" w:hAnsi="Arial"/>
          <w:sz w:val="12"/>
          <w:szCs w:val="12"/>
          <w:color w:val="auto"/>
        </w:rPr>
      </w:pPr>
      <w:r>
        <w:rPr>
          <w:rFonts w:ascii="Arial" w:cs="Arial" w:eastAsia="Arial" w:hAnsi="Arial"/>
          <w:sz w:val="12"/>
          <w:szCs w:val="12"/>
          <w:color w:val="auto"/>
        </w:rPr>
        <w:t>no Default or Event of Default with respect to the Securities of such Series shall have occurred and be continuing on the date of such deposit or during the period ending on the 91st day after such date;</w:t>
      </w:r>
    </w:p>
    <w:p>
      <w:pPr>
        <w:spacing w:after="0" w:line="107" w:lineRule="exact"/>
        <w:rPr>
          <w:rFonts w:ascii="Arial" w:cs="Arial" w:eastAsia="Arial" w:hAnsi="Arial"/>
          <w:sz w:val="12"/>
          <w:szCs w:val="12"/>
          <w:color w:val="auto"/>
        </w:rPr>
      </w:pPr>
    </w:p>
    <w:p>
      <w:pPr>
        <w:ind w:left="680" w:hanging="455"/>
        <w:spacing w:after="0" w:line="322" w:lineRule="auto"/>
        <w:tabs>
          <w:tab w:leader="none" w:pos="680" w:val="left"/>
        </w:tabs>
        <w:numPr>
          <w:ilvl w:val="0"/>
          <w:numId w:val="54"/>
        </w:numPr>
        <w:rPr>
          <w:rFonts w:ascii="Arial" w:cs="Arial" w:eastAsia="Arial" w:hAnsi="Arial"/>
          <w:sz w:val="11"/>
          <w:szCs w:val="11"/>
          <w:color w:val="auto"/>
        </w:rPr>
      </w:pPr>
      <w:r>
        <w:rPr>
          <w:rFonts w:ascii="Arial" w:cs="Arial" w:eastAsia="Arial" w:hAnsi="Arial"/>
          <w:sz w:val="11"/>
          <w:szCs w:val="11"/>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38" w:lineRule="exact"/>
        <w:rPr>
          <w:rFonts w:ascii="Arial" w:cs="Arial" w:eastAsia="Arial" w:hAnsi="Arial"/>
          <w:sz w:val="11"/>
          <w:szCs w:val="11"/>
          <w:color w:val="auto"/>
        </w:rPr>
      </w:pPr>
    </w:p>
    <w:p>
      <w:pPr>
        <w:ind w:left="680" w:right="100" w:hanging="455"/>
        <w:spacing w:after="0" w:line="276" w:lineRule="auto"/>
        <w:tabs>
          <w:tab w:leader="none" w:pos="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Company shall have delivered to the Trustee an Officers’ Certificate stating that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59" w:lineRule="exact"/>
        <w:rPr>
          <w:rFonts w:ascii="Arial" w:cs="Arial" w:eastAsia="Arial" w:hAnsi="Arial"/>
          <w:sz w:val="13"/>
          <w:szCs w:val="13"/>
          <w:color w:val="auto"/>
        </w:rPr>
      </w:pPr>
    </w:p>
    <w:p>
      <w:pPr>
        <w:ind w:left="680" w:right="180" w:hanging="455"/>
        <w:spacing w:after="0" w:line="276" w:lineRule="auto"/>
        <w:tabs>
          <w:tab w:leader="none" w:pos="68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8.4. </w:t>
      </w:r>
      <w:r>
        <w:rPr>
          <w:rFonts w:ascii="Arial" w:cs="Arial" w:eastAsia="Arial" w:hAnsi="Arial"/>
          <w:sz w:val="13"/>
          <w:szCs w:val="13"/>
          <w:u w:val="single" w:color="auto"/>
          <w:color w:val="auto"/>
        </w:rPr>
        <w:t>Covenant Defeasance</w:t>
      </w:r>
    </w:p>
    <w:p>
      <w:pPr>
        <w:spacing w:after="0" w:line="86" w:lineRule="exact"/>
        <w:rPr>
          <w:sz w:val="20"/>
          <w:szCs w:val="20"/>
          <w:color w:val="auto"/>
        </w:rPr>
      </w:pPr>
    </w:p>
    <w:p>
      <w:pPr>
        <w:ind w:right="100" w:firstLine="164"/>
        <w:spacing w:after="0" w:line="285" w:lineRule="auto"/>
        <w:rPr>
          <w:sz w:val="20"/>
          <w:szCs w:val="20"/>
          <w:color w:val="auto"/>
        </w:rPr>
      </w:pPr>
      <w:r>
        <w:rPr>
          <w:rFonts w:ascii="Arial" w:cs="Arial" w:eastAsia="Arial" w:hAnsi="Arial"/>
          <w:sz w:val="12"/>
          <w:szCs w:val="12"/>
          <w:color w:val="auto"/>
        </w:rPr>
        <w:t>Unless this Section 8.4 is otherwise specified pursuant to Section 2.2.22 to be inapplicable to Securities of any Series, the Company may omit to comply with respect to the Securities of any Series with any term, provision or condition set forth under Sections 4.2, 4.3, 4.4, 4.5 and 5.1 as well as any additional covenants specified in a supplemental indenture for such Series of Securities or a Board Resolution or an Officers’ Certificate delivered pursuant to Section 2.2.22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2.2.18 and designated as an Event of Default shall not constitute a Default or Event of Default hereunder, with respect to the Securities of such Series, provided that the following conditions shall have been satisfied:</w:t>
      </w:r>
    </w:p>
    <w:p>
      <w:pPr>
        <w:spacing w:after="0" w:line="46" w:lineRule="exact"/>
        <w:rPr>
          <w:sz w:val="20"/>
          <w:szCs w:val="20"/>
          <w:color w:val="auto"/>
        </w:rPr>
      </w:pPr>
    </w:p>
    <w:p>
      <w:pPr>
        <w:ind w:left="680" w:right="20" w:hanging="455"/>
        <w:spacing w:after="0" w:line="312" w:lineRule="auto"/>
        <w:tabs>
          <w:tab w:leader="none" w:pos="680" w:val="left"/>
        </w:tabs>
        <w:numPr>
          <w:ilvl w:val="0"/>
          <w:numId w:val="55"/>
        </w:numPr>
        <w:rPr>
          <w:rFonts w:ascii="Arial" w:cs="Arial" w:eastAsia="Arial" w:hAnsi="Arial"/>
          <w:sz w:val="11"/>
          <w:szCs w:val="11"/>
          <w:color w:val="auto"/>
        </w:rPr>
      </w:pPr>
      <w:r>
        <w:rPr>
          <w:rFonts w:ascii="Arial" w:cs="Arial" w:eastAsia="Arial" w:hAnsi="Arial"/>
          <w:sz w:val="11"/>
          <w:szCs w:val="11"/>
          <w:color w:val="auto"/>
        </w:rPr>
        <w:t>With reference to this Section 8.4, the Company has deposited or caused to be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expressed in a written certification thereof delivered to the Trustee, to pay and discharge each installment of principal of and interest, if any, on and any mandatory sinking fund payments in respect of the Securities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99" w:right="219" w:bottom="1440" w:gutter="0" w:footer="0" w:header="0"/>
        </w:sectPr>
      </w:pPr>
    </w:p>
    <w:bookmarkStart w:id="58" w:name="page59"/>
    <w:bookmarkEnd w:id="58"/>
    <w:p>
      <w:pPr>
        <w:ind w:left="680"/>
        <w:spacing w:after="0"/>
        <w:rPr>
          <w:sz w:val="20"/>
          <w:szCs w:val="20"/>
          <w:color w:val="auto"/>
        </w:rPr>
      </w:pPr>
      <w:r>
        <w:rPr>
          <w:rFonts w:ascii="Arial" w:cs="Arial" w:eastAsia="Arial" w:hAnsi="Arial"/>
          <w:sz w:val="13"/>
          <w:szCs w:val="13"/>
          <w:color w:val="auto"/>
        </w:rPr>
        <w:t>of such Series on the dates such installments of interest or principal and such sinking fund payments are due;</w:t>
      </w:r>
    </w:p>
    <w:p>
      <w:pPr>
        <w:spacing w:after="0" w:line="96" w:lineRule="exact"/>
        <w:rPr>
          <w:sz w:val="20"/>
          <w:szCs w:val="20"/>
          <w:color w:val="auto"/>
        </w:rPr>
      </w:pPr>
    </w:p>
    <w:p>
      <w:pPr>
        <w:ind w:left="680" w:hanging="455"/>
        <w:spacing w:after="0"/>
        <w:tabs>
          <w:tab w:leader="none" w:pos="6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Such deposit will not result in a breach or violation of, or constitute a default under, this Indenture or any other agreement or instrument to which the Company is a party or by which it is bound;</w:t>
      </w:r>
    </w:p>
    <w:p>
      <w:pPr>
        <w:spacing w:after="0" w:line="107" w:lineRule="exact"/>
        <w:rPr>
          <w:rFonts w:ascii="Arial" w:cs="Arial" w:eastAsia="Arial" w:hAnsi="Arial"/>
          <w:sz w:val="12"/>
          <w:szCs w:val="12"/>
          <w:color w:val="auto"/>
        </w:rPr>
      </w:pPr>
    </w:p>
    <w:p>
      <w:pPr>
        <w:ind w:left="680" w:hanging="455"/>
        <w:spacing w:after="0"/>
        <w:tabs>
          <w:tab w:leader="none" w:pos="6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No Default or Event of Default with respect to the Securities of such Series shall have occurred and be continuing on the date of such deposit;</w:t>
      </w:r>
    </w:p>
    <w:p>
      <w:pPr>
        <w:spacing w:after="0" w:line="96" w:lineRule="exact"/>
        <w:rPr>
          <w:rFonts w:ascii="Arial" w:cs="Arial" w:eastAsia="Arial" w:hAnsi="Arial"/>
          <w:sz w:val="13"/>
          <w:szCs w:val="13"/>
          <w:color w:val="auto"/>
        </w:rPr>
      </w:pPr>
    </w:p>
    <w:p>
      <w:pPr>
        <w:ind w:left="680" w:hanging="455"/>
        <w:spacing w:after="0" w:line="264" w:lineRule="auto"/>
        <w:tabs>
          <w:tab w:leader="none" w:pos="6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Company shall have delivered to the Trustee an Opinion of Counsel to the effect that Holders of the Securities of such Series will not recognize income, gain or loss for federal income tax purposes as a result of such deposit and covenant defeasance and will be subject to federal income tax on the same amounts, in the same manner and at the same times as would have been the case if such deposit and covenant defeasance had not occurred;</w:t>
      </w:r>
    </w:p>
    <w:p>
      <w:pPr>
        <w:spacing w:after="0" w:line="66"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Company shall have delivered to the Trustee an Officers’ Certificate stating the deposit was not made by the Company with the intent of preferring the Holders of the Securities of such Series over any other creditors of the Company or with the intent of defeating, hindering, delaying or defrauding any other creditors of the Company; and</w:t>
      </w:r>
    </w:p>
    <w:p>
      <w:pPr>
        <w:spacing w:after="0" w:line="59" w:lineRule="exact"/>
        <w:rPr>
          <w:rFonts w:ascii="Arial" w:cs="Arial" w:eastAsia="Arial" w:hAnsi="Arial"/>
          <w:sz w:val="13"/>
          <w:szCs w:val="13"/>
          <w:color w:val="auto"/>
        </w:rPr>
      </w:pPr>
    </w:p>
    <w:p>
      <w:pPr>
        <w:ind w:left="680" w:right="380" w:hanging="455"/>
        <w:spacing w:after="0" w:line="276" w:lineRule="auto"/>
        <w:tabs>
          <w:tab w:leader="none" w:pos="6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8.5. </w:t>
      </w:r>
      <w:r>
        <w:rPr>
          <w:rFonts w:ascii="Arial" w:cs="Arial" w:eastAsia="Arial" w:hAnsi="Arial"/>
          <w:sz w:val="13"/>
          <w:szCs w:val="13"/>
          <w:u w:val="single" w:color="auto"/>
          <w:color w:val="auto"/>
        </w:rPr>
        <w:t>Repayment to Company</w:t>
      </w:r>
    </w:p>
    <w:p>
      <w:pPr>
        <w:spacing w:after="0" w:line="86" w:lineRule="exact"/>
        <w:rPr>
          <w:sz w:val="20"/>
          <w:szCs w:val="20"/>
          <w:color w:val="auto"/>
        </w:rPr>
      </w:pPr>
    </w:p>
    <w:p>
      <w:pPr>
        <w:ind w:right="80" w:firstLine="161"/>
        <w:spacing w:after="0" w:line="276" w:lineRule="auto"/>
        <w:rPr>
          <w:sz w:val="20"/>
          <w:szCs w:val="20"/>
          <w:color w:val="auto"/>
        </w:rPr>
      </w:pPr>
      <w:r>
        <w:rPr>
          <w:rFonts w:ascii="Arial" w:cs="Arial" w:eastAsia="Arial" w:hAnsi="Arial"/>
          <w:sz w:val="13"/>
          <w:szCs w:val="13"/>
          <w:color w:val="auto"/>
        </w:rPr>
        <w:t>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8.6. </w:t>
      </w:r>
      <w:r>
        <w:rPr>
          <w:rFonts w:ascii="Arial" w:cs="Arial" w:eastAsia="Arial" w:hAnsi="Arial"/>
          <w:sz w:val="13"/>
          <w:szCs w:val="13"/>
          <w:u w:val="single" w:color="auto"/>
          <w:color w:val="auto"/>
        </w:rPr>
        <w:t>Reinstatement</w:t>
      </w:r>
    </w:p>
    <w:p>
      <w:pPr>
        <w:spacing w:after="0" w:line="86" w:lineRule="exact"/>
        <w:rPr>
          <w:sz w:val="20"/>
          <w:szCs w:val="20"/>
          <w:color w:val="auto"/>
        </w:rPr>
      </w:pPr>
    </w:p>
    <w:p>
      <w:pPr>
        <w:ind w:right="60" w:firstLine="164"/>
        <w:spacing w:after="0" w:line="285" w:lineRule="auto"/>
        <w:rPr>
          <w:sz w:val="20"/>
          <w:szCs w:val="20"/>
          <w:color w:val="auto"/>
        </w:rPr>
      </w:pPr>
      <w:r>
        <w:rPr>
          <w:rFonts w:ascii="Arial" w:cs="Arial" w:eastAsia="Arial" w:hAnsi="Arial"/>
          <w:sz w:val="12"/>
          <w:szCs w:val="12"/>
          <w:color w:val="auto"/>
        </w:rPr>
        <w:t>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provided, however, that if the Company has made any payment of principal of or interest on any Securities because of the reinstatement of its obligations, the Company shall be subrogated to the rights of the Holders of such Securities to receive such payment from the money held by the Trustee or Paying Agent.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IX.</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AMENDMENTS AND WAIVERS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9.1. </w:t>
      </w:r>
      <w:r>
        <w:rPr>
          <w:rFonts w:ascii="Arial" w:cs="Arial" w:eastAsia="Arial" w:hAnsi="Arial"/>
          <w:sz w:val="13"/>
          <w:szCs w:val="13"/>
          <w:u w:val="single" w:color="auto"/>
          <w:color w:val="auto"/>
        </w:rPr>
        <w:t>Without Consent of Holders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59" w:name="page60"/>
    <w:bookmarkEnd w:id="59"/>
    <w:p>
      <w:pPr>
        <w:ind w:left="160"/>
        <w:spacing w:after="0"/>
        <w:rPr>
          <w:sz w:val="20"/>
          <w:szCs w:val="20"/>
          <w:color w:val="auto"/>
        </w:rPr>
      </w:pPr>
      <w:r>
        <w:rPr>
          <w:rFonts w:ascii="Arial" w:cs="Arial" w:eastAsia="Arial" w:hAnsi="Arial"/>
          <w:sz w:val="13"/>
          <w:szCs w:val="13"/>
          <w:color w:val="auto"/>
        </w:rPr>
        <w:t>The Company and the Trustee may amend or supplement this Indenture or the Securities of one or more Series without the consent of any Securityholder:</w:t>
      </w:r>
    </w:p>
    <w:p>
      <w:pPr>
        <w:spacing w:after="0" w:line="86" w:lineRule="exact"/>
        <w:rPr>
          <w:sz w:val="20"/>
          <w:szCs w:val="20"/>
          <w:color w:val="auto"/>
        </w:rPr>
      </w:pPr>
    </w:p>
    <w:p>
      <w:pPr>
        <w:ind w:left="680" w:hanging="455"/>
        <w:spacing w:after="0"/>
        <w:tabs>
          <w:tab w:leader="none" w:pos="6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to cure any ambiguity, defect or inconsistency;</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to provide for a supplemental indenture as set forth in Article V;</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to provide for uncertificated Securities in addition to or in place of certificated Securities;</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to make any change that does not adversely affect the rights of any Securityholder;</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to provide for the issuance of and establish the form and terms and conditions of Securities of any Series as permitted by this Indenture;</w:t>
      </w:r>
    </w:p>
    <w:p>
      <w:pPr>
        <w:spacing w:after="0" w:line="96" w:lineRule="exact"/>
        <w:rPr>
          <w:rFonts w:ascii="Arial" w:cs="Arial" w:eastAsia="Arial" w:hAnsi="Arial"/>
          <w:sz w:val="13"/>
          <w:szCs w:val="13"/>
          <w:color w:val="auto"/>
        </w:rPr>
      </w:pPr>
    </w:p>
    <w:p>
      <w:pPr>
        <w:ind w:left="680" w:right="380" w:hanging="455"/>
        <w:spacing w:after="0" w:line="276" w:lineRule="auto"/>
        <w:tabs>
          <w:tab w:leader="none" w:pos="6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to comply with requirements of the SEC in order to effect or maintain the qualification of this Indenture under the TIA.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9.2. </w:t>
      </w:r>
      <w:r>
        <w:rPr>
          <w:rFonts w:ascii="Arial" w:cs="Arial" w:eastAsia="Arial" w:hAnsi="Arial"/>
          <w:sz w:val="13"/>
          <w:szCs w:val="13"/>
          <w:u w:val="single" w:color="auto"/>
          <w:color w:val="auto"/>
        </w:rPr>
        <w:t>With Consent of Holders</w:t>
      </w:r>
    </w:p>
    <w:p>
      <w:pPr>
        <w:spacing w:after="0" w:line="86" w:lineRule="exact"/>
        <w:rPr>
          <w:sz w:val="20"/>
          <w:szCs w:val="20"/>
          <w:color w:val="auto"/>
        </w:rPr>
      </w:pPr>
    </w:p>
    <w:p>
      <w:pPr>
        <w:ind w:firstLine="161"/>
        <w:spacing w:after="0" w:line="285" w:lineRule="auto"/>
        <w:rPr>
          <w:sz w:val="20"/>
          <w:szCs w:val="20"/>
          <w:color w:val="auto"/>
        </w:rPr>
      </w:pPr>
      <w:r>
        <w:rPr>
          <w:rFonts w:ascii="Arial" w:cs="Arial" w:eastAsia="Arial" w:hAnsi="Arial"/>
          <w:sz w:val="12"/>
          <w:szCs w:val="12"/>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46" w:lineRule="exact"/>
        <w:rPr>
          <w:sz w:val="20"/>
          <w:szCs w:val="20"/>
          <w:color w:val="auto"/>
        </w:rPr>
      </w:pPr>
    </w:p>
    <w:p>
      <w:pPr>
        <w:ind w:right="100" w:firstLine="164"/>
        <w:spacing w:after="0" w:line="260" w:lineRule="auto"/>
        <w:rPr>
          <w:sz w:val="20"/>
          <w:szCs w:val="20"/>
          <w:color w:val="auto"/>
        </w:rPr>
      </w:pPr>
      <w:r>
        <w:rPr>
          <w:rFonts w:ascii="Arial" w:cs="Arial" w:eastAsia="Arial" w:hAnsi="Arial"/>
          <w:sz w:val="13"/>
          <w:szCs w:val="13"/>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mail to the Holders of Securities affected thereby, a notice briefly describing the supplemental indenture or waiver. Any failure by the Company to mail or publish such notice, or any defect therein, shall not, however, in any way impair or affect the validity of any such supplemental indenture or waiver.</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9.3. </w:t>
      </w:r>
      <w:r>
        <w:rPr>
          <w:rFonts w:ascii="Arial" w:cs="Arial" w:eastAsia="Arial" w:hAnsi="Arial"/>
          <w:sz w:val="13"/>
          <w:szCs w:val="13"/>
          <w:u w:val="single" w:color="auto"/>
          <w:color w:val="auto"/>
        </w:rPr>
        <w:t>Limitations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Without the consent of each Securityholder affected, an amendment or waiver may not:</w:t>
      </w:r>
    </w:p>
    <w:p>
      <w:pPr>
        <w:spacing w:after="0" w:line="86" w:lineRule="exact"/>
        <w:rPr>
          <w:sz w:val="20"/>
          <w:szCs w:val="20"/>
          <w:color w:val="auto"/>
        </w:rPr>
      </w:pPr>
    </w:p>
    <w:p>
      <w:pPr>
        <w:ind w:left="5660" w:right="4820" w:hanging="5435"/>
        <w:spacing w:after="0" w:line="497" w:lineRule="auto"/>
        <w:tabs>
          <w:tab w:leader="none" w:pos="668" w:val="left"/>
        </w:tabs>
        <w:numPr>
          <w:ilvl w:val="0"/>
          <w:numId w:val="58"/>
        </w:numPr>
        <w:rPr>
          <w:rFonts w:ascii="Arial" w:cs="Arial" w:eastAsia="Arial" w:hAnsi="Arial"/>
          <w:sz w:val="13"/>
          <w:szCs w:val="13"/>
          <w:color w:val="auto"/>
        </w:rPr>
      </w:pPr>
      <w:r>
        <w:rPr>
          <w:rFonts w:ascii="Arial" w:cs="Arial" w:eastAsia="Arial" w:hAnsi="Arial"/>
          <w:sz w:val="13"/>
          <w:szCs w:val="13"/>
          <w:color w:val="auto"/>
        </w:rPr>
        <w:t>reduce the principal amount of Securities whose Holders must consent to an amendment, supplement or waiver;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20" w:right="319" w:bottom="1440" w:gutter="0" w:footer="0" w:header="0"/>
        </w:sectPr>
      </w:pPr>
    </w:p>
    <w:bookmarkStart w:id="60" w:name="page61"/>
    <w:bookmarkEnd w:id="60"/>
    <w:p>
      <w:pPr>
        <w:ind w:left="680" w:hanging="455"/>
        <w:spacing w:after="0"/>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reduce the rate of or extend the time for payment of interest (including default interest) on any Security;</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reduce the principal or change the Stated Maturity of any Security or reduce the amount of, or postpone the date fixed for, the payment of any sinking fund or analogous obligation;</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reduce the principal amount of Discount Securities payable upon acceleration of the maturity thereof;</w:t>
      </w:r>
    </w:p>
    <w:p>
      <w:pPr>
        <w:spacing w:after="0" w:line="96" w:lineRule="exact"/>
        <w:rPr>
          <w:rFonts w:ascii="Arial" w:cs="Arial" w:eastAsia="Arial" w:hAnsi="Arial"/>
          <w:sz w:val="13"/>
          <w:szCs w:val="13"/>
          <w:color w:val="auto"/>
        </w:rPr>
      </w:pPr>
    </w:p>
    <w:p>
      <w:pPr>
        <w:ind w:left="680" w:right="380" w:hanging="455"/>
        <w:spacing w:after="0" w:line="276" w:lineRule="auto"/>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make the principal of or interest, if any, on any Security payable in any currency other than that stated in the Security; or</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make any change in Sections 6.8, 6.13 or 9.3 (this sentence).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9.4. </w:t>
      </w:r>
      <w:r>
        <w:rPr>
          <w:rFonts w:ascii="Arial" w:cs="Arial" w:eastAsia="Arial" w:hAnsi="Arial"/>
          <w:sz w:val="13"/>
          <w:szCs w:val="13"/>
          <w:u w:val="single" w:color="auto"/>
          <w:color w:val="auto"/>
        </w:rPr>
        <w:t>Compliance with Trust Indenture Act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Every amendment to this Indenture or the Securities of one or more Series shall be set forth in a supplemental indenture hereto that complies with the TIA as then in effect.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9.5. </w:t>
      </w:r>
      <w:r>
        <w:rPr>
          <w:rFonts w:ascii="Arial" w:cs="Arial" w:eastAsia="Arial" w:hAnsi="Arial"/>
          <w:sz w:val="13"/>
          <w:szCs w:val="13"/>
          <w:u w:val="single" w:color="auto"/>
          <w:color w:val="auto"/>
        </w:rPr>
        <w:t>Revocation and Effect of Consents</w:t>
      </w:r>
    </w:p>
    <w:p>
      <w:pPr>
        <w:spacing w:after="0" w:line="86" w:lineRule="exact"/>
        <w:rPr>
          <w:sz w:val="20"/>
          <w:szCs w:val="20"/>
          <w:color w:val="auto"/>
        </w:rPr>
      </w:pPr>
    </w:p>
    <w:p>
      <w:pPr>
        <w:ind w:firstLine="164"/>
        <w:spacing w:after="0" w:line="296" w:lineRule="auto"/>
        <w:rPr>
          <w:sz w:val="20"/>
          <w:szCs w:val="20"/>
          <w:color w:val="auto"/>
        </w:rPr>
      </w:pPr>
      <w:r>
        <w:rPr>
          <w:rFonts w:ascii="Arial" w:cs="Arial" w:eastAsia="Arial" w:hAnsi="Arial"/>
          <w:sz w:val="12"/>
          <w:szCs w:val="12"/>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40" w:lineRule="exact"/>
        <w:rPr>
          <w:sz w:val="20"/>
          <w:szCs w:val="20"/>
          <w:color w:val="auto"/>
        </w:rPr>
      </w:pPr>
    </w:p>
    <w:p>
      <w:pPr>
        <w:ind w:right="20" w:firstLine="157"/>
        <w:spacing w:after="0" w:line="264" w:lineRule="auto"/>
        <w:rPr>
          <w:sz w:val="20"/>
          <w:szCs w:val="20"/>
          <w:color w:val="auto"/>
        </w:rPr>
      </w:pPr>
      <w:r>
        <w:rPr>
          <w:rFonts w:ascii="Arial" w:cs="Arial" w:eastAsia="Arial" w:hAnsi="Arial"/>
          <w:sz w:val="13"/>
          <w:szCs w:val="13"/>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9.6. </w:t>
      </w:r>
      <w:r>
        <w:rPr>
          <w:rFonts w:ascii="Arial" w:cs="Arial" w:eastAsia="Arial" w:hAnsi="Arial"/>
          <w:sz w:val="13"/>
          <w:szCs w:val="13"/>
          <w:u w:val="single" w:color="auto"/>
          <w:color w:val="auto"/>
        </w:rPr>
        <w:t>Notation on or Exchange of Securities</w:t>
      </w:r>
    </w:p>
    <w:p>
      <w:pPr>
        <w:spacing w:after="0" w:line="86" w:lineRule="exact"/>
        <w:rPr>
          <w:sz w:val="20"/>
          <w:szCs w:val="20"/>
          <w:color w:val="auto"/>
        </w:rPr>
      </w:pPr>
    </w:p>
    <w:p>
      <w:pPr>
        <w:ind w:right="20" w:firstLine="161"/>
        <w:spacing w:after="0" w:line="276" w:lineRule="auto"/>
        <w:rPr>
          <w:sz w:val="20"/>
          <w:szCs w:val="20"/>
          <w:color w:val="auto"/>
        </w:rPr>
      </w:pPr>
      <w:r>
        <w:rPr>
          <w:rFonts w:ascii="Arial" w:cs="Arial" w:eastAsia="Arial" w:hAnsi="Arial"/>
          <w:sz w:val="13"/>
          <w:szCs w:val="13"/>
          <w:color w:val="auto"/>
        </w:rPr>
        <w:t>The Trustee may place an appropriate notation about an amendment or waiver on any Security of any Series thereafter authenticated. The Company in exchange for Securities of that Series may issue and the Trustee shall authenticate upon request new Securities of that Series that reflect the amendment or waiver.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9.7. </w:t>
      </w:r>
      <w:r>
        <w:rPr>
          <w:rFonts w:ascii="Arial" w:cs="Arial" w:eastAsia="Arial" w:hAnsi="Arial"/>
          <w:sz w:val="13"/>
          <w:szCs w:val="13"/>
          <w:u w:val="single" w:color="auto"/>
          <w:color w:val="auto"/>
        </w:rPr>
        <w:t>Trustee Protected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In executing, or accepting the additional trusts created by, any supplemental indenture permitted by this Article or the modifications thereby of the trusts created by this Indenture, the Trustee shall be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61" w:name="page62"/>
    <w:bookmarkEnd w:id="61"/>
    <w:p>
      <w:pPr>
        <w:spacing w:after="0" w:line="264" w:lineRule="auto"/>
        <w:rPr>
          <w:sz w:val="20"/>
          <w:szCs w:val="20"/>
          <w:color w:val="auto"/>
        </w:rPr>
      </w:pPr>
      <w:r>
        <w:rPr>
          <w:rFonts w:ascii="Arial" w:cs="Arial" w:eastAsia="Arial" w:hAnsi="Arial"/>
          <w:sz w:val="13"/>
          <w:szCs w:val="13"/>
          <w:color w:val="auto"/>
        </w:rPr>
        <w:t>entitled to receive, in addition to the documents required by Section 10.04 and (subject to Section 7.1) shall be fully protected in relying upon, an Opinion of Counsel and Officers’ Certificate stating that the execution of such supplemental indenture is authorized or permitted by this Indenture. The Trustee shall sign all supplemental indentures, except that the Trustee need not sign any supplemental indenture that adversely affects its rights.</w:t>
      </w: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ARTICLE X.</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MISCELLANEOUS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 </w:t>
      </w:r>
      <w:r>
        <w:rPr>
          <w:rFonts w:ascii="Arial" w:cs="Arial" w:eastAsia="Arial" w:hAnsi="Arial"/>
          <w:sz w:val="13"/>
          <w:szCs w:val="13"/>
          <w:u w:val="single" w:color="auto"/>
          <w:color w:val="auto"/>
        </w:rPr>
        <w:t>Trust Indenture Act Controls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If any provision of this Indenture limits, qualifies, or conflicts with another provision which is required or deemed to be included in this Indenture by the TIA, such required or deemed provision shall control.</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10.2. </w:t>
      </w:r>
      <w:r>
        <w:rPr>
          <w:rFonts w:ascii="Arial" w:cs="Arial" w:eastAsia="Arial" w:hAnsi="Arial"/>
          <w:sz w:val="13"/>
          <w:szCs w:val="13"/>
          <w:u w:val="single" w:color="auto"/>
          <w:color w:val="auto"/>
        </w:rPr>
        <w:t>Notices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Any notice or communication by the Company or the Trustee to the other, or by a Holder to the Company or the Trustee, is duly given if in writing and delivered in person or mailed by first-class mail:</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if to the Company:</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Analog Devices, Inc.</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One Technology Way</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Norwood, Massachusetts 02062</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Attention: General Counsel</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Telephone: (781) 329-4700</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if to the Trustee:</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Bank of New York Mellon Trust Company, N.A.</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13"/>
          <w:szCs w:val="13"/>
          <w:color w:val="auto"/>
        </w:rPr>
        <w:t>222 Berkeley Street, 2nd Floor</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Boston, MA 02116</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Attention: Global Corporate Trust/Corporate Finance</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Telephone: (617) 536-3473</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The Company or the Trustee by notice to the other may designate additional or different addresses for subsequent notices or communications.</w:t>
      </w:r>
    </w:p>
    <w:p>
      <w:pPr>
        <w:spacing w:after="0" w:line="86" w:lineRule="exact"/>
        <w:rPr>
          <w:sz w:val="20"/>
          <w:szCs w:val="20"/>
          <w:color w:val="auto"/>
        </w:rPr>
      </w:pPr>
    </w:p>
    <w:p>
      <w:pPr>
        <w:ind w:right="160" w:firstLine="157"/>
        <w:spacing w:after="0" w:line="276" w:lineRule="auto"/>
        <w:rPr>
          <w:sz w:val="20"/>
          <w:szCs w:val="20"/>
          <w:color w:val="auto"/>
        </w:rPr>
      </w:pPr>
      <w:r>
        <w:rPr>
          <w:rFonts w:ascii="Arial" w:cs="Arial" w:eastAsia="Arial" w:hAnsi="Arial"/>
          <w:sz w:val="13"/>
          <w:szCs w:val="13"/>
          <w:color w:val="auto"/>
        </w:rPr>
        <w:t>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If a notice or communication is mailed or published in the manner provided above, within the time prescribed, it is duly given, whether or not the Securityholder receives it.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If the Company mails a notice or communication to Securityholders, it shall mail a copy to the Trustee and each Agent at the same time.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62" w:name="page63"/>
    <w:bookmarkEnd w:id="62"/>
    <w:p>
      <w:pPr>
        <w:ind w:left="160"/>
        <w:spacing w:after="0"/>
        <w:rPr>
          <w:sz w:val="20"/>
          <w:szCs w:val="20"/>
          <w:color w:val="auto"/>
        </w:rPr>
      </w:pPr>
      <w:r>
        <w:rPr>
          <w:rFonts w:ascii="Arial" w:cs="Arial" w:eastAsia="Arial" w:hAnsi="Arial"/>
          <w:sz w:val="13"/>
          <w:szCs w:val="13"/>
          <w:color w:val="auto"/>
        </w:rPr>
        <w:t xml:space="preserve">Section 10.3. </w:t>
      </w:r>
      <w:r>
        <w:rPr>
          <w:rFonts w:ascii="Arial" w:cs="Arial" w:eastAsia="Arial" w:hAnsi="Arial"/>
          <w:sz w:val="13"/>
          <w:szCs w:val="13"/>
          <w:u w:val="single" w:color="auto"/>
          <w:color w:val="auto"/>
        </w:rPr>
        <w:t>Communication by Holders with Other Holders</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10.4. </w:t>
      </w:r>
      <w:r>
        <w:rPr>
          <w:rFonts w:ascii="Arial" w:cs="Arial" w:eastAsia="Arial" w:hAnsi="Arial"/>
          <w:sz w:val="13"/>
          <w:szCs w:val="13"/>
          <w:u w:val="single" w:color="auto"/>
          <w:color w:val="auto"/>
        </w:rPr>
        <w:t>Certificate and Opinion as to Conditions Precedent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Upon any request or application by the Company to the Trustee to take any action under this Indenture that requires as a condition precedent the furnishing of an Officers’ Certificate or an Opinion of Counsel, the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Company shall furnish to the Trustee as appropriate:</w:t>
      </w:r>
    </w:p>
    <w:p>
      <w:pPr>
        <w:spacing w:after="0" w:line="79" w:lineRule="exact"/>
        <w:rPr>
          <w:sz w:val="20"/>
          <w:szCs w:val="20"/>
          <w:color w:val="auto"/>
        </w:rPr>
      </w:pPr>
    </w:p>
    <w:p>
      <w:pPr>
        <w:ind w:left="680" w:hanging="455"/>
        <w:spacing w:after="0"/>
        <w:tabs>
          <w:tab w:leader="none" w:pos="6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an Officers’ Certificate stating that, in the opinion of the signers, all conditions precedent, if any, provided for in this Indenture relating to the proposed action have been complied with;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60"/>
        </w:numPr>
        <w:rPr>
          <w:rFonts w:ascii="Arial" w:cs="Arial" w:eastAsia="Arial" w:hAnsi="Arial"/>
          <w:sz w:val="13"/>
          <w:szCs w:val="13"/>
          <w:color w:val="auto"/>
        </w:rPr>
      </w:pPr>
      <w:r>
        <w:rPr>
          <w:rFonts w:ascii="Arial" w:cs="Arial" w:eastAsia="Arial" w:hAnsi="Arial"/>
          <w:sz w:val="13"/>
          <w:szCs w:val="13"/>
          <w:color w:val="auto"/>
        </w:rPr>
        <w:t>an Opinion of Counsel stating that, in the opinion of such counsel, all such conditions precedent have been complied with.</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10.5. </w:t>
      </w:r>
      <w:r>
        <w:rPr>
          <w:rFonts w:ascii="Arial" w:cs="Arial" w:eastAsia="Arial" w:hAnsi="Arial"/>
          <w:sz w:val="13"/>
          <w:szCs w:val="13"/>
          <w:u w:val="single" w:color="auto"/>
          <w:color w:val="auto"/>
        </w:rPr>
        <w:t>Statements Required in Certificate or Opinion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Each certificate or opinion with respect to compliance with a condition or covenant provided for in this Indenture (other than a certificate provided pursuant to TIA § 314(a)(4)) shall comply with the provisions of</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TIA § 314(e) and shall include:</w:t>
      </w:r>
    </w:p>
    <w:p>
      <w:pPr>
        <w:spacing w:after="0" w:line="79" w:lineRule="exact"/>
        <w:rPr>
          <w:sz w:val="20"/>
          <w:szCs w:val="20"/>
          <w:color w:val="auto"/>
        </w:rPr>
      </w:pPr>
    </w:p>
    <w:p>
      <w:pPr>
        <w:ind w:left="680" w:hanging="455"/>
        <w:spacing w:after="0"/>
        <w:tabs>
          <w:tab w:leader="none" w:pos="6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 statement that the person making such certificate or opinion has read such covenant or condition;</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 brief statement as to the nature and scope of the examination or investigation upon which the statements or opinions contained in such certificate or opinion are based;</w:t>
      </w:r>
    </w:p>
    <w:p>
      <w:pPr>
        <w:spacing w:after="0" w:line="96" w:lineRule="exact"/>
        <w:rPr>
          <w:rFonts w:ascii="Arial" w:cs="Arial" w:eastAsia="Arial" w:hAnsi="Arial"/>
          <w:sz w:val="13"/>
          <w:szCs w:val="13"/>
          <w:color w:val="auto"/>
        </w:rPr>
      </w:pPr>
    </w:p>
    <w:p>
      <w:pPr>
        <w:ind w:left="680" w:right="120" w:hanging="455"/>
        <w:spacing w:after="0" w:line="276" w:lineRule="auto"/>
        <w:tabs>
          <w:tab w:leader="none" w:pos="6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59" w:lineRule="exact"/>
        <w:rPr>
          <w:rFonts w:ascii="Arial" w:cs="Arial" w:eastAsia="Arial" w:hAnsi="Arial"/>
          <w:sz w:val="13"/>
          <w:szCs w:val="13"/>
          <w:color w:val="auto"/>
        </w:rPr>
      </w:pPr>
    </w:p>
    <w:p>
      <w:pPr>
        <w:ind w:left="680" w:hanging="455"/>
        <w:spacing w:after="0"/>
        <w:tabs>
          <w:tab w:leader="none" w:pos="680" w:val="left"/>
        </w:tabs>
        <w:numPr>
          <w:ilvl w:val="0"/>
          <w:numId w:val="61"/>
        </w:numPr>
        <w:rPr>
          <w:rFonts w:ascii="Arial" w:cs="Arial" w:eastAsia="Arial" w:hAnsi="Arial"/>
          <w:sz w:val="13"/>
          <w:szCs w:val="13"/>
          <w:color w:val="auto"/>
        </w:rPr>
      </w:pPr>
      <w:r>
        <w:rPr>
          <w:rFonts w:ascii="Arial" w:cs="Arial" w:eastAsia="Arial" w:hAnsi="Arial"/>
          <w:sz w:val="13"/>
          <w:szCs w:val="13"/>
          <w:color w:val="auto"/>
        </w:rPr>
        <w:t>a statement as to whether or not, in the opinion of such person, such condition or covenant has been complied with.</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10.6. </w:t>
      </w:r>
      <w:r>
        <w:rPr>
          <w:rFonts w:ascii="Arial" w:cs="Arial" w:eastAsia="Arial" w:hAnsi="Arial"/>
          <w:sz w:val="13"/>
          <w:szCs w:val="13"/>
          <w:u w:val="single" w:color="auto"/>
          <w:color w:val="auto"/>
        </w:rPr>
        <w:t>Rules by Trustee and Agents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Trustee may make reasonable rules for action by or a meeting of Securityholders of one or more Series. Any Agent may make reasonable rules and set reasonable requirements for its functions.</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10.7. </w:t>
      </w:r>
      <w:r>
        <w:rPr>
          <w:rFonts w:ascii="Arial" w:cs="Arial" w:eastAsia="Arial" w:hAnsi="Arial"/>
          <w:sz w:val="13"/>
          <w:szCs w:val="13"/>
          <w:u w:val="single" w:color="auto"/>
          <w:color w:val="auto"/>
        </w:rPr>
        <w:t>Legal Holidays</w:t>
      </w:r>
    </w:p>
    <w:p>
      <w:pPr>
        <w:spacing w:after="0" w:line="86" w:lineRule="exact"/>
        <w:rPr>
          <w:sz w:val="20"/>
          <w:szCs w:val="20"/>
          <w:color w:val="auto"/>
        </w:rPr>
      </w:pPr>
    </w:p>
    <w:p>
      <w:pPr>
        <w:ind w:right="240" w:firstLine="164"/>
        <w:spacing w:after="0" w:line="320" w:lineRule="auto"/>
        <w:rPr>
          <w:sz w:val="20"/>
          <w:szCs w:val="20"/>
          <w:color w:val="auto"/>
        </w:rPr>
      </w:pPr>
      <w:r>
        <w:rPr>
          <w:rFonts w:ascii="Arial" w:cs="Arial" w:eastAsia="Arial" w:hAnsi="Arial"/>
          <w:sz w:val="12"/>
          <w:szCs w:val="12"/>
          <w:color w:val="auto"/>
        </w:rPr>
        <w:t>Unless otherwise provided by Board Resolution, Officers’ Certificate or supplemental indenture hereto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63" w:name="page64"/>
    <w:bookmarkEnd w:id="63"/>
    <w:p>
      <w:pPr>
        <w:ind w:left="160"/>
        <w:spacing w:after="0"/>
        <w:rPr>
          <w:sz w:val="20"/>
          <w:szCs w:val="20"/>
          <w:color w:val="auto"/>
        </w:rPr>
      </w:pPr>
      <w:r>
        <w:rPr>
          <w:rFonts w:ascii="Arial" w:cs="Arial" w:eastAsia="Arial" w:hAnsi="Arial"/>
          <w:sz w:val="13"/>
          <w:szCs w:val="13"/>
          <w:color w:val="auto"/>
        </w:rPr>
        <w:t xml:space="preserve">Section 10.8. </w:t>
      </w:r>
      <w:r>
        <w:rPr>
          <w:rFonts w:ascii="Arial" w:cs="Arial" w:eastAsia="Arial" w:hAnsi="Arial"/>
          <w:sz w:val="13"/>
          <w:szCs w:val="13"/>
          <w:u w:val="single" w:color="auto"/>
          <w:color w:val="auto"/>
        </w:rPr>
        <w:t>No Recourse Against Others</w:t>
      </w:r>
    </w:p>
    <w:p>
      <w:pPr>
        <w:spacing w:after="0" w:line="86" w:lineRule="exact"/>
        <w:rPr>
          <w:sz w:val="20"/>
          <w:szCs w:val="20"/>
          <w:color w:val="auto"/>
        </w:rPr>
      </w:pPr>
    </w:p>
    <w:p>
      <w:pPr>
        <w:ind w:firstLine="157"/>
        <w:spacing w:after="0" w:line="320" w:lineRule="auto"/>
        <w:rPr>
          <w:sz w:val="20"/>
          <w:szCs w:val="20"/>
          <w:color w:val="auto"/>
        </w:rPr>
      </w:pPr>
      <w:r>
        <w:rPr>
          <w:rFonts w:ascii="Arial" w:cs="Arial" w:eastAsia="Arial" w:hAnsi="Arial"/>
          <w:sz w:val="12"/>
          <w:szCs w:val="12"/>
          <w:color w:val="auto"/>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10.9. </w:t>
      </w:r>
      <w:r>
        <w:rPr>
          <w:rFonts w:ascii="Arial" w:cs="Arial" w:eastAsia="Arial" w:hAnsi="Arial"/>
          <w:sz w:val="13"/>
          <w:szCs w:val="13"/>
          <w:u w:val="single" w:color="auto"/>
          <w:color w:val="auto"/>
        </w:rPr>
        <w:t>Counterparts</w:t>
      </w:r>
    </w:p>
    <w:p>
      <w:pPr>
        <w:spacing w:after="0" w:line="86" w:lineRule="exact"/>
        <w:rPr>
          <w:sz w:val="20"/>
          <w:szCs w:val="20"/>
          <w:color w:val="auto"/>
        </w:rPr>
      </w:pPr>
    </w:p>
    <w:p>
      <w:pPr>
        <w:ind w:right="220" w:firstLine="161"/>
        <w:spacing w:after="0" w:line="276" w:lineRule="auto"/>
        <w:rPr>
          <w:sz w:val="20"/>
          <w:szCs w:val="20"/>
          <w:color w:val="auto"/>
        </w:rPr>
      </w:pPr>
      <w:r>
        <w:rPr>
          <w:rFonts w:ascii="Arial" w:cs="Arial" w:eastAsia="Arial" w:hAnsi="Arial"/>
          <w:sz w:val="13"/>
          <w:szCs w:val="13"/>
          <w:color w:val="auto"/>
        </w:rPr>
        <w:t>This Indenture may be executed in any number of counterparts and by the parties hereto in separate counterparts, each of which when so executed shall be deemed to be an original and all of which taken together shall constitute one and the same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10.10. </w:t>
      </w:r>
      <w:r>
        <w:rPr>
          <w:rFonts w:ascii="Arial" w:cs="Arial" w:eastAsia="Arial" w:hAnsi="Arial"/>
          <w:sz w:val="13"/>
          <w:szCs w:val="13"/>
          <w:u w:val="single" w:color="auto"/>
          <w:color w:val="auto"/>
        </w:rPr>
        <w:t>Governing Laws</w:t>
      </w:r>
    </w:p>
    <w:p>
      <w:pPr>
        <w:spacing w:after="0" w:line="86" w:lineRule="exact"/>
        <w:rPr>
          <w:sz w:val="20"/>
          <w:szCs w:val="20"/>
          <w:color w:val="auto"/>
        </w:rPr>
      </w:pPr>
    </w:p>
    <w:p>
      <w:pPr>
        <w:ind w:right="260" w:firstLine="161"/>
        <w:spacing w:after="0" w:line="276" w:lineRule="auto"/>
        <w:rPr>
          <w:sz w:val="20"/>
          <w:szCs w:val="20"/>
          <w:color w:val="auto"/>
        </w:rPr>
      </w:pPr>
      <w:r>
        <w:rPr>
          <w:rFonts w:ascii="Arial" w:cs="Arial" w:eastAsia="Arial" w:hAnsi="Arial"/>
          <w:sz w:val="13"/>
          <w:szCs w:val="13"/>
          <w:color w:val="auto"/>
        </w:rPr>
        <w:t>THIS INDENTURE AND THE SECURITIES SHALL BE GOVERNED BY THE LAWS OF THE STATE OF NEW YORK APPLICABLE TO AGREEMENTS MADE AND TO BE PERFORMED IN SUCH STATE, WITHOUT REGARD TO THE CONFLICT OF LAWS PROVISIONS THEREOF.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10.11. </w:t>
      </w:r>
      <w:r>
        <w:rPr>
          <w:rFonts w:ascii="Arial" w:cs="Arial" w:eastAsia="Arial" w:hAnsi="Arial"/>
          <w:sz w:val="13"/>
          <w:szCs w:val="13"/>
          <w:u w:val="single" w:color="auto"/>
          <w:color w:val="auto"/>
        </w:rPr>
        <w:t>No Adverse Interpretation of Other Agreements</w:t>
      </w:r>
    </w:p>
    <w:p>
      <w:pPr>
        <w:spacing w:after="0" w:line="86" w:lineRule="exact"/>
        <w:rPr>
          <w:sz w:val="20"/>
          <w:szCs w:val="20"/>
          <w:color w:val="auto"/>
        </w:rPr>
      </w:pPr>
    </w:p>
    <w:p>
      <w:pPr>
        <w:ind w:right="160" w:firstLine="161"/>
        <w:spacing w:after="0" w:line="276" w:lineRule="auto"/>
        <w:rPr>
          <w:sz w:val="20"/>
          <w:szCs w:val="20"/>
          <w:color w:val="auto"/>
        </w:rPr>
      </w:pPr>
      <w:r>
        <w:rPr>
          <w:rFonts w:ascii="Arial" w:cs="Arial" w:eastAsia="Arial" w:hAnsi="Arial"/>
          <w:sz w:val="13"/>
          <w:szCs w:val="13"/>
          <w:color w:val="auto"/>
        </w:rPr>
        <w:t>This Indenture may not be used to interpret another indenture, loan or debt agreement of the Company or a Subsidiary of the Company. Any such indenture, loan or debt agreement may not be used to interpret this Indenture.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10.12. </w:t>
      </w:r>
      <w:r>
        <w:rPr>
          <w:rFonts w:ascii="Arial" w:cs="Arial" w:eastAsia="Arial" w:hAnsi="Arial"/>
          <w:sz w:val="13"/>
          <w:szCs w:val="13"/>
          <w:u w:val="single" w:color="auto"/>
          <w:color w:val="auto"/>
        </w:rPr>
        <w:t>Successors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All agreements of the Company in this Indenture and the Securities shall bind its successor. All agreements of the Trustee in this Indenture shall bind its successor.</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10.13. </w:t>
      </w:r>
      <w:r>
        <w:rPr>
          <w:rFonts w:ascii="Arial" w:cs="Arial" w:eastAsia="Arial" w:hAnsi="Arial"/>
          <w:sz w:val="13"/>
          <w:szCs w:val="13"/>
          <w:u w:val="single" w:color="auto"/>
          <w:color w:val="auto"/>
        </w:rPr>
        <w:t>Severability</w:t>
      </w:r>
    </w:p>
    <w:p>
      <w:pPr>
        <w:spacing w:after="0" w:line="86" w:lineRule="exact"/>
        <w:rPr>
          <w:sz w:val="20"/>
          <w:szCs w:val="20"/>
          <w:color w:val="auto"/>
        </w:rPr>
      </w:pPr>
    </w:p>
    <w:p>
      <w:pPr>
        <w:ind w:right="220" w:firstLine="164"/>
        <w:spacing w:after="0" w:line="276" w:lineRule="auto"/>
        <w:rPr>
          <w:sz w:val="20"/>
          <w:szCs w:val="20"/>
          <w:color w:val="auto"/>
        </w:rPr>
      </w:pPr>
      <w:r>
        <w:rPr>
          <w:rFonts w:ascii="Arial" w:cs="Arial" w:eastAsia="Arial" w:hAnsi="Arial"/>
          <w:sz w:val="13"/>
          <w:szCs w:val="13"/>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10.14. </w:t>
      </w:r>
      <w:r>
        <w:rPr>
          <w:rFonts w:ascii="Arial" w:cs="Arial" w:eastAsia="Arial" w:hAnsi="Arial"/>
          <w:sz w:val="13"/>
          <w:szCs w:val="13"/>
          <w:u w:val="single" w:color="auto"/>
          <w:color w:val="auto"/>
        </w:rPr>
        <w:t>Table of Contents, Headings, Etc.</w:t>
      </w:r>
    </w:p>
    <w:p>
      <w:pPr>
        <w:spacing w:after="0" w:line="86" w:lineRule="exact"/>
        <w:rPr>
          <w:sz w:val="20"/>
          <w:szCs w:val="20"/>
          <w:color w:val="auto"/>
        </w:rPr>
      </w:pPr>
    </w:p>
    <w:p>
      <w:pPr>
        <w:ind w:right="100" w:firstLine="161"/>
        <w:spacing w:after="0" w:line="276" w:lineRule="auto"/>
        <w:rPr>
          <w:sz w:val="20"/>
          <w:szCs w:val="20"/>
          <w:color w:val="auto"/>
        </w:rPr>
      </w:pPr>
      <w:r>
        <w:rPr>
          <w:rFonts w:ascii="Arial" w:cs="Arial" w:eastAsia="Arial" w:hAnsi="Arial"/>
          <w:sz w:val="13"/>
          <w:szCs w:val="13"/>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10.15. </w:t>
      </w:r>
      <w:r>
        <w:rPr>
          <w:rFonts w:ascii="Arial" w:cs="Arial" w:eastAsia="Arial" w:hAnsi="Arial"/>
          <w:sz w:val="13"/>
          <w:szCs w:val="13"/>
          <w:u w:val="single" w:color="auto"/>
          <w:color w:val="auto"/>
        </w:rPr>
        <w:t>Securities in a Foreign Currency</w:t>
      </w:r>
    </w:p>
    <w:p>
      <w:pPr>
        <w:spacing w:after="0" w:line="86" w:lineRule="exact"/>
        <w:rPr>
          <w:sz w:val="20"/>
          <w:szCs w:val="20"/>
          <w:color w:val="auto"/>
        </w:rPr>
      </w:pPr>
    </w:p>
    <w:p>
      <w:pPr>
        <w:ind w:right="60" w:firstLine="164"/>
        <w:spacing w:after="0" w:line="289" w:lineRule="auto"/>
        <w:rPr>
          <w:sz w:val="20"/>
          <w:szCs w:val="20"/>
          <w:color w:val="auto"/>
        </w:rPr>
      </w:pPr>
      <w:r>
        <w:rPr>
          <w:rFonts w:ascii="Arial" w:cs="Arial" w:eastAsia="Arial" w:hAnsi="Arial"/>
          <w:sz w:val="12"/>
          <w:szCs w:val="12"/>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Dollars, then the principal amount of Securities of such Series which shall be deemed to be outstanding for the purpose of taking such action shall be that amount of Dollars that could be obtained for such amount at the Market Exchange Rate at such time. For purposes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64" w:name="page65"/>
    <w:bookmarkEnd w:id="64"/>
    <w:p>
      <w:pPr>
        <w:ind w:right="40"/>
        <w:spacing w:after="0" w:line="258" w:lineRule="auto"/>
        <w:rPr>
          <w:sz w:val="20"/>
          <w:szCs w:val="20"/>
          <w:color w:val="auto"/>
        </w:rPr>
      </w:pPr>
      <w:r>
        <w:rPr>
          <w:rFonts w:ascii="Arial" w:cs="Arial" w:eastAsia="Arial" w:hAnsi="Arial"/>
          <w:sz w:val="13"/>
          <w:szCs w:val="13"/>
          <w:color w:val="auto"/>
        </w:rPr>
        <w:t>of this Section 10.15, “Market Exchange Rate” shall mean the noon Dollar buying rate in New York City for cable transfers of that currency as published by the Federal Reserve Bank of New York. If such Market Exchange Rate is not available for any reason with respect to such currency, the Trustee shall use, in its sole discretion and without liability on its part, such quotation of the Federal Reserve Bank of New York as of the most recent available date, or quotations from one or more major banks in The City of New York or in the country of issue of the currency in question or such other quotations as the Trustee, upon consultation with the Company, shall deem appropriate.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61" w:lineRule="exact"/>
        <w:rPr>
          <w:sz w:val="20"/>
          <w:szCs w:val="20"/>
          <w:color w:val="auto"/>
        </w:rPr>
      </w:pPr>
    </w:p>
    <w:p>
      <w:pPr>
        <w:ind w:right="40" w:firstLine="157"/>
        <w:spacing w:after="0" w:line="276" w:lineRule="auto"/>
        <w:rPr>
          <w:sz w:val="20"/>
          <w:szCs w:val="20"/>
          <w:color w:val="auto"/>
        </w:rPr>
      </w:pPr>
      <w:r>
        <w:rPr>
          <w:rFonts w:ascii="Arial" w:cs="Arial" w:eastAsia="Arial" w:hAnsi="Arial"/>
          <w:sz w:val="13"/>
          <w:szCs w:val="13"/>
          <w:color w:val="auto"/>
        </w:rPr>
        <w:t>All decisions and determinations of the Trustee regarding the Market Exchange Rate or any alternative determination provided for in the preceding paragraph shall be in its sole discretion and shall, in the absence of manifest error, to the extent permitted by law, be conclusive for all purposes and irrevocably binding upon the Company and all Holders.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10.16. </w:t>
      </w:r>
      <w:r>
        <w:rPr>
          <w:rFonts w:ascii="Arial" w:cs="Arial" w:eastAsia="Arial" w:hAnsi="Arial"/>
          <w:sz w:val="13"/>
          <w:szCs w:val="13"/>
          <w:u w:val="single" w:color="auto"/>
          <w:color w:val="auto"/>
        </w:rPr>
        <w:t>Judgment Currency</w:t>
      </w:r>
    </w:p>
    <w:p>
      <w:pPr>
        <w:spacing w:after="0" w:line="86" w:lineRule="exact"/>
        <w:rPr>
          <w:sz w:val="20"/>
          <w:szCs w:val="20"/>
          <w:color w:val="auto"/>
        </w:rPr>
      </w:pPr>
    </w:p>
    <w:p>
      <w:pPr>
        <w:ind w:right="20" w:firstLine="161"/>
        <w:spacing w:after="0" w:line="278" w:lineRule="auto"/>
        <w:rPr>
          <w:sz w:val="20"/>
          <w:szCs w:val="20"/>
          <w:color w:val="auto"/>
        </w:rPr>
      </w:pPr>
      <w:r>
        <w:rPr>
          <w:rFonts w:ascii="Arial" w:cs="Arial" w:eastAsia="Arial" w:hAnsi="Arial"/>
          <w:sz w:val="12"/>
          <w:szCs w:val="12"/>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“New York Banking Day” means any day except a Saturday, Sunday or a legal holiday in The City of New York on which banking institutions are authorized or required by law, regulation or executive order to close.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ARTICLE XI.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SINKING FUNDS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11.1. </w:t>
      </w:r>
      <w:r>
        <w:rPr>
          <w:rFonts w:ascii="Arial" w:cs="Arial" w:eastAsia="Arial" w:hAnsi="Arial"/>
          <w:sz w:val="13"/>
          <w:szCs w:val="13"/>
          <w:u w:val="single" w:color="auto"/>
          <w:color w:val="auto"/>
        </w:rPr>
        <w:t>Applicability of Article</w:t>
      </w:r>
    </w:p>
    <w:p>
      <w:pPr>
        <w:spacing w:after="0" w:line="86" w:lineRule="exact"/>
        <w:rPr>
          <w:sz w:val="20"/>
          <w:szCs w:val="20"/>
          <w:color w:val="auto"/>
        </w:rPr>
      </w:pPr>
    </w:p>
    <w:p>
      <w:pPr>
        <w:ind w:firstLine="161"/>
        <w:spacing w:after="0" w:line="276" w:lineRule="auto"/>
        <w:rPr>
          <w:sz w:val="20"/>
          <w:szCs w:val="20"/>
          <w:color w:val="auto"/>
        </w:rPr>
      </w:pPr>
      <w:r>
        <w:rPr>
          <w:rFonts w:ascii="Arial" w:cs="Arial" w:eastAsia="Arial" w:hAnsi="Arial"/>
          <w:sz w:val="13"/>
          <w:szCs w:val="13"/>
          <w:color w:val="auto"/>
        </w:rPr>
        <w:t>The provisions of this Article shall be applicable to any sinking fund for the retirement of the Securities of a Series, except as otherwise permitted or required by any form of Security of such Series issued pursuant to this Indenture.</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The minimum amount of any sinking fund payment provided for by the terms of the Securities of any Series is herein referred to as a “mandatory sinking fund payment” and any other amount provided</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65" w:name="page66"/>
    <w:bookmarkEnd w:id="65"/>
    <w:p>
      <w:pPr>
        <w:ind w:right="260"/>
        <w:spacing w:after="0" w:line="320" w:lineRule="auto"/>
        <w:rPr>
          <w:sz w:val="20"/>
          <w:szCs w:val="20"/>
          <w:color w:val="auto"/>
        </w:rPr>
      </w:pPr>
      <w:r>
        <w:rPr>
          <w:rFonts w:ascii="Arial" w:cs="Arial" w:eastAsia="Arial" w:hAnsi="Arial"/>
          <w:sz w:val="12"/>
          <w:szCs w:val="12"/>
          <w:color w:val="auto"/>
        </w:rPr>
        <w:t>for by the terms of Securities of such Series is herein referred to as an “optional sinking fund payment.” If provided for by the terms of Securities of any Series, the cash amount of any sinking fund payment may be subject to reduction as provided in Section 11.2. Each sinking fund payment shall be applied to the redemption of Securities of any Series as provided for by the terms of the Securities of such Series.</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11.2. </w:t>
      </w:r>
      <w:r>
        <w:rPr>
          <w:rFonts w:ascii="Arial" w:cs="Arial" w:eastAsia="Arial" w:hAnsi="Arial"/>
          <w:sz w:val="13"/>
          <w:szCs w:val="13"/>
          <w:u w:val="single" w:color="auto"/>
          <w:color w:val="auto"/>
        </w:rPr>
        <w:t>Satisfaction of Sinking Fund Payments with Securities</w:t>
      </w:r>
    </w:p>
    <w:p>
      <w:pPr>
        <w:spacing w:after="0" w:line="86" w:lineRule="exact"/>
        <w:rPr>
          <w:sz w:val="20"/>
          <w:szCs w:val="20"/>
          <w:color w:val="auto"/>
        </w:rPr>
      </w:pPr>
    </w:p>
    <w:p>
      <w:pPr>
        <w:ind w:right="60" w:firstLine="161"/>
        <w:spacing w:after="0" w:line="278" w:lineRule="auto"/>
        <w:rPr>
          <w:sz w:val="20"/>
          <w:szCs w:val="20"/>
          <w:color w:val="auto"/>
        </w:rPr>
      </w:pPr>
      <w:r>
        <w:rPr>
          <w:rFonts w:ascii="Arial" w:cs="Arial" w:eastAsia="Arial" w:hAnsi="Arial"/>
          <w:sz w:val="12"/>
          <w:szCs w:val="12"/>
          <w:color w:val="auto"/>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 however ,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5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Section 11.3. </w:t>
      </w:r>
      <w:r>
        <w:rPr>
          <w:rFonts w:ascii="Arial" w:cs="Arial" w:eastAsia="Arial" w:hAnsi="Arial"/>
          <w:sz w:val="13"/>
          <w:szCs w:val="13"/>
          <w:u w:val="single" w:color="auto"/>
          <w:color w:val="auto"/>
        </w:rPr>
        <w:t>Redemption of Securities for Sinking Fund</w:t>
      </w:r>
    </w:p>
    <w:p>
      <w:pPr>
        <w:spacing w:after="0" w:line="86" w:lineRule="exact"/>
        <w:rPr>
          <w:sz w:val="20"/>
          <w:szCs w:val="20"/>
          <w:color w:val="auto"/>
        </w:rPr>
      </w:pPr>
    </w:p>
    <w:p>
      <w:pPr>
        <w:ind w:firstLine="164"/>
        <w:spacing w:after="0" w:line="281" w:lineRule="auto"/>
        <w:rPr>
          <w:sz w:val="20"/>
          <w:szCs w:val="20"/>
          <w:color w:val="auto"/>
        </w:rPr>
      </w:pPr>
      <w:r>
        <w:rPr>
          <w:rFonts w:ascii="Arial" w:cs="Arial" w:eastAsia="Arial" w:hAnsi="Arial"/>
          <w:sz w:val="12"/>
          <w:szCs w:val="12"/>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66" w:name="page67"/>
    <w:bookmarkEnd w:id="66"/>
    <w:p>
      <w:pPr>
        <w:spacing w:after="0"/>
        <w:rPr>
          <w:sz w:val="20"/>
          <w:szCs w:val="20"/>
          <w:color w:val="auto"/>
        </w:rPr>
      </w:pPr>
      <w:r>
        <w:rPr>
          <w:rFonts w:ascii="Arial" w:cs="Arial" w:eastAsia="Arial" w:hAnsi="Arial"/>
          <w:sz w:val="13"/>
          <w:szCs w:val="13"/>
          <w:color w:val="auto"/>
        </w:rPr>
        <w:t>IN WITNESS WHEREOF, the parties hereto have caused this Indenture to be duly executed as of the day and year first above written.</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3"/>
          <w:szCs w:val="13"/>
          <w:color w:val="auto"/>
        </w:rPr>
        <w:t>Analog Devices, Inc.</w:t>
      </w:r>
    </w:p>
    <w:p>
      <w:pPr>
        <w:spacing w:after="0" w:line="165"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3310255</wp:posOffset>
            </wp:positionH>
            <wp:positionV relativeFrom="paragraph">
              <wp:posOffset>10795</wp:posOffset>
            </wp:positionV>
            <wp:extent cx="271526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15260" cy="6350"/>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Title:</w:t>
      </w:r>
    </w:p>
    <w:p>
      <w:pPr>
        <w:spacing w:after="0" w:line="158" w:lineRule="exact"/>
        <w:rPr>
          <w:sz w:val="20"/>
          <w:szCs w:val="20"/>
          <w:color w:val="auto"/>
        </w:rPr>
      </w:pPr>
    </w:p>
    <w:p>
      <w:pPr>
        <w:ind w:left="4960"/>
        <w:spacing w:after="0"/>
        <w:rPr>
          <w:sz w:val="20"/>
          <w:szCs w:val="20"/>
          <w:color w:val="auto"/>
        </w:rPr>
      </w:pPr>
      <w:r>
        <w:rPr>
          <w:rFonts w:ascii="Arial" w:cs="Arial" w:eastAsia="Arial" w:hAnsi="Arial"/>
          <w:sz w:val="12"/>
          <w:szCs w:val="12"/>
          <w:color w:val="auto"/>
        </w:rPr>
        <w:t>The Bank of New York Mellon Trust Company, N.A.</w:t>
      </w:r>
    </w:p>
    <w:p>
      <w:pPr>
        <w:spacing w:after="0" w:line="177"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3310255</wp:posOffset>
            </wp:positionH>
            <wp:positionV relativeFrom="paragraph">
              <wp:posOffset>10795</wp:posOffset>
            </wp:positionV>
            <wp:extent cx="271526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15260" cy="6350"/>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3"/>
          <w:szCs w:val="13"/>
          <w:color w:val="auto"/>
        </w:rPr>
        <w:t>Title:</w:t>
      </w:r>
    </w:p>
    <w:p>
      <w:pPr>
        <w:sectPr>
          <w:pgSz w:w="11900" w:h="16838" w:orient="portrait"/>
          <w:cols w:equalWidth="0" w:num="1">
            <w:col w:w="9919"/>
          </w:cols>
          <w:pgMar w:left="540" w:top="720"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3"/>
          <w:szCs w:val="13"/>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6534150</wp:posOffset>
            </wp:positionH>
            <wp:positionV relativeFrom="paragraph">
              <wp:posOffset>110490</wp:posOffset>
            </wp:positionV>
            <wp:extent cx="749300" cy="996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49300" cy="9969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+1 617 526 6000 (t)</w:t>
      </w:r>
    </w:p>
    <w:p>
      <w:pPr>
        <w:spacing w:after="0" w:line="15" w:lineRule="exact"/>
        <w:rPr>
          <w:sz w:val="20"/>
          <w:szCs w:val="20"/>
          <w:color w:val="auto"/>
        </w:rPr>
      </w:pPr>
    </w:p>
    <w:p>
      <w:pPr>
        <w:ind w:left="10420"/>
        <w:spacing w:after="0"/>
        <w:rPr>
          <w:sz w:val="20"/>
          <w:szCs w:val="20"/>
          <w:color w:val="auto"/>
        </w:rPr>
      </w:pPr>
      <w:r>
        <w:rPr>
          <w:rFonts w:ascii="Arial" w:cs="Arial" w:eastAsia="Arial" w:hAnsi="Arial"/>
          <w:sz w:val="11"/>
          <w:szCs w:val="11"/>
          <w:color w:val="auto"/>
        </w:rPr>
        <w:t>+1 617 526 5000 (f)</w:t>
      </w:r>
    </w:p>
    <w:p>
      <w:pPr>
        <w:spacing w:after="0" w:line="31" w:lineRule="exact"/>
        <w:rPr>
          <w:sz w:val="20"/>
          <w:szCs w:val="20"/>
          <w:color w:val="auto"/>
        </w:rPr>
      </w:pPr>
    </w:p>
    <w:p>
      <w:pPr>
        <w:ind w:left="10620"/>
        <w:spacing w:after="0"/>
        <w:rPr>
          <w:sz w:val="20"/>
          <w:szCs w:val="20"/>
          <w:color w:val="auto"/>
        </w:rPr>
      </w:pPr>
      <w:r>
        <w:rPr>
          <w:rFonts w:ascii="Arial" w:cs="Arial" w:eastAsia="Arial" w:hAnsi="Arial"/>
          <w:sz w:val="12"/>
          <w:szCs w:val="12"/>
          <w:color w:val="auto"/>
        </w:rPr>
        <w:t>wilmerhale.com</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June 25, 2009</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One Technology Way</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Norwood, Massachusetts 02062</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Re: </w:t>
      </w:r>
      <w:r>
        <w:rPr>
          <w:rFonts w:ascii="Arial" w:cs="Arial" w:eastAsia="Arial" w:hAnsi="Arial"/>
          <w:sz w:val="13"/>
          <w:szCs w:val="13"/>
          <w:u w:val="single" w:color="auto"/>
          <w:color w:val="auto"/>
        </w:rPr>
        <w:t>Registration Statement on Form S-3</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Ladies and Gentlemen:</w:t>
      </w:r>
    </w:p>
    <w:p>
      <w:pPr>
        <w:spacing w:after="0" w:line="86" w:lineRule="exact"/>
        <w:rPr>
          <w:sz w:val="20"/>
          <w:szCs w:val="20"/>
          <w:color w:val="auto"/>
        </w:rPr>
      </w:pPr>
    </w:p>
    <w:p>
      <w:pPr>
        <w:ind w:right="60" w:firstLine="161"/>
        <w:spacing w:after="0" w:line="264" w:lineRule="auto"/>
        <w:rPr>
          <w:sz w:val="20"/>
          <w:szCs w:val="20"/>
          <w:color w:val="auto"/>
        </w:rPr>
      </w:pPr>
      <w:r>
        <w:rPr>
          <w:rFonts w:ascii="Arial" w:cs="Arial" w:eastAsia="Arial" w:hAnsi="Arial"/>
          <w:sz w:val="13"/>
          <w:szCs w:val="13"/>
          <w:color w:val="auto"/>
        </w:rPr>
        <w:t>This opinion is furnished to you in connection with a Registration Statement on Form S-3 to be filed with the Securities and Exchange Commission (the “Commission”) under the Securities Act of 1933, as amended (the “Securities Act”), on or about June 25, 2009 (the “Registration Statement”) for the registration of an unlimited amount of debt securities (“Debt Securities”) of Analog Devices, Inc., a Delaware corporation (the “Company”).</w:t>
      </w:r>
    </w:p>
    <w:p>
      <w:pPr>
        <w:spacing w:after="0" w:line="57" w:lineRule="exact"/>
        <w:rPr>
          <w:sz w:val="20"/>
          <w:szCs w:val="20"/>
          <w:color w:val="auto"/>
        </w:rPr>
      </w:pPr>
    </w:p>
    <w:p>
      <w:pPr>
        <w:ind w:right="120" w:firstLine="161"/>
        <w:spacing w:after="0" w:line="264" w:lineRule="auto"/>
        <w:rPr>
          <w:sz w:val="20"/>
          <w:szCs w:val="20"/>
          <w:color w:val="auto"/>
        </w:rPr>
      </w:pPr>
      <w:r>
        <w:rPr>
          <w:rFonts w:ascii="Arial" w:cs="Arial" w:eastAsia="Arial" w:hAnsi="Arial"/>
          <w:sz w:val="13"/>
          <w:szCs w:val="13"/>
          <w:color w:val="auto"/>
        </w:rPr>
        <w:t>We are acting as counsel for the Company in connection with the Registration Statement relating to the offering from time to time, pursuant to Rule 415 under the Securities Act, of the Debt Securities. The Debt Securities will be offered pursuant to an indenture (the “Indenture”) to be entered into among the Company and The Bank of New York Mellon Trust Company, N.A., as trustee (the “Trustee”), a form of which is filed as an exhibit to the Registration Statement.</w:t>
      </w:r>
    </w:p>
    <w:p>
      <w:pPr>
        <w:spacing w:after="0" w:line="57" w:lineRule="exact"/>
        <w:rPr>
          <w:sz w:val="20"/>
          <w:szCs w:val="20"/>
          <w:color w:val="auto"/>
        </w:rPr>
      </w:pPr>
    </w:p>
    <w:p>
      <w:pPr>
        <w:ind w:right="20" w:firstLine="161"/>
        <w:spacing w:after="0" w:line="296" w:lineRule="auto"/>
        <w:rPr>
          <w:sz w:val="20"/>
          <w:szCs w:val="20"/>
          <w:color w:val="auto"/>
        </w:rPr>
      </w:pPr>
      <w:r>
        <w:rPr>
          <w:rFonts w:ascii="Arial" w:cs="Arial" w:eastAsia="Arial" w:hAnsi="Arial"/>
          <w:sz w:val="12"/>
          <w:szCs w:val="12"/>
          <w:color w:val="auto"/>
        </w:rPr>
        <w:t>We have examined and relied upon signed copies of the Registration Statement to be filed with the Commission and the form of Indenture included as an exhibit to the Registration Statement. We have also examined and relied upon originals or copies, certified or otherwise identified to our satisfaction, of such corporate records of the Company, such other agreements and instruments, certificates of public officials, officers of the Company and other persons, and such other documents, instruments and certificates as we have deemed necessary as a basis for the opinions hereinafter expressed.</w:t>
      </w:r>
    </w:p>
    <w:p>
      <w:pPr>
        <w:spacing w:after="0" w:line="40" w:lineRule="exact"/>
        <w:rPr>
          <w:sz w:val="20"/>
          <w:szCs w:val="20"/>
          <w:color w:val="auto"/>
        </w:rPr>
      </w:pPr>
    </w:p>
    <w:p>
      <w:pPr>
        <w:ind w:right="340" w:firstLine="164"/>
        <w:spacing w:after="0" w:line="264" w:lineRule="auto"/>
        <w:rPr>
          <w:sz w:val="20"/>
          <w:szCs w:val="20"/>
          <w:color w:val="auto"/>
        </w:rPr>
      </w:pPr>
      <w:r>
        <w:rPr>
          <w:rFonts w:ascii="Arial" w:cs="Arial" w:eastAsia="Arial" w:hAnsi="Arial"/>
          <w:sz w:val="13"/>
          <w:szCs w:val="13"/>
          <w:color w:val="auto"/>
        </w:rPr>
        <w:t>In our examination of the documents referred to above, we have assumed the genuineness of all signatures, the legal capacity of all individual signatories, the authenticity of all documents submitted to us as originals, the conformity to original documents of all documents submitted to us as copies, the authenticity of such original documents, and the completeness and accuracy of the corporate records of the Company provided to us by the Company.</w:t>
      </w:r>
    </w:p>
    <w:p>
      <w:pPr>
        <w:spacing w:after="0" w:line="57" w:lineRule="exact"/>
        <w:rPr>
          <w:sz w:val="20"/>
          <w:szCs w:val="20"/>
          <w:color w:val="auto"/>
        </w:rPr>
      </w:pPr>
    </w:p>
    <w:p>
      <w:pPr>
        <w:ind w:right="80" w:firstLine="164"/>
        <w:spacing w:after="0" w:line="282" w:lineRule="auto"/>
        <w:rPr>
          <w:sz w:val="20"/>
          <w:szCs w:val="20"/>
          <w:color w:val="auto"/>
        </w:rPr>
      </w:pPr>
      <w:r>
        <w:rPr>
          <w:rFonts w:ascii="Arial" w:cs="Arial" w:eastAsia="Arial" w:hAnsi="Arial"/>
          <w:sz w:val="12"/>
          <w:szCs w:val="12"/>
          <w:color w:val="auto"/>
        </w:rPr>
        <w:t>In rendering the opinions set forth below, we have assumed that (i) the issuance, sale, amount and terms of the Debt Securities, to be offered from time to time, will be duly authorized and established by all requisite action, corporate or other, by the Company; (ii) the Trustee has the power, corporate or other, to enter into and perform its obligations under the Indenture, (iii) the Indenture will be duly authorized, executed and delivered by the parties thereto in substantially the form reviewed by us and will be a valid and binding obligation of the Trustee; and (iv) the Trustee shall have been qualified under the Trust Indenture Act of 1939, as amended. We have also assumed the due authentication of the Debt Securities by the Trustee, that there will not have occurred, prior to the date of issuance of any Debt Securities, any change in law affecting the validity or enforceability of such Debt Securities and that at the time of the issuance and sale of any Debt Securities, the Board of Directors of the Company (or any committee thereof acting pursuant to authority properly delegated to such committee by the Board of Directors) has not taken any action to rescind or otherwise reduce their prior authorization of the issuance of the Debt Securities.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xml:space="preserve">Wilmer Cutler Pickering Hale and Dorr </w:t>
      </w:r>
      <w:r>
        <w:rPr>
          <w:rFonts w:ascii="Arial" w:cs="Arial" w:eastAsia="Arial" w:hAnsi="Arial"/>
          <w:sz w:val="8"/>
          <w:szCs w:val="8"/>
          <w:color w:val="auto"/>
        </w:rPr>
        <w:t>LLP</w:t>
      </w:r>
      <w:r>
        <w:rPr>
          <w:rFonts w:ascii="Arial" w:cs="Arial" w:eastAsia="Arial" w:hAnsi="Arial"/>
          <w:sz w:val="13"/>
          <w:szCs w:val="13"/>
          <w:color w:val="auto"/>
        </w:rPr>
        <w:t>, 60 State Street, Boston, Massachusetts 02109</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Beijing Berlin Boston Brussels London Los Angeles New York Oxford Palo Alto Waltham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68" w:name="page69"/>
    <w:bookmarkEnd w:id="68"/>
    <w:p>
      <w:pPr>
        <w:ind w:left="1"/>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6673850</wp:posOffset>
            </wp:positionH>
            <wp:positionV relativeFrom="page">
              <wp:posOffset>463550</wp:posOffset>
            </wp:positionV>
            <wp:extent cx="749300" cy="996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749300" cy="99695"/>
                    </a:xfrm>
                    <a:prstGeom prst="rect">
                      <a:avLst/>
                    </a:prstGeom>
                    <a:noFill/>
                  </pic:spPr>
                </pic:pic>
              </a:graphicData>
            </a:graphic>
          </wp:anchor>
        </w:drawing>
        <w:t>Analog Devices, Inc.</w:t>
      </w:r>
    </w:p>
    <w:p>
      <w:pPr>
        <w:spacing w:after="0" w:line="15" w:lineRule="exact"/>
        <w:rPr>
          <w:sz w:val="20"/>
          <w:szCs w:val="20"/>
          <w:color w:val="auto"/>
        </w:rPr>
      </w:pPr>
    </w:p>
    <w:p>
      <w:pPr>
        <w:ind w:left="1"/>
        <w:spacing w:after="0"/>
        <w:rPr>
          <w:sz w:val="20"/>
          <w:szCs w:val="20"/>
          <w:color w:val="auto"/>
        </w:rPr>
      </w:pPr>
      <w:r>
        <w:rPr>
          <w:rFonts w:ascii="Arial" w:cs="Arial" w:eastAsia="Arial" w:hAnsi="Arial"/>
          <w:sz w:val="13"/>
          <w:szCs w:val="13"/>
          <w:color w:val="auto"/>
        </w:rPr>
        <w:t>June 25, 2009</w:t>
      </w:r>
    </w:p>
    <w:p>
      <w:pPr>
        <w:spacing w:after="0" w:line="79" w:lineRule="exact"/>
        <w:rPr>
          <w:sz w:val="20"/>
          <w:szCs w:val="20"/>
          <w:color w:val="auto"/>
        </w:rPr>
      </w:pPr>
    </w:p>
    <w:p>
      <w:pPr>
        <w:ind w:left="1" w:right="160" w:firstLine="161"/>
        <w:spacing w:after="0" w:line="276" w:lineRule="auto"/>
        <w:rPr>
          <w:sz w:val="20"/>
          <w:szCs w:val="20"/>
          <w:color w:val="auto"/>
        </w:rPr>
      </w:pPr>
      <w:r>
        <w:rPr>
          <w:rFonts w:ascii="Arial" w:cs="Arial" w:eastAsia="Arial" w:hAnsi="Arial"/>
          <w:sz w:val="13"/>
          <w:szCs w:val="13"/>
          <w:color w:val="auto"/>
        </w:rPr>
        <w:t>We express no opinion herein as to the laws of any jurisdiction other than the state laws of the State of New York, the state laws of the Commonwealth of Massachusetts and the federal laws of the United States of America.</w:t>
      </w:r>
    </w:p>
    <w:p>
      <w:pPr>
        <w:spacing w:after="0" w:line="49" w:lineRule="exact"/>
        <w:rPr>
          <w:sz w:val="20"/>
          <w:szCs w:val="20"/>
          <w:color w:val="auto"/>
        </w:rPr>
      </w:pPr>
    </w:p>
    <w:p>
      <w:pPr>
        <w:ind w:left="1" w:right="20" w:firstLine="161"/>
        <w:spacing w:after="0" w:line="296" w:lineRule="auto"/>
        <w:rPr>
          <w:sz w:val="20"/>
          <w:szCs w:val="20"/>
          <w:color w:val="auto"/>
        </w:rPr>
      </w:pPr>
      <w:r>
        <w:rPr>
          <w:rFonts w:ascii="Arial" w:cs="Arial" w:eastAsia="Arial" w:hAnsi="Arial"/>
          <w:sz w:val="12"/>
          <w:szCs w:val="12"/>
          <w:color w:val="auto"/>
        </w:rPr>
        <w:t>We have assumed for purposes of our opinions below that no authorization, approval or other action by, and no notice to or filing with, any governmental authority or regulatory body or (to the extent the same is required under any agreement or document binding on it of which an addressee has knowledge, has received notice or has reason to know) any other third party is required for the due execution, delivery or performance by the Company or, if any such authorization, approval, consent, action, notice or filing is required, it will have been duly obtained, taken, given or made and will be in full force and effect.</w:t>
      </w:r>
    </w:p>
    <w:p>
      <w:pPr>
        <w:spacing w:after="0" w:line="40" w:lineRule="exact"/>
        <w:rPr>
          <w:sz w:val="20"/>
          <w:szCs w:val="20"/>
          <w:color w:val="auto"/>
        </w:rPr>
      </w:pPr>
    </w:p>
    <w:p>
      <w:pPr>
        <w:ind w:left="1" w:right="40" w:firstLine="164"/>
        <w:spacing w:after="0" w:line="257" w:lineRule="auto"/>
        <w:rPr>
          <w:sz w:val="20"/>
          <w:szCs w:val="20"/>
          <w:color w:val="auto"/>
        </w:rPr>
      </w:pPr>
      <w:r>
        <w:rPr>
          <w:rFonts w:ascii="Arial" w:cs="Arial" w:eastAsia="Arial" w:hAnsi="Arial"/>
          <w:sz w:val="13"/>
          <w:szCs w:val="13"/>
          <w:color w:val="auto"/>
        </w:rPr>
        <w:t>Our opinions below are qualified to the extent that they may be subject to or affected by (i) applicable bankruptcy, insolvency, reorganization, moratorium, usury, fraudulent conveyance or similar laws relating to or affecting the rights or remedies of creditors generally, (ii) duties and standards imposed on creditors and parties to contracts, including, without limitation, requirements of materiality, good faith, reasonableness and fair dealing, and (iii) general equitable principles. Furthermore, we express no opinion as to the availability of any equitable or specific remedy upon any breach of the Indenture or the Debt Securities, or to the successful assertion of any equitable defenses, inasmuch as the availability of such remedies or the success of any equitable defenses may be subject to the discretion of a court. We also express no opinion herein with respect to compliance by the Company with the securities or “blue sky” laws of any state or other jurisdiction of the United States or of any foreign jurisdiction. In addition, we express no opinion and make no statement herein with respect to the antifraud laws of any jurisdiction.</w:t>
      </w:r>
    </w:p>
    <w:p>
      <w:pPr>
        <w:spacing w:after="0" w:line="62" w:lineRule="exact"/>
        <w:rPr>
          <w:sz w:val="20"/>
          <w:szCs w:val="20"/>
          <w:color w:val="auto"/>
        </w:rPr>
      </w:pPr>
    </w:p>
    <w:p>
      <w:pPr>
        <w:ind w:left="1" w:right="20" w:firstLine="164"/>
        <w:spacing w:after="0" w:line="305" w:lineRule="auto"/>
        <w:rPr>
          <w:sz w:val="20"/>
          <w:szCs w:val="20"/>
          <w:color w:val="auto"/>
        </w:rPr>
      </w:pPr>
      <w:r>
        <w:rPr>
          <w:rFonts w:ascii="Arial" w:cs="Arial" w:eastAsia="Arial" w:hAnsi="Arial"/>
          <w:sz w:val="11"/>
          <w:szCs w:val="11"/>
          <w:color w:val="auto"/>
        </w:rPr>
        <w:t>On the basis of, and subject to, the foregoing, we are of the opinion that when (i) the Indenture has been duly executed and delivered by the Company, (ii) the final terms of the Debt Securities and of their issuance and sale have been duly established in conformity with the Indenture; (iii) the final terms of the Debt Securities have been duly authorized and established by all requisite action, corporate or other, by the Company; and</w:t>
      </w:r>
    </w:p>
    <w:p>
      <w:pPr>
        <w:spacing w:after="0" w:line="1" w:lineRule="exact"/>
        <w:rPr>
          <w:sz w:val="20"/>
          <w:szCs w:val="20"/>
          <w:color w:val="auto"/>
        </w:rPr>
      </w:pPr>
    </w:p>
    <w:p>
      <w:pPr>
        <w:ind w:left="1" w:hanging="1"/>
        <w:spacing w:after="0" w:line="290" w:lineRule="auto"/>
        <w:tabs>
          <w:tab w:leader="none" w:pos="223" w:val="left"/>
        </w:tabs>
        <w:numPr>
          <w:ilvl w:val="0"/>
          <w:numId w:val="62"/>
        </w:numPr>
        <w:rPr>
          <w:rFonts w:ascii="Arial" w:cs="Arial" w:eastAsia="Arial" w:hAnsi="Arial"/>
          <w:sz w:val="12"/>
          <w:szCs w:val="12"/>
          <w:color w:val="auto"/>
        </w:rPr>
      </w:pPr>
      <w:r>
        <w:rPr>
          <w:rFonts w:ascii="Arial" w:cs="Arial" w:eastAsia="Arial" w:hAnsi="Arial"/>
          <w:sz w:val="12"/>
          <w:szCs w:val="12"/>
          <w:color w:val="auto"/>
        </w:rPr>
        <w:t>such Debt Securities have been duly executed by the Company and duly authenticated by the Trustee in accordance with the terms of the Indenture, and delivered to the purchasers thereof against payment of the consideration therefor duly approved by the Company, and subject to the final terms of the Debt Securities complying with then applicable law, not resulting in a default under or a breach of any agreement or instrument binding upon the Company and complying with any requirement or restriction imposed by any court or governmental entity having jurisdiction over the Company,</w:t>
      </w:r>
    </w:p>
    <w:p>
      <w:pPr>
        <w:spacing w:after="0" w:line="101" w:lineRule="exact"/>
        <w:rPr>
          <w:rFonts w:ascii="Arial" w:cs="Arial" w:eastAsia="Arial" w:hAnsi="Arial"/>
          <w:sz w:val="12"/>
          <w:szCs w:val="12"/>
          <w:color w:val="auto"/>
        </w:rPr>
      </w:pPr>
    </w:p>
    <w:p>
      <w:pPr>
        <w:ind w:left="5701" w:hanging="75"/>
        <w:spacing w:after="0"/>
        <w:tabs>
          <w:tab w:leader="none" w:pos="5701" w:val="left"/>
        </w:tabs>
        <w:numPr>
          <w:ilvl w:val="1"/>
          <w:numId w:val="62"/>
        </w:numPr>
        <w:rPr>
          <w:rFonts w:ascii="Arial" w:cs="Arial" w:eastAsia="Arial" w:hAnsi="Arial"/>
          <w:sz w:val="13"/>
          <w:szCs w:val="13"/>
          <w:color w:val="auto"/>
        </w:rPr>
      </w:pPr>
      <w:r>
        <w:rPr>
          <w:rFonts w:ascii="Arial" w:cs="Arial" w:eastAsia="Arial" w:hAnsi="Arial"/>
          <w:sz w:val="13"/>
          <w:szCs w:val="13"/>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956" w:right="219" w:bottom="1440" w:gutter="0" w:footer="0" w:header="0"/>
        </w:sectPr>
      </w:pPr>
    </w:p>
    <w:bookmarkStart w:id="69" w:name="page70"/>
    <w:bookmarkEnd w:id="69"/>
    <w:p>
      <w:pPr>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6673850</wp:posOffset>
            </wp:positionH>
            <wp:positionV relativeFrom="page">
              <wp:posOffset>463550</wp:posOffset>
            </wp:positionV>
            <wp:extent cx="749300" cy="996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749300" cy="99695"/>
                    </a:xfrm>
                    <a:prstGeom prst="rect">
                      <a:avLst/>
                    </a:prstGeom>
                    <a:noFill/>
                  </pic:spPr>
                </pic:pic>
              </a:graphicData>
            </a:graphic>
          </wp:anchor>
        </w:drawing>
        <w:t>Analog Devices,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June 25, 2009</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the Debt Securities will constitute valid and binding obligations of the Company, enforceable against the Company, in accordance with their terms.</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Please note that we are opining only as to the matters expressly set forth herein, and no opinion should be inferred as to any other matters. This opinion is based upon currently existing statutes, rules, regulations and judicial decisions and is rendered as of the date hereof, and we disclaim any obligation to advise you of any change in any of the foregoing sources of law or subsequent developments in law or changes in facts or circumstances that might affect any matters or opinions set forth herein.</w:t>
      </w:r>
    </w:p>
    <w:p>
      <w:pPr>
        <w:spacing w:after="0" w:line="57" w:lineRule="exact"/>
        <w:rPr>
          <w:sz w:val="20"/>
          <w:szCs w:val="20"/>
          <w:color w:val="auto"/>
        </w:rPr>
      </w:pPr>
    </w:p>
    <w:p>
      <w:pPr>
        <w:ind w:firstLine="161"/>
        <w:spacing w:after="0" w:line="264" w:lineRule="auto"/>
        <w:rPr>
          <w:sz w:val="20"/>
          <w:szCs w:val="20"/>
          <w:color w:val="auto"/>
        </w:rPr>
      </w:pPr>
      <w:r>
        <w:rPr>
          <w:rFonts w:ascii="Arial" w:cs="Arial" w:eastAsia="Arial" w:hAnsi="Arial"/>
          <w:sz w:val="13"/>
          <w:szCs w:val="13"/>
          <w:color w:val="auto"/>
        </w:rPr>
        <w:t>We hereby consent to the filing of this opinion with the Commission as an exhibit to the Registration Statement in accordance with the requirements of Item 601(b)(5) of Regulation S-K under the Securities Act and to the use of our name therein and in the related prospectus under the caption “Legal Matters.” In giving such consent, we do not hereby admit that we are in the category of persons whose consent is required under Section 7 of the Securities Act or the rules and regulations of the Commission.</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Very truly yours,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WILMER CUTLER PICKERING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HALE AND DORR LLP</w:t>
      </w:r>
    </w:p>
    <w:p>
      <w:pPr>
        <w:spacing w:after="0" w:line="158" w:lineRule="exact"/>
        <w:rPr>
          <w:sz w:val="20"/>
          <w:szCs w:val="20"/>
          <w:color w:val="auto"/>
        </w:rPr>
      </w:pPr>
    </w:p>
    <w:p>
      <w:pPr>
        <w:spacing w:after="0"/>
        <w:tabs>
          <w:tab w:leader="none" w:pos="320" w:val="left"/>
        </w:tabs>
        <w:rPr>
          <w:sz w:val="20"/>
          <w:szCs w:val="20"/>
          <w:color w:val="auto"/>
        </w:rPr>
      </w:pPr>
      <w:r>
        <w:rPr>
          <w:rFonts w:ascii="Arial" w:cs="Arial" w:eastAsia="Arial" w:hAnsi="Arial"/>
          <w:sz w:val="13"/>
          <w:szCs w:val="13"/>
          <w:color w:val="auto"/>
        </w:rPr>
        <w:t>By:</w:t>
        <w:tab/>
        <w:t>/s/ MARK G. BORDEN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10795</wp:posOffset>
            </wp:positionV>
            <wp:extent cx="183515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35150" cy="6350"/>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Arial" w:cs="Arial" w:eastAsia="Arial" w:hAnsi="Arial"/>
          <w:sz w:val="13"/>
          <w:szCs w:val="13"/>
          <w:color w:val="auto"/>
        </w:rPr>
        <w:t>Mark G. Borden, a Partner</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- 3 -</w:t>
      </w:r>
    </w:p>
    <w:p>
      <w:pPr>
        <w:sectPr>
          <w:pgSz w:w="11900" w:h="16838" w:orient="portrait"/>
          <w:cols w:equalWidth="0" w:num="1">
            <w:col w:w="11400"/>
          </w:cols>
          <w:pgMar w:left="220" w:top="956" w:right="279" w:bottom="1440" w:gutter="0" w:footer="0" w:header="0"/>
        </w:sectPr>
      </w:pPr>
    </w:p>
    <w:bookmarkStart w:id="70" w:name="page71"/>
    <w:bookmarkEnd w:id="70"/>
    <w:tbl>
      <w:tblPr>
        <w:tblLayout w:type="fixed"/>
        <w:tblInd w:w="1" w:type="dxa"/>
        <w:tblCellMar>
          <w:top w:w="0" w:type="dxa"/>
          <w:left w:w="0" w:type="dxa"/>
          <w:bottom w:w="0" w:type="dxa"/>
          <w:right w:w="0" w:type="dxa"/>
        </w:tblCellMar>
      </w:tblPr>
      <w:tr>
        <w:trPr>
          <w:trHeight w:val="165"/>
        </w:trPr>
        <w:tc>
          <w:tcPr>
            <w:tcW w:w="2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w w:val="91"/>
              </w:rPr>
              <w:t>Exhibit 12.1</w:t>
            </w:r>
          </w:p>
        </w:tc>
      </w:tr>
      <w:tr>
        <w:trPr>
          <w:trHeight w:val="382"/>
        </w:trPr>
        <w:tc>
          <w:tcPr>
            <w:tcW w:w="2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w w:val="90"/>
              </w:rPr>
              <w:t>Analog Devices, Inc.</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2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gridSpan w:val="6"/>
          </w:tcPr>
          <w:p>
            <w:pPr>
              <w:jc w:val="center"/>
              <w:ind w:left="97"/>
              <w:spacing w:after="0"/>
              <w:rPr>
                <w:sz w:val="20"/>
                <w:szCs w:val="20"/>
                <w:color w:val="auto"/>
              </w:rPr>
            </w:pPr>
            <w:r>
              <w:rPr>
                <w:rFonts w:ascii="Arial" w:cs="Arial" w:eastAsia="Arial" w:hAnsi="Arial"/>
                <w:sz w:val="13"/>
                <w:szCs w:val="13"/>
                <w:b w:val="1"/>
                <w:bCs w:val="1"/>
                <w:color w:val="auto"/>
                <w:w w:val="91"/>
              </w:rPr>
              <w:t>Ratio of Earnings to Fixed Charges</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2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6"/>
          </w:tcPr>
          <w:p>
            <w:pPr>
              <w:jc w:val="center"/>
              <w:ind w:left="97"/>
              <w:spacing w:after="0"/>
              <w:rPr>
                <w:sz w:val="20"/>
                <w:szCs w:val="20"/>
                <w:color w:val="auto"/>
              </w:rPr>
            </w:pPr>
            <w:r>
              <w:rPr>
                <w:rFonts w:ascii="Arial" w:cs="Arial" w:eastAsia="Arial" w:hAnsi="Arial"/>
                <w:sz w:val="13"/>
                <w:szCs w:val="13"/>
                <w:b w:val="1"/>
                <w:bCs w:val="1"/>
                <w:color w:val="auto"/>
                <w:w w:val="89"/>
              </w:rPr>
              <w:t>(in thousands, except ratios)</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67"/>
        </w:trPr>
        <w:tc>
          <w:tcPr>
            <w:tcW w:w="2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5"/>
              </w:rPr>
              <w:t>Fiscal Year Ended</w:t>
            </w: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Six Months Ended</w:t>
            </w:r>
          </w:p>
        </w:tc>
        <w:tc>
          <w:tcPr>
            <w:tcW w:w="5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81"/>
        </w:trPr>
        <w:tc>
          <w:tcPr>
            <w:tcW w:w="27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right"/>
              <w:ind w:right="17"/>
              <w:spacing w:after="0" w:line="81" w:lineRule="exact"/>
              <w:rPr>
                <w:sz w:val="20"/>
                <w:szCs w:val="20"/>
                <w:color w:val="auto"/>
              </w:rPr>
            </w:pPr>
            <w:r>
              <w:rPr>
                <w:rFonts w:ascii="Arial" w:cs="Arial" w:eastAsia="Arial" w:hAnsi="Arial"/>
                <w:sz w:val="9"/>
                <w:szCs w:val="9"/>
                <w:b w:val="1"/>
                <w:bCs w:val="1"/>
                <w:color w:val="auto"/>
              </w:rPr>
              <w:t>October 30,</w:t>
            </w: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gridSpan w:val="2"/>
          </w:tcPr>
          <w:p>
            <w:pPr>
              <w:jc w:val="center"/>
              <w:ind w:right="120"/>
              <w:spacing w:after="0" w:line="81" w:lineRule="exact"/>
              <w:rPr>
                <w:sz w:val="20"/>
                <w:szCs w:val="20"/>
                <w:color w:val="auto"/>
              </w:rPr>
            </w:pPr>
            <w:r>
              <w:rPr>
                <w:rFonts w:ascii="Arial" w:cs="Arial" w:eastAsia="Arial" w:hAnsi="Arial"/>
                <w:sz w:val="9"/>
                <w:szCs w:val="9"/>
                <w:b w:val="1"/>
                <w:bCs w:val="1"/>
                <w:color w:val="auto"/>
              </w:rPr>
              <w:t>October 29,</w:t>
            </w: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gridSpan w:val="2"/>
          </w:tcPr>
          <w:p>
            <w:pPr>
              <w:jc w:val="center"/>
              <w:ind w:right="560"/>
              <w:spacing w:after="0" w:line="81" w:lineRule="exact"/>
              <w:rPr>
                <w:sz w:val="20"/>
                <w:szCs w:val="20"/>
                <w:color w:val="auto"/>
              </w:rPr>
            </w:pPr>
            <w:r>
              <w:rPr>
                <w:rFonts w:ascii="Arial" w:cs="Arial" w:eastAsia="Arial" w:hAnsi="Arial"/>
                <w:sz w:val="9"/>
                <w:szCs w:val="9"/>
                <w:b w:val="1"/>
                <w:bCs w:val="1"/>
                <w:color w:val="auto"/>
              </w:rPr>
              <w:t>October 28,</w:t>
            </w:r>
          </w:p>
        </w:tc>
        <w:tc>
          <w:tcPr>
            <w:tcW w:w="160" w:type="dxa"/>
            <w:vAlign w:val="bottom"/>
          </w:tcPr>
          <w:p>
            <w:pPr>
              <w:spacing w:after="0"/>
              <w:rPr>
                <w:sz w:val="7"/>
                <w:szCs w:val="7"/>
                <w:color w:val="auto"/>
              </w:rPr>
            </w:pPr>
          </w:p>
        </w:tc>
        <w:tc>
          <w:tcPr>
            <w:tcW w:w="920" w:type="dxa"/>
            <w:vAlign w:val="bottom"/>
            <w:gridSpan w:val="2"/>
          </w:tcPr>
          <w:p>
            <w:pPr>
              <w:spacing w:after="0" w:line="81" w:lineRule="exact"/>
              <w:rPr>
                <w:sz w:val="20"/>
                <w:szCs w:val="20"/>
                <w:color w:val="auto"/>
              </w:rPr>
            </w:pPr>
            <w:r>
              <w:rPr>
                <w:rFonts w:ascii="Arial" w:cs="Arial" w:eastAsia="Arial" w:hAnsi="Arial"/>
                <w:sz w:val="9"/>
                <w:szCs w:val="9"/>
                <w:b w:val="1"/>
                <w:bCs w:val="1"/>
                <w:color w:val="auto"/>
              </w:rPr>
              <w:t>November 3,</w:t>
            </w: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spacing w:after="0" w:line="81" w:lineRule="exact"/>
              <w:rPr>
                <w:sz w:val="20"/>
                <w:szCs w:val="20"/>
                <w:color w:val="auto"/>
              </w:rPr>
            </w:pPr>
            <w:r>
              <w:rPr>
                <w:rFonts w:ascii="Arial" w:cs="Arial" w:eastAsia="Arial" w:hAnsi="Arial"/>
                <w:sz w:val="9"/>
                <w:szCs w:val="9"/>
                <w:b w:val="1"/>
                <w:bCs w:val="1"/>
                <w:color w:val="auto"/>
              </w:rPr>
              <w:t>November 1</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gridSpan w:val="2"/>
          </w:tcPr>
          <w:p>
            <w:pPr>
              <w:jc w:val="center"/>
              <w:ind w:right="400"/>
              <w:spacing w:after="0" w:line="81" w:lineRule="exact"/>
              <w:rPr>
                <w:sz w:val="20"/>
                <w:szCs w:val="20"/>
                <w:color w:val="auto"/>
              </w:rPr>
            </w:pPr>
            <w:r>
              <w:rPr>
                <w:rFonts w:ascii="Arial" w:cs="Arial" w:eastAsia="Arial" w:hAnsi="Arial"/>
                <w:sz w:val="9"/>
                <w:szCs w:val="9"/>
                <w:b w:val="1"/>
                <w:bCs w:val="1"/>
                <w:color w:val="auto"/>
              </w:rPr>
              <w:t>May 3,</w:t>
            </w: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jc w:val="right"/>
              <w:ind w:right="117"/>
              <w:spacing w:after="0" w:line="81" w:lineRule="exact"/>
              <w:rPr>
                <w:sz w:val="20"/>
                <w:szCs w:val="20"/>
                <w:color w:val="auto"/>
              </w:rPr>
            </w:pPr>
            <w:r>
              <w:rPr>
                <w:rFonts w:ascii="Arial" w:cs="Arial" w:eastAsia="Arial" w:hAnsi="Arial"/>
                <w:sz w:val="9"/>
                <w:szCs w:val="9"/>
                <w:b w:val="1"/>
                <w:bCs w:val="1"/>
                <w:color w:val="auto"/>
              </w:rPr>
              <w:t>May 2,</w:t>
            </w:r>
          </w:p>
        </w:tc>
        <w:tc>
          <w:tcPr>
            <w:tcW w:w="100" w:type="dxa"/>
            <w:vAlign w:val="bottom"/>
          </w:tcPr>
          <w:p>
            <w:pPr>
              <w:spacing w:after="0"/>
              <w:rPr>
                <w:sz w:val="7"/>
                <w:szCs w:val="7"/>
                <w:color w:val="auto"/>
              </w:rPr>
            </w:pPr>
          </w:p>
        </w:tc>
      </w:tr>
      <w:tr>
        <w:trPr>
          <w:trHeight w:val="125"/>
        </w:trPr>
        <w:tc>
          <w:tcPr>
            <w:tcW w:w="2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2004</w:t>
            </w:r>
          </w:p>
        </w:tc>
        <w:tc>
          <w:tcPr>
            <w:tcW w:w="5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2005</w:t>
            </w: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98"/>
              </w:rPr>
              <w:t>2006</w:t>
            </w: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2007</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0"/>
                <w:szCs w:val="10"/>
                <w:b w:val="1"/>
                <w:bCs w:val="1"/>
                <w:color w:val="auto"/>
              </w:rPr>
              <w:t>2008</w:t>
            </w:r>
          </w:p>
        </w:tc>
        <w:tc>
          <w:tcPr>
            <w:tcW w:w="5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78"/>
              <w:spacing w:after="0"/>
              <w:rPr>
                <w:sz w:val="20"/>
                <w:szCs w:val="20"/>
                <w:color w:val="auto"/>
              </w:rPr>
            </w:pPr>
            <w:r>
              <w:rPr>
                <w:rFonts w:ascii="Arial" w:cs="Arial" w:eastAsia="Arial" w:hAnsi="Arial"/>
                <w:sz w:val="10"/>
                <w:szCs w:val="10"/>
                <w:b w:val="1"/>
                <w:bCs w:val="1"/>
                <w:color w:val="auto"/>
              </w:rPr>
              <w:t>2008</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r>
      <w:tr>
        <w:trPr>
          <w:trHeight w:val="147"/>
        </w:trPr>
        <w:tc>
          <w:tcPr>
            <w:tcW w:w="274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Determination of earnings:</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2740" w:type="dxa"/>
            <w:vAlign w:val="bottom"/>
          </w:tcPr>
          <w:p>
            <w:pPr>
              <w:ind w:left="140"/>
              <w:spacing w:after="0" w:line="149" w:lineRule="exact"/>
              <w:rPr>
                <w:sz w:val="20"/>
                <w:szCs w:val="20"/>
                <w:color w:val="auto"/>
              </w:rPr>
            </w:pPr>
            <w:r>
              <w:rPr>
                <w:rFonts w:ascii="Arial" w:cs="Arial" w:eastAsia="Arial" w:hAnsi="Arial"/>
                <w:sz w:val="13"/>
                <w:szCs w:val="13"/>
                <w:color w:val="auto"/>
              </w:rPr>
              <w:t>Income from continuing operations before</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2740" w:type="dxa"/>
            <w:vAlign w:val="bottom"/>
          </w:tcPr>
          <w:p>
            <w:pPr>
              <w:ind w:left="300"/>
              <w:spacing w:after="0"/>
              <w:rPr>
                <w:sz w:val="20"/>
                <w:szCs w:val="20"/>
                <w:color w:val="auto"/>
              </w:rPr>
            </w:pPr>
            <w:r>
              <w:rPr>
                <w:rFonts w:ascii="Arial" w:cs="Arial" w:eastAsia="Arial" w:hAnsi="Arial"/>
                <w:sz w:val="13"/>
                <w:szCs w:val="13"/>
                <w:color w:val="auto"/>
              </w:rPr>
              <w:t>provision for taxes on income</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633,707</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537,201</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636,792</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661,457</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3"/>
                <w:szCs w:val="13"/>
                <w:color w:val="auto"/>
              </w:rPr>
              <w:t>666,102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326,006</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90,191</w:t>
            </w:r>
          </w:p>
        </w:tc>
      </w:tr>
      <w:tr>
        <w:trPr>
          <w:trHeight w:val="158"/>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Amortization of capitalized interest</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982</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982</w:t>
            </w:r>
          </w:p>
        </w:tc>
        <w:tc>
          <w:tcPr>
            <w:tcW w:w="1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982</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982</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491</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491</w:t>
            </w:r>
          </w:p>
        </w:tc>
      </w:tr>
      <w:tr>
        <w:trPr>
          <w:trHeight w:val="157"/>
        </w:trPr>
        <w:tc>
          <w:tcPr>
            <w:tcW w:w="2740" w:type="dxa"/>
            <w:vAlign w:val="bottom"/>
          </w:tcPr>
          <w:p>
            <w:pPr>
              <w:ind w:left="140"/>
              <w:spacing w:after="0"/>
              <w:rPr>
                <w:sz w:val="20"/>
                <w:szCs w:val="20"/>
                <w:color w:val="auto"/>
              </w:rPr>
            </w:pPr>
            <w:r>
              <w:rPr>
                <w:rFonts w:ascii="Arial" w:cs="Arial" w:eastAsia="Arial" w:hAnsi="Arial"/>
                <w:sz w:val="13"/>
                <w:szCs w:val="13"/>
                <w:color w:val="auto"/>
              </w:rPr>
              <w:t>Fixed charges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1,725</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1,542</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2,093</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1,834</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3"/>
                <w:szCs w:val="13"/>
                <w:color w:val="auto"/>
              </w:rPr>
              <w:t>1,607</w:t>
            </w:r>
          </w:p>
        </w:tc>
        <w:tc>
          <w:tcPr>
            <w:tcW w:w="120" w:type="dxa"/>
            <w:vAlign w:val="bottom"/>
          </w:tcPr>
          <w:p>
            <w:pPr>
              <w:spacing w:after="0"/>
              <w:rPr>
                <w:sz w:val="13"/>
                <w:szCs w:val="1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815</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826</w:t>
            </w:r>
          </w:p>
        </w:tc>
      </w:tr>
      <w:tr>
        <w:trPr>
          <w:trHeight w:val="20"/>
        </w:trPr>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27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Total earnings as defined</w:t>
            </w: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636,414</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539,725</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639,867</w:t>
            </w:r>
          </w:p>
        </w:tc>
        <w:tc>
          <w:tcPr>
            <w:tcW w:w="160" w:type="dxa"/>
            <w:vAlign w:val="bottom"/>
            <w:tcBorders>
              <w:right w:val="single" w:sz="8" w:color="CCEEFF"/>
            </w:tcBorders>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664,273</w:t>
            </w: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668,691</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327,312</w:t>
            </w: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91,508</w:t>
            </w:r>
          </w:p>
        </w:tc>
      </w:tr>
      <w:tr>
        <w:trPr>
          <w:trHeight w:val="324"/>
        </w:trPr>
        <w:tc>
          <w:tcPr>
            <w:tcW w:w="2740" w:type="dxa"/>
            <w:vAlign w:val="bottom"/>
          </w:tcPr>
          <w:p>
            <w:pPr>
              <w:spacing w:after="0"/>
              <w:rPr>
                <w:sz w:val="20"/>
                <w:szCs w:val="20"/>
                <w:color w:val="auto"/>
              </w:rPr>
            </w:pPr>
            <w:r>
              <w:rPr>
                <w:rFonts w:ascii="Arial" w:cs="Arial" w:eastAsia="Arial" w:hAnsi="Arial"/>
                <w:sz w:val="13"/>
                <w:szCs w:val="13"/>
                <w:color w:val="auto"/>
              </w:rPr>
              <w:t>Fixed Charges:</w:t>
            </w: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8"/>
        </w:trPr>
        <w:tc>
          <w:tcPr>
            <w:tcW w:w="27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 (a)</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43</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16</w:t>
            </w:r>
          </w:p>
        </w:tc>
        <w:tc>
          <w:tcPr>
            <w:tcW w:w="1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100" w:type="dxa"/>
            <w:vAlign w:val="bottom"/>
            <w:shd w:val="clear" w:color="auto" w:fill="CCEEFF"/>
          </w:tcPr>
          <w:p>
            <w:pPr>
              <w:spacing w:after="0"/>
              <w:rPr>
                <w:sz w:val="13"/>
                <w:szCs w:val="13"/>
                <w:color w:val="auto"/>
              </w:rPr>
            </w:pPr>
          </w:p>
        </w:tc>
      </w:tr>
      <w:tr>
        <w:trPr>
          <w:trHeight w:val="157"/>
        </w:trPr>
        <w:tc>
          <w:tcPr>
            <w:tcW w:w="2740" w:type="dxa"/>
            <w:vAlign w:val="bottom"/>
          </w:tcPr>
          <w:p>
            <w:pPr>
              <w:ind w:left="140"/>
              <w:spacing w:after="0"/>
              <w:rPr>
                <w:sz w:val="20"/>
                <w:szCs w:val="20"/>
                <w:color w:val="auto"/>
              </w:rPr>
            </w:pPr>
            <w:r>
              <w:rPr>
                <w:rFonts w:ascii="Arial" w:cs="Arial" w:eastAsia="Arial" w:hAnsi="Arial"/>
                <w:sz w:val="13"/>
                <w:szCs w:val="13"/>
                <w:color w:val="auto"/>
              </w:rPr>
              <w:t>Interest portion of rent expense</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1,485</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1,499</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2,077</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1,827</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3"/>
                <w:szCs w:val="13"/>
                <w:color w:val="auto"/>
              </w:rPr>
              <w:t>1,526</w:t>
            </w:r>
          </w:p>
        </w:tc>
        <w:tc>
          <w:tcPr>
            <w:tcW w:w="120" w:type="dxa"/>
            <w:vAlign w:val="bottom"/>
          </w:tcPr>
          <w:p>
            <w:pPr>
              <w:spacing w:after="0"/>
              <w:rPr>
                <w:sz w:val="13"/>
                <w:szCs w:val="1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815</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740</w:t>
            </w:r>
          </w:p>
        </w:tc>
      </w:tr>
      <w:tr>
        <w:trPr>
          <w:trHeight w:val="20"/>
        </w:trPr>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27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Fixed charges</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1,725</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1,542</w:t>
            </w: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2,093</w:t>
            </w:r>
          </w:p>
        </w:tc>
        <w:tc>
          <w:tcPr>
            <w:tcW w:w="16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1,834</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1,607</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815</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826</w:t>
            </w:r>
          </w:p>
        </w:tc>
      </w:tr>
      <w:tr>
        <w:trPr>
          <w:trHeight w:val="157"/>
        </w:trPr>
        <w:tc>
          <w:tcPr>
            <w:tcW w:w="2740" w:type="dxa"/>
            <w:vAlign w:val="bottom"/>
          </w:tcPr>
          <w:p>
            <w:pPr>
              <w:ind w:left="140"/>
              <w:spacing w:after="0"/>
              <w:rPr>
                <w:sz w:val="20"/>
                <w:szCs w:val="20"/>
                <w:color w:val="auto"/>
              </w:rPr>
            </w:pPr>
            <w:r>
              <w:rPr>
                <w:rFonts w:ascii="Arial" w:cs="Arial" w:eastAsia="Arial" w:hAnsi="Arial"/>
                <w:sz w:val="13"/>
                <w:szCs w:val="13"/>
                <w:color w:val="auto"/>
              </w:rPr>
              <w:t>Capitalized interest</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2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2740" w:type="dxa"/>
            <w:vAlign w:val="bottom"/>
            <w:shd w:val="clear" w:color="auto" w:fill="CCEEFF"/>
          </w:tcPr>
          <w:p>
            <w:pPr>
              <w:ind w:left="300"/>
              <w:spacing w:after="0"/>
              <w:rPr>
                <w:sz w:val="20"/>
                <w:szCs w:val="20"/>
                <w:color w:val="auto"/>
              </w:rPr>
            </w:pPr>
            <w:r>
              <w:rPr>
                <w:rFonts w:ascii="Arial" w:cs="Arial" w:eastAsia="Arial" w:hAnsi="Arial"/>
                <w:sz w:val="13"/>
                <w:szCs w:val="13"/>
                <w:color w:val="auto"/>
              </w:rPr>
              <w:t>Total fixed charges</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1,725</w:t>
            </w: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1,542</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2,093</w:t>
            </w: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1,834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3"/>
                <w:szCs w:val="13"/>
                <w:color w:val="auto"/>
              </w:rPr>
              <w:t>1,607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815</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826</w:t>
            </w:r>
          </w:p>
        </w:tc>
      </w:tr>
      <w:tr>
        <w:trPr>
          <w:trHeight w:val="29"/>
        </w:trPr>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324"/>
        </w:trPr>
        <w:tc>
          <w:tcPr>
            <w:tcW w:w="2740" w:type="dxa"/>
            <w:vAlign w:val="bottom"/>
          </w:tcPr>
          <w:p>
            <w:pPr>
              <w:spacing w:after="0"/>
              <w:rPr>
                <w:sz w:val="20"/>
                <w:szCs w:val="20"/>
                <w:color w:val="auto"/>
              </w:rPr>
            </w:pPr>
            <w:r>
              <w:rPr>
                <w:rFonts w:ascii="Arial" w:cs="Arial" w:eastAsia="Arial" w:hAnsi="Arial"/>
                <w:sz w:val="13"/>
                <w:szCs w:val="13"/>
                <w:color w:val="auto"/>
              </w:rPr>
              <w:t>Ratio of earnings to fixed charges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368.9</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3"/>
                <w:szCs w:val="13"/>
                <w:color w:val="auto"/>
              </w:rPr>
              <w:t>350.0</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3"/>
                <w:szCs w:val="13"/>
                <w:color w:val="auto"/>
              </w:rPr>
              <w:t>305.7</w:t>
            </w:r>
          </w:p>
        </w:tc>
        <w:tc>
          <w:tcPr>
            <w:tcW w:w="16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3"/>
                <w:szCs w:val="13"/>
                <w:color w:val="auto"/>
              </w:rPr>
              <w:t>362.2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3"/>
                <w:szCs w:val="13"/>
                <w:color w:val="auto"/>
              </w:rPr>
              <w:t>416.1</w:t>
            </w:r>
          </w:p>
        </w:tc>
        <w:tc>
          <w:tcPr>
            <w:tcW w:w="12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3"/>
                <w:szCs w:val="13"/>
                <w:color w:val="auto"/>
              </w:rPr>
              <w:t>401.6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110.8</w:t>
            </w:r>
          </w:p>
        </w:tc>
      </w:tr>
      <w:tr>
        <w:trPr>
          <w:trHeight w:val="30"/>
        </w:trPr>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131064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46" w:lineRule="exact"/>
        <w:rPr>
          <w:sz w:val="20"/>
          <w:szCs w:val="20"/>
          <w:color w:val="auto"/>
        </w:rPr>
      </w:pPr>
    </w:p>
    <w:p>
      <w:pPr>
        <w:ind w:left="461" w:hanging="461"/>
        <w:spacing w:after="0"/>
        <w:tabs>
          <w:tab w:leader="none" w:pos="461" w:val="left"/>
        </w:tabs>
        <w:numPr>
          <w:ilvl w:val="0"/>
          <w:numId w:val="63"/>
        </w:numPr>
        <w:rPr>
          <w:rFonts w:ascii="Arial" w:cs="Arial" w:eastAsia="Arial" w:hAnsi="Arial"/>
          <w:sz w:val="13"/>
          <w:szCs w:val="13"/>
          <w:color w:val="auto"/>
        </w:rPr>
      </w:pPr>
      <w:r>
        <w:rPr>
          <w:rFonts w:ascii="Arial" w:cs="Arial" w:eastAsia="Arial" w:hAnsi="Arial"/>
          <w:sz w:val="13"/>
          <w:szCs w:val="13"/>
          <w:color w:val="auto"/>
        </w:rPr>
        <w:t>Interest expense includes amortization of capitalized debt issue costs.</w:t>
      </w:r>
    </w:p>
    <w:p>
      <w:pPr>
        <w:sectPr>
          <w:pgSz w:w="11900" w:h="16838" w:orient="portrait"/>
          <w:cols w:equalWidth="0" w:num="1">
            <w:col w:w="11461"/>
          </w:cols>
          <w:pgMar w:left="219" w:top="131" w:right="219" w:bottom="1440" w:gutter="0" w:footer="0" w:header="0"/>
        </w:sectPr>
      </w:pPr>
    </w:p>
    <w:bookmarkStart w:id="71" w:name="page72"/>
    <w:bookmarkEnd w:id="71"/>
    <w:p>
      <w:pPr>
        <w:jc w:val="right"/>
        <w:spacing w:after="0"/>
        <w:rPr>
          <w:sz w:val="20"/>
          <w:szCs w:val="20"/>
          <w:color w:val="auto"/>
        </w:rPr>
      </w:pPr>
      <w:r>
        <w:rPr>
          <w:rFonts w:ascii="Arial" w:cs="Arial" w:eastAsia="Arial" w:hAnsi="Arial"/>
          <w:sz w:val="13"/>
          <w:szCs w:val="13"/>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CONSENT OF INDEPENDENT REGISTERED PUBLIC ACCOUNTING FIRM</w:t>
      </w:r>
    </w:p>
    <w:p>
      <w:pPr>
        <w:spacing w:after="0" w:line="86" w:lineRule="exact"/>
        <w:rPr>
          <w:sz w:val="20"/>
          <w:szCs w:val="20"/>
          <w:color w:val="auto"/>
        </w:rPr>
      </w:pPr>
    </w:p>
    <w:p>
      <w:pPr>
        <w:jc w:val="both"/>
        <w:ind w:right="20"/>
        <w:spacing w:after="0" w:line="264" w:lineRule="auto"/>
        <w:rPr>
          <w:sz w:val="20"/>
          <w:szCs w:val="20"/>
          <w:color w:val="auto"/>
        </w:rPr>
      </w:pPr>
      <w:r>
        <w:rPr>
          <w:rFonts w:ascii="Arial" w:cs="Arial" w:eastAsia="Arial" w:hAnsi="Arial"/>
          <w:sz w:val="13"/>
          <w:szCs w:val="13"/>
          <w:color w:val="auto"/>
        </w:rPr>
        <w:t>We consent to the reference to our firm under the caption “Experts” in the Registration Statement (Form S-3) and related Prospectus of Analog Devices, Inc. for the registration of debt securities and to the incorporation by reference therein of our reports dated November 21, 2008, with respect to the consolidated financial statements and schedule of Analog Devices, Inc., and the effectiveness of internal control over financial reporting of Analog Devices, Inc., included in its Annual Report (Form 10-K) for the year ended November 1, 2008, filed with the Securities and Exchange Commission.</w:t>
      </w:r>
    </w:p>
    <w:p>
      <w:pPr>
        <w:spacing w:after="0" w:line="214" w:lineRule="exact"/>
        <w:rPr>
          <w:sz w:val="20"/>
          <w:szCs w:val="20"/>
          <w:color w:val="auto"/>
        </w:rPr>
      </w:pPr>
    </w:p>
    <w:p>
      <w:pPr>
        <w:ind w:left="6880"/>
        <w:spacing w:after="0"/>
        <w:rPr>
          <w:sz w:val="20"/>
          <w:szCs w:val="20"/>
          <w:color w:val="auto"/>
        </w:rPr>
      </w:pPr>
      <w:r>
        <w:rPr>
          <w:rFonts w:ascii="Arial" w:cs="Arial" w:eastAsia="Arial" w:hAnsi="Arial"/>
          <w:sz w:val="13"/>
          <w:szCs w:val="13"/>
          <w:color w:val="auto"/>
        </w:rPr>
        <w:t>/s/ Ernst &amp; Young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June 22, 2009</w:t>
      </w:r>
    </w:p>
    <w:p>
      <w:pPr>
        <w:sectPr>
          <w:pgSz w:w="11900" w:h="16838" w:orient="portrait"/>
          <w:cols w:equalWidth="0" w:num="1">
            <w:col w:w="11460"/>
          </w:cols>
          <w:pgMar w:left="220" w:top="131" w:right="219" w:bottom="1440" w:gutter="0" w:footer="0" w:header="0"/>
        </w:sectPr>
      </w:pPr>
    </w:p>
    <w:bookmarkStart w:id="72" w:name="page73"/>
    <w:bookmarkEnd w:id="72"/>
    <w:p>
      <w:pPr>
        <w:jc w:val="right"/>
        <w:spacing w:after="0"/>
        <w:rPr>
          <w:sz w:val="20"/>
          <w:szCs w:val="20"/>
          <w:color w:val="auto"/>
        </w:rPr>
      </w:pPr>
      <w:r>
        <w:rPr>
          <w:rFonts w:ascii="Arial" w:cs="Arial" w:eastAsia="Arial" w:hAnsi="Arial"/>
          <w:sz w:val="13"/>
          <w:szCs w:val="13"/>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7284085" cy="18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4085" cy="184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91440</wp:posOffset>
            </wp:positionV>
            <wp:extent cx="7284085"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4085" cy="6350"/>
                    </a:xfrm>
                    <a:prstGeom prst="rect">
                      <a:avLst/>
                    </a:prstGeom>
                    <a:noFill/>
                  </pic:spPr>
                </pic:pic>
              </a:graphicData>
            </a:graphic>
          </wp:anchor>
        </w:drawing>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FORM T-1</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 THE TRUST INDENTURE ACT OF 1939 OF A</w:t>
      </w:r>
    </w:p>
    <w:p>
      <w:pPr>
        <w:jc w:val="center"/>
        <w:spacing w:after="0"/>
        <w:rPr>
          <w:sz w:val="20"/>
          <w:szCs w:val="20"/>
          <w:color w:val="auto"/>
        </w:rPr>
      </w:pPr>
      <w:r>
        <w:rPr>
          <w:rFonts w:ascii="Arial" w:cs="Arial" w:eastAsia="Arial" w:hAnsi="Arial"/>
          <w:sz w:val="16"/>
          <w:szCs w:val="16"/>
          <w:b w:val="1"/>
          <w:bCs w:val="1"/>
          <w:color w:val="auto"/>
        </w:rPr>
        <w:t>CORPORATION DESIGNATED TO ACT AS TRUSTEE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CHECK IF AN APPLICATION TO DETERMINE ELIGIBILITY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128270</wp:posOffset>
            </wp:positionV>
            <wp:extent cx="189103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91030" cy="6350"/>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THE BANK OF NEW YORK MELLON TRUST COMPANY, N.A.</w:t>
      </w:r>
    </w:p>
    <w:p>
      <w:pPr>
        <w:spacing w:after="0" w:line="40" w:lineRule="exact"/>
        <w:rPr>
          <w:sz w:val="20"/>
          <w:szCs w:val="20"/>
          <w:color w:val="auto"/>
        </w:rPr>
      </w:pPr>
    </w:p>
    <w:tbl>
      <w:tblPr>
        <w:tblLayout w:type="fixed"/>
        <w:tblInd w:w="1680" w:type="dxa"/>
        <w:tblCellMar>
          <w:top w:w="0" w:type="dxa"/>
          <w:left w:w="0" w:type="dxa"/>
          <w:bottom w:w="0" w:type="dxa"/>
          <w:right w:w="0" w:type="dxa"/>
        </w:tblCellMar>
      </w:tblPr>
      <w:tr>
        <w:trPr>
          <w:trHeight w:val="165"/>
        </w:trPr>
        <w:tc>
          <w:tcPr>
            <w:tcW w:w="2420" w:type="dxa"/>
            <w:vAlign w:val="bottom"/>
          </w:tcPr>
          <w:p>
            <w:pPr>
              <w:spacing w:after="0"/>
              <w:rPr>
                <w:sz w:val="14"/>
                <w:szCs w:val="14"/>
                <w:color w:val="auto"/>
              </w:rPr>
            </w:pPr>
          </w:p>
        </w:tc>
        <w:tc>
          <w:tcPr>
            <w:tcW w:w="5120" w:type="dxa"/>
            <w:vAlign w:val="bottom"/>
          </w:tcPr>
          <w:p>
            <w:pPr>
              <w:ind w:left="360"/>
              <w:spacing w:after="0"/>
              <w:rPr>
                <w:sz w:val="20"/>
                <w:szCs w:val="20"/>
                <w:color w:val="auto"/>
              </w:rPr>
            </w:pPr>
            <w:r>
              <w:rPr>
                <w:rFonts w:ascii="Arial" w:cs="Arial" w:eastAsia="Arial" w:hAnsi="Arial"/>
                <w:sz w:val="13"/>
                <w:szCs w:val="13"/>
                <w:color w:val="auto"/>
              </w:rPr>
              <w:t>(Exact name of trustee as specified in its charter)</w:t>
            </w:r>
          </w:p>
        </w:tc>
      </w:tr>
      <w:tr>
        <w:trPr>
          <w:trHeight w:val="297"/>
        </w:trPr>
        <w:tc>
          <w:tcPr>
            <w:tcW w:w="2420" w:type="dxa"/>
            <w:vAlign w:val="bottom"/>
          </w:tcPr>
          <w:p>
            <w:pPr>
              <w:jc w:val="center"/>
              <w:ind w:right="274"/>
              <w:spacing w:after="0"/>
              <w:rPr>
                <w:sz w:val="20"/>
                <w:szCs w:val="20"/>
                <w:color w:val="auto"/>
              </w:rPr>
            </w:pPr>
            <w:r>
              <w:rPr>
                <w:rFonts w:ascii="Arial" w:cs="Arial" w:eastAsia="Arial" w:hAnsi="Arial"/>
                <w:sz w:val="13"/>
                <w:szCs w:val="13"/>
                <w:b w:val="1"/>
                <w:bCs w:val="1"/>
                <w:color w:val="auto"/>
                <w:w w:val="91"/>
              </w:rPr>
              <w:t>Delaware</w:t>
            </w:r>
          </w:p>
        </w:tc>
        <w:tc>
          <w:tcPr>
            <w:tcW w:w="5120" w:type="dxa"/>
            <w:vAlign w:val="bottom"/>
          </w:tcPr>
          <w:p>
            <w:pPr>
              <w:jc w:val="right"/>
              <w:ind w:right="94"/>
              <w:spacing w:after="0"/>
              <w:rPr>
                <w:sz w:val="20"/>
                <w:szCs w:val="20"/>
                <w:color w:val="auto"/>
              </w:rPr>
            </w:pPr>
            <w:r>
              <w:rPr>
                <w:rFonts w:ascii="Arial" w:cs="Arial" w:eastAsia="Arial" w:hAnsi="Arial"/>
                <w:sz w:val="13"/>
                <w:szCs w:val="13"/>
                <w:b w:val="1"/>
                <w:bCs w:val="1"/>
                <w:color w:val="auto"/>
              </w:rPr>
              <w:t>95-3571558</w:t>
            </w:r>
          </w:p>
        </w:tc>
      </w:tr>
      <w:tr>
        <w:trPr>
          <w:trHeight w:val="157"/>
        </w:trPr>
        <w:tc>
          <w:tcPr>
            <w:tcW w:w="2420" w:type="dxa"/>
            <w:vAlign w:val="bottom"/>
          </w:tcPr>
          <w:p>
            <w:pPr>
              <w:ind w:left="440"/>
              <w:spacing w:after="0"/>
              <w:rPr>
                <w:sz w:val="20"/>
                <w:szCs w:val="20"/>
                <w:color w:val="auto"/>
              </w:rPr>
            </w:pPr>
            <w:r>
              <w:rPr>
                <w:rFonts w:ascii="Arial" w:cs="Arial" w:eastAsia="Arial" w:hAnsi="Arial"/>
                <w:sz w:val="13"/>
                <w:szCs w:val="13"/>
                <w:color w:val="auto"/>
              </w:rPr>
              <w:t>(State of incorporation</w:t>
            </w:r>
          </w:p>
        </w:tc>
        <w:tc>
          <w:tcPr>
            <w:tcW w:w="5120" w:type="dxa"/>
            <w:vAlign w:val="bottom"/>
          </w:tcPr>
          <w:p>
            <w:pPr>
              <w:jc w:val="center"/>
              <w:ind w:left="4094"/>
              <w:spacing w:after="0"/>
              <w:rPr>
                <w:sz w:val="20"/>
                <w:szCs w:val="20"/>
                <w:color w:val="auto"/>
              </w:rPr>
            </w:pPr>
            <w:r>
              <w:rPr>
                <w:rFonts w:ascii="Arial" w:cs="Arial" w:eastAsia="Arial" w:hAnsi="Arial"/>
                <w:sz w:val="13"/>
                <w:szCs w:val="13"/>
                <w:color w:val="auto"/>
                <w:w w:val="93"/>
              </w:rPr>
              <w:t>(I.R.S. employer</w:t>
            </w:r>
          </w:p>
        </w:tc>
      </w:tr>
      <w:tr>
        <w:trPr>
          <w:trHeight w:val="165"/>
        </w:trPr>
        <w:tc>
          <w:tcPr>
            <w:tcW w:w="2420" w:type="dxa"/>
            <w:vAlign w:val="bottom"/>
          </w:tcPr>
          <w:p>
            <w:pPr>
              <w:jc w:val="center"/>
              <w:ind w:right="254"/>
              <w:spacing w:after="0"/>
              <w:rPr>
                <w:sz w:val="20"/>
                <w:szCs w:val="20"/>
                <w:color w:val="auto"/>
              </w:rPr>
            </w:pPr>
            <w:r>
              <w:rPr>
                <w:rFonts w:ascii="Arial" w:cs="Arial" w:eastAsia="Arial" w:hAnsi="Arial"/>
                <w:sz w:val="13"/>
                <w:szCs w:val="13"/>
                <w:color w:val="auto"/>
                <w:w w:val="92"/>
              </w:rPr>
              <w:t>if not a U.S. national bank)</w:t>
            </w:r>
          </w:p>
        </w:tc>
        <w:tc>
          <w:tcPr>
            <w:tcW w:w="5120" w:type="dxa"/>
            <w:vAlign w:val="bottom"/>
          </w:tcPr>
          <w:p>
            <w:pPr>
              <w:jc w:val="center"/>
              <w:ind w:left="4114"/>
              <w:spacing w:after="0"/>
              <w:rPr>
                <w:sz w:val="20"/>
                <w:szCs w:val="20"/>
                <w:color w:val="auto"/>
              </w:rPr>
            </w:pPr>
            <w:r>
              <w:rPr>
                <w:rFonts w:ascii="Arial" w:cs="Arial" w:eastAsia="Arial" w:hAnsi="Arial"/>
                <w:sz w:val="13"/>
                <w:szCs w:val="13"/>
                <w:color w:val="auto"/>
                <w:w w:val="95"/>
              </w:rPr>
              <w:t>identification no.)</w:t>
            </w:r>
          </w:p>
        </w:tc>
      </w:tr>
      <w:tr>
        <w:trPr>
          <w:trHeight w:val="303"/>
        </w:trPr>
        <w:tc>
          <w:tcPr>
            <w:tcW w:w="2420" w:type="dxa"/>
            <w:vAlign w:val="bottom"/>
          </w:tcPr>
          <w:p>
            <w:pPr>
              <w:jc w:val="center"/>
              <w:ind w:right="274"/>
              <w:spacing w:after="0"/>
              <w:rPr>
                <w:sz w:val="20"/>
                <w:szCs w:val="20"/>
                <w:color w:val="auto"/>
              </w:rPr>
            </w:pPr>
            <w:r>
              <w:rPr>
                <w:rFonts w:ascii="Arial" w:cs="Arial" w:eastAsia="Arial" w:hAnsi="Arial"/>
                <w:sz w:val="13"/>
                <w:szCs w:val="13"/>
                <w:b w:val="1"/>
                <w:bCs w:val="1"/>
                <w:color w:val="auto"/>
                <w:w w:val="90"/>
              </w:rPr>
              <w:t>700 South Flower Street, Suite 500</w:t>
            </w:r>
          </w:p>
        </w:tc>
        <w:tc>
          <w:tcPr>
            <w:tcW w:w="5120" w:type="dxa"/>
            <w:vAlign w:val="bottom"/>
          </w:tcPr>
          <w:p>
            <w:pPr>
              <w:spacing w:after="0"/>
              <w:rPr>
                <w:sz w:val="24"/>
                <w:szCs w:val="24"/>
                <w:color w:val="auto"/>
              </w:rPr>
            </w:pPr>
          </w:p>
        </w:tc>
      </w:tr>
      <w:tr>
        <w:trPr>
          <w:trHeight w:val="161"/>
        </w:trPr>
        <w:tc>
          <w:tcPr>
            <w:tcW w:w="2420" w:type="dxa"/>
            <w:vAlign w:val="bottom"/>
          </w:tcPr>
          <w:p>
            <w:pPr>
              <w:jc w:val="center"/>
              <w:ind w:right="274"/>
              <w:spacing w:after="0"/>
              <w:rPr>
                <w:sz w:val="20"/>
                <w:szCs w:val="20"/>
                <w:color w:val="auto"/>
              </w:rPr>
            </w:pPr>
            <w:r>
              <w:rPr>
                <w:rFonts w:ascii="Arial" w:cs="Arial" w:eastAsia="Arial" w:hAnsi="Arial"/>
                <w:sz w:val="13"/>
                <w:szCs w:val="13"/>
                <w:b w:val="1"/>
                <w:bCs w:val="1"/>
                <w:color w:val="auto"/>
                <w:w w:val="91"/>
              </w:rPr>
              <w:t>Los Angeles, California</w:t>
            </w:r>
          </w:p>
        </w:tc>
        <w:tc>
          <w:tcPr>
            <w:tcW w:w="5120" w:type="dxa"/>
            <w:vAlign w:val="bottom"/>
          </w:tcPr>
          <w:p>
            <w:pPr>
              <w:jc w:val="right"/>
              <w:ind w:right="254"/>
              <w:spacing w:after="0"/>
              <w:rPr>
                <w:sz w:val="20"/>
                <w:szCs w:val="20"/>
                <w:color w:val="auto"/>
              </w:rPr>
            </w:pPr>
            <w:r>
              <w:rPr>
                <w:rFonts w:ascii="Arial" w:cs="Arial" w:eastAsia="Arial" w:hAnsi="Arial"/>
                <w:sz w:val="13"/>
                <w:szCs w:val="13"/>
                <w:b w:val="1"/>
                <w:bCs w:val="1"/>
                <w:color w:val="auto"/>
              </w:rPr>
              <w:t>90017</w:t>
            </w:r>
          </w:p>
        </w:tc>
      </w:tr>
      <w:tr>
        <w:trPr>
          <w:trHeight w:val="165"/>
        </w:trPr>
        <w:tc>
          <w:tcPr>
            <w:tcW w:w="2420" w:type="dxa"/>
            <w:vAlign w:val="bottom"/>
          </w:tcPr>
          <w:p>
            <w:pPr>
              <w:jc w:val="center"/>
              <w:ind w:right="274"/>
              <w:spacing w:after="0"/>
              <w:rPr>
                <w:sz w:val="20"/>
                <w:szCs w:val="20"/>
                <w:color w:val="auto"/>
              </w:rPr>
            </w:pPr>
            <w:r>
              <w:rPr>
                <w:rFonts w:ascii="Arial" w:cs="Arial" w:eastAsia="Arial" w:hAnsi="Arial"/>
                <w:sz w:val="13"/>
                <w:szCs w:val="13"/>
                <w:color w:val="auto"/>
                <w:w w:val="93"/>
              </w:rPr>
              <w:t>(Address of principal executive offices)</w:t>
            </w:r>
          </w:p>
        </w:tc>
        <w:tc>
          <w:tcPr>
            <w:tcW w:w="5120" w:type="dxa"/>
            <w:vAlign w:val="bottom"/>
          </w:tcPr>
          <w:p>
            <w:pPr>
              <w:jc w:val="center"/>
              <w:ind w:left="4094"/>
              <w:spacing w:after="0"/>
              <w:rPr>
                <w:sz w:val="20"/>
                <w:szCs w:val="20"/>
                <w:color w:val="auto"/>
              </w:rPr>
            </w:pPr>
            <w:r>
              <w:rPr>
                <w:rFonts w:ascii="Arial" w:cs="Arial" w:eastAsia="Arial" w:hAnsi="Arial"/>
                <w:sz w:val="13"/>
                <w:szCs w:val="13"/>
                <w:color w:val="auto"/>
                <w:w w:val="95"/>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138430</wp:posOffset>
            </wp:positionV>
            <wp:extent cx="1891030" cy="63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91030" cy="635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3820" w:type="dxa"/>
            <w:vAlign w:val="bottom"/>
          </w:tcPr>
          <w:p>
            <w:pPr>
              <w:spacing w:after="0"/>
              <w:rPr>
                <w:sz w:val="24"/>
                <w:szCs w:val="24"/>
                <w:color w:val="auto"/>
              </w:rPr>
            </w:pPr>
          </w:p>
        </w:tc>
        <w:tc>
          <w:tcPr>
            <w:tcW w:w="7640" w:type="dxa"/>
            <w:vAlign w:val="bottom"/>
            <w:gridSpan w:val="3"/>
          </w:tcPr>
          <w:p>
            <w:pPr>
              <w:jc w:val="center"/>
              <w:ind w:right="3754"/>
              <w:spacing w:after="0"/>
              <w:rPr>
                <w:sz w:val="20"/>
                <w:szCs w:val="20"/>
                <w:color w:val="auto"/>
              </w:rPr>
            </w:pPr>
            <w:r>
              <w:rPr>
                <w:rFonts w:ascii="Arial" w:cs="Arial" w:eastAsia="Arial" w:hAnsi="Arial"/>
                <w:sz w:val="31"/>
                <w:szCs w:val="31"/>
                <w:b w:val="1"/>
                <w:bCs w:val="1"/>
                <w:color w:val="auto"/>
              </w:rPr>
              <w:t>ANALOG DEVICES, INC.</w:t>
            </w:r>
          </w:p>
        </w:tc>
      </w:tr>
      <w:tr>
        <w:trPr>
          <w:trHeight w:val="165"/>
        </w:trPr>
        <w:tc>
          <w:tcPr>
            <w:tcW w:w="3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20" w:type="dxa"/>
            <w:vAlign w:val="bottom"/>
            <w:gridSpan w:val="2"/>
          </w:tcPr>
          <w:p>
            <w:pPr>
              <w:jc w:val="center"/>
              <w:ind w:right="4174"/>
              <w:spacing w:after="0"/>
              <w:rPr>
                <w:sz w:val="20"/>
                <w:szCs w:val="20"/>
                <w:color w:val="auto"/>
              </w:rPr>
            </w:pPr>
            <w:r>
              <w:rPr>
                <w:rFonts w:ascii="Arial" w:cs="Arial" w:eastAsia="Arial" w:hAnsi="Arial"/>
                <w:sz w:val="13"/>
                <w:szCs w:val="13"/>
                <w:color w:val="auto"/>
                <w:w w:val="91"/>
              </w:rPr>
              <w:t>(Exact name of obligor as specified in its charter)</w:t>
            </w:r>
          </w:p>
        </w:tc>
      </w:tr>
      <w:tr>
        <w:trPr>
          <w:trHeight w:val="307"/>
        </w:trPr>
        <w:tc>
          <w:tcPr>
            <w:tcW w:w="3820" w:type="dxa"/>
            <w:vAlign w:val="bottom"/>
          </w:tcPr>
          <w:p>
            <w:pPr>
              <w:jc w:val="center"/>
              <w:ind w:left="1554"/>
              <w:spacing w:after="0"/>
              <w:rPr>
                <w:sz w:val="20"/>
                <w:szCs w:val="20"/>
                <w:color w:val="auto"/>
              </w:rPr>
            </w:pPr>
            <w:r>
              <w:rPr>
                <w:rFonts w:ascii="Arial" w:cs="Arial" w:eastAsia="Arial" w:hAnsi="Arial"/>
                <w:sz w:val="13"/>
                <w:szCs w:val="13"/>
                <w:b w:val="1"/>
                <w:bCs w:val="1"/>
                <w:color w:val="auto"/>
                <w:w w:val="85"/>
              </w:rPr>
              <w:t>Massachusetts</w:t>
            </w:r>
          </w:p>
        </w:tc>
        <w:tc>
          <w:tcPr>
            <w:tcW w:w="7640" w:type="dxa"/>
            <w:vAlign w:val="bottom"/>
            <w:gridSpan w:val="3"/>
          </w:tcPr>
          <w:p>
            <w:pPr>
              <w:jc w:val="center"/>
              <w:ind w:left="2104"/>
              <w:spacing w:after="0"/>
              <w:rPr>
                <w:sz w:val="20"/>
                <w:szCs w:val="20"/>
                <w:color w:val="auto"/>
              </w:rPr>
            </w:pPr>
            <w:r>
              <w:rPr>
                <w:rFonts w:ascii="Arial" w:cs="Arial" w:eastAsia="Arial" w:hAnsi="Arial"/>
                <w:sz w:val="13"/>
                <w:szCs w:val="13"/>
                <w:b w:val="1"/>
                <w:bCs w:val="1"/>
                <w:color w:val="auto"/>
                <w:w w:val="92"/>
              </w:rPr>
              <w:t>04-2348234</w:t>
            </w:r>
          </w:p>
        </w:tc>
      </w:tr>
      <w:tr>
        <w:trPr>
          <w:trHeight w:val="157"/>
        </w:trPr>
        <w:tc>
          <w:tcPr>
            <w:tcW w:w="3820" w:type="dxa"/>
            <w:vAlign w:val="bottom"/>
          </w:tcPr>
          <w:p>
            <w:pPr>
              <w:jc w:val="center"/>
              <w:ind w:left="1534"/>
              <w:spacing w:after="0"/>
              <w:rPr>
                <w:sz w:val="20"/>
                <w:szCs w:val="20"/>
                <w:color w:val="auto"/>
              </w:rPr>
            </w:pPr>
            <w:r>
              <w:rPr>
                <w:rFonts w:ascii="Arial" w:cs="Arial" w:eastAsia="Arial" w:hAnsi="Arial"/>
                <w:sz w:val="13"/>
                <w:szCs w:val="13"/>
                <w:color w:val="auto"/>
                <w:w w:val="92"/>
              </w:rPr>
              <w:t>(State of incorporation</w:t>
            </w:r>
          </w:p>
        </w:tc>
        <w:tc>
          <w:tcPr>
            <w:tcW w:w="4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240" w:type="dxa"/>
            <w:vAlign w:val="bottom"/>
          </w:tcPr>
          <w:p>
            <w:pPr>
              <w:jc w:val="center"/>
              <w:ind w:right="1134"/>
              <w:spacing w:after="0"/>
              <w:rPr>
                <w:sz w:val="20"/>
                <w:szCs w:val="20"/>
                <w:color w:val="auto"/>
              </w:rPr>
            </w:pPr>
            <w:r>
              <w:rPr>
                <w:rFonts w:ascii="Arial" w:cs="Arial" w:eastAsia="Arial" w:hAnsi="Arial"/>
                <w:sz w:val="13"/>
                <w:szCs w:val="13"/>
                <w:color w:val="auto"/>
                <w:w w:val="93"/>
              </w:rPr>
              <w:t>(I.R.S. employer</w:t>
            </w:r>
          </w:p>
        </w:tc>
      </w:tr>
      <w:tr>
        <w:trPr>
          <w:trHeight w:val="165"/>
        </w:trPr>
        <w:tc>
          <w:tcPr>
            <w:tcW w:w="3820" w:type="dxa"/>
            <w:vAlign w:val="bottom"/>
          </w:tcPr>
          <w:p>
            <w:pPr>
              <w:jc w:val="center"/>
              <w:ind w:left="1574"/>
              <w:spacing w:after="0"/>
              <w:rPr>
                <w:sz w:val="20"/>
                <w:szCs w:val="20"/>
                <w:color w:val="auto"/>
              </w:rPr>
            </w:pPr>
            <w:r>
              <w:rPr>
                <w:rFonts w:ascii="Arial" w:cs="Arial" w:eastAsia="Arial" w:hAnsi="Arial"/>
                <w:sz w:val="13"/>
                <w:szCs w:val="13"/>
                <w:color w:val="auto"/>
                <w:w w:val="92"/>
              </w:rPr>
              <w:t>if not a U.S. national bank)</w:t>
            </w:r>
          </w:p>
        </w:tc>
        <w:tc>
          <w:tcPr>
            <w:tcW w:w="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jc w:val="center"/>
              <w:ind w:right="1114"/>
              <w:spacing w:after="0"/>
              <w:rPr>
                <w:sz w:val="20"/>
                <w:szCs w:val="20"/>
                <w:color w:val="auto"/>
              </w:rPr>
            </w:pPr>
            <w:r>
              <w:rPr>
                <w:rFonts w:ascii="Arial" w:cs="Arial" w:eastAsia="Arial" w:hAnsi="Arial"/>
                <w:sz w:val="13"/>
                <w:szCs w:val="13"/>
                <w:color w:val="auto"/>
                <w:w w:val="95"/>
              </w:rPr>
              <w:t>identification no.)</w:t>
            </w:r>
          </w:p>
        </w:tc>
      </w:tr>
      <w:tr>
        <w:trPr>
          <w:trHeight w:val="303"/>
        </w:trPr>
        <w:tc>
          <w:tcPr>
            <w:tcW w:w="3820" w:type="dxa"/>
            <w:vAlign w:val="bottom"/>
          </w:tcPr>
          <w:p>
            <w:pPr>
              <w:jc w:val="center"/>
              <w:ind w:left="1534"/>
              <w:spacing w:after="0"/>
              <w:rPr>
                <w:sz w:val="20"/>
                <w:szCs w:val="20"/>
                <w:color w:val="auto"/>
              </w:rPr>
            </w:pPr>
            <w:r>
              <w:rPr>
                <w:rFonts w:ascii="Arial" w:cs="Arial" w:eastAsia="Arial" w:hAnsi="Arial"/>
                <w:sz w:val="13"/>
                <w:szCs w:val="13"/>
                <w:b w:val="1"/>
                <w:bCs w:val="1"/>
                <w:color w:val="auto"/>
                <w:w w:val="89"/>
              </w:rPr>
              <w:t>One Technology Way</w:t>
            </w:r>
          </w:p>
        </w:tc>
        <w:tc>
          <w:tcPr>
            <w:tcW w:w="7640" w:type="dxa"/>
            <w:vAlign w:val="bottom"/>
            <w:gridSpan w:val="3"/>
          </w:tcPr>
          <w:p>
            <w:pPr>
              <w:jc w:val="center"/>
              <w:ind w:left="2104"/>
              <w:spacing w:after="0"/>
              <w:rPr>
                <w:sz w:val="20"/>
                <w:szCs w:val="20"/>
                <w:color w:val="auto"/>
              </w:rPr>
            </w:pPr>
            <w:r>
              <w:rPr>
                <w:rFonts w:ascii="Arial" w:cs="Arial" w:eastAsia="Arial" w:hAnsi="Arial"/>
                <w:sz w:val="13"/>
                <w:szCs w:val="13"/>
                <w:b w:val="1"/>
                <w:bCs w:val="1"/>
                <w:color w:val="auto"/>
                <w:w w:val="92"/>
              </w:rPr>
              <w:t>02062-9106</w:t>
            </w:r>
          </w:p>
        </w:tc>
      </w:tr>
      <w:tr>
        <w:trPr>
          <w:trHeight w:val="161"/>
        </w:trPr>
        <w:tc>
          <w:tcPr>
            <w:tcW w:w="3820" w:type="dxa"/>
            <w:vAlign w:val="bottom"/>
          </w:tcPr>
          <w:p>
            <w:pPr>
              <w:jc w:val="center"/>
              <w:ind w:left="1554"/>
              <w:spacing w:after="0"/>
              <w:rPr>
                <w:sz w:val="20"/>
                <w:szCs w:val="20"/>
                <w:color w:val="auto"/>
              </w:rPr>
            </w:pPr>
            <w:r>
              <w:rPr>
                <w:rFonts w:ascii="Arial" w:cs="Arial" w:eastAsia="Arial" w:hAnsi="Arial"/>
                <w:sz w:val="13"/>
                <w:szCs w:val="13"/>
                <w:b w:val="1"/>
                <w:bCs w:val="1"/>
                <w:color w:val="auto"/>
                <w:w w:val="89"/>
              </w:rPr>
              <w:t>Norwood, Massachusetts</w:t>
            </w:r>
          </w:p>
        </w:tc>
        <w:tc>
          <w:tcPr>
            <w:tcW w:w="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jc w:val="center"/>
              <w:ind w:right="1134"/>
              <w:spacing w:after="0"/>
              <w:rPr>
                <w:sz w:val="20"/>
                <w:szCs w:val="20"/>
                <w:color w:val="auto"/>
              </w:rPr>
            </w:pPr>
            <w:r>
              <w:rPr>
                <w:rFonts w:ascii="Arial" w:cs="Arial" w:eastAsia="Arial" w:hAnsi="Arial"/>
                <w:sz w:val="13"/>
                <w:szCs w:val="13"/>
                <w:color w:val="auto"/>
                <w:w w:val="95"/>
              </w:rPr>
              <w:t>(Zip code)</w:t>
            </w:r>
          </w:p>
        </w:tc>
      </w:tr>
      <w:tr>
        <w:trPr>
          <w:trHeight w:val="165"/>
        </w:trPr>
        <w:tc>
          <w:tcPr>
            <w:tcW w:w="3820" w:type="dxa"/>
            <w:vAlign w:val="bottom"/>
          </w:tcPr>
          <w:p>
            <w:pPr>
              <w:jc w:val="center"/>
              <w:ind w:left="1554"/>
              <w:spacing w:after="0"/>
              <w:rPr>
                <w:sz w:val="20"/>
                <w:szCs w:val="20"/>
                <w:color w:val="auto"/>
              </w:rPr>
            </w:pPr>
            <w:r>
              <w:rPr>
                <w:rFonts w:ascii="Arial" w:cs="Arial" w:eastAsia="Arial" w:hAnsi="Arial"/>
                <w:sz w:val="13"/>
                <w:szCs w:val="13"/>
                <w:color w:val="auto"/>
                <w:w w:val="93"/>
              </w:rPr>
              <w:t>(Address of principal executive offices)</w:t>
            </w:r>
          </w:p>
        </w:tc>
        <w:tc>
          <w:tcPr>
            <w:tcW w:w="4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40" w:type="dxa"/>
            <w:vAlign w:val="bottom"/>
          </w:tcPr>
          <w:p>
            <w:pPr>
              <w:spacing w:after="0"/>
              <w:rPr>
                <w:sz w:val="14"/>
                <w:szCs w:val="14"/>
                <w:color w:val="auto"/>
              </w:rPr>
            </w:pPr>
          </w:p>
        </w:tc>
      </w:tr>
      <w:tr>
        <w:trPr>
          <w:trHeight w:val="208"/>
        </w:trPr>
        <w:tc>
          <w:tcPr>
            <w:tcW w:w="3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4240" w:type="dxa"/>
            <w:vAlign w:val="bottom"/>
          </w:tcPr>
          <w:p>
            <w:pPr>
              <w:spacing w:after="0"/>
              <w:rPr>
                <w:sz w:val="18"/>
                <w:szCs w:val="18"/>
                <w:color w:val="auto"/>
              </w:rPr>
            </w:pPr>
          </w:p>
        </w:tc>
      </w:tr>
      <w:tr>
        <w:trPr>
          <w:trHeight w:val="352"/>
        </w:trPr>
        <w:tc>
          <w:tcPr>
            <w:tcW w:w="3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20" w:type="dxa"/>
            <w:vAlign w:val="bottom"/>
            <w:gridSpan w:val="2"/>
          </w:tcPr>
          <w:p>
            <w:pPr>
              <w:jc w:val="center"/>
              <w:ind w:right="4154"/>
              <w:spacing w:after="0"/>
              <w:rPr>
                <w:sz w:val="20"/>
                <w:szCs w:val="20"/>
                <w:color w:val="auto"/>
              </w:rPr>
            </w:pPr>
            <w:r>
              <w:rPr>
                <w:rFonts w:ascii="Arial" w:cs="Arial" w:eastAsia="Arial" w:hAnsi="Arial"/>
                <w:sz w:val="13"/>
                <w:szCs w:val="13"/>
                <w:b w:val="1"/>
                <w:bCs w:val="1"/>
                <w:color w:val="auto"/>
                <w:w w:val="88"/>
              </w:rPr>
              <w:t>Debt Securities</w:t>
            </w:r>
          </w:p>
        </w:tc>
      </w:tr>
      <w:tr>
        <w:trPr>
          <w:trHeight w:val="315"/>
        </w:trPr>
        <w:tc>
          <w:tcPr>
            <w:tcW w:w="3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20" w:type="dxa"/>
            <w:vAlign w:val="bottom"/>
            <w:gridSpan w:val="2"/>
          </w:tcPr>
          <w:p>
            <w:pPr>
              <w:jc w:val="center"/>
              <w:ind w:right="4154"/>
              <w:spacing w:after="0"/>
              <w:rPr>
                <w:sz w:val="20"/>
                <w:szCs w:val="20"/>
                <w:color w:val="auto"/>
              </w:rPr>
            </w:pPr>
            <w:r>
              <w:rPr>
                <w:rFonts w:ascii="Arial" w:cs="Arial" w:eastAsia="Arial" w:hAnsi="Arial"/>
                <w:sz w:val="13"/>
                <w:szCs w:val="13"/>
                <w:color w:val="auto"/>
                <w:w w:val="92"/>
              </w:rPr>
              <w:t>(Title of the indenture securities)</w:t>
            </w:r>
          </w:p>
        </w:tc>
      </w:tr>
      <w:tr>
        <w:trPr>
          <w:trHeight w:val="208"/>
        </w:trPr>
        <w:tc>
          <w:tcPr>
            <w:tcW w:w="3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4240" w:type="dxa"/>
            <w:vAlign w:val="bottom"/>
          </w:tcPr>
          <w:p>
            <w:pPr>
              <w:spacing w:after="0"/>
              <w:rPr>
                <w:sz w:val="18"/>
                <w:szCs w:val="18"/>
                <w:color w:val="auto"/>
              </w:rPr>
            </w:pPr>
          </w:p>
        </w:tc>
      </w:tr>
      <w:tr>
        <w:trPr>
          <w:trHeight w:val="216"/>
        </w:trPr>
        <w:tc>
          <w:tcPr>
            <w:tcW w:w="38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r>
      <w:tr>
        <w:trPr>
          <w:trHeight w:val="447"/>
        </w:trPr>
        <w:tc>
          <w:tcPr>
            <w:tcW w:w="38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4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131" w:right="219" w:bottom="1440" w:gutter="0" w:footer="0" w:header="0"/>
        </w:sectPr>
      </w:pPr>
    </w:p>
    <w:bookmarkStart w:id="73" w:name="page74"/>
    <w:bookmarkEnd w:id="73"/>
    <w:p>
      <w:pPr>
        <w:ind w:left="461" w:hanging="461"/>
        <w:spacing w:after="0"/>
        <w:tabs>
          <w:tab w:leader="none" w:pos="461"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General information. Furnish the following information as to the trustee:</w:t>
      </w:r>
    </w:p>
    <w:p>
      <w:pPr>
        <w:spacing w:after="0" w:line="86" w:lineRule="exact"/>
        <w:rPr>
          <w:rFonts w:ascii="Arial" w:cs="Arial" w:eastAsia="Arial" w:hAnsi="Arial"/>
          <w:sz w:val="13"/>
          <w:szCs w:val="13"/>
          <w:b w:val="1"/>
          <w:bCs w:val="1"/>
          <w:color w:val="auto"/>
        </w:rPr>
      </w:pPr>
    </w:p>
    <w:p>
      <w:pPr>
        <w:ind w:left="901" w:hanging="449"/>
        <w:spacing w:after="0"/>
        <w:tabs>
          <w:tab w:leader="none" w:pos="901" w:val="left"/>
        </w:tabs>
        <w:numPr>
          <w:ilvl w:val="1"/>
          <w:numId w:val="64"/>
        </w:numPr>
        <w:rPr>
          <w:rFonts w:ascii="Arial" w:cs="Arial" w:eastAsia="Arial" w:hAnsi="Arial"/>
          <w:sz w:val="13"/>
          <w:szCs w:val="13"/>
          <w:b w:val="1"/>
          <w:bCs w:val="1"/>
          <w:color w:val="auto"/>
        </w:rPr>
      </w:pPr>
      <w:r>
        <w:rPr>
          <w:rFonts w:ascii="Arial" w:cs="Arial" w:eastAsia="Arial" w:hAnsi="Arial"/>
          <w:sz w:val="13"/>
          <w:szCs w:val="13"/>
          <w:b w:val="1"/>
          <w:bCs w:val="1"/>
          <w:color w:val="auto"/>
        </w:rPr>
        <w:t>Name and address of each examining or supervising authority to which it is subject.</w:t>
      </w:r>
    </w:p>
    <w:p>
      <w:pPr>
        <w:spacing w:after="0" w:line="165" w:lineRule="exact"/>
        <w:rPr>
          <w:sz w:val="20"/>
          <w:szCs w:val="20"/>
          <w:color w:val="auto"/>
        </w:rPr>
      </w:pPr>
    </w:p>
    <w:tbl>
      <w:tblPr>
        <w:tblLayout w:type="fixed"/>
        <w:tblInd w:w="1"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5140" w:type="dxa"/>
            <w:vAlign w:val="bottom"/>
            <w:tcBorders>
              <w:bottom w:val="single" w:sz="8" w:color="auto"/>
            </w:tcBorders>
          </w:tcPr>
          <w:p>
            <w:pPr>
              <w:ind w:left="2440"/>
              <w:spacing w:after="0"/>
              <w:rPr>
                <w:sz w:val="20"/>
                <w:szCs w:val="20"/>
                <w:color w:val="auto"/>
              </w:rPr>
            </w:pPr>
            <w:r>
              <w:rPr>
                <w:rFonts w:ascii="Arial" w:cs="Arial" w:eastAsia="Arial" w:hAnsi="Arial"/>
                <w:sz w:val="10"/>
                <w:szCs w:val="10"/>
                <w:color w:val="auto"/>
              </w:rPr>
              <w:t>Name</w:t>
            </w:r>
          </w:p>
        </w:tc>
        <w:tc>
          <w:tcPr>
            <w:tcW w:w="580" w:type="dxa"/>
            <w:vAlign w:val="bottom"/>
          </w:tcPr>
          <w:p>
            <w:pPr>
              <w:spacing w:after="0"/>
              <w:rPr>
                <w:sz w:val="10"/>
                <w:szCs w:val="10"/>
                <w:color w:val="auto"/>
              </w:rPr>
            </w:pPr>
          </w:p>
        </w:tc>
        <w:tc>
          <w:tcPr>
            <w:tcW w:w="5720" w:type="dxa"/>
            <w:vAlign w:val="bottom"/>
            <w:tcBorders>
              <w:bottom w:val="single" w:sz="8" w:color="auto"/>
            </w:tcBorders>
          </w:tcPr>
          <w:p>
            <w:pPr>
              <w:ind w:left="2700"/>
              <w:spacing w:after="0"/>
              <w:rPr>
                <w:sz w:val="20"/>
                <w:szCs w:val="20"/>
                <w:color w:val="auto"/>
              </w:rPr>
            </w:pPr>
            <w:r>
              <w:rPr>
                <w:rFonts w:ascii="Arial" w:cs="Arial" w:eastAsia="Arial" w:hAnsi="Arial"/>
                <w:sz w:val="10"/>
                <w:szCs w:val="10"/>
                <w:color w:val="auto"/>
              </w:rPr>
              <w:t>Address</w:t>
            </w:r>
          </w:p>
        </w:tc>
      </w:tr>
      <w:tr>
        <w:trPr>
          <w:trHeight w:val="155"/>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Arial" w:cs="Arial" w:eastAsia="Arial" w:hAnsi="Arial"/>
                <w:sz w:val="13"/>
                <w:szCs w:val="13"/>
                <w:color w:val="auto"/>
              </w:rPr>
              <w:t>Comptroller of the Currency — United States Department of the Treasury</w:t>
            </w:r>
          </w:p>
        </w:tc>
        <w:tc>
          <w:tcPr>
            <w:tcW w:w="580" w:type="dxa"/>
            <w:vAlign w:val="bottom"/>
          </w:tcPr>
          <w:p>
            <w:pPr>
              <w:spacing w:after="0"/>
              <w:rPr>
                <w:sz w:val="13"/>
                <w:szCs w:val="13"/>
                <w:color w:val="auto"/>
              </w:rPr>
            </w:pPr>
          </w:p>
        </w:tc>
        <w:tc>
          <w:tcPr>
            <w:tcW w:w="5720" w:type="dxa"/>
            <w:vAlign w:val="bottom"/>
          </w:tcPr>
          <w:p>
            <w:pPr>
              <w:spacing w:after="0"/>
              <w:rPr>
                <w:sz w:val="20"/>
                <w:szCs w:val="20"/>
                <w:color w:val="auto"/>
              </w:rPr>
            </w:pPr>
            <w:r>
              <w:rPr>
                <w:rFonts w:ascii="Arial" w:cs="Arial" w:eastAsia="Arial" w:hAnsi="Arial"/>
                <w:sz w:val="13"/>
                <w:szCs w:val="13"/>
                <w:color w:val="auto"/>
              </w:rPr>
              <w:t>Washington, D.C. 20219</w:t>
            </w:r>
          </w:p>
        </w:tc>
      </w:tr>
      <w:tr>
        <w:trPr>
          <w:trHeight w:val="306"/>
        </w:trPr>
        <w:tc>
          <w:tcPr>
            <w:tcW w:w="5160" w:type="dxa"/>
            <w:vAlign w:val="bottom"/>
            <w:gridSpan w:val="2"/>
          </w:tcPr>
          <w:p>
            <w:pPr>
              <w:spacing w:after="0"/>
              <w:rPr>
                <w:sz w:val="20"/>
                <w:szCs w:val="20"/>
                <w:color w:val="auto"/>
              </w:rPr>
            </w:pPr>
            <w:r>
              <w:rPr>
                <w:rFonts w:ascii="Arial" w:cs="Arial" w:eastAsia="Arial" w:hAnsi="Arial"/>
                <w:sz w:val="13"/>
                <w:szCs w:val="13"/>
                <w:color w:val="auto"/>
              </w:rPr>
              <w:t>Federal Reserve Bank</w:t>
            </w:r>
          </w:p>
        </w:tc>
        <w:tc>
          <w:tcPr>
            <w:tcW w:w="58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3"/>
                <w:szCs w:val="13"/>
                <w:color w:val="auto"/>
              </w:rPr>
              <w:t>San Francisco, California 94105</w:t>
            </w:r>
          </w:p>
        </w:tc>
      </w:tr>
      <w:tr>
        <w:trPr>
          <w:trHeight w:val="315"/>
        </w:trPr>
        <w:tc>
          <w:tcPr>
            <w:tcW w:w="5160" w:type="dxa"/>
            <w:vAlign w:val="bottom"/>
            <w:gridSpan w:val="2"/>
          </w:tcPr>
          <w:p>
            <w:pPr>
              <w:spacing w:after="0"/>
              <w:rPr>
                <w:sz w:val="20"/>
                <w:szCs w:val="20"/>
                <w:color w:val="auto"/>
              </w:rPr>
            </w:pPr>
            <w:r>
              <w:rPr>
                <w:rFonts w:ascii="Arial" w:cs="Arial" w:eastAsia="Arial" w:hAnsi="Arial"/>
                <w:sz w:val="13"/>
                <w:szCs w:val="13"/>
                <w:color w:val="auto"/>
              </w:rPr>
              <w:t>Federal Deposit Insurance Corporation</w:t>
            </w:r>
          </w:p>
        </w:tc>
        <w:tc>
          <w:tcPr>
            <w:tcW w:w="58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3"/>
                <w:szCs w:val="13"/>
                <w:color w:val="auto"/>
              </w:rPr>
              <w:t>Washington, D.C. 20429</w:t>
            </w:r>
          </w:p>
        </w:tc>
      </w:tr>
    </w:tbl>
    <w:p>
      <w:pPr>
        <w:spacing w:after="0" w:line="67" w:lineRule="exact"/>
        <w:rPr>
          <w:sz w:val="20"/>
          <w:szCs w:val="20"/>
          <w:color w:val="auto"/>
        </w:rPr>
      </w:pPr>
    </w:p>
    <w:p>
      <w:pPr>
        <w:ind w:left="901" w:right="7240" w:hanging="449"/>
        <w:spacing w:after="0" w:line="386" w:lineRule="auto"/>
        <w:tabs>
          <w:tab w:leader="none" w:pos="901" w:val="left"/>
        </w:tabs>
        <w:numPr>
          <w:ilvl w:val="1"/>
          <w:numId w:val="6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Whether it is authorized to exercise corporate trust powers. </w:t>
      </w:r>
      <w:r>
        <w:rPr>
          <w:rFonts w:ascii="Arial" w:cs="Arial" w:eastAsia="Arial" w:hAnsi="Arial"/>
          <w:sz w:val="13"/>
          <w:szCs w:val="13"/>
          <w:color w:val="auto"/>
        </w:rPr>
        <w:t>Yes.</w:t>
      </w:r>
    </w:p>
    <w:p>
      <w:pPr>
        <w:ind w:left="461" w:hanging="461"/>
        <w:spacing w:after="0"/>
        <w:tabs>
          <w:tab w:leader="none" w:pos="461"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color w:val="auto"/>
        </w:rPr>
        <w:t>Affiliations with Obligor.</w:t>
      </w:r>
    </w:p>
    <w:p>
      <w:pPr>
        <w:spacing w:after="0" w:line="96" w:lineRule="exact"/>
        <w:rPr>
          <w:rFonts w:ascii="Arial" w:cs="Arial" w:eastAsia="Arial" w:hAnsi="Arial"/>
          <w:sz w:val="13"/>
          <w:szCs w:val="13"/>
          <w:b w:val="1"/>
          <w:bCs w:val="1"/>
          <w:color w:val="auto"/>
        </w:rPr>
      </w:pPr>
    </w:p>
    <w:p>
      <w:pPr>
        <w:ind w:left="461" w:right="7040"/>
        <w:spacing w:after="0" w:line="386" w:lineRule="auto"/>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If the obligor is an affiliate of the trustee, describe each such affiliation. </w:t>
      </w:r>
      <w:r>
        <w:rPr>
          <w:rFonts w:ascii="Arial" w:cs="Arial" w:eastAsia="Arial" w:hAnsi="Arial"/>
          <w:sz w:val="13"/>
          <w:szCs w:val="13"/>
          <w:color w:val="auto"/>
        </w:rPr>
        <w:t>None.</w:t>
      </w:r>
    </w:p>
    <w:p>
      <w:pPr>
        <w:spacing w:after="0" w:line="1" w:lineRule="exact"/>
        <w:rPr>
          <w:sz w:val="20"/>
          <w:szCs w:val="20"/>
          <w:color w:val="auto"/>
        </w:rPr>
      </w:pPr>
    </w:p>
    <w:p>
      <w:pPr>
        <w:ind w:left="461" w:hanging="461"/>
        <w:spacing w:after="0"/>
        <w:tabs>
          <w:tab w:leader="none" w:pos="461"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color w:val="auto"/>
        </w:rPr>
        <w:t>List of Exhibits.</w:t>
      </w:r>
    </w:p>
    <w:p>
      <w:pPr>
        <w:spacing w:after="0" w:line="96" w:lineRule="exact"/>
        <w:rPr>
          <w:rFonts w:ascii="Arial" w:cs="Arial" w:eastAsia="Arial" w:hAnsi="Arial"/>
          <w:sz w:val="13"/>
          <w:szCs w:val="13"/>
          <w:b w:val="1"/>
          <w:bCs w:val="1"/>
          <w:color w:val="auto"/>
        </w:rPr>
      </w:pPr>
    </w:p>
    <w:p>
      <w:pPr>
        <w:ind w:left="461" w:right="160"/>
        <w:spacing w:after="0" w:line="283" w:lineRule="auto"/>
        <w:rPr>
          <w:rFonts w:ascii="Arial" w:cs="Arial" w:eastAsia="Arial" w:hAnsi="Arial"/>
          <w:sz w:val="13"/>
          <w:szCs w:val="13"/>
          <w:b w:val="1"/>
          <w:bCs w:val="1"/>
          <w:color w:val="auto"/>
        </w:rPr>
      </w:pPr>
      <w:r>
        <w:rPr>
          <w:rFonts w:ascii="Arial" w:cs="Arial" w:eastAsia="Arial" w:hAnsi="Arial"/>
          <w:sz w:val="13"/>
          <w:szCs w:val="13"/>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44" w:lineRule="exact"/>
        <w:rPr>
          <w:rFonts w:ascii="Arial" w:cs="Arial" w:eastAsia="Arial" w:hAnsi="Arial"/>
          <w:sz w:val="13"/>
          <w:szCs w:val="13"/>
          <w:b w:val="1"/>
          <w:bCs w:val="1"/>
          <w:color w:val="auto"/>
        </w:rPr>
      </w:pPr>
    </w:p>
    <w:p>
      <w:pPr>
        <w:ind w:left="901" w:right="500" w:hanging="449"/>
        <w:spacing w:after="0" w:line="276" w:lineRule="auto"/>
        <w:tabs>
          <w:tab w:leader="none" w:pos="901" w:val="left"/>
        </w:tabs>
        <w:numPr>
          <w:ilvl w:val="1"/>
          <w:numId w:val="67"/>
        </w:numPr>
        <w:rPr>
          <w:rFonts w:ascii="Arial" w:cs="Arial" w:eastAsia="Arial" w:hAnsi="Arial"/>
          <w:sz w:val="13"/>
          <w:szCs w:val="13"/>
          <w:color w:val="auto"/>
        </w:rPr>
      </w:pPr>
      <w:r>
        <w:rPr>
          <w:rFonts w:ascii="Arial" w:cs="Arial" w:eastAsia="Arial" w:hAnsi="Arial"/>
          <w:sz w:val="13"/>
          <w:szCs w:val="13"/>
          <w:color w:val="auto"/>
        </w:rPr>
        <w:t>A copy of the articles of association of The Bank of New York Mellon Trust Company, N.A. (Exhibit 1 to Form T-1 filed with Registration Statement No. 333-121948 which is incorporated by reference).</w:t>
      </w:r>
    </w:p>
    <w:p>
      <w:pPr>
        <w:spacing w:after="0" w:line="59" w:lineRule="exact"/>
        <w:rPr>
          <w:rFonts w:ascii="Arial" w:cs="Arial" w:eastAsia="Arial" w:hAnsi="Arial"/>
          <w:sz w:val="13"/>
          <w:szCs w:val="13"/>
          <w:color w:val="auto"/>
        </w:rPr>
      </w:pPr>
    </w:p>
    <w:p>
      <w:pPr>
        <w:ind w:left="901" w:hanging="449"/>
        <w:spacing w:after="0"/>
        <w:tabs>
          <w:tab w:leader="none" w:pos="901" w:val="left"/>
        </w:tabs>
        <w:numPr>
          <w:ilvl w:val="1"/>
          <w:numId w:val="67"/>
        </w:numPr>
        <w:rPr>
          <w:rFonts w:ascii="Arial" w:cs="Arial" w:eastAsia="Arial" w:hAnsi="Arial"/>
          <w:sz w:val="13"/>
          <w:szCs w:val="13"/>
          <w:color w:val="auto"/>
        </w:rPr>
      </w:pPr>
      <w:r>
        <w:rPr>
          <w:rFonts w:ascii="Arial" w:cs="Arial" w:eastAsia="Arial" w:hAnsi="Arial"/>
          <w:sz w:val="13"/>
          <w:szCs w:val="13"/>
          <w:color w:val="auto"/>
        </w:rPr>
        <w:t>A copy of certificate of authority of the trustee to commence business. (Exhibit 2 to Form T-1 filed with Registration Statement No. 333-121948 which is incorporated by reference).</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67"/>
        </w:numPr>
        <w:rPr>
          <w:rFonts w:ascii="Arial" w:cs="Arial" w:eastAsia="Arial" w:hAnsi="Arial"/>
          <w:sz w:val="12"/>
          <w:szCs w:val="12"/>
          <w:color w:val="auto"/>
        </w:rPr>
      </w:pPr>
      <w:r>
        <w:rPr>
          <w:rFonts w:ascii="Arial" w:cs="Arial" w:eastAsia="Arial" w:hAnsi="Arial"/>
          <w:sz w:val="12"/>
          <w:szCs w:val="12"/>
          <w:color w:val="auto"/>
        </w:rPr>
        <w:t>A copy of the authorization of the trustee to exercise corporate trust powers. (Exhibit 3 to Form T-1 filed with Registration Statement No. 333-121948 which is incorporated by reference).</w:t>
      </w:r>
    </w:p>
    <w:p>
      <w:pPr>
        <w:spacing w:after="0" w:line="107" w:lineRule="exact"/>
        <w:rPr>
          <w:rFonts w:ascii="Arial" w:cs="Arial" w:eastAsia="Arial" w:hAnsi="Arial"/>
          <w:sz w:val="12"/>
          <w:szCs w:val="12"/>
          <w:color w:val="auto"/>
        </w:rPr>
      </w:pPr>
    </w:p>
    <w:p>
      <w:pPr>
        <w:ind w:left="901" w:hanging="449"/>
        <w:spacing w:after="0"/>
        <w:tabs>
          <w:tab w:leader="none" w:pos="901" w:val="left"/>
        </w:tabs>
        <w:numPr>
          <w:ilvl w:val="1"/>
          <w:numId w:val="67"/>
        </w:numPr>
        <w:rPr>
          <w:rFonts w:ascii="Arial" w:cs="Arial" w:eastAsia="Arial" w:hAnsi="Arial"/>
          <w:sz w:val="13"/>
          <w:szCs w:val="13"/>
          <w:color w:val="auto"/>
        </w:rPr>
      </w:pPr>
      <w:r>
        <w:rPr>
          <w:rFonts w:ascii="Arial" w:cs="Arial" w:eastAsia="Arial" w:hAnsi="Arial"/>
          <w:sz w:val="13"/>
          <w:szCs w:val="13"/>
          <w:color w:val="auto"/>
        </w:rPr>
        <w:t>A copy of the existing by-laws of the trustee. (Exhibit 4 to Form T-1 filed with Registration Statement No. 333-121948 which is incorporated by reference).</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67"/>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96" w:lineRule="exact"/>
        <w:rPr>
          <w:rFonts w:ascii="Arial" w:cs="Arial" w:eastAsia="Arial" w:hAnsi="Arial"/>
          <w:sz w:val="13"/>
          <w:szCs w:val="13"/>
          <w:color w:val="auto"/>
        </w:rPr>
      </w:pPr>
    </w:p>
    <w:p>
      <w:pPr>
        <w:ind w:left="901" w:hanging="449"/>
        <w:spacing w:after="0"/>
        <w:tabs>
          <w:tab w:leader="none" w:pos="901" w:val="left"/>
        </w:tabs>
        <w:numPr>
          <w:ilvl w:val="1"/>
          <w:numId w:val="67"/>
        </w:numPr>
        <w:rPr>
          <w:rFonts w:ascii="Arial" w:cs="Arial" w:eastAsia="Arial" w:hAnsi="Arial"/>
          <w:sz w:val="13"/>
          <w:szCs w:val="13"/>
          <w:color w:val="auto"/>
        </w:rPr>
      </w:pPr>
      <w:r>
        <w:rPr>
          <w:rFonts w:ascii="Arial" w:cs="Arial" w:eastAsia="Arial" w:hAnsi="Arial"/>
          <w:sz w:val="13"/>
          <w:szCs w:val="13"/>
          <w:color w:val="auto"/>
        </w:rPr>
        <w:t>The consent of the trustee required by Section 321(b) of the Act. (Exhibit 6 to Form T-1 filed with Registration Statement No. 333-121948 which is incorporated by reference).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7" w:right="219" w:bottom="1440" w:gutter="0" w:footer="0" w:header="0"/>
        </w:sectPr>
      </w:pPr>
    </w:p>
    <w:bookmarkStart w:id="74" w:name="page75"/>
    <w:bookmarkEnd w:id="74"/>
    <w:p>
      <w:pPr>
        <w:ind w:left="449" w:hanging="449"/>
        <w:spacing w:after="0"/>
        <w:tabs>
          <w:tab w:leader="none" w:pos="449" w:val="left"/>
        </w:tabs>
        <w:numPr>
          <w:ilvl w:val="0"/>
          <w:numId w:val="68"/>
        </w:numPr>
        <w:rPr>
          <w:rFonts w:ascii="Arial" w:cs="Arial" w:eastAsia="Arial" w:hAnsi="Arial"/>
          <w:sz w:val="11"/>
          <w:szCs w:val="11"/>
          <w:color w:val="auto"/>
        </w:rPr>
      </w:pPr>
      <w:r>
        <w:rPr>
          <w:rFonts w:ascii="Arial" w:cs="Arial" w:eastAsia="Arial" w:hAnsi="Arial"/>
          <w:sz w:val="11"/>
          <w:szCs w:val="11"/>
          <w:color w:val="auto"/>
        </w:rPr>
        <w:t>A copy of the latest report of condition of the Trustee published pursuant to law or to the requirements of its supervising or examining authority.</w:t>
      </w:r>
    </w:p>
    <w:p>
      <w:pPr>
        <w:spacing w:after="0" w:line="119" w:lineRule="exact"/>
        <w:rPr>
          <w:rFonts w:ascii="Arial" w:cs="Arial" w:eastAsia="Arial" w:hAnsi="Arial"/>
          <w:sz w:val="11"/>
          <w:szCs w:val="11"/>
          <w:color w:val="auto"/>
        </w:rPr>
      </w:pPr>
    </w:p>
    <w:p>
      <w:pPr>
        <w:ind w:left="449" w:hanging="449"/>
        <w:spacing w:after="0"/>
        <w:tabs>
          <w:tab w:leader="none" w:pos="449" w:val="left"/>
        </w:tabs>
        <w:numPr>
          <w:ilvl w:val="0"/>
          <w:numId w:val="68"/>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96" w:lineRule="exact"/>
        <w:rPr>
          <w:rFonts w:ascii="Arial" w:cs="Arial" w:eastAsia="Arial" w:hAnsi="Arial"/>
          <w:sz w:val="13"/>
          <w:szCs w:val="13"/>
          <w:color w:val="auto"/>
        </w:rPr>
      </w:pPr>
    </w:p>
    <w:p>
      <w:pPr>
        <w:ind w:left="449" w:hanging="449"/>
        <w:spacing w:after="0"/>
        <w:tabs>
          <w:tab w:leader="none" w:pos="449" w:val="left"/>
        </w:tabs>
        <w:numPr>
          <w:ilvl w:val="0"/>
          <w:numId w:val="68"/>
        </w:numPr>
        <w:rPr>
          <w:rFonts w:ascii="Arial" w:cs="Arial" w:eastAsia="Arial" w:hAnsi="Arial"/>
          <w:sz w:val="13"/>
          <w:szCs w:val="13"/>
          <w:color w:val="auto"/>
        </w:rPr>
      </w:pPr>
      <w:r>
        <w:rPr>
          <w:rFonts w:ascii="Arial" w:cs="Arial" w:eastAsia="Arial" w:hAnsi="Arial"/>
          <w:sz w:val="13"/>
          <w:szCs w:val="13"/>
          <w:color w:val="auto"/>
        </w:rPr>
        <w:t>Not applicable.</w:t>
      </w:r>
    </w:p>
    <w:p>
      <w:pPr>
        <w:spacing w:after="0" w:line="145" w:lineRule="exact"/>
        <w:rPr>
          <w:sz w:val="20"/>
          <w:szCs w:val="20"/>
          <w:color w:val="auto"/>
        </w:rPr>
      </w:pPr>
    </w:p>
    <w:p>
      <w:pPr>
        <w:ind w:left="520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788"/>
          </w:cols>
          <w:pgMar w:left="671" w:top="799" w:right="1440" w:bottom="1440" w:gutter="0" w:footer="0" w:header="0"/>
        </w:sectPr>
      </w:pPr>
    </w:p>
    <w:bookmarkStart w:id="75" w:name="page76"/>
    <w:bookmarkEnd w:id="75"/>
    <w:p>
      <w:pPr>
        <w:jc w:val="center"/>
        <w:ind w:right="-379"/>
        <w:spacing w:after="0"/>
        <w:rPr>
          <w:sz w:val="20"/>
          <w:szCs w:val="20"/>
          <w:color w:val="auto"/>
        </w:rPr>
      </w:pPr>
      <w:r>
        <w:rPr>
          <w:rFonts w:ascii="Arial" w:cs="Arial" w:eastAsia="Arial" w:hAnsi="Arial"/>
          <w:sz w:val="13"/>
          <w:szCs w:val="13"/>
          <w:b w:val="1"/>
          <w:bCs w:val="1"/>
          <w:color w:val="auto"/>
        </w:rPr>
        <w:t>SIGNATURE</w:t>
      </w:r>
    </w:p>
    <w:p>
      <w:pPr>
        <w:spacing w:after="0" w:line="90" w:lineRule="exact"/>
        <w:rPr>
          <w:sz w:val="20"/>
          <w:szCs w:val="20"/>
          <w:color w:val="auto"/>
        </w:rPr>
      </w:pPr>
    </w:p>
    <w:p>
      <w:pPr>
        <w:ind w:firstLine="164"/>
        <w:spacing w:after="0" w:line="320" w:lineRule="auto"/>
        <w:rPr>
          <w:sz w:val="20"/>
          <w:szCs w:val="20"/>
          <w:color w:val="auto"/>
        </w:rPr>
      </w:pPr>
      <w:r>
        <w:rPr>
          <w:rFonts w:ascii="Arial" w:cs="Arial" w:eastAsia="Arial" w:hAnsi="Arial"/>
          <w:sz w:val="12"/>
          <w:szCs w:val="12"/>
          <w:color w:val="auto"/>
        </w:rPr>
        <w:t>Pursuant to the requirements of the Act, the trustee, The Bank of New York Mellon Trust Company, N.A., a banking association organized and existing under the laws of the United States of America, has duly caused this statement of eligibility to be signed on its behalf by the undersigned, thereunto duly authorized, all in The City of Boston, and State of Massachusetts, on the 23</w:t>
      </w:r>
      <w:r>
        <w:rPr>
          <w:rFonts w:ascii="Arial" w:cs="Arial" w:eastAsia="Arial" w:hAnsi="Arial"/>
          <w:sz w:val="10"/>
          <w:szCs w:val="10"/>
          <w:color w:val="auto"/>
        </w:rPr>
        <w:t>rd</w:t>
      </w:r>
      <w:r>
        <w:rPr>
          <w:rFonts w:ascii="Arial" w:cs="Arial" w:eastAsia="Arial" w:hAnsi="Arial"/>
          <w:sz w:val="12"/>
          <w:szCs w:val="12"/>
          <w:color w:val="auto"/>
        </w:rPr>
        <w:t xml:space="preserve"> day of June, 2009.</w:t>
      </w:r>
    </w:p>
    <w:p>
      <w:pPr>
        <w:spacing w:after="0" w:line="100" w:lineRule="exact"/>
        <w:rPr>
          <w:sz w:val="20"/>
          <w:szCs w:val="20"/>
          <w:color w:val="auto"/>
        </w:rPr>
      </w:pPr>
    </w:p>
    <w:p>
      <w:pPr>
        <w:ind w:left="5260"/>
        <w:spacing w:after="0"/>
        <w:rPr>
          <w:sz w:val="20"/>
          <w:szCs w:val="20"/>
          <w:color w:val="auto"/>
        </w:rPr>
      </w:pPr>
      <w:r>
        <w:rPr>
          <w:rFonts w:ascii="Arial" w:cs="Arial" w:eastAsia="Arial" w:hAnsi="Arial"/>
          <w:sz w:val="13"/>
          <w:szCs w:val="13"/>
          <w:b w:val="1"/>
          <w:bCs w:val="1"/>
          <w:color w:val="auto"/>
        </w:rPr>
        <w:t>THE BANK OF NEW YORK MELLON TRUST COMPANY, N.A.</w:t>
      </w:r>
    </w:p>
    <w:p>
      <w:pPr>
        <w:spacing w:after="0" w:line="169"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By: /s/ Peter M.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10795</wp:posOffset>
            </wp:positionV>
            <wp:extent cx="2727325"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Name: Peter M. Murphy</w:t>
      </w:r>
    </w:p>
    <w:p>
      <w:pPr>
        <w:spacing w:after="0" w:line="15" w:lineRule="exact"/>
        <w:rPr>
          <w:sz w:val="20"/>
          <w:szCs w:val="20"/>
          <w:color w:val="auto"/>
        </w:rPr>
      </w:pPr>
    </w:p>
    <w:p>
      <w:pPr>
        <w:ind w:left="5520"/>
        <w:spacing w:after="0"/>
        <w:tabs>
          <w:tab w:leader="none" w:pos="5920" w:val="left"/>
        </w:tabs>
        <w:rPr>
          <w:sz w:val="20"/>
          <w:szCs w:val="20"/>
          <w:color w:val="auto"/>
        </w:rPr>
      </w:pPr>
      <w:r>
        <w:rPr>
          <w:rFonts w:ascii="Arial" w:cs="Arial" w:eastAsia="Arial" w:hAnsi="Arial"/>
          <w:sz w:val="13"/>
          <w:szCs w:val="13"/>
          <w:color w:val="auto"/>
        </w:rPr>
        <w:t>Title:</w:t>
        <w:tab/>
        <w:t>Vice President</w:t>
      </w:r>
    </w:p>
    <w:p>
      <w:pPr>
        <w:spacing w:after="0" w:line="295" w:lineRule="exact"/>
        <w:rPr>
          <w:sz w:val="20"/>
          <w:szCs w:val="20"/>
          <w:color w:val="auto"/>
        </w:rPr>
      </w:pPr>
    </w:p>
    <w:p>
      <w:pPr>
        <w:jc w:val="center"/>
        <w:ind w:right="-37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80"/>
          </w:cols>
          <w:pgMar w:left="220" w:top="952" w:right="599" w:bottom="1440" w:gutter="0" w:footer="0" w:header="0"/>
        </w:sectPr>
      </w:pPr>
    </w:p>
    <w:bookmarkStart w:id="76" w:name="page77"/>
    <w:bookmarkEnd w:id="76"/>
    <w:p>
      <w:pPr>
        <w:jc w:val="right"/>
        <w:spacing w:after="0"/>
        <w:rPr>
          <w:sz w:val="20"/>
          <w:szCs w:val="20"/>
          <w:color w:val="auto"/>
        </w:rPr>
      </w:pPr>
      <w:r>
        <w:rPr>
          <w:rFonts w:ascii="Arial" w:cs="Arial" w:eastAsia="Arial" w:hAnsi="Arial"/>
          <w:sz w:val="13"/>
          <w:szCs w:val="13"/>
          <w:b w:val="1"/>
          <w:bCs w:val="1"/>
          <w:color w:val="auto"/>
        </w:rPr>
        <w:t>EXHIBIT 7</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Consolidated Report of Condition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BANK OF NEW YORK MELLON TRUST COMPANY, N.A.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of 700 South Flower Street, Suite 200, Los Angeles, CA 90017</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At the close of business December 31, 2008, published in accordance with Federal regulatory authority instructions.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0"/>
                <w:szCs w:val="10"/>
                <w:color w:val="auto"/>
                <w:w w:val="96"/>
              </w:rPr>
              <w:t>Dollar Amounts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w w:val="99"/>
              </w:rPr>
              <w:t>in Thousands</w:t>
            </w:r>
          </w:p>
        </w:tc>
        <w:tc>
          <w:tcPr>
            <w:tcW w:w="0" w:type="dxa"/>
            <w:vAlign w:val="bottom"/>
          </w:tcPr>
          <w:p>
            <w:pPr>
              <w:spacing w:after="0"/>
              <w:rPr>
                <w:sz w:val="1"/>
                <w:szCs w:val="1"/>
                <w:color w:val="auto"/>
              </w:rPr>
            </w:pPr>
          </w:p>
        </w:tc>
      </w:tr>
      <w:tr>
        <w:trPr>
          <w:trHeight w:val="275"/>
        </w:trPr>
        <w:tc>
          <w:tcPr>
            <w:tcW w:w="4720" w:type="dxa"/>
            <w:vAlign w:val="bottom"/>
            <w:gridSpan w:val="3"/>
          </w:tcPr>
          <w:p>
            <w:pPr>
              <w:spacing w:after="0"/>
              <w:rPr>
                <w:sz w:val="20"/>
                <w:szCs w:val="20"/>
                <w:color w:val="auto"/>
              </w:rPr>
            </w:pPr>
            <w:r>
              <w:rPr>
                <w:rFonts w:ascii="Arial" w:cs="Arial" w:eastAsia="Arial" w:hAnsi="Arial"/>
                <w:sz w:val="13"/>
                <w:szCs w:val="13"/>
                <w:color w:val="auto"/>
              </w:rPr>
              <w:t>ASSETS</w:t>
            </w:r>
          </w:p>
        </w:tc>
        <w:tc>
          <w:tcPr>
            <w:tcW w:w="59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424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and balances due from depository institutions:</w:t>
            </w:r>
          </w:p>
        </w:tc>
        <w:tc>
          <w:tcPr>
            <w:tcW w:w="59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tcPr>
          <w:p>
            <w:pPr>
              <w:ind w:left="280"/>
              <w:spacing w:after="0"/>
              <w:rPr>
                <w:sz w:val="20"/>
                <w:szCs w:val="20"/>
                <w:color w:val="auto"/>
              </w:rPr>
            </w:pPr>
            <w:r>
              <w:rPr>
                <w:rFonts w:ascii="Arial" w:cs="Arial" w:eastAsia="Arial" w:hAnsi="Arial"/>
                <w:sz w:val="13"/>
                <w:szCs w:val="13"/>
                <w:color w:val="auto"/>
              </w:rPr>
              <w:t>Noninterest-bearing balances and currency and coin</w:t>
            </w:r>
          </w:p>
        </w:tc>
        <w:tc>
          <w:tcPr>
            <w:tcW w:w="6640" w:type="dxa"/>
            <w:vAlign w:val="bottom"/>
            <w:gridSpan w:val="2"/>
          </w:tcPr>
          <w:p>
            <w:pPr>
              <w:jc w:val="right"/>
              <w:spacing w:after="0"/>
              <w:rPr>
                <w:sz w:val="20"/>
                <w:szCs w:val="20"/>
                <w:color w:val="auto"/>
              </w:rPr>
            </w:pPr>
            <w:r>
              <w:rPr>
                <w:rFonts w:ascii="Arial" w:cs="Arial" w:eastAsia="Arial" w:hAnsi="Arial"/>
                <w:sz w:val="13"/>
                <w:szCs w:val="13"/>
                <w:color w:val="auto"/>
              </w:rPr>
              <w:t>2,739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Interest-bearing balances</w:t>
            </w:r>
          </w:p>
        </w:tc>
        <w:tc>
          <w:tcPr>
            <w:tcW w:w="6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Arial" w:cs="Arial" w:eastAsia="Arial" w:hAnsi="Arial"/>
                <w:sz w:val="13"/>
                <w:szCs w:val="13"/>
                <w:color w:val="auto"/>
              </w:rPr>
              <w:t>Securities:</w:t>
            </w:r>
          </w:p>
        </w:tc>
        <w:tc>
          <w:tcPr>
            <w:tcW w:w="5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Held-to-maturity securities</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tcPr>
          <w:p>
            <w:pPr>
              <w:ind w:left="280"/>
              <w:spacing w:after="0"/>
              <w:rPr>
                <w:sz w:val="20"/>
                <w:szCs w:val="20"/>
                <w:color w:val="auto"/>
              </w:rPr>
            </w:pPr>
            <w:r>
              <w:rPr>
                <w:rFonts w:ascii="Arial" w:cs="Arial" w:eastAsia="Arial" w:hAnsi="Arial"/>
                <w:sz w:val="13"/>
                <w:szCs w:val="13"/>
                <w:color w:val="auto"/>
              </w:rPr>
              <w:t>Available-for-sale securities</w:t>
            </w:r>
          </w:p>
        </w:tc>
        <w:tc>
          <w:tcPr>
            <w:tcW w:w="6740" w:type="dxa"/>
            <w:vAlign w:val="bottom"/>
            <w:gridSpan w:val="3"/>
          </w:tcPr>
          <w:p>
            <w:pPr>
              <w:jc w:val="right"/>
              <w:ind w:right="100"/>
              <w:spacing w:after="0"/>
              <w:rPr>
                <w:sz w:val="20"/>
                <w:szCs w:val="20"/>
                <w:color w:val="auto"/>
              </w:rPr>
            </w:pPr>
            <w:r>
              <w:rPr>
                <w:rFonts w:ascii="Arial" w:cs="Arial" w:eastAsia="Arial" w:hAnsi="Arial"/>
                <w:sz w:val="13"/>
                <w:szCs w:val="13"/>
                <w:color w:val="auto"/>
              </w:rPr>
              <w:t>430,112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Federal funds sold and securities purchased under agreements to resell:</w:t>
            </w:r>
          </w:p>
        </w:tc>
        <w:tc>
          <w:tcPr>
            <w:tcW w:w="59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tcPr>
          <w:p>
            <w:pPr>
              <w:ind w:left="280"/>
              <w:spacing w:after="0"/>
              <w:rPr>
                <w:sz w:val="20"/>
                <w:szCs w:val="20"/>
                <w:color w:val="auto"/>
              </w:rPr>
            </w:pPr>
            <w:r>
              <w:rPr>
                <w:rFonts w:ascii="Arial" w:cs="Arial" w:eastAsia="Arial" w:hAnsi="Arial"/>
                <w:sz w:val="13"/>
                <w:szCs w:val="13"/>
                <w:color w:val="auto"/>
              </w:rPr>
              <w:t>Federal funds sold</w:t>
            </w:r>
          </w:p>
        </w:tc>
        <w:tc>
          <w:tcPr>
            <w:tcW w:w="6740" w:type="dxa"/>
            <w:vAlign w:val="bottom"/>
            <w:gridSpan w:val="3"/>
          </w:tcPr>
          <w:p>
            <w:pPr>
              <w:jc w:val="right"/>
              <w:ind w:right="100"/>
              <w:spacing w:after="0"/>
              <w:rPr>
                <w:sz w:val="20"/>
                <w:szCs w:val="20"/>
                <w:color w:val="auto"/>
              </w:rPr>
            </w:pPr>
            <w:r>
              <w:rPr>
                <w:rFonts w:ascii="Arial" w:cs="Arial" w:eastAsia="Arial" w:hAnsi="Arial"/>
                <w:sz w:val="13"/>
                <w:szCs w:val="13"/>
                <w:color w:val="auto"/>
              </w:rPr>
              <w:t>28,500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Securities purchased under agreements to resell</w:t>
            </w:r>
          </w:p>
        </w:tc>
        <w:tc>
          <w:tcPr>
            <w:tcW w:w="6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50,000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Arial" w:cs="Arial" w:eastAsia="Arial" w:hAnsi="Arial"/>
                <w:sz w:val="13"/>
                <w:szCs w:val="13"/>
                <w:color w:val="auto"/>
              </w:rPr>
              <w:t>Loans and lease financing receivables:</w:t>
            </w:r>
          </w:p>
        </w:tc>
        <w:tc>
          <w:tcPr>
            <w:tcW w:w="5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Loans and leases held for sale</w:t>
            </w:r>
          </w:p>
        </w:tc>
        <w:tc>
          <w:tcPr>
            <w:tcW w:w="6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tcPr>
          <w:p>
            <w:pPr>
              <w:ind w:left="280"/>
              <w:spacing w:after="0"/>
              <w:rPr>
                <w:sz w:val="20"/>
                <w:szCs w:val="20"/>
                <w:color w:val="auto"/>
              </w:rPr>
            </w:pPr>
            <w:r>
              <w:rPr>
                <w:rFonts w:ascii="Arial" w:cs="Arial" w:eastAsia="Arial" w:hAnsi="Arial"/>
                <w:sz w:val="13"/>
                <w:szCs w:val="13"/>
                <w:color w:val="auto"/>
              </w:rPr>
              <w:t>Loans and leases, net of unearned income</w:t>
            </w:r>
          </w:p>
        </w:tc>
        <w:tc>
          <w:tcPr>
            <w:tcW w:w="6740" w:type="dxa"/>
            <w:vAlign w:val="bottom"/>
            <w:gridSpan w:val="3"/>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LESS: Allowance for loan and lease losses</w:t>
            </w:r>
          </w:p>
        </w:tc>
        <w:tc>
          <w:tcPr>
            <w:tcW w:w="6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tcPr>
          <w:p>
            <w:pPr>
              <w:ind w:left="280"/>
              <w:spacing w:after="0"/>
              <w:rPr>
                <w:sz w:val="20"/>
                <w:szCs w:val="20"/>
                <w:color w:val="auto"/>
              </w:rPr>
            </w:pPr>
            <w:r>
              <w:rPr>
                <w:rFonts w:ascii="Arial" w:cs="Arial" w:eastAsia="Arial" w:hAnsi="Arial"/>
                <w:sz w:val="13"/>
                <w:szCs w:val="13"/>
                <w:color w:val="auto"/>
              </w:rPr>
              <w:t>Loans and leases, net of unearned income and allowance</w:t>
            </w:r>
          </w:p>
        </w:tc>
        <w:tc>
          <w:tcPr>
            <w:tcW w:w="6740" w:type="dxa"/>
            <w:vAlign w:val="bottom"/>
            <w:gridSpan w:val="3"/>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Trading assets</w:t>
            </w:r>
          </w:p>
        </w:tc>
        <w:tc>
          <w:tcPr>
            <w:tcW w:w="6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Arial" w:cs="Arial" w:eastAsia="Arial" w:hAnsi="Arial"/>
                <w:sz w:val="13"/>
                <w:szCs w:val="13"/>
                <w:color w:val="auto"/>
              </w:rPr>
              <w:t>Premises and fixed assets (including capitalized leases)</w:t>
            </w:r>
          </w:p>
        </w:tc>
        <w:tc>
          <w:tcPr>
            <w:tcW w:w="6640" w:type="dxa"/>
            <w:vAlign w:val="bottom"/>
            <w:gridSpan w:val="2"/>
          </w:tcPr>
          <w:p>
            <w:pPr>
              <w:jc w:val="right"/>
              <w:spacing w:after="0"/>
              <w:rPr>
                <w:sz w:val="20"/>
                <w:szCs w:val="20"/>
                <w:color w:val="auto"/>
              </w:rPr>
            </w:pPr>
            <w:r>
              <w:rPr>
                <w:rFonts w:ascii="Arial" w:cs="Arial" w:eastAsia="Arial" w:hAnsi="Arial"/>
                <w:sz w:val="13"/>
                <w:szCs w:val="13"/>
                <w:color w:val="auto"/>
              </w:rPr>
              <w:t>11,261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real estate owned</w:t>
            </w:r>
          </w:p>
        </w:tc>
        <w:tc>
          <w:tcPr>
            <w:tcW w:w="67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Arial" w:cs="Arial" w:eastAsia="Arial" w:hAnsi="Arial"/>
                <w:sz w:val="13"/>
                <w:szCs w:val="13"/>
                <w:color w:val="auto"/>
              </w:rPr>
              <w:t>Investments in unconsolidated subsidiaries and associated companies</w:t>
            </w:r>
          </w:p>
        </w:tc>
        <w:tc>
          <w:tcPr>
            <w:tcW w:w="6740" w:type="dxa"/>
            <w:vAlign w:val="bottom"/>
            <w:gridSpan w:val="3"/>
          </w:tcPr>
          <w:p>
            <w:pPr>
              <w:jc w:val="right"/>
              <w:ind w:right="10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Not applicable</w:t>
            </w:r>
          </w:p>
        </w:tc>
        <w:tc>
          <w:tcPr>
            <w:tcW w:w="59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tcPr>
          <w:p>
            <w:pPr>
              <w:spacing w:after="0"/>
              <w:rPr>
                <w:sz w:val="20"/>
                <w:szCs w:val="20"/>
                <w:color w:val="auto"/>
              </w:rPr>
            </w:pPr>
            <w:r>
              <w:rPr>
                <w:rFonts w:ascii="Arial" w:cs="Arial" w:eastAsia="Arial" w:hAnsi="Arial"/>
                <w:sz w:val="13"/>
                <w:szCs w:val="13"/>
                <w:color w:val="auto"/>
              </w:rPr>
              <w:t>Intangible assets:</w:t>
            </w:r>
          </w:p>
        </w:tc>
        <w:tc>
          <w:tcPr>
            <w:tcW w:w="59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Goodwill</w:t>
            </w:r>
          </w:p>
        </w:tc>
        <w:tc>
          <w:tcPr>
            <w:tcW w:w="6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876,153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tcPr>
          <w:p>
            <w:pPr>
              <w:ind w:left="120"/>
              <w:spacing w:after="0"/>
              <w:rPr>
                <w:sz w:val="20"/>
                <w:szCs w:val="20"/>
                <w:color w:val="auto"/>
              </w:rPr>
            </w:pPr>
            <w:r>
              <w:rPr>
                <w:rFonts w:ascii="Arial" w:cs="Arial" w:eastAsia="Arial" w:hAnsi="Arial"/>
                <w:sz w:val="13"/>
                <w:szCs w:val="13"/>
                <w:color w:val="auto"/>
              </w:rPr>
              <w:t>Other intangible assets</w:t>
            </w:r>
          </w:p>
        </w:tc>
        <w:tc>
          <w:tcPr>
            <w:tcW w:w="6640" w:type="dxa"/>
            <w:vAlign w:val="bottom"/>
            <w:gridSpan w:val="2"/>
          </w:tcPr>
          <w:p>
            <w:pPr>
              <w:jc w:val="right"/>
              <w:spacing w:after="0"/>
              <w:rPr>
                <w:sz w:val="20"/>
                <w:szCs w:val="20"/>
                <w:color w:val="auto"/>
              </w:rPr>
            </w:pPr>
            <w:r>
              <w:rPr>
                <w:rFonts w:ascii="Arial" w:cs="Arial" w:eastAsia="Arial" w:hAnsi="Arial"/>
                <w:sz w:val="13"/>
                <w:szCs w:val="13"/>
                <w:color w:val="auto"/>
              </w:rPr>
              <w:t>272,502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assets</w:t>
            </w:r>
          </w:p>
        </w:tc>
        <w:tc>
          <w:tcPr>
            <w:tcW w:w="596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181,657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4720" w:type="dxa"/>
            <w:vAlign w:val="bottom"/>
            <w:gridSpan w:val="3"/>
          </w:tcPr>
          <w:p>
            <w:pPr>
              <w:spacing w:after="0"/>
              <w:rPr>
                <w:sz w:val="20"/>
                <w:szCs w:val="20"/>
                <w:color w:val="auto"/>
              </w:rPr>
            </w:pPr>
            <w:r>
              <w:rPr>
                <w:rFonts w:ascii="Arial" w:cs="Arial" w:eastAsia="Arial" w:hAnsi="Arial"/>
                <w:sz w:val="13"/>
                <w:szCs w:val="13"/>
                <w:color w:val="auto"/>
              </w:rPr>
              <w:t>Total assets</w:t>
            </w:r>
          </w:p>
        </w:tc>
        <w:tc>
          <w:tcPr>
            <w:tcW w:w="6640" w:type="dxa"/>
            <w:vAlign w:val="bottom"/>
            <w:gridSpan w:val="2"/>
          </w:tcPr>
          <w:p>
            <w:pPr>
              <w:jc w:val="right"/>
              <w:spacing w:after="0"/>
              <w:rPr>
                <w:sz w:val="20"/>
                <w:szCs w:val="20"/>
                <w:color w:val="auto"/>
              </w:rPr>
            </w:pPr>
            <w:r>
              <w:rPr>
                <w:rFonts w:ascii="Arial" w:cs="Arial" w:eastAsia="Arial" w:hAnsi="Arial"/>
                <w:sz w:val="13"/>
                <w:szCs w:val="13"/>
                <w:color w:val="auto"/>
              </w:rPr>
              <w:t>$  1,852,951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960" w:type="dxa"/>
            <w:vAlign w:val="bottom"/>
          </w:tcPr>
          <w:p>
            <w:pPr>
              <w:jc w:val="right"/>
              <w:ind w:right="4854"/>
              <w:spacing w:after="0"/>
              <w:rPr>
                <w:sz w:val="20"/>
                <w:szCs w:val="20"/>
                <w:color w:val="auto"/>
              </w:rPr>
            </w:pPr>
            <w:r>
              <w:rPr>
                <w:rFonts w:ascii="Arial" w:cs="Arial" w:eastAsia="Arial" w:hAnsi="Arial"/>
                <w:sz w:val="13"/>
                <w:szCs w:val="13"/>
                <w:color w:val="auto"/>
              </w:rPr>
              <w:t>1</w:t>
            </w: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240" w:type="dxa"/>
            <w:vAlign w:val="bottom"/>
            <w:tcBorders>
              <w:bottom w:val="single" w:sz="8" w:color="808080"/>
            </w:tcBorders>
          </w:tcPr>
          <w:p>
            <w:pPr>
              <w:spacing w:after="0"/>
              <w:rPr>
                <w:sz w:val="14"/>
                <w:szCs w:val="14"/>
                <w:color w:val="auto"/>
              </w:rPr>
            </w:pPr>
          </w:p>
        </w:tc>
        <w:tc>
          <w:tcPr>
            <w:tcW w:w="596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20" w:type="dxa"/>
            <w:vAlign w:val="bottom"/>
          </w:tcPr>
          <w:p>
            <w:pPr>
              <w:spacing w:after="0"/>
              <w:rPr>
                <w:sz w:val="10"/>
                <w:szCs w:val="1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0"/>
                <w:szCs w:val="10"/>
                <w:color w:val="auto"/>
                <w:w w:val="96"/>
              </w:rPr>
              <w:t>Dollar Amounts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2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0"/>
                <w:szCs w:val="10"/>
                <w:color w:val="auto"/>
                <w:w w:val="99"/>
              </w:rPr>
              <w:t>in Thousands</w:t>
            </w:r>
          </w:p>
        </w:tc>
        <w:tc>
          <w:tcPr>
            <w:tcW w:w="0" w:type="dxa"/>
            <w:vAlign w:val="bottom"/>
          </w:tcPr>
          <w:p>
            <w:pPr>
              <w:spacing w:after="0"/>
              <w:rPr>
                <w:sz w:val="1"/>
                <w:szCs w:val="1"/>
                <w:color w:val="auto"/>
              </w:rPr>
            </w:pPr>
          </w:p>
        </w:tc>
      </w:tr>
      <w:tr>
        <w:trPr>
          <w:trHeight w:val="275"/>
        </w:trPr>
        <w:tc>
          <w:tcPr>
            <w:tcW w:w="10680" w:type="dxa"/>
            <w:vAlign w:val="bottom"/>
            <w:gridSpan w:val="4"/>
          </w:tcPr>
          <w:p>
            <w:pPr>
              <w:spacing w:after="0"/>
              <w:rPr>
                <w:sz w:val="20"/>
                <w:szCs w:val="20"/>
                <w:color w:val="auto"/>
              </w:rPr>
            </w:pPr>
            <w:r>
              <w:rPr>
                <w:rFonts w:ascii="Arial" w:cs="Arial" w:eastAsia="Arial" w:hAnsi="Arial"/>
                <w:sz w:val="13"/>
                <w:szCs w:val="13"/>
                <w:color w:val="auto"/>
              </w:rPr>
              <w:t>LIABILITIES</w:t>
            </w: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06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Deposits:</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tcPr>
          <w:p>
            <w:pPr>
              <w:ind w:left="120"/>
              <w:spacing w:after="0"/>
              <w:rPr>
                <w:sz w:val="20"/>
                <w:szCs w:val="20"/>
                <w:color w:val="auto"/>
              </w:rPr>
            </w:pPr>
            <w:r>
              <w:rPr>
                <w:rFonts w:ascii="Arial" w:cs="Arial" w:eastAsia="Arial" w:hAnsi="Arial"/>
                <w:sz w:val="13"/>
                <w:szCs w:val="13"/>
                <w:color w:val="auto"/>
              </w:rPr>
              <w:t>In domestic offices</w:t>
            </w:r>
          </w:p>
        </w:tc>
        <w:tc>
          <w:tcPr>
            <w:tcW w:w="680" w:type="dxa"/>
            <w:vAlign w:val="bottom"/>
          </w:tcPr>
          <w:p>
            <w:pPr>
              <w:jc w:val="right"/>
              <w:spacing w:after="0"/>
              <w:rPr>
                <w:sz w:val="20"/>
                <w:szCs w:val="20"/>
                <w:color w:val="auto"/>
              </w:rPr>
            </w:pPr>
            <w:r>
              <w:rPr>
                <w:rFonts w:ascii="Arial" w:cs="Arial" w:eastAsia="Arial" w:hAnsi="Arial"/>
                <w:sz w:val="13"/>
                <w:szCs w:val="13"/>
                <w:color w:val="auto"/>
              </w:rPr>
              <w:t>1,765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Noninterest-bearing</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1,765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tcPr>
          <w:p>
            <w:pPr>
              <w:ind w:left="280"/>
              <w:spacing w:after="0"/>
              <w:rPr>
                <w:sz w:val="20"/>
                <w:szCs w:val="20"/>
                <w:color w:val="auto"/>
              </w:rPr>
            </w:pPr>
            <w:r>
              <w:rPr>
                <w:rFonts w:ascii="Arial" w:cs="Arial" w:eastAsia="Arial" w:hAnsi="Arial"/>
                <w:sz w:val="13"/>
                <w:szCs w:val="13"/>
                <w:color w:val="auto"/>
              </w:rPr>
              <w:t>Interest-bearing</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shd w:val="clear" w:color="auto" w:fill="CCEEFF"/>
          </w:tcPr>
          <w:p>
            <w:pPr>
              <w:ind w:left="120"/>
              <w:spacing w:after="0"/>
              <w:rPr>
                <w:sz w:val="20"/>
                <w:szCs w:val="20"/>
                <w:color w:val="auto"/>
              </w:rPr>
            </w:pPr>
            <w:r>
              <w:rPr>
                <w:rFonts w:ascii="Arial" w:cs="Arial" w:eastAsia="Arial" w:hAnsi="Arial"/>
                <w:sz w:val="13"/>
                <w:szCs w:val="13"/>
                <w:color w:val="auto"/>
              </w:rPr>
              <w:t>Not applicable</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tcPr>
          <w:p>
            <w:pPr>
              <w:spacing w:after="0"/>
              <w:rPr>
                <w:sz w:val="20"/>
                <w:szCs w:val="20"/>
                <w:color w:val="auto"/>
              </w:rPr>
            </w:pPr>
            <w:r>
              <w:rPr>
                <w:rFonts w:ascii="Arial" w:cs="Arial" w:eastAsia="Arial" w:hAnsi="Arial"/>
                <w:sz w:val="13"/>
                <w:szCs w:val="13"/>
                <w:color w:val="auto"/>
              </w:rPr>
              <w:t>Federal funds purchased and securities sold under agreements to repurchase: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Federal funds purchased</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tcPr>
          <w:p>
            <w:pPr>
              <w:ind w:left="280"/>
              <w:spacing w:after="0"/>
              <w:rPr>
                <w:sz w:val="20"/>
                <w:szCs w:val="20"/>
                <w:color w:val="auto"/>
              </w:rPr>
            </w:pPr>
            <w:r>
              <w:rPr>
                <w:rFonts w:ascii="Arial" w:cs="Arial" w:eastAsia="Arial" w:hAnsi="Arial"/>
                <w:sz w:val="13"/>
                <w:szCs w:val="13"/>
                <w:color w:val="auto"/>
              </w:rPr>
              <w:t>Securities sold under agreements to repurchase</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Trading liabilities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tcPr>
          <w:p>
            <w:pPr>
              <w:spacing w:after="0"/>
              <w:rPr>
                <w:sz w:val="20"/>
                <w:szCs w:val="20"/>
                <w:color w:val="auto"/>
              </w:rPr>
            </w:pPr>
            <w:r>
              <w:rPr>
                <w:rFonts w:ascii="Arial" w:cs="Arial" w:eastAsia="Arial" w:hAnsi="Arial"/>
                <w:sz w:val="13"/>
                <w:szCs w:val="13"/>
                <w:color w:val="auto"/>
              </w:rPr>
              <w:t>Other borrowed money:</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(includes mortgage indebtedness and obligations under capitalized leases)</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268,691</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tcPr>
          <w:p>
            <w:pPr>
              <w:spacing w:after="0"/>
              <w:rPr>
                <w:sz w:val="20"/>
                <w:szCs w:val="20"/>
                <w:color w:val="auto"/>
              </w:rPr>
            </w:pPr>
            <w:r>
              <w:rPr>
                <w:rFonts w:ascii="Arial" w:cs="Arial" w:eastAsia="Arial" w:hAnsi="Arial"/>
                <w:sz w:val="13"/>
                <w:szCs w:val="13"/>
                <w:color w:val="auto"/>
              </w:rPr>
              <w:t>Not applicable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Not applicable</w:t>
            </w: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tcPr>
          <w:p>
            <w:pPr>
              <w:spacing w:after="0"/>
              <w:rPr>
                <w:sz w:val="20"/>
                <w:szCs w:val="20"/>
                <w:color w:val="auto"/>
              </w:rPr>
            </w:pPr>
            <w:r>
              <w:rPr>
                <w:rFonts w:ascii="Arial" w:cs="Arial" w:eastAsia="Arial" w:hAnsi="Arial"/>
                <w:sz w:val="13"/>
                <w:szCs w:val="13"/>
                <w:color w:val="auto"/>
              </w:rPr>
              <w:t>Subordinated notes and debentures</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liabilities</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166,958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tcPr>
          <w:p>
            <w:pPr>
              <w:spacing w:after="0"/>
              <w:rPr>
                <w:sz w:val="20"/>
                <w:szCs w:val="20"/>
                <w:color w:val="auto"/>
              </w:rPr>
            </w:pPr>
            <w:r>
              <w:rPr>
                <w:rFonts w:ascii="Arial" w:cs="Arial" w:eastAsia="Arial" w:hAnsi="Arial"/>
                <w:sz w:val="13"/>
                <w:szCs w:val="13"/>
                <w:color w:val="auto"/>
              </w:rPr>
              <w:t>Total liabilities</w:t>
            </w:r>
          </w:p>
        </w:tc>
        <w:tc>
          <w:tcPr>
            <w:tcW w:w="680" w:type="dxa"/>
            <w:vAlign w:val="bottom"/>
          </w:tcPr>
          <w:p>
            <w:pPr>
              <w:jc w:val="right"/>
              <w:spacing w:after="0"/>
              <w:rPr>
                <w:sz w:val="20"/>
                <w:szCs w:val="20"/>
                <w:color w:val="auto"/>
              </w:rPr>
            </w:pPr>
            <w:r>
              <w:rPr>
                <w:rFonts w:ascii="Arial" w:cs="Arial" w:eastAsia="Arial" w:hAnsi="Arial"/>
                <w:sz w:val="13"/>
                <w:szCs w:val="13"/>
                <w:color w:val="auto"/>
              </w:rPr>
              <w:t>437,414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Minority interest in consolidated subsidiaries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85"/>
        </w:trPr>
        <w:tc>
          <w:tcPr>
            <w:tcW w:w="10680" w:type="dxa"/>
            <w:vAlign w:val="bottom"/>
            <w:gridSpan w:val="4"/>
          </w:tcPr>
          <w:p>
            <w:pPr>
              <w:spacing w:after="0"/>
              <w:rPr>
                <w:sz w:val="20"/>
                <w:szCs w:val="20"/>
                <w:color w:val="auto"/>
              </w:rPr>
            </w:pPr>
            <w:r>
              <w:rPr>
                <w:rFonts w:ascii="Arial" w:cs="Arial" w:eastAsia="Arial" w:hAnsi="Arial"/>
                <w:sz w:val="13"/>
                <w:szCs w:val="13"/>
                <w:color w:val="auto"/>
              </w:rPr>
              <w:t>EQUITY CAPITAL</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06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Perpetual preferred stock and related surplus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tcPr>
          <w:p>
            <w:pPr>
              <w:spacing w:after="0"/>
              <w:rPr>
                <w:sz w:val="20"/>
                <w:szCs w:val="20"/>
                <w:color w:val="auto"/>
              </w:rPr>
            </w:pPr>
            <w:r>
              <w:rPr>
                <w:rFonts w:ascii="Arial" w:cs="Arial" w:eastAsia="Arial" w:hAnsi="Arial"/>
                <w:sz w:val="13"/>
                <w:szCs w:val="13"/>
                <w:color w:val="auto"/>
              </w:rPr>
              <w:t>Common stock</w:t>
            </w:r>
          </w:p>
        </w:tc>
        <w:tc>
          <w:tcPr>
            <w:tcW w:w="68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Surplus (exclude all surplus related to preferred stock)</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1,121,520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tcPr>
          <w:p>
            <w:pPr>
              <w:spacing w:after="0"/>
              <w:rPr>
                <w:sz w:val="20"/>
                <w:szCs w:val="20"/>
                <w:color w:val="auto"/>
              </w:rPr>
            </w:pPr>
            <w:r>
              <w:rPr>
                <w:rFonts w:ascii="Arial" w:cs="Arial" w:eastAsia="Arial" w:hAnsi="Arial"/>
                <w:sz w:val="13"/>
                <w:szCs w:val="13"/>
                <w:color w:val="auto"/>
              </w:rPr>
              <w:t>Retained earnings</w:t>
            </w:r>
          </w:p>
        </w:tc>
        <w:tc>
          <w:tcPr>
            <w:tcW w:w="680" w:type="dxa"/>
            <w:vAlign w:val="bottom"/>
          </w:tcPr>
          <w:p>
            <w:pPr>
              <w:jc w:val="right"/>
              <w:spacing w:after="0"/>
              <w:rPr>
                <w:sz w:val="20"/>
                <w:szCs w:val="20"/>
                <w:color w:val="auto"/>
              </w:rPr>
            </w:pPr>
            <w:r>
              <w:rPr>
                <w:rFonts w:ascii="Arial" w:cs="Arial" w:eastAsia="Arial" w:hAnsi="Arial"/>
                <w:sz w:val="13"/>
                <w:szCs w:val="13"/>
                <w:color w:val="auto"/>
              </w:rPr>
              <w:t>290,517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Accumulated other comprehensive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tcPr>
          <w:p>
            <w:pPr>
              <w:spacing w:after="0"/>
              <w:rPr>
                <w:sz w:val="20"/>
                <w:szCs w:val="20"/>
                <w:color w:val="auto"/>
              </w:rPr>
            </w:pPr>
            <w:r>
              <w:rPr>
                <w:rFonts w:ascii="Arial" w:cs="Arial" w:eastAsia="Arial" w:hAnsi="Arial"/>
                <w:sz w:val="13"/>
                <w:szCs w:val="13"/>
                <w:color w:val="auto"/>
              </w:rPr>
              <w:t>Other equity capital components</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6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equity capital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1,415,537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0680" w:type="dxa"/>
            <w:vAlign w:val="bottom"/>
            <w:gridSpan w:val="4"/>
          </w:tcPr>
          <w:p>
            <w:pPr>
              <w:spacing w:after="0"/>
              <w:rPr>
                <w:sz w:val="20"/>
                <w:szCs w:val="20"/>
                <w:color w:val="auto"/>
              </w:rPr>
            </w:pPr>
            <w:r>
              <w:rPr>
                <w:rFonts w:ascii="Arial" w:cs="Arial" w:eastAsia="Arial" w:hAnsi="Arial"/>
                <w:sz w:val="13"/>
                <w:szCs w:val="13"/>
                <w:color w:val="auto"/>
              </w:rPr>
              <w:t>Total liabilities, minority interest, and equity capital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1,852,951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right="100" w:firstLine="164"/>
        <w:spacing w:after="0" w:line="276" w:lineRule="auto"/>
        <w:rPr>
          <w:sz w:val="20"/>
          <w:szCs w:val="20"/>
          <w:color w:val="auto"/>
        </w:rPr>
      </w:pPr>
      <w:r>
        <w:rPr>
          <w:rFonts w:ascii="Arial" w:cs="Arial" w:eastAsia="Arial" w:hAnsi="Arial"/>
          <w:sz w:val="13"/>
          <w:szCs w:val="13"/>
          <w:color w:val="auto"/>
        </w:rPr>
        <w:t>I, Karen Bayz, Vice President of the above-named bank do hereby declare that the Reports of Condition and Income (including the supporting schedules) for this report date have been prepared in conformance with the instructions issued by the appropriate Federal regulatory authority and are true to the best of my knowledge and belief.</w:t>
      </w:r>
    </w:p>
    <w:p>
      <w:pPr>
        <w:spacing w:after="0" w:line="49" w:lineRule="exact"/>
        <w:rPr>
          <w:sz w:val="20"/>
          <w:szCs w:val="20"/>
          <w:color w:val="auto"/>
        </w:rPr>
      </w:pPr>
    </w:p>
    <w:p>
      <w:pPr>
        <w:ind w:left="160"/>
        <w:spacing w:after="0"/>
        <w:tabs>
          <w:tab w:leader="none" w:pos="960" w:val="left"/>
          <w:tab w:leader="none" w:pos="1200" w:val="left"/>
        </w:tabs>
        <w:rPr>
          <w:sz w:val="20"/>
          <w:szCs w:val="20"/>
          <w:color w:val="auto"/>
        </w:rPr>
      </w:pPr>
      <w:r>
        <w:rPr>
          <w:rFonts w:ascii="Arial" w:cs="Arial" w:eastAsia="Arial" w:hAnsi="Arial"/>
          <w:sz w:val="13"/>
          <w:szCs w:val="13"/>
          <w:color w:val="auto"/>
        </w:rPr>
        <w:t>Karen Bayz</w:t>
        <w:tab/>
        <w:t>)</w:t>
      </w:r>
      <w:r>
        <w:rPr>
          <w:sz w:val="20"/>
          <w:szCs w:val="20"/>
          <w:color w:val="auto"/>
        </w:rPr>
        <w:tab/>
      </w:r>
      <w:r>
        <w:rPr>
          <w:rFonts w:ascii="Arial" w:cs="Arial" w:eastAsia="Arial" w:hAnsi="Arial"/>
          <w:sz w:val="11"/>
          <w:szCs w:val="11"/>
          <w:color w:val="auto"/>
        </w:rPr>
        <w:t>Vice President</w:t>
      </w:r>
    </w:p>
    <w:p>
      <w:pPr>
        <w:spacing w:after="0" w:line="86" w:lineRule="exact"/>
        <w:rPr>
          <w:sz w:val="20"/>
          <w:szCs w:val="20"/>
          <w:color w:val="auto"/>
        </w:rPr>
      </w:pPr>
    </w:p>
    <w:p>
      <w:pPr>
        <w:jc w:val="both"/>
        <w:ind w:right="100" w:firstLine="161"/>
        <w:spacing w:after="0" w:line="276" w:lineRule="auto"/>
        <w:rPr>
          <w:sz w:val="20"/>
          <w:szCs w:val="20"/>
          <w:color w:val="auto"/>
        </w:rPr>
      </w:pPr>
      <w:r>
        <w:rPr>
          <w:rFonts w:ascii="Arial" w:cs="Arial" w:eastAsia="Arial" w:hAnsi="Arial"/>
          <w:sz w:val="13"/>
          <w:szCs w:val="13"/>
          <w:color w:val="auto"/>
        </w:rPr>
        <w:t>We, the undersigned directors (trustees), attest to the correctness of the Report of Condition (including the supporting schedules) for this report date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60"/>
          </w:cols>
          <w:pgMar w:left="220" w:top="867" w:right="219" w:bottom="1440" w:gutter="0" w:footer="0" w:header="0"/>
        </w:sectPr>
      </w:pPr>
    </w:p>
    <w:p>
      <w:pPr>
        <w:spacing w:after="0" w:line="128" w:lineRule="exact"/>
        <w:rPr>
          <w:sz w:val="20"/>
          <w:szCs w:val="20"/>
          <w:color w:val="auto"/>
        </w:rPr>
      </w:pPr>
    </w:p>
    <w:p>
      <w:pPr>
        <w:ind w:left="240"/>
        <w:spacing w:after="0"/>
        <w:rPr>
          <w:sz w:val="20"/>
          <w:szCs w:val="20"/>
          <w:color w:val="auto"/>
        </w:rPr>
      </w:pPr>
      <w:r>
        <w:rPr>
          <w:rFonts w:ascii="Arial" w:cs="Arial" w:eastAsia="Arial" w:hAnsi="Arial"/>
          <w:sz w:val="12"/>
          <w:szCs w:val="12"/>
          <w:color w:val="auto"/>
        </w:rPr>
        <w:t>Troy Kilpatrick, President</w:t>
      </w:r>
    </w:p>
    <w:p>
      <w:pPr>
        <w:spacing w:after="0" w:line="27" w:lineRule="exact"/>
        <w:rPr>
          <w:sz w:val="20"/>
          <w:szCs w:val="20"/>
          <w:color w:val="auto"/>
        </w:rPr>
      </w:pPr>
    </w:p>
    <w:p>
      <w:pPr>
        <w:ind w:left="240"/>
        <w:spacing w:after="0"/>
        <w:rPr>
          <w:sz w:val="20"/>
          <w:szCs w:val="20"/>
          <w:color w:val="auto"/>
        </w:rPr>
      </w:pPr>
      <w:r>
        <w:rPr>
          <w:rFonts w:ascii="Arial" w:cs="Arial" w:eastAsia="Arial" w:hAnsi="Arial"/>
          <w:sz w:val="12"/>
          <w:szCs w:val="12"/>
          <w:color w:val="auto"/>
        </w:rPr>
        <w:t>Frank P. Sulzberger, MD</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William D. Lindelof, VP</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1"/>
          <w:szCs w:val="11"/>
          <w:color w:val="auto"/>
        </w:rPr>
        <w:t>Directors (Trustees)</w:t>
      </w:r>
    </w:p>
    <w:p>
      <w:pPr>
        <w:spacing w:after="0" w:line="325" w:lineRule="exact"/>
        <w:rPr>
          <w:sz w:val="20"/>
          <w:szCs w:val="20"/>
          <w:color w:val="auto"/>
        </w:rPr>
      </w:pPr>
    </w:p>
    <w:p>
      <w:pPr>
        <w:sectPr>
          <w:pgSz w:w="11900" w:h="16838" w:orient="portrait"/>
          <w:cols w:equalWidth="0" w:num="3">
            <w:col w:w="2280" w:space="720"/>
            <w:col w:w="40" w:space="340"/>
            <w:col w:w="8080"/>
          </w:cols>
          <w:pgMar w:left="220" w:top="867" w:right="219" w:bottom="1440" w:gutter="0" w:footer="0" w:header="0"/>
          <w:type w:val="continuous"/>
        </w:sectPr>
      </w:pPr>
    </w:p>
    <w:p>
      <w:pPr>
        <w:jc w:val="center"/>
        <w:spacing w:after="0"/>
        <w:rPr>
          <w:sz w:val="20"/>
          <w:szCs w:val="20"/>
          <w:color w:val="auto"/>
        </w:rPr>
      </w:pPr>
      <w:r>
        <w:rPr>
          <w:rFonts w:ascii="Arial" w:cs="Arial" w:eastAsia="Arial" w:hAnsi="Arial"/>
          <w:sz w:val="10"/>
          <w:szCs w:val="10"/>
          <w:color w:val="auto"/>
        </w:rPr>
        <w:t>2</w:t>
      </w:r>
    </w:p>
    <w:sectPr>
      <w:pgSz w:w="11900" w:h="16838" w:orient="portrait"/>
      <w:cols w:equalWidth="0" w:num="1">
        <w:col w:w="11460"/>
      </w:cols>
      <w:pgMar w:left="220" w:top="867"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decimal"/>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decimal"/>
      <w:start w:val="1"/>
    </w:lvl>
  </w:abstractNum>
  <w:abstractNum w:abstractNumId="3">
    <w:nsid w:val="5072367"/>
    <w:multiLevelType w:val="hybridMultilevel"/>
    <w:lvl w:ilvl="0">
      <w:lvlJc w:val="left"/>
      <w:lvlText w:val="(%1)"/>
      <w:numFmt w:val="decimal"/>
      <w:start w:val="1"/>
    </w:lvl>
  </w:abstractNum>
  <w:abstractNum w:abstractNumId="4">
    <w:nsid w:val="3804823E"/>
    <w:multiLevelType w:val="hybridMultilevel"/>
    <w:lvl w:ilvl="0">
      <w:lvlJc w:val="left"/>
      <w:lvlText w:val="(%1)"/>
      <w:numFmt w:val="decimal"/>
      <w:start w:val="17"/>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decimal"/>
      <w:start w:val="2"/>
    </w:lvl>
  </w:abstractNum>
  <w:abstractNum w:abstractNumId="9">
    <w:nsid w:val="5E884ADC"/>
    <w:multiLevelType w:val="hybridMultilevel"/>
    <w:lvl w:ilvl="0">
      <w:lvlJc w:val="left"/>
      <w:lvlText w:val="(%1)"/>
      <w:numFmt w:val="decimal"/>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6"/>
    </w:lvl>
  </w:abstractNum>
  <w:abstractNum w:abstractNumId="12">
    <w:nsid w:val="580BD78F"/>
    <w:multiLevelType w:val="hybridMultilevel"/>
    <w:lvl w:ilvl="0">
      <w:lvlJc w:val="left"/>
      <w:lvlText w:val="(%1)"/>
      <w:numFmt w:val="decimal"/>
      <w:start w:val="1"/>
    </w:lvl>
  </w:abstractNum>
  <w:abstractNum w:abstractNumId="13">
    <w:nsid w:val="153EA438"/>
    <w:multiLevelType w:val="hybridMultilevel"/>
    <w:lvl w:ilvl="0">
      <w:lvlJc w:val="left"/>
      <w:lvlText w:val="(%1)"/>
      <w:numFmt w:val="decimal"/>
      <w:start w:val="1"/>
    </w:lvl>
  </w:abstractNum>
  <w:abstractNum w:abstractNumId="14">
    <w:nsid w:val="3855585C"/>
    <w:multiLevelType w:val="hybridMultilevel"/>
    <w:lvl w:ilvl="0">
      <w:lvlJc w:val="left"/>
      <w:lvlText w:val="(%1)"/>
      <w:numFmt w:val="decimal"/>
      <w:start w:val="2"/>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1)"/>
      <w:numFmt w:val="decimal"/>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1)"/>
      <w:numFmt w:val="decimal"/>
      <w:start w:val="1"/>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1)"/>
      <w:numFmt w:val="decimal"/>
      <w:start w:val="1"/>
    </w:lvl>
    <w:lvl w:ilvl="1">
      <w:lvlJc w:val="left"/>
      <w:lvlText w:val="(%2)"/>
      <w:numFmt w:val="lowerRoman"/>
      <w:start w:val="1"/>
    </w:lvl>
  </w:abstractNum>
  <w:abstractNum w:abstractNumId="23">
    <w:nsid w:val="4B588F54"/>
    <w:multiLevelType w:val="hybridMultilevel"/>
    <w:lvl w:ilvl="0">
      <w:lvlJc w:val="left"/>
      <w:lvlText w:val="(%1)"/>
      <w:numFmt w:val="decimal"/>
      <w:start w:val="2"/>
    </w:lvl>
    <w:lvl w:ilvl="1">
      <w:lvlJc w:val="left"/>
      <w:lvlText w:val="(%2)"/>
      <w:numFmt w:val="upperLetter"/>
      <w:start w:val="1"/>
    </w:lvl>
  </w:abstractNum>
  <w:abstractNum w:abstractNumId="24">
    <w:nsid w:val="542289EC"/>
    <w:multiLevelType w:val="hybridMultilevel"/>
    <w:lvl w:ilvl="0">
      <w:lvlJc w:val="left"/>
      <w:lvlText w:val="%1"/>
      <w:numFmt w:val="decimal"/>
      <w:start w:val="1"/>
    </w:lvl>
    <w:lvl w:ilvl="1">
      <w:lvlJc w:val="left"/>
      <w:lvlText w:val="(%2)"/>
      <w:numFmt w:val="lowerRoman"/>
      <w:start w:val="1"/>
    </w:lvl>
  </w:abstractNum>
  <w:abstractNum w:abstractNumId="25">
    <w:nsid w:val="6DE91B18"/>
    <w:multiLevelType w:val="hybridMultilevel"/>
    <w:lvl w:ilvl="0">
      <w:lvlJc w:val="left"/>
      <w:lvlText w:val="(%1)"/>
      <w:numFmt w:val="decimal"/>
      <w:start w:val="6"/>
    </w:lvl>
    <w:lvl w:ilvl="1">
      <w:lvlJc w:val="left"/>
      <w:lvlText w:val="%2"/>
      <w:numFmt w:val="lowerRoman"/>
      <w:start w:val="1"/>
    </w:lvl>
  </w:abstractNum>
  <w:abstractNum w:abstractNumId="26">
    <w:nsid w:val="38437FDB"/>
    <w:multiLevelType w:val="hybridMultilevel"/>
    <w:lvl w:ilvl="0">
      <w:lvlJc w:val="left"/>
      <w:lvlText w:val="*"/>
      <w:numFmt w:val="bullet"/>
      <w:start w:val="1"/>
    </w:lvl>
  </w:abstractNum>
  <w:abstractNum w:abstractNumId="27">
    <w:nsid w:val="7644A45C"/>
    <w:multiLevelType w:val="hybridMultilevel"/>
    <w:lvl w:ilvl="0">
      <w:lvlJc w:val="left"/>
      <w:lvlText w:val="(%1)"/>
      <w:numFmt w:val="lowerLetter"/>
      <w:start w:val="1"/>
    </w:lvl>
  </w:abstractNum>
  <w:abstractNum w:abstractNumId="28">
    <w:nsid w:val="32FFF902"/>
    <w:multiLevelType w:val="hybridMultilevel"/>
    <w:lvl w:ilvl="0">
      <w:lvlJc w:val="left"/>
      <w:lvlText w:val="(%1)"/>
      <w:numFmt w:val="lowerLetter"/>
      <w:start w:val="1"/>
    </w:lvl>
  </w:abstractNum>
  <w:abstractNum w:abstractNumId="29">
    <w:nsid w:val="684A481A"/>
    <w:multiLevelType w:val="hybridMultilevel"/>
    <w:lvl w:ilvl="0">
      <w:lvlJc w:val="left"/>
      <w:lvlText w:val="(%1)"/>
      <w:numFmt w:val="lowerLetter"/>
      <w:start w:val="6"/>
    </w:lvl>
  </w:abstractNum>
  <w:abstractNum w:abstractNumId="30">
    <w:nsid w:val="579478FE"/>
    <w:multiLevelType w:val="hybridMultilevel"/>
    <w:lvl w:ilvl="0">
      <w:lvlJc w:val="left"/>
      <w:lvlText w:val="(%1)"/>
      <w:numFmt w:val="lowerLetter"/>
      <w:start w:val="1"/>
    </w:lvl>
  </w:abstractNum>
  <w:abstractNum w:abstractNumId="31">
    <w:nsid w:val="749ABB43"/>
    <w:multiLevelType w:val="hybridMultilevel"/>
    <w:lvl w:ilvl="0">
      <w:lvlJc w:val="left"/>
      <w:lvlText w:val="(%1)"/>
      <w:numFmt w:val="lowerLetter"/>
      <w:start w:val="1"/>
    </w:lvl>
    <w:lvl w:ilvl="1">
      <w:lvlJc w:val="left"/>
      <w:lvlText w:val="(%2)"/>
      <w:numFmt w:val="lowerRoman"/>
      <w:start w:val="1"/>
    </w:lvl>
  </w:abstractNum>
  <w:abstractNum w:abstractNumId="32">
    <w:nsid w:val="3DC240FB"/>
    <w:multiLevelType w:val="hybridMultilevel"/>
    <w:lvl w:ilvl="0">
      <w:lvlJc w:val="left"/>
      <w:lvlText w:val="%1"/>
      <w:numFmt w:val="lowerLetter"/>
      <w:start w:val="1"/>
    </w:lvl>
    <w:lvl w:ilvl="1">
      <w:lvlJc w:val="left"/>
      <w:lvlText w:val="(%2)"/>
      <w:numFmt w:val="lowerRoman"/>
      <w:start w:val="4"/>
    </w:lvl>
  </w:abstractNum>
  <w:abstractNum w:abstractNumId="33">
    <w:nsid w:val="1BA026FA"/>
    <w:multiLevelType w:val="hybridMultilevel"/>
    <w:lvl w:ilvl="0">
      <w:lvlJc w:val="left"/>
      <w:lvlText w:val="(%1)"/>
      <w:numFmt w:val="lowerLetter"/>
      <w:start w:val="5"/>
    </w:lvl>
    <w:lvl w:ilvl="1">
      <w:lvlJc w:val="left"/>
      <w:lvlText w:val="(%2)"/>
      <w:numFmt w:val="lowerRoman"/>
      <w:start w:val="1"/>
    </w:lvl>
  </w:abstractNum>
  <w:abstractNum w:abstractNumId="34">
    <w:nsid w:val="79A1DEAA"/>
    <w:multiLevelType w:val="hybridMultilevel"/>
    <w:lvl w:ilvl="0">
      <w:lvlJc w:val="left"/>
      <w:lvlText w:val="(%1)"/>
      <w:numFmt w:val="lowerLetter"/>
      <w:start w:val="6"/>
    </w:lvl>
  </w:abstractNum>
  <w:abstractNum w:abstractNumId="35">
    <w:nsid w:val="75C6C33A"/>
    <w:multiLevelType w:val="hybridMultilevel"/>
    <w:lvl w:ilvl="0">
      <w:lvlJc w:val="left"/>
      <w:lvlText w:val="(%1)"/>
      <w:numFmt w:val="lowerLetter"/>
      <w:start w:val="1"/>
    </w:lvl>
  </w:abstractNum>
  <w:abstractNum w:abstractNumId="36">
    <w:nsid w:val="12E685FB"/>
    <w:multiLevelType w:val="hybridMultilevel"/>
    <w:lvl w:ilvl="0">
      <w:lvlJc w:val="left"/>
      <w:lvlText w:val="(%1)"/>
      <w:numFmt w:val="lowerLetter"/>
      <w:start w:val="1"/>
    </w:lvl>
  </w:abstractNum>
  <w:abstractNum w:abstractNumId="37">
    <w:nsid w:val="70C6A529"/>
    <w:multiLevelType w:val="hybridMultilevel"/>
    <w:lvl w:ilvl="0">
      <w:lvlJc w:val="left"/>
      <w:lvlText w:val="(%1)"/>
      <w:numFmt w:val="lowerLetter"/>
      <w:start w:val="1"/>
    </w:lvl>
  </w:abstractNum>
  <w:abstractNum w:abstractNumId="38">
    <w:nsid w:val="520EEDD1"/>
    <w:multiLevelType w:val="hybridMultilevel"/>
    <w:lvl w:ilvl="0">
      <w:lvlJc w:val="left"/>
      <w:lvlText w:val="(%1)"/>
      <w:numFmt w:val="lowerLetter"/>
      <w:start w:val="3"/>
    </w:lvl>
  </w:abstractNum>
  <w:abstractNum w:abstractNumId="39">
    <w:nsid w:val="374A3FE6"/>
    <w:multiLevelType w:val="hybridMultilevel"/>
    <w:lvl w:ilvl="0">
      <w:lvlJc w:val="left"/>
      <w:lvlText w:val="(%1)"/>
      <w:numFmt w:val="lowerLetter"/>
      <w:start w:val="1"/>
    </w:lvl>
  </w:abstractNum>
  <w:abstractNum w:abstractNumId="40">
    <w:nsid w:val="4F4EF005"/>
    <w:multiLevelType w:val="hybridMultilevel"/>
    <w:lvl w:ilvl="0">
      <w:lvlJc w:val="left"/>
      <w:lvlText w:val="(%1)"/>
      <w:numFmt w:val="lowerLetter"/>
      <w:start w:val="1"/>
    </w:lvl>
  </w:abstractNum>
  <w:abstractNum w:abstractNumId="41">
    <w:nsid w:val="23F9C13C"/>
    <w:multiLevelType w:val="hybridMultilevel"/>
    <w:lvl w:ilvl="0">
      <w:lvlJc w:val="left"/>
      <w:lvlText w:val="(%1)"/>
      <w:numFmt w:val="lowerLetter"/>
      <w:start w:val="2"/>
    </w:lvl>
    <w:lvl w:ilvl="1">
      <w:lvlJc w:val="left"/>
      <w:lvlText w:val="(%2)"/>
      <w:numFmt w:val="lowerRoman"/>
      <w:start w:val="1"/>
    </w:lvl>
  </w:abstractNum>
  <w:abstractNum w:abstractNumId="42">
    <w:nsid w:val="649BB77C"/>
    <w:multiLevelType w:val="hybridMultilevel"/>
    <w:lvl w:ilvl="0">
      <w:lvlJc w:val="left"/>
      <w:lvlText w:val="(%1)"/>
      <w:numFmt w:val="lowerLetter"/>
      <w:start w:val="8"/>
    </w:lvl>
  </w:abstractNum>
  <w:abstractNum w:abstractNumId="43">
    <w:nsid w:val="275AC794"/>
    <w:multiLevelType w:val="hybridMultilevel"/>
    <w:lvl w:ilvl="0">
      <w:lvlJc w:val="left"/>
      <w:lvlText w:val="(%1)"/>
      <w:numFmt w:val="lowerLetter"/>
      <w:start w:val="1"/>
    </w:lvl>
  </w:abstractNum>
  <w:abstractNum w:abstractNumId="44">
    <w:nsid w:val="39386575"/>
    <w:multiLevelType w:val="hybridMultilevel"/>
    <w:lvl w:ilvl="0">
      <w:lvlJc w:val="left"/>
      <w:lvlText w:val="(%1)"/>
      <w:numFmt w:val="lowerLetter"/>
      <w:start w:val="10"/>
    </w:lvl>
  </w:abstractNum>
  <w:abstractNum w:abstractNumId="45">
    <w:nsid w:val="1CF10FD8"/>
    <w:multiLevelType w:val="hybridMultilevel"/>
    <w:lvl w:ilvl="0">
      <w:lvlJc w:val="left"/>
      <w:lvlText w:val="(%1)"/>
      <w:numFmt w:val="lowerLetter"/>
      <w:start w:val="1"/>
    </w:lvl>
  </w:abstractNum>
  <w:abstractNum w:abstractNumId="46">
    <w:nsid w:val="180115B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47">
    <w:nsid w:val="235BA86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8">
    <w:nsid w:val="47398C89"/>
    <w:multiLevelType w:val="hybridMultilevel"/>
    <w:lvl w:ilvl="0">
      <w:lvlJc w:val="left"/>
      <w:lvlText w:val="(%1)"/>
      <w:numFmt w:val="decimal"/>
      <w:start w:val="4"/>
    </w:lvl>
  </w:abstractNum>
  <w:abstractNum w:abstractNumId="49">
    <w:nsid w:val="354FE9F9"/>
    <w:multiLevelType w:val="hybridMultilevel"/>
    <w:lvl w:ilvl="0">
      <w:lvlJc w:val="left"/>
      <w:lvlText w:val="(%1)"/>
      <w:numFmt w:val="lowerLetter"/>
      <w:start w:val="2"/>
    </w:lvl>
  </w:abstractNum>
  <w:abstractNum w:abstractNumId="50">
    <w:nsid w:val="15B5AF5C"/>
    <w:multiLevelType w:val="hybridMultilevel"/>
    <w:lvl w:ilvl="0">
      <w:lvlJc w:val="left"/>
      <w:lvlText w:val="(%1)"/>
      <w:numFmt w:val="lowerLetter"/>
      <w:start w:val="1"/>
    </w:lvl>
  </w:abstractNum>
  <w:abstractNum w:abstractNumId="51">
    <w:nsid w:val="741226BB"/>
    <w:multiLevelType w:val="hybridMultilevel"/>
    <w:lvl w:ilvl="0">
      <w:lvlJc w:val="left"/>
      <w:lvlText w:val="(%1)"/>
      <w:numFmt w:val="lowerLetter"/>
      <w:start w:val="1"/>
    </w:lvl>
  </w:abstractNum>
  <w:abstractNum w:abstractNumId="52">
    <w:nsid w:val="D34B6A8"/>
    <w:multiLevelType w:val="hybridMultilevel"/>
    <w:lvl w:ilvl="0">
      <w:lvlJc w:val="left"/>
      <w:lvlText w:val="(%1)"/>
      <w:numFmt w:val="lowerLetter"/>
      <w:start w:val="4"/>
    </w:lvl>
  </w:abstractNum>
  <w:abstractNum w:abstractNumId="53">
    <w:nsid w:val="10233C99"/>
    <w:multiLevelType w:val="hybridMultilevel"/>
    <w:lvl w:ilvl="0">
      <w:lvlJc w:val="left"/>
      <w:lvlText w:val="(%1)"/>
      <w:numFmt w:val="lowerLetter"/>
      <w:start w:val="6"/>
    </w:lvl>
  </w:abstractNum>
  <w:abstractNum w:abstractNumId="54">
    <w:nsid w:val="3F6AB60F"/>
    <w:multiLevelType w:val="hybridMultilevel"/>
    <w:lvl w:ilvl="0">
      <w:lvlJc w:val="left"/>
      <w:lvlText w:val="(%1)"/>
      <w:numFmt w:val="lowerLetter"/>
      <w:start w:val="1"/>
    </w:lvl>
  </w:abstractNum>
  <w:abstractNum w:abstractNumId="55">
    <w:nsid w:val="61574095"/>
    <w:multiLevelType w:val="hybridMultilevel"/>
    <w:lvl w:ilvl="0">
      <w:lvlJc w:val="left"/>
      <w:lvlText w:val="(%1)"/>
      <w:numFmt w:val="lowerLetter"/>
      <w:start w:val="2"/>
    </w:lvl>
  </w:abstractNum>
  <w:abstractNum w:abstractNumId="56">
    <w:nsid w:val="7E0C57B1"/>
    <w:multiLevelType w:val="hybridMultilevel"/>
    <w:lvl w:ilvl="0">
      <w:lvlJc w:val="left"/>
      <w:lvlText w:val="(%1)"/>
      <w:numFmt w:val="lowerLetter"/>
      <w:start w:val="1"/>
    </w:lvl>
  </w:abstractNum>
  <w:abstractNum w:abstractNumId="57">
    <w:nsid w:val="77AE35EB"/>
    <w:multiLevelType w:val="hybridMultilevel"/>
    <w:lvl w:ilvl="0">
      <w:lvlJc w:val="left"/>
      <w:lvlText w:val="(%1)"/>
      <w:numFmt w:val="lowerLetter"/>
      <w:start w:val="1"/>
    </w:lvl>
  </w:abstractNum>
  <w:abstractNum w:abstractNumId="58">
    <w:nsid w:val="579BE4F1"/>
    <w:multiLevelType w:val="hybridMultilevel"/>
    <w:lvl w:ilvl="0">
      <w:lvlJc w:val="left"/>
      <w:lvlText w:val="(%1)"/>
      <w:numFmt w:val="lowerLetter"/>
      <w:start w:val="2"/>
    </w:lvl>
  </w:abstractNum>
  <w:abstractNum w:abstractNumId="59">
    <w:nsid w:val="310C50B3"/>
    <w:multiLevelType w:val="hybridMultilevel"/>
    <w:lvl w:ilvl="0">
      <w:lvlJc w:val="left"/>
      <w:lvlText w:val="(%1)"/>
      <w:numFmt w:val="lowerLetter"/>
      <w:start w:val="1"/>
    </w:lvl>
  </w:abstractNum>
  <w:abstractNum w:abstractNumId="60">
    <w:nsid w:val="5FF87E05"/>
    <w:multiLevelType w:val="hybridMultilevel"/>
    <w:lvl w:ilvl="0">
      <w:lvlJc w:val="left"/>
      <w:lvlText w:val="(%1)"/>
      <w:numFmt w:val="lowerLetter"/>
      <w:start w:val="1"/>
    </w:lvl>
  </w:abstractNum>
  <w:abstractNum w:abstractNumId="61">
    <w:nsid w:val="2F305DEF"/>
    <w:multiLevelType w:val="hybridMultilevel"/>
    <w:lvl w:ilvl="0">
      <w:lvlJc w:val="left"/>
      <w:lvlText w:val="(%1)"/>
      <w:numFmt w:val="lowerRoman"/>
      <w:start w:val="4"/>
    </w:lvl>
    <w:lvl w:ilvl="1">
      <w:lvlJc w:val="left"/>
      <w:lvlText w:val="-"/>
      <w:numFmt w:val="bullet"/>
      <w:start w:val="1"/>
    </w:lvl>
  </w:abstractNum>
  <w:abstractNum w:abstractNumId="62">
    <w:nsid w:val="25A70BF7"/>
    <w:multiLevelType w:val="hybridMultilevel"/>
    <w:lvl w:ilvl="0">
      <w:lvlJc w:val="left"/>
      <w:lvlText w:val="(%1)"/>
      <w:numFmt w:val="lowerLetter"/>
      <w:start w:val="1"/>
    </w:lvl>
  </w:abstractNum>
  <w:abstractNum w:abstractNumId="63">
    <w:nsid w:val="1DBABF00"/>
    <w:multiLevelType w:val="hybridMultilevel"/>
    <w:lvl w:ilvl="0">
      <w:lvlJc w:val="left"/>
      <w:lvlText w:val="%1."/>
      <w:numFmt w:val="decimal"/>
      <w:start w:val="1"/>
    </w:lvl>
    <w:lvl w:ilvl="1">
      <w:lvlJc w:val="left"/>
      <w:lvlText w:val="(%2)"/>
      <w:numFmt w:val="lowerLetter"/>
      <w:start w:val="1"/>
    </w:lvl>
  </w:abstractNum>
  <w:abstractNum w:abstractNumId="64">
    <w:nsid w:val="4AD084E9"/>
    <w:multiLevelType w:val="hybridMultilevel"/>
    <w:lvl w:ilvl="0">
      <w:lvlJc w:val="left"/>
      <w:lvlText w:val="%1"/>
      <w:numFmt w:val="decimal"/>
      <w:start w:val="1"/>
    </w:lvl>
    <w:lvl w:ilvl="1">
      <w:lvlJc w:val="left"/>
      <w:lvlText w:val="(%2)"/>
      <w:numFmt w:val="lowerLetter"/>
      <w:start w:val="2"/>
    </w:lvl>
  </w:abstractNum>
  <w:abstractNum w:abstractNumId="65">
    <w:nsid w:val="1F48EAA1"/>
    <w:multiLevelType w:val="hybridMultilevel"/>
    <w:lvl w:ilvl="0">
      <w:lvlJc w:val="left"/>
      <w:lvlText w:val="%1."/>
      <w:numFmt w:val="decimal"/>
      <w:start w:val="2"/>
    </w:lvl>
    <w:lvl w:ilvl="1">
      <w:lvlJc w:val="left"/>
      <w:lvlText w:val="%2"/>
      <w:numFmt w:val="lowerLetter"/>
      <w:start w:val="1"/>
    </w:lvl>
  </w:abstractNum>
  <w:abstractNum w:abstractNumId="66">
    <w:nsid w:val="1381823A"/>
    <w:multiLevelType w:val="hybridMultilevel"/>
    <w:lvl w:ilvl="0">
      <w:lvlJc w:val="left"/>
      <w:lvlText w:val="%1."/>
      <w:numFmt w:val="decimal"/>
      <w:start w:val="16"/>
    </w:lvl>
    <w:lvl w:ilvl="1">
      <w:lvlJc w:val="left"/>
      <w:lvlText w:val="%2."/>
      <w:numFmt w:val="decimal"/>
      <w:start w:val="1"/>
    </w:lvl>
  </w:abstractNum>
  <w:abstractNum w:abstractNumId="67">
    <w:nsid w:val="5DB70AE5"/>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2019-12-09T21:08:00Z</dcterms:created>
  <dcterms:modified xsi:type="dcterms:W3CDTF">2019-12-09T21:08:00Z</dcterms:modified>
</cp:coreProperties>
</file>