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11, 2020</w:t>
      </w:r>
    </w:p>
    <w:p>
      <w:pPr>
        <w:spacing w:after="0" w:line="27" w:lineRule="exact"/>
        <w:rPr>
          <w:sz w:val="24"/>
          <w:szCs w:val="24"/>
          <w:color w:val="auto"/>
        </w:rPr>
      </w:pPr>
    </w:p>
    <w:p>
      <w:pPr>
        <w:ind w:left="9000"/>
        <w:spacing w:after="0"/>
        <w:rPr>
          <w:sz w:val="20"/>
          <w:szCs w:val="20"/>
          <w:color w:val="auto"/>
        </w:rPr>
      </w:pPr>
      <w:r>
        <w:rPr>
          <w:rFonts w:ascii="Arial" w:cs="Arial" w:eastAsia="Arial" w:hAnsi="Arial"/>
          <w:sz w:val="16"/>
          <w:szCs w:val="16"/>
          <w:color w:val="auto"/>
        </w:rPr>
        <w:t>Registration No. 333-_____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106045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149225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2700" w:type="dxa"/>
            <w:vAlign w:val="bottom"/>
          </w:tcPr>
          <w:p>
            <w:pPr>
              <w:jc w:val="center"/>
              <w:ind w:right="139"/>
              <w:spacing w:after="0"/>
              <w:rPr>
                <w:sz w:val="20"/>
                <w:szCs w:val="20"/>
                <w:color w:val="auto"/>
              </w:rPr>
            </w:pPr>
            <w:r>
              <w:rPr>
                <w:rFonts w:ascii="Arial" w:cs="Arial" w:eastAsia="Arial" w:hAnsi="Arial"/>
                <w:sz w:val="18"/>
                <w:szCs w:val="18"/>
                <w:b w:val="1"/>
                <w:bCs w:val="1"/>
                <w:color w:val="auto"/>
                <w:w w:val="86"/>
              </w:rPr>
              <w:t>Massachusetts</w:t>
            </w:r>
          </w:p>
        </w:tc>
        <w:tc>
          <w:tcPr>
            <w:tcW w:w="4660" w:type="dxa"/>
            <w:vAlign w:val="bottom"/>
          </w:tcPr>
          <w:p>
            <w:pPr>
              <w:jc w:val="center"/>
              <w:ind w:left="3459"/>
              <w:spacing w:after="0"/>
              <w:rPr>
                <w:sz w:val="20"/>
                <w:szCs w:val="20"/>
                <w:color w:val="auto"/>
              </w:rPr>
            </w:pPr>
            <w:r>
              <w:rPr>
                <w:rFonts w:ascii="Arial" w:cs="Arial" w:eastAsia="Arial" w:hAnsi="Arial"/>
                <w:sz w:val="18"/>
                <w:szCs w:val="18"/>
                <w:b w:val="1"/>
                <w:bCs w:val="1"/>
                <w:color w:val="auto"/>
                <w:w w:val="91"/>
              </w:rPr>
              <w:t>04-2348234</w:t>
            </w:r>
          </w:p>
        </w:tc>
      </w:tr>
      <w:tr>
        <w:trPr>
          <w:trHeight w:val="148"/>
        </w:trPr>
        <w:tc>
          <w:tcPr>
            <w:tcW w:w="270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660" w:type="dxa"/>
            <w:vAlign w:val="bottom"/>
          </w:tcPr>
          <w:p>
            <w:pPr>
              <w:jc w:val="center"/>
              <w:ind w:left="345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70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Incorporation or Organization)</w:t>
            </w:r>
          </w:p>
        </w:tc>
        <w:tc>
          <w:tcPr>
            <w:tcW w:w="4660" w:type="dxa"/>
            <w:vAlign w:val="bottom"/>
          </w:tcPr>
          <w:p>
            <w:pPr>
              <w:jc w:val="center"/>
              <w:ind w:left="3459"/>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2700" w:type="dxa"/>
            <w:vAlign w:val="bottom"/>
          </w:tcPr>
          <w:p>
            <w:pPr>
              <w:jc w:val="center"/>
              <w:ind w:right="139"/>
              <w:spacing w:after="0"/>
              <w:rPr>
                <w:sz w:val="20"/>
                <w:szCs w:val="20"/>
                <w:color w:val="auto"/>
              </w:rPr>
            </w:pPr>
            <w:r>
              <w:rPr>
                <w:rFonts w:ascii="Arial" w:cs="Arial" w:eastAsia="Arial" w:hAnsi="Arial"/>
                <w:sz w:val="18"/>
                <w:szCs w:val="18"/>
                <w:b w:val="1"/>
                <w:bCs w:val="1"/>
                <w:color w:val="auto"/>
                <w:w w:val="89"/>
              </w:rPr>
              <w:t>One Technology Way</w:t>
            </w:r>
          </w:p>
        </w:tc>
        <w:tc>
          <w:tcPr>
            <w:tcW w:w="4660" w:type="dxa"/>
            <w:vAlign w:val="bottom"/>
          </w:tcPr>
          <w:p>
            <w:pPr>
              <w:spacing w:after="0"/>
              <w:rPr>
                <w:sz w:val="24"/>
                <w:szCs w:val="24"/>
                <w:color w:val="auto"/>
              </w:rPr>
            </w:pPr>
          </w:p>
        </w:tc>
      </w:tr>
      <w:tr>
        <w:trPr>
          <w:trHeight w:val="225"/>
        </w:trPr>
        <w:tc>
          <w:tcPr>
            <w:tcW w:w="2700" w:type="dxa"/>
            <w:vAlign w:val="bottom"/>
          </w:tcPr>
          <w:p>
            <w:pPr>
              <w:jc w:val="center"/>
              <w:ind w:right="159"/>
              <w:spacing w:after="0"/>
              <w:rPr>
                <w:sz w:val="20"/>
                <w:szCs w:val="20"/>
                <w:color w:val="auto"/>
              </w:rPr>
            </w:pPr>
            <w:r>
              <w:rPr>
                <w:rFonts w:ascii="Arial" w:cs="Arial" w:eastAsia="Arial" w:hAnsi="Arial"/>
                <w:sz w:val="18"/>
                <w:szCs w:val="18"/>
                <w:b w:val="1"/>
                <w:bCs w:val="1"/>
                <w:color w:val="auto"/>
                <w:w w:val="94"/>
              </w:rPr>
              <w:t>Norwood, MA</w:t>
            </w:r>
          </w:p>
        </w:tc>
        <w:tc>
          <w:tcPr>
            <w:tcW w:w="4660" w:type="dxa"/>
            <w:vAlign w:val="bottom"/>
          </w:tcPr>
          <w:p>
            <w:pPr>
              <w:jc w:val="center"/>
              <w:ind w:left="3459"/>
              <w:spacing w:after="0"/>
              <w:rPr>
                <w:sz w:val="20"/>
                <w:szCs w:val="20"/>
                <w:color w:val="auto"/>
              </w:rPr>
            </w:pPr>
            <w:r>
              <w:rPr>
                <w:rFonts w:ascii="Arial" w:cs="Arial" w:eastAsia="Arial" w:hAnsi="Arial"/>
                <w:sz w:val="18"/>
                <w:szCs w:val="18"/>
                <w:b w:val="1"/>
                <w:bCs w:val="1"/>
                <w:color w:val="auto"/>
                <w:w w:val="91"/>
              </w:rPr>
              <w:t>02062-9106</w:t>
            </w:r>
          </w:p>
        </w:tc>
      </w:tr>
      <w:tr>
        <w:trPr>
          <w:trHeight w:val="186"/>
        </w:trPr>
        <w:tc>
          <w:tcPr>
            <w:tcW w:w="2700" w:type="dxa"/>
            <w:vAlign w:val="bottom"/>
          </w:tcPr>
          <w:p>
            <w:pPr>
              <w:jc w:val="center"/>
              <w:ind w:right="1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660" w:type="dxa"/>
            <w:vAlign w:val="bottom"/>
          </w:tcPr>
          <w:p>
            <w:pPr>
              <w:jc w:val="center"/>
              <w:ind w:left="3459"/>
              <w:spacing w:after="0"/>
              <w:rPr>
                <w:sz w:val="20"/>
                <w:szCs w:val="20"/>
                <w:color w:val="auto"/>
              </w:rPr>
            </w:pPr>
            <w:r>
              <w:rPr>
                <w:rFonts w:ascii="Arial" w:cs="Arial" w:eastAsia="Arial" w:hAnsi="Arial"/>
                <w:sz w:val="14"/>
                <w:szCs w:val="14"/>
                <w:b w:val="1"/>
                <w:bCs w:val="1"/>
                <w:color w:val="auto"/>
                <w:w w:val="98"/>
              </w:rPr>
              <w:t>(Zip Code)</w:t>
            </w:r>
          </w:p>
        </w:tc>
      </w:tr>
      <w:tr>
        <w:trPr>
          <w:trHeight w:val="399"/>
        </w:trPr>
        <w:tc>
          <w:tcPr>
            <w:tcW w:w="2700" w:type="dxa"/>
            <w:vAlign w:val="bottom"/>
          </w:tcPr>
          <w:p>
            <w:pPr>
              <w:spacing w:after="0"/>
              <w:rPr>
                <w:sz w:val="24"/>
                <w:szCs w:val="24"/>
                <w:color w:val="auto"/>
              </w:rPr>
            </w:pPr>
          </w:p>
        </w:tc>
        <w:tc>
          <w:tcPr>
            <w:tcW w:w="4660" w:type="dxa"/>
            <w:vAlign w:val="bottom"/>
          </w:tcPr>
          <w:p>
            <w:pPr>
              <w:jc w:val="center"/>
              <w:ind w:right="2059"/>
              <w:spacing w:after="0"/>
              <w:rPr>
                <w:sz w:val="20"/>
                <w:szCs w:val="20"/>
                <w:color w:val="auto"/>
              </w:rPr>
            </w:pPr>
            <w:r>
              <w:rPr>
                <w:rFonts w:ascii="Arial" w:cs="Arial" w:eastAsia="Arial" w:hAnsi="Arial"/>
                <w:sz w:val="18"/>
                <w:szCs w:val="18"/>
                <w:b w:val="1"/>
                <w:bCs w:val="1"/>
                <w:color w:val="auto"/>
                <w:w w:val="89"/>
              </w:rPr>
              <w:t>Analog Devices, Inc.</w:t>
            </w:r>
          </w:p>
        </w:tc>
      </w:tr>
      <w:tr>
        <w:trPr>
          <w:trHeight w:val="212"/>
        </w:trPr>
        <w:tc>
          <w:tcPr>
            <w:tcW w:w="2700" w:type="dxa"/>
            <w:vAlign w:val="bottom"/>
          </w:tcPr>
          <w:p>
            <w:pPr>
              <w:spacing w:after="0"/>
              <w:rPr>
                <w:sz w:val="18"/>
                <w:szCs w:val="18"/>
                <w:color w:val="auto"/>
              </w:rPr>
            </w:pPr>
          </w:p>
        </w:tc>
        <w:tc>
          <w:tcPr>
            <w:tcW w:w="4660" w:type="dxa"/>
            <w:vAlign w:val="bottom"/>
          </w:tcPr>
          <w:p>
            <w:pPr>
              <w:jc w:val="center"/>
              <w:ind w:right="2059"/>
              <w:spacing w:after="0"/>
              <w:rPr>
                <w:sz w:val="20"/>
                <w:szCs w:val="20"/>
                <w:color w:val="auto"/>
              </w:rPr>
            </w:pPr>
            <w:r>
              <w:rPr>
                <w:rFonts w:ascii="Arial" w:cs="Arial" w:eastAsia="Arial" w:hAnsi="Arial"/>
                <w:sz w:val="18"/>
                <w:szCs w:val="18"/>
                <w:b w:val="1"/>
                <w:bCs w:val="1"/>
                <w:color w:val="auto"/>
                <w:w w:val="91"/>
              </w:rPr>
              <w:t>2020 Equity Incentive Plan</w:t>
            </w:r>
          </w:p>
        </w:tc>
      </w:tr>
      <w:tr>
        <w:trPr>
          <w:trHeight w:val="186"/>
        </w:trPr>
        <w:tc>
          <w:tcPr>
            <w:tcW w:w="2700" w:type="dxa"/>
            <w:vAlign w:val="bottom"/>
          </w:tcPr>
          <w:p>
            <w:pPr>
              <w:spacing w:after="0"/>
              <w:rPr>
                <w:sz w:val="16"/>
                <w:szCs w:val="16"/>
                <w:color w:val="auto"/>
              </w:rPr>
            </w:pPr>
          </w:p>
        </w:tc>
        <w:tc>
          <w:tcPr>
            <w:tcW w:w="4660" w:type="dxa"/>
            <w:vAlign w:val="bottom"/>
          </w:tcPr>
          <w:p>
            <w:pPr>
              <w:jc w:val="center"/>
              <w:ind w:right="2059"/>
              <w:spacing w:after="0"/>
              <w:rPr>
                <w:sz w:val="20"/>
                <w:szCs w:val="20"/>
                <w:color w:val="auto"/>
              </w:rPr>
            </w:pPr>
            <w:r>
              <w:rPr>
                <w:rFonts w:ascii="Arial" w:cs="Arial" w:eastAsia="Arial" w:hAnsi="Arial"/>
                <w:sz w:val="14"/>
                <w:szCs w:val="14"/>
                <w:b w:val="1"/>
                <w:bCs w:val="1"/>
                <w:color w:val="auto"/>
                <w:w w:val="95"/>
              </w:rPr>
              <w:t>(Full Title of the Plan)</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Larry Weiss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Technology 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Norwood, MA 02062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329-4700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020"/>
          </w:cols>
          <w:pgMar w:left="440" w:top="229" w:right="439" w:bottom="1440" w:gutter="0" w:footer="0" w:header="0"/>
        </w:sectPr>
      </w:pPr>
    </w:p>
    <w:bookmarkStart w:id="1" w:name="page2"/>
    <w:bookmarkEnd w:id="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3037205</wp:posOffset>
            </wp:positionH>
            <wp:positionV relativeFrom="page">
              <wp:posOffset>252095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t>CALCULATION OF REGISTRATION FEE</w:t>
      </w:r>
    </w:p>
    <w:p>
      <w:pPr>
        <w:spacing w:after="0" w:line="88"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444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440" w:type="dxa"/>
            <w:vAlign w:val="bottom"/>
            <w:tcBorders>
              <w:right w:val="single" w:sz="8" w:color="auto"/>
            </w:tcBorders>
          </w:tcPr>
          <w:p>
            <w:pPr>
              <w:spacing w:after="0"/>
              <w:rPr>
                <w:sz w:val="9"/>
                <w:szCs w:val="9"/>
                <w:color w:val="auto"/>
              </w:rPr>
            </w:pPr>
          </w:p>
        </w:tc>
        <w:tc>
          <w:tcPr>
            <w:tcW w:w="1980" w:type="dxa"/>
            <w:vAlign w:val="bottom"/>
            <w:tcBorders>
              <w:right w:val="single" w:sz="8" w:color="auto"/>
            </w:tcBorders>
            <w:vMerge w:val="restart"/>
          </w:tcPr>
          <w:p>
            <w:pPr>
              <w:jc w:val="center"/>
              <w:ind w:left="4"/>
              <w:spacing w:after="0"/>
              <w:rPr>
                <w:sz w:val="20"/>
                <w:szCs w:val="20"/>
                <w:color w:val="auto"/>
              </w:rPr>
            </w:pPr>
            <w:r>
              <w:rPr>
                <w:rFonts w:ascii="Arial" w:cs="Arial" w:eastAsia="Arial" w:hAnsi="Arial"/>
                <w:sz w:val="14"/>
                <w:szCs w:val="14"/>
                <w:b w:val="1"/>
                <w:bCs w:val="1"/>
                <w:color w:val="auto"/>
                <w:w w:val="94"/>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Title of securities</w:t>
            </w:r>
          </w:p>
        </w:tc>
        <w:tc>
          <w:tcPr>
            <w:tcW w:w="19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440" w:type="dxa"/>
            <w:vAlign w:val="bottom"/>
            <w:tcBorders>
              <w:right w:val="single" w:sz="8" w:color="auto"/>
            </w:tcBorders>
            <w:vMerge w:val="continue"/>
          </w:tcPr>
          <w:p>
            <w:pPr>
              <w:spacing w:after="0"/>
              <w:rPr>
                <w:sz w:val="12"/>
                <w:szCs w:val="12"/>
                <w:color w:val="auto"/>
              </w:rPr>
            </w:pPr>
          </w:p>
        </w:tc>
        <w:tc>
          <w:tcPr>
            <w:tcW w:w="198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98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1"/>
              </w:rPr>
              <w:t>registered(1)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offering price</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210"/>
        </w:trPr>
        <w:tc>
          <w:tcPr>
            <w:tcW w:w="4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$0.16 2/3 par value per share</w:t>
            </w:r>
          </w:p>
        </w:tc>
        <w:tc>
          <w:tcPr>
            <w:tcW w:w="19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12,613,058 shares(2)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$100.36(3)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$1,265,846,501(3)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$164,307.00</w:t>
            </w:r>
          </w:p>
        </w:tc>
        <w:tc>
          <w:tcPr>
            <w:tcW w:w="0" w:type="dxa"/>
            <w:vAlign w:val="bottom"/>
          </w:tcPr>
          <w:p>
            <w:pPr>
              <w:spacing w:after="0"/>
              <w:rPr>
                <w:sz w:val="1"/>
                <w:szCs w:val="1"/>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4" w:right="160" w:hanging="544"/>
        <w:spacing w:after="0" w:line="290" w:lineRule="auto"/>
        <w:tabs>
          <w:tab w:leader="none" w:pos="544"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accordance with Rule 416 under the Securities Act of 1933, as amended, this registration statement shall be deemed to cover any additional securities that may from time to time be offered or issued to prevent dilution resulting from stock splits, stock dividends or similar transactions.</w:t>
      </w:r>
    </w:p>
    <w:p>
      <w:pPr>
        <w:jc w:val="both"/>
        <w:ind w:left="544" w:right="380" w:hanging="544"/>
        <w:spacing w:after="0" w:line="281" w:lineRule="auto"/>
        <w:tabs>
          <w:tab w:leader="none" w:pos="544"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Consists of (i) 9,585,500 shares issuable under the Analog Devices, Inc. 2020 Equity Incentive Plan (the “2020 Plan”) and (ii) an additional 3,027,558 shares issuable under the 2020 Plan, which is equal to the sum of (a) the number of shares reserved for issuance under the Analog Devices, Inc. Amended and Restated 2010 Equity Incentive Plan (“2010 Plan”) that remained available for grant as of March 11, 2020 and</w:t>
      </w:r>
    </w:p>
    <w:p>
      <w:pPr>
        <w:spacing w:after="0" w:line="1" w:lineRule="exact"/>
        <w:rPr>
          <w:rFonts w:ascii="Arial" w:cs="Arial" w:eastAsia="Arial" w:hAnsi="Arial"/>
          <w:sz w:val="16"/>
          <w:szCs w:val="16"/>
          <w:color w:val="auto"/>
        </w:rPr>
      </w:pPr>
    </w:p>
    <w:p>
      <w:pPr>
        <w:ind w:left="544" w:right="60"/>
        <w:spacing w:after="0" w:line="250" w:lineRule="auto"/>
        <w:rPr>
          <w:rFonts w:ascii="Arial" w:cs="Arial" w:eastAsia="Arial" w:hAnsi="Arial"/>
          <w:sz w:val="16"/>
          <w:szCs w:val="16"/>
          <w:color w:val="auto"/>
        </w:rPr>
      </w:pPr>
      <w:r>
        <w:rPr>
          <w:rFonts w:ascii="Arial" w:cs="Arial" w:eastAsia="Arial" w:hAnsi="Arial"/>
          <w:sz w:val="18"/>
          <w:szCs w:val="18"/>
          <w:color w:val="auto"/>
        </w:rPr>
        <w:t>(b) the number of shares subject to awards granted under the 2010 Plan and the Linear Technology Corporation Amended and Restated 2005 Equity Incentive Plan, which awards expire, terminate or are otherwise surrendered, cancelled, forfeited or repurchased by the Registrant at their original issuance price pursuant to a contractual repurchase right.</w:t>
      </w:r>
    </w:p>
    <w:p>
      <w:pPr>
        <w:spacing w:after="0" w:line="1" w:lineRule="exact"/>
        <w:rPr>
          <w:rFonts w:ascii="Arial" w:cs="Arial" w:eastAsia="Arial" w:hAnsi="Arial"/>
          <w:sz w:val="16"/>
          <w:szCs w:val="16"/>
          <w:color w:val="auto"/>
        </w:rPr>
      </w:pPr>
    </w:p>
    <w:p>
      <w:pPr>
        <w:ind w:left="544" w:right="380" w:hanging="544"/>
        <w:spacing w:after="0" w:line="255" w:lineRule="auto"/>
        <w:tabs>
          <w:tab w:leader="none" w:pos="54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Rules 457(c) and 457(h) of the Securities Act of 1933, as amended, and based upon the average of the high and low prices of the Registrant’s Common Stock as reported on the Nasdaq Global Select Market on March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180975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607" w:right="4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Item 1. Plan Information.</w:t>
      </w:r>
    </w:p>
    <w:p>
      <w:pPr>
        <w:spacing w:after="0" w:line="121"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The information required by Item 1 is included in documents sent or given to participants in the plans covered by this registration statement pursuant to Rule 428(b)(1) of the Securities Act of 1933, as amended (the “Securities Act”).</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12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written statement required by Item 2 is included in documents sent or given to participants in the plans covered by this registration statement pursuant to Rule 428(b)(1) of the Securities Act.</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The registrant is subject to the informational and reporting requirements of Sections 13(a), 14, and 15(d) of the Securities Exchange Act of 1934, as amended (the “Exchange Act”), and in accordance therewith files reports, proxy statements and other information with the Securities and Exchange Commission (the “Commission”). The following documents, which are on file with the Commission, are incorporated in this registration statement by reference:</w:t>
      </w:r>
    </w:p>
    <w:p>
      <w:pPr>
        <w:spacing w:after="0" w:line="79" w:lineRule="exact"/>
        <w:rPr>
          <w:sz w:val="20"/>
          <w:szCs w:val="20"/>
          <w:color w:val="auto"/>
        </w:rPr>
      </w:pPr>
    </w:p>
    <w:p>
      <w:pPr>
        <w:ind w:right="40" w:firstLine="436"/>
        <w:spacing w:after="0" w:line="263" w:lineRule="auto"/>
        <w:tabs>
          <w:tab w:leader="none" w:pos="68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latest annual report filed pursuant to Section 13(a) or 15(d) of the Exchange Act or the latest prospectus filed pursuant to Rule 424(b) under the Securities Act that contains audited financial statements for the registrant’s latest fiscal year for which such statements have been filed.</w:t>
      </w:r>
    </w:p>
    <w:p>
      <w:pPr>
        <w:spacing w:after="0" w:line="75" w:lineRule="exact"/>
        <w:rPr>
          <w:rFonts w:ascii="Arial" w:cs="Arial" w:eastAsia="Arial" w:hAnsi="Arial"/>
          <w:sz w:val="18"/>
          <w:szCs w:val="18"/>
          <w:color w:val="auto"/>
        </w:rPr>
      </w:pPr>
    </w:p>
    <w:p>
      <w:pPr>
        <w:ind w:firstLine="436"/>
        <w:spacing w:after="0" w:line="277" w:lineRule="auto"/>
        <w:tabs>
          <w:tab w:leader="none" w:pos="695"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Exchange Act since the end of the fiscal year covered by the document referred to in (a) above.</w:t>
      </w:r>
    </w:p>
    <w:p>
      <w:pPr>
        <w:spacing w:after="0" w:line="62" w:lineRule="exact"/>
        <w:rPr>
          <w:rFonts w:ascii="Arial" w:cs="Arial" w:eastAsia="Arial" w:hAnsi="Arial"/>
          <w:sz w:val="18"/>
          <w:szCs w:val="18"/>
          <w:color w:val="auto"/>
        </w:rPr>
      </w:pPr>
    </w:p>
    <w:p>
      <w:pPr>
        <w:ind w:right="120" w:firstLine="436"/>
        <w:spacing w:after="0" w:line="277" w:lineRule="auto"/>
        <w:tabs>
          <w:tab w:leader="none" w:pos="68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securities contained in the registrant’s registration statement on Form 8-A filed under the Exchange Act, including any amendment or report filed for the purpose of updating such description.</w:t>
      </w:r>
    </w:p>
    <w:p>
      <w:pPr>
        <w:spacing w:after="0" w:line="170"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0960"/>
          </w:cols>
          <w:pgMar w:left="440" w:top="270" w:right="499" w:bottom="1440" w:gutter="0" w:footer="0" w:header="0"/>
        </w:sectPr>
      </w:pPr>
    </w:p>
    <w:bookmarkStart w:id="3" w:name="page4"/>
    <w:bookmarkEnd w:id="3"/>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 Interests of Named Experts and Counsel.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Wilmer Cutler Pickering Hale and Dorr LLP has opined as to the legality of the securities being offered by this registration statement.</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Article 6A of the registrant’s Restated Articles of Organization, as amended (the “Restated Articles”) provides that the registrant shall indemnify each person who is, or was, a director or officer of the registrant or who is or was a director or employee of the registrant and is serving or has served as a director of another organization at the request of the registrant or in any capacity with respect to an employee benefit plan of the registrant, against all liabilities and expenses, including judgments, fines, penalties, amounts paid or to be paid in settlement, and reasonable attorneys’ fees, imposed upon or incurred by any such person in connection with, or arising out of, the defense or disposition of any action, suit or other proceedings, whether civil or criminal, to which such individual may be made a defendant or with which such individual may become involved or threatened, directly or indirectly, by reason of having been an officer or director of the registrant or as a result of his having served with respect to any such employee benefit plan. Article 6A further provides that the registrant shall provide no indemnification with respect to any matter as to which any director or officer shall be finally adjudicated in such action, suit or proceeding not to have acted in good faith in the reasonable belief that his action was in the best interests of the registrant or, if the matter relates to an employee benefit plan, the participants or beneficiaries of such employee benefit plan. The right to indemnification conferred by Article 6A includes the right to be paid by the registrant for liabilities and expenses incurred in connection with settlement or compromise of any such action pursuant to a consent decree or otherwise, unless a determination is made by the board of directors that such settlement or compromise is not in the best interests of the registrant or, if the matter relates to an employee benefit plan, the participants or beneficiaries of such employee benefit plan.</w:t>
      </w:r>
    </w:p>
    <w:p>
      <w:pPr>
        <w:spacing w:after="0" w:line="184"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Article 6A of the Restated Articles includes the right to payment by the registrant of expenses, including reasonable attorney’s fees, incurred in defending a civil or criminal action, suit or proceeding in advance of its final disposition, subject to receipt of an undertaking by the individual person to repay such payment if it is ultimately determined that such person is not entitled to indemnification under the Restated Articles. However, no advance may be made if the board of directors reasonably and promptly determines, by a majority vote of a quorum consisting of disinterested directors (or, if such quorum is not obtainable, by a majority of the disinterested directors of the registrant or if two disinterested directors are not then in office, by independent legal counsel in a written opinion), based on facts known to the board of directors or such independent legal counsel at such time, that such person did not act in good faith in the reasonable belief that his action was in the best interest of the registrant or the participants or beneficiaries of such employee benefit plan, as the case may be.</w:t>
      </w:r>
    </w:p>
    <w:p>
      <w:pPr>
        <w:spacing w:after="0" w:line="178"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Under Article 6A of the Restated Articles, if an individual is entitled under any provision of Article 6 of the Restated Articles to indemnification by the registrant for some or a portion of the liabilities or expenses imposed upon or incurred by such individual in the investigation, defense, appeal or settlement of any action, suit or proceeding but not, however, for the total amount thereof, the registrant shall nevertheless indemnify such individual for the portion of such liabilities or expenses to which such individual is entitled. The registrant’s obligation to provide indemnification under the Restated Articles shall be offset to the extent of any other source of indemnification or any otherwise applicable insurance coverage under a policy maintained by the registrant or any other person.</w:t>
      </w:r>
    </w:p>
    <w:p>
      <w:pPr>
        <w:spacing w:after="0" w:line="192"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Under Article 6D of the Restated Articles, to the fullest extent permitted by the Massachusetts Business Corporation Act, as may be amended from time to time, no director shall be personally liable to the registrant or its stockholders for monetary damages for breach of his fiduciary duty as a director, notwithstanding any provision of law imposing such liability.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980"/>
          </w:cols>
          <w:pgMar w:left="440" w:top="270" w:right="479" w:bottom="1440" w:gutter="0" w:footer="0" w:header="0"/>
        </w:sectPr>
      </w:pPr>
    </w:p>
    <w:bookmarkStart w:id="4" w:name="page5"/>
    <w:bookmarkEnd w:id="4"/>
    <w:p>
      <w:pPr>
        <w:ind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registrant has also entered into indemnification agreements with its directors and executive officers, each of which creates a direct contractual obligation of the registrant to indemnify the individual under certain circumstances. Each agreement generally provides that the registrant will indemnify the director or officer to the fullest extent permitted under Massachusetts law for claims arising in such individual’s capacity as a director or officer of the registrant or in connection with his or her service at the request of the registrant for another entity. Each agreement, among other things, establishes certain remedies for claims and contains deadlines and procedures to be followed in connection with a request for indemnification and/or advancement of expenses, including in the event of a change in control of the registrant.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the registrant has directors and officers liability insurance for the benefit of its directors and officers.</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Item 8. Exhibits.</w:t>
      </w:r>
    </w:p>
    <w:p>
      <w:pPr>
        <w:spacing w:after="0" w:line="248" w:lineRule="exact"/>
        <w:rPr>
          <w:sz w:val="20"/>
          <w:szCs w:val="20"/>
          <w:color w:val="auto"/>
        </w:rPr>
      </w:pPr>
    </w:p>
    <w:tbl>
      <w:tblPr>
        <w:tblLayout w:type="fixed"/>
        <w:tblInd w:w="540" w:type="dxa"/>
        <w:tblCellMar>
          <w:top w:w="0" w:type="dxa"/>
          <w:left w:w="0" w:type="dxa"/>
          <w:bottom w:w="0" w:type="dxa"/>
          <w:right w:w="0" w:type="dxa"/>
        </w:tblCellMar>
      </w:tblPr>
      <w:tr>
        <w:trPr>
          <w:trHeight w:val="178"/>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480" w:type="dxa"/>
            <w:vAlign w:val="bottom"/>
          </w:tcPr>
          <w:p>
            <w:pPr>
              <w:spacing w:after="0"/>
              <w:rPr>
                <w:sz w:val="15"/>
                <w:szCs w:val="15"/>
                <w:color w:val="auto"/>
              </w:rPr>
            </w:pPr>
          </w:p>
        </w:tc>
        <w:tc>
          <w:tcPr>
            <w:tcW w:w="8920" w:type="dxa"/>
            <w:vAlign w:val="bottom"/>
            <w:tcBorders>
              <w:bottom w:val="single" w:sz="8" w:color="auto"/>
            </w:tcBorders>
            <w:gridSpan w:val="13"/>
          </w:tcPr>
          <w:p>
            <w:pPr>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23"/>
                <w:szCs w:val="23"/>
                <w:color w:val="auto"/>
              </w:rPr>
            </w:pPr>
          </w:p>
        </w:tc>
        <w:tc>
          <w:tcPr>
            <w:tcW w:w="8540" w:type="dxa"/>
            <w:vAlign w:val="bottom"/>
            <w:tcBorders>
              <w:bottom w:val="single" w:sz="8" w:color="0000EE"/>
            </w:tcBorders>
            <w:gridSpan w:val="9"/>
          </w:tcPr>
          <w:p>
            <w:pPr>
              <w:spacing w:after="0"/>
              <w:rPr>
                <w:rFonts w:ascii="Arial" w:cs="Arial" w:eastAsia="Arial" w:hAnsi="Arial"/>
                <w:sz w:val="18"/>
                <w:szCs w:val="18"/>
                <w:color w:val="0000EE"/>
                <w:w w:val="90"/>
              </w:rPr>
            </w:pPr>
            <w:hyperlink r:id="rId21">
              <w:r>
                <w:rPr>
                  <w:rFonts w:ascii="Arial" w:cs="Arial" w:eastAsia="Arial" w:hAnsi="Arial"/>
                  <w:sz w:val="18"/>
                  <w:szCs w:val="18"/>
                  <w:color w:val="0000EE"/>
                  <w:w w:val="90"/>
                </w:rPr>
                <w:t>Restated Articles of Organization of Analog Devices, Inc., as amended (incorporated by reference to Exhibit 3.1 to the</w:t>
              </w:r>
            </w:hyperlink>
          </w:p>
        </w:tc>
        <w:tc>
          <w:tcPr>
            <w:tcW w:w="380" w:type="dxa"/>
            <w:vAlign w:val="bottom"/>
            <w:gridSpan w:val="4"/>
          </w:tcPr>
          <w:p>
            <w:pPr>
              <w:spacing w:after="0"/>
              <w:rPr>
                <w:sz w:val="23"/>
                <w:szCs w:val="23"/>
                <w:color w:val="auto"/>
              </w:rPr>
            </w:pPr>
          </w:p>
        </w:tc>
      </w:tr>
      <w:tr>
        <w:trPr>
          <w:trHeight w:val="196"/>
        </w:trPr>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920" w:type="dxa"/>
            <w:vAlign w:val="bottom"/>
            <w:gridSpan w:val="13"/>
          </w:tcPr>
          <w:p>
            <w:pPr>
              <w:spacing w:after="0" w:line="196" w:lineRule="exact"/>
              <w:rPr>
                <w:rFonts w:ascii="Arial" w:cs="Arial" w:eastAsia="Arial" w:hAnsi="Arial"/>
                <w:sz w:val="18"/>
                <w:szCs w:val="18"/>
                <w:color w:val="0000EE"/>
                <w:w w:val="96"/>
              </w:rPr>
            </w:pPr>
            <w:hyperlink r:id="rId21">
              <w:r>
                <w:rPr>
                  <w:rFonts w:ascii="Arial" w:cs="Arial" w:eastAsia="Arial" w:hAnsi="Arial"/>
                  <w:sz w:val="18"/>
                  <w:szCs w:val="18"/>
                  <w:color w:val="0000EE"/>
                  <w:w w:val="96"/>
                </w:rPr>
                <w:t>registrant’s Quarterly Report on Form 10-Q for the fiscal quarter ended May 3, 2008, as filed with the Securities and</w:t>
              </w:r>
            </w:hyperlink>
          </w:p>
        </w:tc>
      </w:tr>
      <w:tr>
        <w:trPr>
          <w:trHeight w:val="196"/>
        </w:trPr>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3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21">
              <w:r>
                <w:rPr>
                  <w:rFonts w:ascii="Arial" w:cs="Arial" w:eastAsia="Arial" w:hAnsi="Arial"/>
                  <w:sz w:val="18"/>
                  <w:szCs w:val="18"/>
                  <w:color w:val="0000EE"/>
                </w:rPr>
                <w:t>Exchange Commission on May 20, 2008 (File No. 1-7819))</w:t>
              </w:r>
            </w:hyperlink>
          </w:p>
        </w:tc>
        <w:tc>
          <w:tcPr>
            <w:tcW w:w="540" w:type="dxa"/>
            <w:vAlign w:val="bottom"/>
            <w:gridSpan w:val="5"/>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24"/>
                <w:szCs w:val="24"/>
                <w:color w:val="auto"/>
              </w:rPr>
            </w:pPr>
          </w:p>
        </w:tc>
        <w:tc>
          <w:tcPr>
            <w:tcW w:w="8720" w:type="dxa"/>
            <w:vAlign w:val="bottom"/>
            <w:tcBorders>
              <w:bottom w:val="single" w:sz="8" w:color="0000EE"/>
            </w:tcBorders>
            <w:gridSpan w:val="11"/>
          </w:tcPr>
          <w:p>
            <w:pPr>
              <w:spacing w:after="0"/>
              <w:rPr>
                <w:rFonts w:ascii="Arial" w:cs="Arial" w:eastAsia="Arial" w:hAnsi="Arial"/>
                <w:sz w:val="18"/>
                <w:szCs w:val="18"/>
                <w:color w:val="0000EE"/>
                <w:w w:val="91"/>
              </w:rPr>
            </w:pPr>
            <w:hyperlink r:id="rId22">
              <w:r>
                <w:rPr>
                  <w:rFonts w:ascii="Arial" w:cs="Arial" w:eastAsia="Arial" w:hAnsi="Arial"/>
                  <w:sz w:val="18"/>
                  <w:szCs w:val="18"/>
                  <w:color w:val="0000EE"/>
                  <w:w w:val="91"/>
                </w:rPr>
                <w:t>Amendment to Restated Articles of Organization of Analog Devices, Inc. (incorporated by reference to Exhibit 3.1 to the</w:t>
              </w:r>
            </w:hyperlink>
          </w:p>
        </w:tc>
        <w:tc>
          <w:tcPr>
            <w:tcW w:w="200" w:type="dxa"/>
            <w:vAlign w:val="bottom"/>
            <w:gridSpan w:val="2"/>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9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22">
              <w:r>
                <w:rPr>
                  <w:rFonts w:ascii="Arial" w:cs="Arial" w:eastAsia="Arial" w:hAnsi="Arial"/>
                  <w:sz w:val="18"/>
                  <w:szCs w:val="18"/>
                  <w:color w:val="0000EE"/>
                  <w:w w:val="90"/>
                </w:rPr>
                <w:t>registrant’s Current Report on Form 8-K, as filed with the Securities and Exchange Commission on December 8, 2008 (File</w:t>
              </w:r>
            </w:hyperlink>
          </w:p>
        </w:tc>
        <w:tc>
          <w:tcPr>
            <w:tcW w:w="2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22">
              <w:r>
                <w:rPr>
                  <w:rFonts w:ascii="Arial" w:cs="Arial" w:eastAsia="Arial" w:hAnsi="Arial"/>
                  <w:sz w:val="18"/>
                  <w:szCs w:val="18"/>
                  <w:color w:val="0000EE"/>
                  <w:w w:val="91"/>
                </w:rPr>
                <w:t>No. 1-7819))</w:t>
              </w:r>
            </w:hyperlink>
          </w:p>
        </w:tc>
        <w:tc>
          <w:tcPr>
            <w:tcW w:w="7980" w:type="dxa"/>
            <w:vAlign w:val="bottom"/>
            <w:gridSpan w:val="12"/>
          </w:tcPr>
          <w:p>
            <w:pPr>
              <w:spacing w:after="0"/>
              <w:rPr>
                <w:sz w:val="17"/>
                <w:szCs w:val="17"/>
                <w:color w:val="auto"/>
              </w:rPr>
            </w:pPr>
          </w:p>
        </w:tc>
      </w:tr>
      <w:tr>
        <w:trPr>
          <w:trHeight w:val="304"/>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4.3</w:t>
            </w:r>
          </w:p>
        </w:tc>
        <w:tc>
          <w:tcPr>
            <w:tcW w:w="480" w:type="dxa"/>
            <w:vAlign w:val="bottom"/>
          </w:tcPr>
          <w:p>
            <w:pPr>
              <w:spacing w:after="0"/>
              <w:rPr>
                <w:sz w:val="24"/>
                <w:szCs w:val="24"/>
                <w:color w:val="auto"/>
              </w:rPr>
            </w:pPr>
          </w:p>
        </w:tc>
        <w:tc>
          <w:tcPr>
            <w:tcW w:w="8660" w:type="dxa"/>
            <w:vAlign w:val="bottom"/>
            <w:tcBorders>
              <w:bottom w:val="single" w:sz="8" w:color="0000EE"/>
            </w:tcBorders>
            <w:gridSpan w:val="10"/>
          </w:tcPr>
          <w:p>
            <w:pPr>
              <w:spacing w:after="0"/>
              <w:rPr>
                <w:rFonts w:ascii="Arial" w:cs="Arial" w:eastAsia="Arial" w:hAnsi="Arial"/>
                <w:sz w:val="18"/>
                <w:szCs w:val="18"/>
                <w:color w:val="0000EE"/>
                <w:w w:val="91"/>
              </w:rPr>
            </w:pPr>
            <w:hyperlink r:id="rId23">
              <w:r>
                <w:rPr>
                  <w:rFonts w:ascii="Arial" w:cs="Arial" w:eastAsia="Arial" w:hAnsi="Arial"/>
                  <w:sz w:val="18"/>
                  <w:szCs w:val="18"/>
                  <w:color w:val="0000EE"/>
                  <w:w w:val="91"/>
                </w:rPr>
                <w:t>Amended and Restated Bylaws of Analog Devices, Inc., as of December 13, 2018 (incorporated by reference to Exhibit</w:t>
              </w:r>
            </w:hyperlink>
          </w:p>
        </w:tc>
        <w:tc>
          <w:tcPr>
            <w:tcW w:w="260" w:type="dxa"/>
            <w:vAlign w:val="bottom"/>
            <w:gridSpan w:val="3"/>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920" w:type="dxa"/>
            <w:vAlign w:val="bottom"/>
            <w:gridSpan w:val="13"/>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3.</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registrant’s Current Report on Form 8-K, as filed with the Securities and Exchange Commission on</w:t>
              </w:r>
            </w:hyperlink>
          </w:p>
        </w:tc>
      </w:tr>
      <w:tr>
        <w:trPr>
          <w:trHeight w:val="196"/>
        </w:trPr>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7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23">
              <w:r>
                <w:rPr>
                  <w:rFonts w:ascii="Arial" w:cs="Arial" w:eastAsia="Arial" w:hAnsi="Arial"/>
                  <w:sz w:val="18"/>
                  <w:szCs w:val="18"/>
                  <w:color w:val="0000EE"/>
                  <w:w w:val="90"/>
                </w:rPr>
                <w:t>December 17, 2018 (File No. 1-7819))</w:t>
              </w:r>
            </w:hyperlink>
          </w:p>
        </w:tc>
        <w:tc>
          <w:tcPr>
            <w:tcW w:w="5080" w:type="dxa"/>
            <w:vAlign w:val="bottom"/>
            <w:tcBorders>
              <w:top w:val="single" w:sz="8" w:color="0000EE"/>
            </w:tcBorders>
            <w:gridSpan w:val="4"/>
          </w:tcPr>
          <w:p>
            <w:pPr>
              <w:spacing w:after="0"/>
              <w:rPr>
                <w:sz w:val="17"/>
                <w:szCs w:val="17"/>
                <w:color w:val="auto"/>
              </w:rPr>
            </w:pPr>
          </w:p>
        </w:tc>
        <w:tc>
          <w:tcPr>
            <w:tcW w:w="1060" w:type="dxa"/>
            <w:vAlign w:val="bottom"/>
            <w:gridSpan w:val="6"/>
          </w:tcPr>
          <w:p>
            <w:pPr>
              <w:spacing w:after="0"/>
              <w:rPr>
                <w:sz w:val="17"/>
                <w:szCs w:val="17"/>
                <w:color w:val="auto"/>
              </w:rPr>
            </w:pPr>
          </w:p>
        </w:tc>
      </w:tr>
      <w:tr>
        <w:trPr>
          <w:trHeight w:val="304"/>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5.1</w:t>
            </w:r>
          </w:p>
        </w:tc>
        <w:tc>
          <w:tcPr>
            <w:tcW w:w="480" w:type="dxa"/>
            <w:vAlign w:val="bottom"/>
          </w:tcPr>
          <w:p>
            <w:pPr>
              <w:spacing w:after="0"/>
              <w:rPr>
                <w:sz w:val="24"/>
                <w:szCs w:val="24"/>
                <w:color w:val="auto"/>
              </w:rPr>
            </w:pPr>
          </w:p>
        </w:tc>
        <w:tc>
          <w:tcPr>
            <w:tcW w:w="8920" w:type="dxa"/>
            <w:vAlign w:val="bottom"/>
            <w:gridSpan w:val="13"/>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Opinion of Wilmer Cutler Pickering Hale and Dorr LLP, counsel to the Registrant</w:t>
              </w:r>
            </w:hyperlink>
          </w:p>
        </w:tc>
      </w:tr>
      <w:tr>
        <w:trPr>
          <w:trHeight w:val="304"/>
        </w:trPr>
        <w:tc>
          <w:tcPr>
            <w:tcW w:w="520" w:type="dxa"/>
            <w:vAlign w:val="bottom"/>
          </w:tcPr>
          <w:p>
            <w:pPr>
              <w:jc w:val="right"/>
              <w:ind w:right="113"/>
              <w:spacing w:after="0"/>
              <w:rPr>
                <w:sz w:val="20"/>
                <w:szCs w:val="20"/>
                <w:color w:val="auto"/>
              </w:rPr>
            </w:pPr>
            <w:r>
              <w:rPr>
                <w:rFonts w:ascii="Arial" w:cs="Arial" w:eastAsia="Arial" w:hAnsi="Arial"/>
                <w:sz w:val="18"/>
                <w:szCs w:val="18"/>
                <w:color w:val="auto"/>
                <w:w w:val="85"/>
              </w:rPr>
              <w:t>23.1</w:t>
            </w:r>
          </w:p>
        </w:tc>
        <w:tc>
          <w:tcPr>
            <w:tcW w:w="480" w:type="dxa"/>
            <w:vAlign w:val="bottom"/>
          </w:tcPr>
          <w:p>
            <w:pPr>
              <w:spacing w:after="0"/>
              <w:rPr>
                <w:sz w:val="24"/>
                <w:szCs w:val="24"/>
                <w:color w:val="auto"/>
              </w:rPr>
            </w:pPr>
          </w:p>
        </w:tc>
        <w:tc>
          <w:tcPr>
            <w:tcW w:w="5880" w:type="dxa"/>
            <w:vAlign w:val="bottom"/>
            <w:tcBorders>
              <w:top w:val="single" w:sz="8" w:color="0000EE"/>
            </w:tcBorders>
            <w:gridSpan w:val="6"/>
          </w:tcPr>
          <w:p>
            <w:pPr>
              <w:spacing w:after="0"/>
              <w:rPr>
                <w:rFonts w:ascii="Arial" w:cs="Arial" w:eastAsia="Arial" w:hAnsi="Arial"/>
                <w:sz w:val="18"/>
                <w:szCs w:val="18"/>
                <w:color w:val="0000EE"/>
                <w:w w:val="93"/>
              </w:rPr>
            </w:pPr>
            <w:hyperlink w:anchor="page10">
              <w:r>
                <w:rPr>
                  <w:rFonts w:ascii="Arial" w:cs="Arial" w:eastAsia="Arial" w:hAnsi="Arial"/>
                  <w:sz w:val="18"/>
                  <w:szCs w:val="18"/>
                  <w:color w:val="0000EE"/>
                  <w:w w:val="93"/>
                </w:rPr>
                <w:t>Consent of Wilmer Cutler Pickering Hale and Dorr LLP (included in Exhibit 5.1)</w:t>
              </w:r>
            </w:hyperlink>
          </w:p>
        </w:tc>
        <w:tc>
          <w:tcPr>
            <w:tcW w:w="3040" w:type="dxa"/>
            <w:vAlign w:val="bottom"/>
            <w:gridSpan w:val="7"/>
          </w:tcPr>
          <w:p>
            <w:pPr>
              <w:spacing w:after="0"/>
              <w:rPr>
                <w:sz w:val="24"/>
                <w:szCs w:val="24"/>
                <w:color w:val="auto"/>
              </w:rPr>
            </w:pPr>
          </w:p>
        </w:tc>
      </w:tr>
      <w:tr>
        <w:trPr>
          <w:trHeight w:val="304"/>
        </w:trPr>
        <w:tc>
          <w:tcPr>
            <w:tcW w:w="520" w:type="dxa"/>
            <w:vAlign w:val="bottom"/>
          </w:tcPr>
          <w:p>
            <w:pPr>
              <w:jc w:val="right"/>
              <w:ind w:right="113"/>
              <w:spacing w:after="0"/>
              <w:rPr>
                <w:sz w:val="20"/>
                <w:szCs w:val="20"/>
                <w:color w:val="auto"/>
              </w:rPr>
            </w:pPr>
            <w:r>
              <w:rPr>
                <w:rFonts w:ascii="Arial" w:cs="Arial" w:eastAsia="Arial" w:hAnsi="Arial"/>
                <w:sz w:val="18"/>
                <w:szCs w:val="18"/>
                <w:color w:val="auto"/>
                <w:w w:val="85"/>
              </w:rPr>
              <w:t>23.2</w:t>
            </w:r>
          </w:p>
        </w:tc>
        <w:tc>
          <w:tcPr>
            <w:tcW w:w="480" w:type="dxa"/>
            <w:vAlign w:val="bottom"/>
          </w:tcPr>
          <w:p>
            <w:pPr>
              <w:spacing w:after="0"/>
              <w:rPr>
                <w:sz w:val="24"/>
                <w:szCs w:val="24"/>
                <w:color w:val="auto"/>
              </w:rPr>
            </w:pPr>
          </w:p>
        </w:tc>
        <w:tc>
          <w:tcPr>
            <w:tcW w:w="22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w:anchor="page12">
              <w:r>
                <w:rPr>
                  <w:rFonts w:ascii="Arial" w:cs="Arial" w:eastAsia="Arial" w:hAnsi="Arial"/>
                  <w:sz w:val="18"/>
                  <w:szCs w:val="18"/>
                  <w:color w:val="0000EE"/>
                  <w:w w:val="92"/>
                </w:rPr>
                <w:t>Consent of Ernst &amp; Young LLP</w:t>
              </w:r>
            </w:hyperlink>
          </w:p>
        </w:tc>
        <w:tc>
          <w:tcPr>
            <w:tcW w:w="3560" w:type="dxa"/>
            <w:vAlign w:val="bottom"/>
            <w:tcBorders>
              <w:top w:val="single" w:sz="8" w:color="0000EE"/>
            </w:tcBorders>
            <w:gridSpan w:val="3"/>
          </w:tcPr>
          <w:p>
            <w:pPr>
              <w:spacing w:after="0"/>
              <w:rPr>
                <w:sz w:val="24"/>
                <w:szCs w:val="24"/>
                <w:color w:val="auto"/>
              </w:rPr>
            </w:pPr>
          </w:p>
        </w:tc>
        <w:tc>
          <w:tcPr>
            <w:tcW w:w="3080" w:type="dxa"/>
            <w:vAlign w:val="bottom"/>
            <w:gridSpan w:val="8"/>
          </w:tcPr>
          <w:p>
            <w:pPr>
              <w:spacing w:after="0"/>
              <w:rPr>
                <w:sz w:val="24"/>
                <w:szCs w:val="24"/>
                <w:color w:val="auto"/>
              </w:rPr>
            </w:pPr>
          </w:p>
        </w:tc>
      </w:tr>
    </w:tbl>
    <w:p>
      <w:pPr>
        <w:spacing w:after="0" w:line="121" w:lineRule="exact"/>
        <w:rPr>
          <w:sz w:val="20"/>
          <w:szCs w:val="20"/>
          <w:color w:val="auto"/>
        </w:rPr>
      </w:pPr>
    </w:p>
    <w:p>
      <w:pPr>
        <w:ind w:left="1540" w:hanging="991"/>
        <w:spacing w:after="0"/>
        <w:tabs>
          <w:tab w:leader="none" w:pos="1540" w:val="left"/>
        </w:tabs>
        <w:numPr>
          <w:ilvl w:val="0"/>
          <w:numId w:val="3"/>
        </w:numPr>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Power of Attorney (included on the signature pages of this registration statement)</w:t>
        </w:r>
      </w:hyperlink>
    </w:p>
    <w:p>
      <w:pPr>
        <w:spacing w:after="0" w:line="100"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1000" w:type="dxa"/>
            <w:vAlign w:val="bottom"/>
          </w:tcPr>
          <w:p>
            <w:pPr>
              <w:jc w:val="right"/>
              <w:ind w:right="590"/>
              <w:spacing w:after="0"/>
              <w:rPr>
                <w:sz w:val="20"/>
                <w:szCs w:val="20"/>
                <w:color w:val="auto"/>
              </w:rPr>
            </w:pPr>
            <w:r>
              <w:rPr>
                <w:rFonts w:ascii="Arial" w:cs="Arial" w:eastAsia="Arial" w:hAnsi="Arial"/>
                <w:sz w:val="18"/>
                <w:szCs w:val="18"/>
                <w:color w:val="auto"/>
                <w:w w:val="85"/>
              </w:rPr>
              <w:t>99.1</w:t>
            </w:r>
          </w:p>
        </w:tc>
        <w:tc>
          <w:tcPr>
            <w:tcW w:w="8600" w:type="dxa"/>
            <w:vAlign w:val="bottom"/>
            <w:tcBorders>
              <w:bottom w:val="single" w:sz="8" w:color="0000EE"/>
            </w:tcBorders>
            <w:gridSpan w:val="2"/>
          </w:tcPr>
          <w:p>
            <w:pPr>
              <w:spacing w:after="0"/>
              <w:rPr>
                <w:rFonts w:ascii="Arial" w:cs="Arial" w:eastAsia="Arial" w:hAnsi="Arial"/>
                <w:sz w:val="18"/>
                <w:szCs w:val="18"/>
                <w:color w:val="0000EE"/>
                <w:w w:val="91"/>
              </w:rPr>
            </w:pPr>
            <w:hyperlink r:id="rId24">
              <w:r>
                <w:rPr>
                  <w:rFonts w:ascii="Arial" w:cs="Arial" w:eastAsia="Arial" w:hAnsi="Arial"/>
                  <w:sz w:val="18"/>
                  <w:szCs w:val="18"/>
                  <w:color w:val="0000EE"/>
                  <w:w w:val="91"/>
                </w:rPr>
                <w:t>Analog Devices, Inc. 2020 Equity Incentive Plan (incorporated by reference to Appendix B to the registrant’s definitive</w:t>
              </w:r>
            </w:hyperlink>
          </w:p>
        </w:tc>
      </w:tr>
      <w:tr>
        <w:trPr>
          <w:trHeight w:val="196"/>
        </w:trPr>
        <w:tc>
          <w:tcPr>
            <w:tcW w:w="1000" w:type="dxa"/>
            <w:vAlign w:val="bottom"/>
          </w:tcPr>
          <w:p>
            <w:pPr>
              <w:spacing w:after="0"/>
              <w:rPr>
                <w:sz w:val="17"/>
                <w:szCs w:val="17"/>
                <w:color w:val="auto"/>
              </w:rPr>
            </w:pPr>
          </w:p>
        </w:tc>
        <w:tc>
          <w:tcPr>
            <w:tcW w:w="8600" w:type="dxa"/>
            <w:vAlign w:val="bottom"/>
            <w:gridSpan w:val="2"/>
          </w:tcPr>
          <w:p>
            <w:pPr>
              <w:spacing w:after="0" w:line="196" w:lineRule="exact"/>
              <w:rPr>
                <w:rFonts w:ascii="Arial" w:cs="Arial" w:eastAsia="Arial" w:hAnsi="Arial"/>
                <w:sz w:val="18"/>
                <w:szCs w:val="18"/>
                <w:color w:val="0000EE"/>
                <w:w w:val="96"/>
              </w:rPr>
            </w:pPr>
            <w:hyperlink r:id="rId24">
              <w:r>
                <w:rPr>
                  <w:rFonts w:ascii="Arial" w:cs="Arial" w:eastAsia="Arial" w:hAnsi="Arial"/>
                  <w:sz w:val="18"/>
                  <w:szCs w:val="18"/>
                  <w:color w:val="0000EE"/>
                  <w:w w:val="96"/>
                </w:rPr>
                <w:t>proxy statement, as filed with the Securities and Exchange Commission on January 24, 2020 (File No. 1-7819))</w:t>
              </w:r>
            </w:hyperlink>
          </w:p>
        </w:tc>
      </w:tr>
      <w:tr>
        <w:trPr>
          <w:trHeight w:val="385"/>
        </w:trPr>
        <w:tc>
          <w:tcPr>
            <w:tcW w:w="1000" w:type="dxa"/>
            <w:vAlign w:val="bottom"/>
          </w:tcPr>
          <w:p>
            <w:pPr>
              <w:spacing w:after="0"/>
              <w:rPr>
                <w:sz w:val="24"/>
                <w:szCs w:val="24"/>
                <w:color w:val="auto"/>
              </w:rPr>
            </w:pPr>
          </w:p>
        </w:tc>
        <w:tc>
          <w:tcPr>
            <w:tcW w:w="8040" w:type="dxa"/>
            <w:vAlign w:val="bottom"/>
            <w:tcBorders>
              <w:top w:val="single" w:sz="8" w:color="0000EE"/>
            </w:tcBorders>
          </w:tcPr>
          <w:p>
            <w:pPr>
              <w:jc w:val="right"/>
              <w:ind w:right="3830"/>
              <w:spacing w:after="0"/>
              <w:rPr>
                <w:sz w:val="20"/>
                <w:szCs w:val="20"/>
                <w:color w:val="auto"/>
              </w:rPr>
            </w:pPr>
            <w:r>
              <w:rPr>
                <w:rFonts w:ascii="Arial" w:cs="Arial" w:eastAsia="Arial" w:hAnsi="Arial"/>
                <w:sz w:val="18"/>
                <w:szCs w:val="18"/>
                <w:color w:val="auto"/>
              </w:rPr>
              <w:t>- 3 -</w:t>
            </w:r>
          </w:p>
        </w:tc>
        <w:tc>
          <w:tcPr>
            <w:tcW w:w="560" w:type="dxa"/>
            <w:vAlign w:val="bottom"/>
          </w:tcPr>
          <w:p>
            <w:pPr>
              <w:spacing w:after="0"/>
              <w:rPr>
                <w:sz w:val="24"/>
                <w:szCs w:val="24"/>
                <w:color w:val="auto"/>
              </w:rPr>
            </w:pPr>
          </w:p>
        </w:tc>
      </w:tr>
    </w:tbl>
    <w:p>
      <w:pPr>
        <w:sectPr>
          <w:pgSz w:w="11900" w:h="16838" w:orient="portrait"/>
          <w:cols w:equalWidth="0" w:num="1">
            <w:col w:w="11000"/>
          </w:cols>
          <w:pgMar w:left="440" w:top="274" w:right="45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9. Undertakings.</w:t>
      </w:r>
    </w:p>
    <w:p>
      <w:pPr>
        <w:spacing w:after="0" w:line="121" w:lineRule="exact"/>
        <w:rPr>
          <w:sz w:val="20"/>
          <w:szCs w:val="20"/>
          <w:color w:val="auto"/>
        </w:rPr>
      </w:pPr>
    </w:p>
    <w:p>
      <w:pPr>
        <w:ind w:left="184" w:hanging="184"/>
        <w:spacing w:after="0"/>
        <w:tabs>
          <w:tab w:leader="none" w:pos="184" w:val="left"/>
        </w:tabs>
        <w:numPr>
          <w:ilvl w:val="0"/>
          <w:numId w:val="4"/>
        </w:numPr>
        <w:rPr>
          <w:rFonts w:ascii="Arial" w:cs="Arial" w:eastAsia="Arial" w:hAnsi="Arial"/>
          <w:sz w:val="18"/>
          <w:szCs w:val="18"/>
          <w:color w:val="auto"/>
        </w:rPr>
      </w:pPr>
      <w:r>
        <w:rPr>
          <w:rFonts w:ascii="Arial" w:cs="Arial" w:eastAsia="Arial" w:hAnsi="Arial"/>
          <w:sz w:val="18"/>
          <w:szCs w:val="18"/>
          <w:i w:val="1"/>
          <w:iCs w:val="1"/>
          <w:u w:val="single" w:color="auto"/>
          <w:color w:val="auto"/>
        </w:rPr>
        <w:t>Item 512(a) of Regulation S-K</w:t>
      </w:r>
      <w:r>
        <w:rPr>
          <w:rFonts w:ascii="Arial" w:cs="Arial" w:eastAsia="Arial" w:hAnsi="Arial"/>
          <w:sz w:val="18"/>
          <w:szCs w:val="18"/>
          <w:color w:val="auto"/>
        </w:rPr>
        <w:t>. The undersigned registrant hereby undertakes:</w:t>
      </w:r>
    </w:p>
    <w:p>
      <w:pPr>
        <w:spacing w:after="0" w:line="117" w:lineRule="exact"/>
        <w:rPr>
          <w:rFonts w:ascii="Arial" w:cs="Arial" w:eastAsia="Arial" w:hAnsi="Arial"/>
          <w:sz w:val="18"/>
          <w:szCs w:val="18"/>
          <w:color w:val="auto"/>
        </w:rPr>
      </w:pPr>
    </w:p>
    <w:p>
      <w:pPr>
        <w:ind w:left="684" w:hanging="261"/>
        <w:spacing w:after="0"/>
        <w:tabs>
          <w:tab w:leader="none" w:pos="684"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164" w:hanging="212"/>
        <w:spacing w:after="0"/>
        <w:tabs>
          <w:tab w:leader="none" w:pos="1164"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ind w:left="4" w:right="360" w:firstLine="948"/>
        <w:spacing w:after="0" w:line="263" w:lineRule="auto"/>
        <w:tabs>
          <w:tab w:leader="none" w:pos="122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75" w:lineRule="exact"/>
        <w:rPr>
          <w:rFonts w:ascii="Arial" w:cs="Arial" w:eastAsia="Arial" w:hAnsi="Arial"/>
          <w:sz w:val="18"/>
          <w:szCs w:val="18"/>
          <w:color w:val="auto"/>
        </w:rPr>
      </w:pPr>
    </w:p>
    <w:p>
      <w:pPr>
        <w:ind w:left="4" w:right="60" w:firstLine="948"/>
        <w:spacing w:after="0" w:line="277" w:lineRule="auto"/>
        <w:tabs>
          <w:tab w:leader="none" w:pos="127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4" w:right="220"/>
        <w:spacing w:after="0" w:line="263"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(1)(i) and (ii)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Commission by the registrant pursuant to Section 13 or Section 15(d) of the Exchange Act that are incorporated by reference in the registration statement.</w:t>
      </w:r>
    </w:p>
    <w:p>
      <w:pPr>
        <w:spacing w:after="0" w:line="76" w:lineRule="exact"/>
        <w:rPr>
          <w:sz w:val="20"/>
          <w:szCs w:val="20"/>
          <w:color w:val="auto"/>
        </w:rPr>
      </w:pPr>
    </w:p>
    <w:p>
      <w:pPr>
        <w:ind w:left="4" w:right="80" w:firstLine="419"/>
        <w:spacing w:after="0" w:line="263" w:lineRule="auto"/>
        <w:tabs>
          <w:tab w:leader="none" w:pos="681"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75" w:lineRule="exact"/>
        <w:rPr>
          <w:rFonts w:ascii="Arial" w:cs="Arial" w:eastAsia="Arial" w:hAnsi="Arial"/>
          <w:sz w:val="18"/>
          <w:szCs w:val="18"/>
          <w:color w:val="auto"/>
        </w:rPr>
      </w:pPr>
    </w:p>
    <w:p>
      <w:pPr>
        <w:ind w:left="4" w:right="200" w:firstLine="419"/>
        <w:spacing w:after="0" w:line="277" w:lineRule="auto"/>
        <w:tabs>
          <w:tab w:leader="none" w:pos="681"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436" w:right="40" w:firstLine="436"/>
        <w:spacing w:after="0" w:line="259" w:lineRule="auto"/>
        <w:tabs>
          <w:tab w:leader="none" w:pos="184" w:val="left"/>
        </w:tabs>
        <w:numPr>
          <w:ilvl w:val="0"/>
          <w:numId w:val="6"/>
        </w:numPr>
        <w:rPr>
          <w:rFonts w:ascii="Arial" w:cs="Arial" w:eastAsia="Arial" w:hAnsi="Arial"/>
          <w:sz w:val="18"/>
          <w:szCs w:val="18"/>
          <w:color w:val="auto"/>
        </w:rPr>
      </w:pPr>
      <w:r>
        <w:rPr>
          <w:rFonts w:ascii="Arial" w:cs="Arial" w:eastAsia="Arial" w:hAnsi="Arial"/>
          <w:sz w:val="18"/>
          <w:szCs w:val="18"/>
          <w:i w:val="1"/>
          <w:iCs w:val="1"/>
          <w:u w:val="single" w:color="auto"/>
          <w:color w:val="auto"/>
        </w:rPr>
        <w:t>Item 512(b) of Regulation S-K</w:t>
      </w:r>
      <w:r>
        <w:rPr>
          <w:rFonts w:ascii="Arial" w:cs="Arial" w:eastAsia="Arial" w:hAnsi="Arial"/>
          <w:sz w:val="18"/>
          <w:szCs w:val="18"/>
          <w:color w:val="auto"/>
        </w:rPr>
        <w:t>. The undersigned registrant hereby undertakes that, for purposes of determining any liability under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6" w:lineRule="exact"/>
        <w:rPr>
          <w:rFonts w:ascii="Arial" w:cs="Arial" w:eastAsia="Arial" w:hAnsi="Arial"/>
          <w:sz w:val="18"/>
          <w:szCs w:val="18"/>
          <w:color w:val="auto"/>
        </w:rPr>
      </w:pPr>
    </w:p>
    <w:p>
      <w:pPr>
        <w:ind w:left="-436" w:firstLine="436"/>
        <w:spacing w:after="0" w:line="296" w:lineRule="auto"/>
        <w:tabs>
          <w:tab w:leader="none" w:pos="184" w:val="left"/>
        </w:tabs>
        <w:numPr>
          <w:ilvl w:val="0"/>
          <w:numId w:val="6"/>
        </w:numPr>
        <w:rPr>
          <w:rFonts w:ascii="Arial" w:cs="Arial" w:eastAsia="Arial" w:hAnsi="Arial"/>
          <w:sz w:val="16"/>
          <w:szCs w:val="16"/>
          <w:color w:val="auto"/>
        </w:rPr>
      </w:pPr>
      <w:r>
        <w:rPr>
          <w:rFonts w:ascii="Arial" w:cs="Arial" w:eastAsia="Arial" w:hAnsi="Arial"/>
          <w:sz w:val="16"/>
          <w:szCs w:val="16"/>
          <w:i w:val="1"/>
          <w:iCs w:val="1"/>
          <w:u w:val="single" w:color="auto"/>
          <w:color w:val="auto"/>
        </w:rPr>
        <w:t>Item 512(h) of Regulation S-K</w:t>
      </w:r>
      <w:r>
        <w:rPr>
          <w:rFonts w:ascii="Arial" w:cs="Arial" w:eastAsia="Arial" w:hAnsi="Arial"/>
          <w:sz w:val="16"/>
          <w:szCs w:val="16"/>
          <w:color w:val="auto"/>
        </w:rPr>
        <w:t>. Insofar as indemnification for liabilities arising under the Securities Act may be permitted to directors,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w:t>
      </w:r>
    </w:p>
    <w:p>
      <w:pPr>
        <w:spacing w:after="0" w:line="93" w:lineRule="exact"/>
        <w:rPr>
          <w:rFonts w:ascii="Arial" w:cs="Arial" w:eastAsia="Arial" w:hAnsi="Arial"/>
          <w:sz w:val="16"/>
          <w:szCs w:val="16"/>
          <w:color w:val="auto"/>
        </w:rPr>
      </w:pPr>
    </w:p>
    <w:p>
      <w:pPr>
        <w:ind w:left="5024" w:hanging="106"/>
        <w:spacing w:after="0"/>
        <w:tabs>
          <w:tab w:leader="none" w:pos="5024" w:val="left"/>
        </w:tabs>
        <w:numPr>
          <w:ilvl w:val="2"/>
          <w:numId w:val="6"/>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564"/>
          </w:cols>
          <w:pgMar w:left="876" w:top="270" w:right="459" w:bottom="1440" w:gutter="0" w:footer="0" w:header="0"/>
        </w:sectPr>
      </w:pPr>
    </w:p>
    <w:bookmarkStart w:id="6" w:name="page7"/>
    <w:bookmarkEnd w:id="6"/>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960"/>
          </w:cols>
          <w:pgMar w:left="440" w:top="274" w:right="49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Town of Norwood, Commonwealth of Massachusetts, on this 11</w:t>
      </w:r>
      <w:r>
        <w:rPr>
          <w:rFonts w:ascii="Arial" w:cs="Arial" w:eastAsia="Arial" w:hAnsi="Arial"/>
          <w:sz w:val="15"/>
          <w:szCs w:val="15"/>
          <w:color w:val="auto"/>
        </w:rPr>
        <w:t>th</w:t>
      </w:r>
      <w:r>
        <w:rPr>
          <w:rFonts w:ascii="Arial" w:cs="Arial" w:eastAsia="Arial" w:hAnsi="Arial"/>
          <w:sz w:val="18"/>
          <w:szCs w:val="18"/>
          <w:color w:val="auto"/>
        </w:rPr>
        <w:t xml:space="preserve"> day of March, 2020.</w:t>
      </w:r>
    </w:p>
    <w:p>
      <w:pPr>
        <w:spacing w:after="0" w:line="8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-10160</wp:posOffset>
            </wp:positionV>
            <wp:extent cx="11544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15443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Vincent Roche</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We, the undersigned officers and directors of Analog Devices, Inc., hereby severally constitute and appoint Vincent Roche, Prashanth Mahendra-Rajah and Larry Weiss, and each of them singly, our true and lawful attorneys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on our behalf in our capacities as officers and directors to enable Analog Devices,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9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0" w:type="dxa"/>
            <w:vAlign w:val="bottom"/>
            <w:gridSpan w:val="2"/>
          </w:tcPr>
          <w:p>
            <w:pPr>
              <w:ind w:left="1800"/>
              <w:spacing w:after="0"/>
              <w:rPr>
                <w:sz w:val="20"/>
                <w:szCs w:val="20"/>
                <w:color w:val="auto"/>
              </w:rPr>
            </w:pPr>
            <w:r>
              <w:rPr>
                <w:rFonts w:ascii="Arial" w:cs="Arial" w:eastAsia="Arial" w:hAnsi="Arial"/>
                <w:sz w:val="14"/>
                <w:szCs w:val="14"/>
                <w:b w:val="1"/>
                <w:bCs w:val="1"/>
                <w:color w:val="auto"/>
                <w:w w:val="89"/>
              </w:rPr>
              <w:t>Signature</w:t>
            </w:r>
          </w:p>
        </w:tc>
        <w:tc>
          <w:tcPr>
            <w:tcW w:w="1780" w:type="dxa"/>
            <w:vAlign w:val="bottom"/>
          </w:tcPr>
          <w:p>
            <w:pPr>
              <w:spacing w:after="0"/>
              <w:rPr>
                <w:sz w:val="14"/>
                <w:szCs w:val="14"/>
                <w:color w:val="auto"/>
              </w:rPr>
            </w:pPr>
          </w:p>
        </w:tc>
        <w:tc>
          <w:tcPr>
            <w:tcW w:w="4980" w:type="dxa"/>
            <w:vAlign w:val="bottom"/>
            <w:gridSpan w:val="3"/>
          </w:tcPr>
          <w:p>
            <w:pPr>
              <w:ind w:left="2400"/>
              <w:spacing w:after="0"/>
              <w:rPr>
                <w:sz w:val="20"/>
                <w:szCs w:val="20"/>
                <w:color w:val="auto"/>
              </w:rPr>
            </w:pPr>
            <w:r>
              <w:rPr>
                <w:rFonts w:ascii="Arial" w:cs="Arial" w:eastAsia="Arial" w:hAnsi="Arial"/>
                <w:sz w:val="14"/>
                <w:szCs w:val="14"/>
                <w:b w:val="1"/>
                <w:bCs w:val="1"/>
                <w:color w:val="auto"/>
              </w:rPr>
              <w:t>Title</w:t>
            </w:r>
          </w:p>
        </w:tc>
        <w:tc>
          <w:tcPr>
            <w:tcW w:w="820" w:type="dxa"/>
            <w:vAlign w:val="bottom"/>
          </w:tcPr>
          <w:p>
            <w:pPr>
              <w:spacing w:after="0"/>
              <w:rPr>
                <w:sz w:val="14"/>
                <w:szCs w:val="14"/>
                <w:color w:val="auto"/>
              </w:rPr>
            </w:pPr>
          </w:p>
        </w:tc>
        <w:tc>
          <w:tcPr>
            <w:tcW w:w="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8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5"/>
        </w:trPr>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 Stata</w:t>
            </w:r>
          </w:p>
        </w:tc>
        <w:tc>
          <w:tcPr>
            <w:tcW w:w="6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400" w:type="dxa"/>
            <w:vAlign w:val="bottom"/>
          </w:tcPr>
          <w:p>
            <w:pPr>
              <w:ind w:left="120"/>
              <w:spacing w:after="0"/>
              <w:rPr>
                <w:sz w:val="20"/>
                <w:szCs w:val="20"/>
                <w:color w:val="auto"/>
              </w:rPr>
            </w:pPr>
            <w:r>
              <w:rPr>
                <w:rFonts w:ascii="Arial" w:cs="Arial" w:eastAsia="Arial" w:hAnsi="Arial"/>
                <w:sz w:val="18"/>
                <w:szCs w:val="18"/>
                <w:color w:val="auto"/>
              </w:rPr>
              <w:t>Chairman of the Board</w:t>
            </w:r>
          </w:p>
        </w:tc>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540" w:type="dxa"/>
            <w:vAlign w:val="bottom"/>
            <w:gridSpan w:val="3"/>
          </w:tcPr>
          <w:p>
            <w:pPr>
              <w:jc w:val="center"/>
              <w:ind w:left="310"/>
              <w:spacing w:after="0"/>
              <w:rPr>
                <w:sz w:val="20"/>
                <w:szCs w:val="20"/>
                <w:color w:val="auto"/>
              </w:rPr>
            </w:pPr>
            <w:r>
              <w:rPr>
                <w:rFonts w:ascii="Arial" w:cs="Arial" w:eastAsia="Arial" w:hAnsi="Arial"/>
                <w:sz w:val="18"/>
                <w:szCs w:val="18"/>
                <w:color w:val="auto"/>
                <w:w w:val="91"/>
              </w:rPr>
              <w:t>March 11, 2020</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Ray Stata</w:t>
            </w:r>
          </w:p>
        </w:tc>
        <w:tc>
          <w:tcPr>
            <w:tcW w:w="17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Vincent Roche</w:t>
            </w:r>
          </w:p>
        </w:tc>
        <w:tc>
          <w:tcPr>
            <w:tcW w:w="1780" w:type="dxa"/>
            <w:vAlign w:val="bottom"/>
            <w:tcBorders>
              <w:bottom w:val="single" w:sz="8" w:color="auto"/>
            </w:tcBorders>
          </w:tcPr>
          <w:p>
            <w:pPr>
              <w:spacing w:after="0"/>
              <w:rPr>
                <w:sz w:val="24"/>
                <w:szCs w:val="24"/>
                <w:color w:val="auto"/>
              </w:rPr>
            </w:pPr>
          </w:p>
        </w:tc>
        <w:tc>
          <w:tcPr>
            <w:tcW w:w="4980" w:type="dxa"/>
            <w:vAlign w:val="bottom"/>
            <w:gridSpan w:val="3"/>
          </w:tcPr>
          <w:p>
            <w:pPr>
              <w:ind w:left="120"/>
              <w:spacing w:after="0"/>
              <w:rPr>
                <w:sz w:val="20"/>
                <w:szCs w:val="20"/>
                <w:color w:val="auto"/>
              </w:rPr>
            </w:pPr>
            <w:r>
              <w:rPr>
                <w:rFonts w:ascii="Arial" w:cs="Arial" w:eastAsia="Arial" w:hAnsi="Arial"/>
                <w:sz w:val="18"/>
                <w:szCs w:val="18"/>
                <w:color w:val="auto"/>
              </w:rPr>
              <w:t>President and Chief Executive Officer and Director (Principal</w:t>
            </w:r>
          </w:p>
        </w:tc>
        <w:tc>
          <w:tcPr>
            <w:tcW w:w="1540" w:type="dxa"/>
            <w:vAlign w:val="bottom"/>
            <w:gridSpan w:val="3"/>
          </w:tcPr>
          <w:p>
            <w:pPr>
              <w:jc w:val="center"/>
              <w:ind w:left="310"/>
              <w:spacing w:after="0"/>
              <w:rPr>
                <w:sz w:val="20"/>
                <w:szCs w:val="20"/>
                <w:color w:val="auto"/>
              </w:rPr>
            </w:pPr>
            <w:r>
              <w:rPr>
                <w:rFonts w:ascii="Arial" w:cs="Arial" w:eastAsia="Arial" w:hAnsi="Arial"/>
                <w:sz w:val="18"/>
                <w:szCs w:val="18"/>
                <w:color w:val="auto"/>
                <w:w w:val="91"/>
              </w:rPr>
              <w:t>March 11, 2020</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Vincent Roche</w:t>
            </w:r>
          </w:p>
        </w:tc>
        <w:tc>
          <w:tcPr>
            <w:tcW w:w="1780" w:type="dxa"/>
            <w:vAlign w:val="bottom"/>
          </w:tcPr>
          <w:p>
            <w:pPr>
              <w:spacing w:after="0"/>
              <w:rPr>
                <w:sz w:val="19"/>
                <w:szCs w:val="19"/>
                <w:color w:val="auto"/>
              </w:rPr>
            </w:pPr>
          </w:p>
        </w:tc>
        <w:tc>
          <w:tcPr>
            <w:tcW w:w="4980" w:type="dxa"/>
            <w:vAlign w:val="bottom"/>
            <w:gridSpan w:val="3"/>
          </w:tcPr>
          <w:p>
            <w:pPr>
              <w:ind w:left="300"/>
              <w:spacing w:after="0"/>
              <w:rPr>
                <w:sz w:val="20"/>
                <w:szCs w:val="20"/>
                <w:color w:val="auto"/>
              </w:rPr>
            </w:pPr>
            <w:r>
              <w:rPr>
                <w:rFonts w:ascii="Arial" w:cs="Arial" w:eastAsia="Arial" w:hAnsi="Arial"/>
                <w:sz w:val="18"/>
                <w:szCs w:val="18"/>
                <w:color w:val="auto"/>
              </w:rPr>
              <w:t>Executive Officer)</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7"/>
              </w:rPr>
              <w:t>/s/ Prashanth Mahendra-Rajah</w:t>
            </w:r>
          </w:p>
        </w:tc>
        <w:tc>
          <w:tcPr>
            <w:tcW w:w="1780" w:type="dxa"/>
            <w:vAlign w:val="bottom"/>
            <w:tcBorders>
              <w:bottom w:val="single" w:sz="8" w:color="auto"/>
            </w:tcBorders>
          </w:tcPr>
          <w:p>
            <w:pPr>
              <w:spacing w:after="0"/>
              <w:rPr>
                <w:sz w:val="24"/>
                <w:szCs w:val="24"/>
                <w:color w:val="auto"/>
              </w:rPr>
            </w:pPr>
          </w:p>
        </w:tc>
        <w:tc>
          <w:tcPr>
            <w:tcW w:w="4980" w:type="dxa"/>
            <w:vAlign w:val="bottom"/>
            <w:gridSpan w:val="3"/>
          </w:tcPr>
          <w:p>
            <w:pPr>
              <w:ind w:left="120"/>
              <w:spacing w:after="0"/>
              <w:rPr>
                <w:sz w:val="20"/>
                <w:szCs w:val="20"/>
                <w:color w:val="auto"/>
              </w:rPr>
            </w:pPr>
            <w:r>
              <w:rPr>
                <w:rFonts w:ascii="Arial" w:cs="Arial" w:eastAsia="Arial" w:hAnsi="Arial"/>
                <w:sz w:val="18"/>
                <w:szCs w:val="18"/>
                <w:color w:val="auto"/>
              </w:rPr>
              <w:t>Senior Vice President, Finance and Chief Financial Officer</w:t>
            </w:r>
          </w:p>
        </w:tc>
        <w:tc>
          <w:tcPr>
            <w:tcW w:w="1540" w:type="dxa"/>
            <w:vAlign w:val="bottom"/>
            <w:gridSpan w:val="3"/>
          </w:tcPr>
          <w:p>
            <w:pPr>
              <w:jc w:val="center"/>
              <w:ind w:left="310"/>
              <w:spacing w:after="0"/>
              <w:rPr>
                <w:sz w:val="20"/>
                <w:szCs w:val="20"/>
                <w:color w:val="auto"/>
              </w:rPr>
            </w:pPr>
            <w:r>
              <w:rPr>
                <w:rFonts w:ascii="Arial" w:cs="Arial" w:eastAsia="Arial" w:hAnsi="Arial"/>
                <w:sz w:val="18"/>
                <w:szCs w:val="18"/>
                <w:color w:val="auto"/>
                <w:w w:val="91"/>
              </w:rPr>
              <w:t>March 11, 2020</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Prashanth Mahendra-Rajah</w:t>
            </w:r>
          </w:p>
        </w:tc>
        <w:tc>
          <w:tcPr>
            <w:tcW w:w="1780" w:type="dxa"/>
            <w:vAlign w:val="bottom"/>
          </w:tcPr>
          <w:p>
            <w:pPr>
              <w:spacing w:after="0"/>
              <w:rPr>
                <w:sz w:val="19"/>
                <w:szCs w:val="19"/>
                <w:color w:val="auto"/>
              </w:rPr>
            </w:pPr>
          </w:p>
        </w:tc>
        <w:tc>
          <w:tcPr>
            <w:tcW w:w="4980" w:type="dxa"/>
            <w:vAlign w:val="bottom"/>
            <w:gridSpan w:val="3"/>
          </w:tcPr>
          <w:p>
            <w:pPr>
              <w:ind w:left="300"/>
              <w:spacing w:after="0"/>
              <w:rPr>
                <w:sz w:val="20"/>
                <w:szCs w:val="20"/>
                <w:color w:val="auto"/>
              </w:rPr>
            </w:pPr>
            <w:r>
              <w:rPr>
                <w:rFonts w:ascii="Arial" w:cs="Arial" w:eastAsia="Arial" w:hAnsi="Arial"/>
                <w:sz w:val="18"/>
                <w:szCs w:val="18"/>
                <w:color w:val="auto"/>
              </w:rPr>
              <w:t>(Principal Financial Officer)</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Sondel</w:t>
            </w:r>
          </w:p>
        </w:tc>
        <w:tc>
          <w:tcPr>
            <w:tcW w:w="1780" w:type="dxa"/>
            <w:vAlign w:val="bottom"/>
            <w:tcBorders>
              <w:bottom w:val="single" w:sz="8" w:color="auto"/>
            </w:tcBorders>
          </w:tcPr>
          <w:p>
            <w:pPr>
              <w:spacing w:after="0"/>
              <w:rPr>
                <w:sz w:val="24"/>
                <w:szCs w:val="24"/>
                <w:color w:val="auto"/>
              </w:rPr>
            </w:pPr>
          </w:p>
        </w:tc>
        <w:tc>
          <w:tcPr>
            <w:tcW w:w="4980" w:type="dxa"/>
            <w:vAlign w:val="bottom"/>
            <w:gridSpan w:val="3"/>
          </w:tcPr>
          <w:p>
            <w:pPr>
              <w:ind w:left="120"/>
              <w:spacing w:after="0"/>
              <w:rPr>
                <w:sz w:val="20"/>
                <w:szCs w:val="20"/>
                <w:color w:val="auto"/>
              </w:rPr>
            </w:pPr>
            <w:r>
              <w:rPr>
                <w:rFonts w:ascii="Arial" w:cs="Arial" w:eastAsia="Arial" w:hAnsi="Arial"/>
                <w:sz w:val="18"/>
                <w:szCs w:val="18"/>
                <w:color w:val="auto"/>
              </w:rPr>
              <w:t>Chief Accounting Officer (Principal Accounting Officer)</w:t>
            </w:r>
          </w:p>
        </w:tc>
        <w:tc>
          <w:tcPr>
            <w:tcW w:w="1540" w:type="dxa"/>
            <w:vAlign w:val="bottom"/>
            <w:gridSpan w:val="3"/>
          </w:tcPr>
          <w:p>
            <w:pPr>
              <w:jc w:val="center"/>
              <w:ind w:left="310"/>
              <w:spacing w:after="0"/>
              <w:rPr>
                <w:sz w:val="20"/>
                <w:szCs w:val="20"/>
                <w:color w:val="auto"/>
              </w:rPr>
            </w:pPr>
            <w:r>
              <w:rPr>
                <w:rFonts w:ascii="Arial" w:cs="Arial" w:eastAsia="Arial" w:hAnsi="Arial"/>
                <w:sz w:val="18"/>
                <w:szCs w:val="18"/>
                <w:color w:val="auto"/>
                <w:w w:val="91"/>
              </w:rPr>
              <w:t>March 11, 2020</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Michael Sondel</w:t>
            </w:r>
          </w:p>
        </w:tc>
        <w:tc>
          <w:tcPr>
            <w:tcW w:w="17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A. Champy</w:t>
            </w:r>
          </w:p>
        </w:tc>
        <w:tc>
          <w:tcPr>
            <w:tcW w:w="1780" w:type="dxa"/>
            <w:vAlign w:val="bottom"/>
            <w:tcBorders>
              <w:bottom w:val="single" w:sz="8" w:color="auto"/>
            </w:tcBorders>
          </w:tcPr>
          <w:p>
            <w:pPr>
              <w:spacing w:after="0"/>
              <w:rPr>
                <w:sz w:val="24"/>
                <w:szCs w:val="24"/>
                <w:color w:val="auto"/>
              </w:rPr>
            </w:pPr>
          </w:p>
        </w:tc>
        <w:tc>
          <w:tcPr>
            <w:tcW w:w="49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40" w:type="dxa"/>
            <w:vAlign w:val="bottom"/>
            <w:gridSpan w:val="3"/>
          </w:tcPr>
          <w:p>
            <w:pPr>
              <w:jc w:val="center"/>
              <w:ind w:left="310"/>
              <w:spacing w:after="0"/>
              <w:rPr>
                <w:sz w:val="20"/>
                <w:szCs w:val="20"/>
                <w:color w:val="auto"/>
              </w:rPr>
            </w:pPr>
            <w:r>
              <w:rPr>
                <w:rFonts w:ascii="Arial" w:cs="Arial" w:eastAsia="Arial" w:hAnsi="Arial"/>
                <w:sz w:val="18"/>
                <w:szCs w:val="18"/>
                <w:color w:val="auto"/>
                <w:w w:val="91"/>
              </w:rPr>
              <w:t>March 11, 2020</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James A. Champy</w:t>
            </w:r>
          </w:p>
        </w:tc>
        <w:tc>
          <w:tcPr>
            <w:tcW w:w="17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64"/>
        </w:trPr>
        <w:tc>
          <w:tcPr>
            <w:tcW w:w="1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80" w:type="dxa"/>
            <w:vAlign w:val="bottom"/>
            <w:gridSpan w:val="2"/>
          </w:tcPr>
          <w:p>
            <w:pPr>
              <w:jc w:val="right"/>
              <w:ind w:right="832"/>
              <w:spacing w:after="0"/>
              <w:rPr>
                <w:sz w:val="20"/>
                <w:szCs w:val="20"/>
                <w:color w:val="auto"/>
              </w:rPr>
            </w:pPr>
            <w:r>
              <w:rPr>
                <w:rFonts w:ascii="Arial" w:cs="Arial" w:eastAsia="Arial" w:hAnsi="Arial"/>
                <w:sz w:val="18"/>
                <w:szCs w:val="18"/>
                <w:color w:val="auto"/>
              </w:rPr>
              <w:t>- 6 -</w:t>
            </w:r>
          </w:p>
        </w:tc>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Anantha P. Chandrakasan</w:t>
            </w:r>
          </w:p>
        </w:tc>
        <w:tc>
          <w:tcPr>
            <w:tcW w:w="9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5580" w:type="dxa"/>
            <w:vAlign w:val="bottom"/>
          </w:tcPr>
          <w:p>
            <w:pPr>
              <w:ind w:left="4440"/>
              <w:spacing w:after="0"/>
              <w:rPr>
                <w:sz w:val="20"/>
                <w:szCs w:val="20"/>
                <w:color w:val="auto"/>
              </w:rPr>
            </w:pPr>
            <w:r>
              <w:rPr>
                <w:rFonts w:ascii="Arial" w:cs="Arial" w:eastAsia="Arial" w:hAnsi="Arial"/>
                <w:sz w:val="18"/>
                <w:szCs w:val="18"/>
                <w:color w:val="auto"/>
                <w:w w:val="89"/>
              </w:rPr>
              <w:t>March 11, 2020</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Anantha P. Chandrakasan</w:t>
            </w:r>
          </w:p>
        </w:tc>
        <w:tc>
          <w:tcPr>
            <w:tcW w:w="94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431"/>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Bruce R. Evans</w:t>
            </w:r>
          </w:p>
        </w:tc>
        <w:tc>
          <w:tcPr>
            <w:tcW w:w="9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5580" w:type="dxa"/>
            <w:vAlign w:val="bottom"/>
          </w:tcPr>
          <w:p>
            <w:pPr>
              <w:ind w:left="4440"/>
              <w:spacing w:after="0"/>
              <w:rPr>
                <w:sz w:val="20"/>
                <w:szCs w:val="20"/>
                <w:color w:val="auto"/>
              </w:rPr>
            </w:pPr>
            <w:r>
              <w:rPr>
                <w:rFonts w:ascii="Arial" w:cs="Arial" w:eastAsia="Arial" w:hAnsi="Arial"/>
                <w:sz w:val="18"/>
                <w:szCs w:val="18"/>
                <w:color w:val="auto"/>
                <w:w w:val="89"/>
              </w:rPr>
              <w:t>March 11, 2020</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Bruce R. Evans</w:t>
            </w:r>
          </w:p>
        </w:tc>
        <w:tc>
          <w:tcPr>
            <w:tcW w:w="94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431"/>
        </w:trPr>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Edward H. Frank</w:t>
            </w:r>
          </w:p>
        </w:tc>
        <w:tc>
          <w:tcPr>
            <w:tcW w:w="9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5580" w:type="dxa"/>
            <w:vAlign w:val="bottom"/>
          </w:tcPr>
          <w:p>
            <w:pPr>
              <w:ind w:left="4440"/>
              <w:spacing w:after="0"/>
              <w:rPr>
                <w:sz w:val="20"/>
                <w:szCs w:val="20"/>
                <w:color w:val="auto"/>
              </w:rPr>
            </w:pPr>
            <w:r>
              <w:rPr>
                <w:rFonts w:ascii="Arial" w:cs="Arial" w:eastAsia="Arial" w:hAnsi="Arial"/>
                <w:sz w:val="18"/>
                <w:szCs w:val="18"/>
                <w:color w:val="auto"/>
                <w:w w:val="89"/>
              </w:rPr>
              <w:t>March 11, 2020</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Edward H. Frank</w:t>
            </w:r>
          </w:p>
        </w:tc>
        <w:tc>
          <w:tcPr>
            <w:tcW w:w="94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431"/>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Karen Golz</w:t>
            </w:r>
          </w:p>
        </w:tc>
        <w:tc>
          <w:tcPr>
            <w:tcW w:w="9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5580" w:type="dxa"/>
            <w:vAlign w:val="bottom"/>
          </w:tcPr>
          <w:p>
            <w:pPr>
              <w:ind w:left="4440"/>
              <w:spacing w:after="0"/>
              <w:rPr>
                <w:sz w:val="20"/>
                <w:szCs w:val="20"/>
                <w:color w:val="auto"/>
              </w:rPr>
            </w:pPr>
            <w:r>
              <w:rPr>
                <w:rFonts w:ascii="Arial" w:cs="Arial" w:eastAsia="Arial" w:hAnsi="Arial"/>
                <w:sz w:val="18"/>
                <w:szCs w:val="18"/>
                <w:color w:val="auto"/>
                <w:w w:val="89"/>
              </w:rPr>
              <w:t>March 11, 2020</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Karen Golz</w:t>
            </w:r>
          </w:p>
        </w:tc>
        <w:tc>
          <w:tcPr>
            <w:tcW w:w="94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431"/>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9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Mark M. Little</w:t>
            </w:r>
          </w:p>
        </w:tc>
        <w:tc>
          <w:tcPr>
            <w:tcW w:w="9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5580" w:type="dxa"/>
            <w:vAlign w:val="bottom"/>
          </w:tcPr>
          <w:p>
            <w:pPr>
              <w:ind w:left="4440"/>
              <w:spacing w:after="0"/>
              <w:rPr>
                <w:sz w:val="20"/>
                <w:szCs w:val="20"/>
                <w:color w:val="auto"/>
              </w:rPr>
            </w:pPr>
            <w:r>
              <w:rPr>
                <w:rFonts w:ascii="Arial" w:cs="Arial" w:eastAsia="Arial" w:hAnsi="Arial"/>
                <w:sz w:val="18"/>
                <w:szCs w:val="18"/>
                <w:color w:val="auto"/>
                <w:w w:val="89"/>
              </w:rPr>
              <w:t>March 11, 2020</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Mark M. Little</w:t>
            </w:r>
          </w:p>
        </w:tc>
        <w:tc>
          <w:tcPr>
            <w:tcW w:w="94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431"/>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Kenton J. Sicchitano</w:t>
            </w:r>
          </w:p>
        </w:tc>
        <w:tc>
          <w:tcPr>
            <w:tcW w:w="9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5580" w:type="dxa"/>
            <w:vAlign w:val="bottom"/>
          </w:tcPr>
          <w:p>
            <w:pPr>
              <w:ind w:left="4440"/>
              <w:spacing w:after="0"/>
              <w:rPr>
                <w:sz w:val="20"/>
                <w:szCs w:val="20"/>
                <w:color w:val="auto"/>
              </w:rPr>
            </w:pPr>
            <w:r>
              <w:rPr>
                <w:rFonts w:ascii="Arial" w:cs="Arial" w:eastAsia="Arial" w:hAnsi="Arial"/>
                <w:sz w:val="18"/>
                <w:szCs w:val="18"/>
                <w:color w:val="auto"/>
                <w:w w:val="89"/>
              </w:rPr>
              <w:t>March 11, 2020</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Kenton J. Sicchitano</w:t>
            </w:r>
          </w:p>
        </w:tc>
        <w:tc>
          <w:tcPr>
            <w:tcW w:w="94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431"/>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Susie Wee</w:t>
            </w:r>
          </w:p>
        </w:tc>
        <w:tc>
          <w:tcPr>
            <w:tcW w:w="9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5580" w:type="dxa"/>
            <w:vAlign w:val="bottom"/>
          </w:tcPr>
          <w:p>
            <w:pPr>
              <w:ind w:left="4440"/>
              <w:spacing w:after="0"/>
              <w:rPr>
                <w:sz w:val="20"/>
                <w:szCs w:val="20"/>
                <w:color w:val="auto"/>
              </w:rPr>
            </w:pPr>
            <w:r>
              <w:rPr>
                <w:rFonts w:ascii="Arial" w:cs="Arial" w:eastAsia="Arial" w:hAnsi="Arial"/>
                <w:sz w:val="18"/>
                <w:szCs w:val="18"/>
                <w:color w:val="auto"/>
                <w:w w:val="89"/>
              </w:rPr>
              <w:t>March 11, 2020</w:t>
            </w:r>
          </w:p>
        </w:tc>
      </w:tr>
      <w:tr>
        <w:trPr>
          <w:trHeight w:val="224"/>
        </w:trPr>
        <w:tc>
          <w:tcPr>
            <w:tcW w:w="4180" w:type="dxa"/>
            <w:vAlign w:val="bottom"/>
            <w:gridSpan w:val="2"/>
          </w:tcPr>
          <w:p>
            <w:pPr>
              <w:spacing w:after="0"/>
              <w:rPr>
                <w:sz w:val="20"/>
                <w:szCs w:val="20"/>
                <w:color w:val="auto"/>
              </w:rPr>
            </w:pPr>
            <w:r>
              <w:rPr>
                <w:rFonts w:ascii="Arial" w:cs="Arial" w:eastAsia="Arial" w:hAnsi="Arial"/>
                <w:sz w:val="18"/>
                <w:szCs w:val="18"/>
                <w:color w:val="auto"/>
              </w:rPr>
              <w:t>Susie Wee</w:t>
            </w:r>
          </w:p>
        </w:tc>
        <w:tc>
          <w:tcPr>
            <w:tcW w:w="94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364"/>
        </w:trPr>
        <w:tc>
          <w:tcPr>
            <w:tcW w:w="2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580" w:type="dxa"/>
            <w:vAlign w:val="bottom"/>
          </w:tcPr>
          <w:p>
            <w:pPr>
              <w:ind w:left="240"/>
              <w:spacing w:after="0"/>
              <w:rPr>
                <w:sz w:val="20"/>
                <w:szCs w:val="20"/>
                <w:color w:val="auto"/>
              </w:rPr>
            </w:pPr>
            <w:r>
              <w:rPr>
                <w:rFonts w:ascii="Arial" w:cs="Arial" w:eastAsia="Arial" w:hAnsi="Arial"/>
                <w:sz w:val="18"/>
                <w:szCs w:val="18"/>
                <w:color w:val="auto"/>
              </w:rPr>
              <w:t>- 7 -</w:t>
            </w:r>
          </w:p>
        </w:tc>
      </w:tr>
    </w:tbl>
    <w:p>
      <w:pPr>
        <w:sectPr>
          <w:pgSz w:w="11900" w:h="16838" w:orient="portrait"/>
          <w:cols w:equalWidth="0" w:num="1">
            <w:col w:w="10700"/>
          </w:cols>
          <w:pgMar w:left="440" w:top="490" w:right="75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5878195</wp:posOffset>
            </wp:positionH>
            <wp:positionV relativeFrom="paragraph">
              <wp:posOffset>248920</wp:posOffset>
            </wp:positionV>
            <wp:extent cx="1114425" cy="197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114425" cy="19748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600075</wp:posOffset>
            </wp:positionV>
            <wp:extent cx="788670" cy="377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8867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March 11,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Norwood, Massachusetts 02062</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2020 Equity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assisted in the preparation of a Registration Statement on Form S-8 (the “Registration Statement”) to be filed with the Securities and Exchange Commission (the “Commission”) under the Securities Act of 1933, as amended (the “Securities Act”), relating to an aggregate of 12,613,058 shares of common stock, $0.16 2/3 par value per share (the “Shares”), of Analog Devices, Inc., a Massachusetts corporation (the “Company”), issuable under the Company’s 2020 Equity Incentive Plan (the “Plan”).</w:t>
      </w:r>
    </w:p>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have examined the Articles of Organization and By-Laws of the Company, each as amended and restated to date, and originals, or copies certified to our satisfaction, of all pertinent records of the meetings of the directors and stockholders of the Company, the Registration Statement and such other documents relating to the Company as we have deemed material for the purposes of this opinion.</w:t>
      </w:r>
    </w:p>
    <w:p>
      <w:pPr>
        <w:spacing w:after="0" w:line="18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spacing w:after="0" w:line="18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assume that the appropriate action will be taken, prior to the offer and sale of the Shares in accordance with the Plan, to register and qualify the Shares for sale under all applicable state securities or “blue sky” laws.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express no opinion herein as to the laws of any state or jurisdiction other than the state laws of The Commonwealth of Massachusetts.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It is understood that this opinion is to be used only in connection with the offer and sale of the Shares while the Registration Statement is in effect.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Please note that we are opining only as to the matters expressly set forth herein, and no opinion should be inferred as to any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116205</wp:posOffset>
            </wp:positionV>
            <wp:extent cx="5426075" cy="2825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5426075" cy="28257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6157595</wp:posOffset>
            </wp:positionH>
            <wp:positionV relativeFrom="page">
              <wp:posOffset>337820</wp:posOffset>
            </wp:positionV>
            <wp:extent cx="1114425" cy="197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114425" cy="197485"/>
                    </a:xfrm>
                    <a:prstGeom prst="rect">
                      <a:avLst/>
                    </a:prstGeom>
                    <a:noFill/>
                  </pic:spPr>
                </pic:pic>
              </a:graphicData>
            </a:graphic>
          </wp:anchor>
        </w:drawing>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Based on the foregoing, we are of the opinion that the Shares have been duly authorized for issuance and, when the Shares are issued and paid for in accordance with the terms and conditions of the Plan, the Shares will be validly issued, fully paid and nonassessable.</w:t>
      </w:r>
    </w:p>
    <w:p>
      <w:pPr>
        <w:spacing w:after="0" w:line="14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WILMER CUTLER PICKERING HALE AND DORR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Jason L. Kropp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14605</wp:posOffset>
            </wp:positionV>
            <wp:extent cx="15601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Jason L. Kropp, Partner</w:t>
      </w:r>
    </w:p>
    <w:p>
      <w:pPr>
        <w:sectPr>
          <w:pgSz w:w="11900" w:h="16838" w:orient="portrait"/>
          <w:cols w:equalWidth="0" w:num="1">
            <w:col w:w="10920"/>
          </w:cols>
          <w:pgMar w:left="440" w:top="935" w:right="5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2020 Equity Incentive Plan of Analog Devices, Inc. of our reports dated November 26, 2019, with respect to the consolidated financial statements and schedule of Analog Devices, Inc. and the effectiveness of internal control over financial reporting of Analog Devices, Inc. included in its Annual Report (Form 10-K) for the year ended November 2, 2019, filed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2020</w:t>
      </w:r>
    </w:p>
    <w:sectPr>
      <w:pgSz w:w="11900" w:h="16838" w:orient="portrait"/>
      <w:cols w:equalWidth="0" w:num="1">
        <w:col w:w="11020"/>
      </w:cols>
      <w:pgMar w:left="44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decimal"/>
      <w:start w:val="24"/>
    </w:lvl>
  </w:abstractNum>
  <w:abstractNum w:abstractNumId="3">
    <w:nsid w:val="46E87CCD"/>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4">
    <w:nsid w:val="3D1B58BA"/>
    <w:multiLevelType w:val="hybridMultilevel"/>
    <w:lvl w:ilvl="0">
      <w:lvlJc w:val="left"/>
      <w:lvlText w:val="%1"/>
      <w:numFmt w:val="decimal"/>
      <w:start w:val="1"/>
    </w:lvl>
    <w:lvl w:ilvl="1">
      <w:lvlJc w:val="left"/>
      <w:lvlText w:val="(%2)"/>
      <w:numFmt w:val="decimal"/>
      <w:start w:val="2"/>
    </w:lvl>
    <w:lvl w:ilvl="2">
      <w:lvlJc w:val="left"/>
      <w:lvlText w:val="-"/>
      <w:numFmt w:val="bullet"/>
      <w:start w:val="1"/>
    </w:lvl>
  </w:abstractNum>
  <w:abstractNum w:abstractNumId="5">
    <w:nsid w:val="507ED7AB"/>
    <w:multiLevelType w:val="hybridMultilevel"/>
    <w:lvl w:ilvl="0">
      <w:lvlJc w:val="left"/>
      <w:lvlText w:val="%1."/>
      <w:numFmt w:val="decimal"/>
      <w:start w:val="2"/>
    </w:lvl>
    <w:lvl w:ilvl="1">
      <w:lvlJc w:val="left"/>
      <w:lvlText w:val="%2"/>
      <w:numFmt w:val="decimal"/>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jpeg"/><Relationship Id="rId31" Type="http://schemas.openxmlformats.org/officeDocument/2006/relationships/image" Target="media/image20.jpeg"/><Relationship Id="rId32" Type="http://schemas.openxmlformats.org/officeDocument/2006/relationships/image" Target="media/image21.jpeg"/><Relationship Id="rId33" Type="http://schemas.openxmlformats.org/officeDocument/2006/relationships/image" Target="media/image22.png"/><Relationship Id="rId34" Type="http://schemas.openxmlformats.org/officeDocument/2006/relationships/image" Target="media/image23.jpeg"/><Relationship Id="rId35" Type="http://schemas.openxmlformats.org/officeDocument/2006/relationships/image" Target="media/image24.png"/><Relationship Id="rId21" Type="http://schemas.openxmlformats.org/officeDocument/2006/relationships/hyperlink" Target="http://www.sec.gov/Archives/edgar/data/6281/000095013508003842/b69749adexv3w1.htm" TargetMode="External"/><Relationship Id="rId22" Type="http://schemas.openxmlformats.org/officeDocument/2006/relationships/hyperlink" Target="http://www.sec.gov/Archives/edgar/data/6281/000095013508007881/b73171adexv3w1.htm" TargetMode="External"/><Relationship Id="rId23" Type="http://schemas.openxmlformats.org/officeDocument/2006/relationships/hyperlink" Target="http://www.sec.gov/Archives/edgar/data/6281/000000628118000132/exhibit31-restatedbylawsxf.htm" TargetMode="External"/><Relationship Id="rId24" Type="http://schemas.openxmlformats.org/officeDocument/2006/relationships/hyperlink" Target="http://www.sec.gov/Archives/edgar/data/6281/000119312520013584/d796344ddef14a.htm#toc796344_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2020-03-11T15:04:59Z</dcterms:created>
  <dcterms:modified xsi:type="dcterms:W3CDTF">2020-03-11T15:04:59Z</dcterms:modified>
</cp:coreProperties>
</file>