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Jain Vivek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ANALOG DEVICES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Global Operations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8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66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01887</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03/17/2025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19,797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2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55,566.895</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03/17/2025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12,336.316</w:t>
            </w:r>
            <w:r>
              <w:rPr>
                <w:rFonts w:ascii="Times New Roman" w:cs="Times New Roman" w:eastAsia="Times New Roman" w:hAnsi="Times New Roman"/>
                <w:sz w:val="22"/>
                <w:szCs w:val="22"/>
                <w:color w:val="008000"/>
                <w:w w:val="98"/>
                <w:vertAlign w:val="superscript"/>
              </w:rPr>
              <w:t>(3)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211.68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43,230.579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03/19/2025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12,628</w:t>
            </w:r>
            <w:r>
              <w:rPr>
                <w:rFonts w:ascii="Times New Roman" w:cs="Times New Roman" w:eastAsia="Times New Roman" w:hAnsi="Times New Roman"/>
                <w:sz w:val="22"/>
                <w:szCs w:val="22"/>
                <w:color w:val="008000"/>
                <w:w w:val="93"/>
                <w:vertAlign w:val="superscript"/>
              </w:rPr>
              <w:t>(4)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2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55,858.579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the Company earned in connection with Performance-Based Restricted Stock Units (PRSUs) granted on April 4, 2022. The shares were earned based on the achievement of certain pre-established performance parameters relating to the Company's financial performance at 176.2% of target.</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reported prior awards of Restricted Stock Units (RSUs) in Table II of Form 4. The total reported in Column 5 includes 19,797 and 5,224 shares of common stock of the Company received from the PRSUs and RSUs, respectively, that vested on March 15, 2025, 23,285 RSUs previously reported in Table II, and 7,260.895 shares of common stock of the Company.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aggregate shares withheld to satisfy tax withholding obligations on 19,797 PRSUs and 5,224 RSUs that vested on March 15, 2025.</w:t>
      </w:r>
    </w:p>
    <w:p>
      <w:pPr>
        <w:spacing w:after="0" w:line="50" w:lineRule="exact"/>
        <w:rPr>
          <w:rFonts w:ascii="Times New Roman" w:cs="Times New Roman" w:eastAsia="Times New Roman" w:hAnsi="Times New Roman"/>
          <w:sz w:val="13"/>
          <w:szCs w:val="13"/>
          <w:color w:val="008000"/>
        </w:rPr>
      </w:pPr>
    </w:p>
    <w:p>
      <w:pPr>
        <w:ind w:left="40" w:right="6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the Company earned in connection with PRSUs granted on April 4, 2022. The shares were earned based on the achievement of certain pre-established performance parameters relating to the Company's relative total shareholder return performance over a three-year period at 178.4% of target. The shares will vest on March 29, 2025, subject to the Reporting Person's continued employment with the Company.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Shelly Shaw,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0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by Power of</w:t>
      </w:r>
      <w:r>
        <w:rPr>
          <w:sz w:val="20"/>
          <w:szCs w:val="20"/>
          <w:color w:val="auto"/>
        </w:rPr>
        <w:tab/>
      </w: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5733"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2025-03-19T15:46:25Z</dcterms:created>
  <dcterms:modified xsi:type="dcterms:W3CDTF">2025-03-19T15:46:25Z</dcterms:modified>
</cp:coreProperties>
</file>