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December 19,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ind w:left="3840"/>
        <w:spacing w:after="0"/>
        <w:rPr>
          <w:sz w:val="20"/>
          <w:szCs w:val="20"/>
          <w:color w:val="auto"/>
        </w:rPr>
      </w:pPr>
      <w:r>
        <w:rPr>
          <w:rFonts w:ascii="Arial" w:cs="Arial" w:eastAsia="Arial" w:hAnsi="Arial"/>
          <w:sz w:val="43"/>
          <w:szCs w:val="43"/>
          <w:b w:val="1"/>
          <w:bCs w:val="1"/>
          <w:color w:val="auto"/>
        </w:rPr>
        <w:t>Analog Devices,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160" w:type="dxa"/>
            <w:vAlign w:val="bottom"/>
          </w:tcPr>
          <w:p>
            <w:pPr>
              <w:jc w:val="center"/>
              <w:ind w:right="2564"/>
              <w:spacing w:after="0"/>
              <w:rPr>
                <w:sz w:val="20"/>
                <w:szCs w:val="20"/>
                <w:color w:val="auto"/>
              </w:rPr>
            </w:pPr>
            <w:r>
              <w:rPr>
                <w:rFonts w:ascii="Arial" w:cs="Arial" w:eastAsia="Arial" w:hAnsi="Arial"/>
                <w:sz w:val="18"/>
                <w:szCs w:val="18"/>
                <w:b w:val="1"/>
                <w:bCs w:val="1"/>
                <w:color w:val="auto"/>
                <w:w w:val="83"/>
              </w:rPr>
              <w:t>Massachusetts</w:t>
            </w:r>
          </w:p>
        </w:tc>
        <w:tc>
          <w:tcPr>
            <w:tcW w:w="2300" w:type="dxa"/>
            <w:vAlign w:val="bottom"/>
          </w:tcPr>
          <w:p>
            <w:pPr>
              <w:jc w:val="center"/>
              <w:ind w:right="1206"/>
              <w:spacing w:after="0"/>
              <w:rPr>
                <w:sz w:val="20"/>
                <w:szCs w:val="20"/>
                <w:color w:val="auto"/>
              </w:rPr>
            </w:pPr>
            <w:r>
              <w:rPr>
                <w:rFonts w:ascii="Arial" w:cs="Arial" w:eastAsia="Arial" w:hAnsi="Arial"/>
                <w:sz w:val="18"/>
                <w:szCs w:val="18"/>
                <w:b w:val="1"/>
                <w:bCs w:val="1"/>
                <w:color w:val="auto"/>
                <w:w w:val="89"/>
              </w:rPr>
              <w:t>1-7819</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04-2348234</w:t>
            </w:r>
          </w:p>
        </w:tc>
      </w:tr>
      <w:tr>
        <w:trPr>
          <w:trHeight w:val="149"/>
        </w:trPr>
        <w:tc>
          <w:tcPr>
            <w:tcW w:w="4160" w:type="dxa"/>
            <w:vAlign w:val="bottom"/>
          </w:tcPr>
          <w:p>
            <w:pPr>
              <w:jc w:val="center"/>
              <w:ind w:right="2544"/>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300" w:type="dxa"/>
            <w:vAlign w:val="bottom"/>
          </w:tcPr>
          <w:p>
            <w:pPr>
              <w:jc w:val="center"/>
              <w:ind w:right="122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160" w:type="dxa"/>
            <w:vAlign w:val="bottom"/>
          </w:tcPr>
          <w:p>
            <w:pPr>
              <w:jc w:val="center"/>
              <w:ind w:right="2544"/>
              <w:spacing w:after="0"/>
              <w:rPr>
                <w:sz w:val="20"/>
                <w:szCs w:val="20"/>
                <w:color w:val="auto"/>
              </w:rPr>
            </w:pPr>
            <w:r>
              <w:rPr>
                <w:rFonts w:ascii="Arial" w:cs="Arial" w:eastAsia="Arial" w:hAnsi="Arial"/>
                <w:sz w:val="14"/>
                <w:szCs w:val="14"/>
                <w:b w:val="1"/>
                <w:bCs w:val="1"/>
                <w:color w:val="auto"/>
                <w:w w:val="87"/>
              </w:rPr>
              <w:t>of incorporation</w:t>
            </w:r>
          </w:p>
        </w:tc>
        <w:tc>
          <w:tcPr>
            <w:tcW w:w="2300" w:type="dxa"/>
            <w:vAlign w:val="bottom"/>
          </w:tcPr>
          <w:p>
            <w:pPr>
              <w:jc w:val="center"/>
              <w:ind w:right="120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4160" w:type="dxa"/>
            <w:vAlign w:val="bottom"/>
          </w:tcPr>
          <w:p>
            <w:pPr>
              <w:jc w:val="center"/>
              <w:ind w:left="1064"/>
              <w:spacing w:after="0"/>
              <w:rPr>
                <w:sz w:val="20"/>
                <w:szCs w:val="20"/>
                <w:color w:val="auto"/>
              </w:rPr>
            </w:pPr>
            <w:r>
              <w:rPr>
                <w:rFonts w:ascii="Arial" w:cs="Arial" w:eastAsia="Arial" w:hAnsi="Arial"/>
                <w:sz w:val="18"/>
                <w:szCs w:val="18"/>
                <w:b w:val="1"/>
                <w:bCs w:val="1"/>
                <w:color w:val="auto"/>
                <w:w w:val="88"/>
              </w:rPr>
              <w:t>One Technology Way, Norwood, MA</w:t>
            </w:r>
          </w:p>
        </w:tc>
        <w:tc>
          <w:tcPr>
            <w:tcW w:w="2300" w:type="dxa"/>
            <w:vAlign w:val="bottom"/>
          </w:tcPr>
          <w:p>
            <w:pPr>
              <w:spacing w:after="0"/>
              <w:rPr>
                <w:sz w:val="24"/>
                <w:szCs w:val="24"/>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02062</w:t>
            </w:r>
          </w:p>
        </w:tc>
      </w:tr>
      <w:tr>
        <w:trPr>
          <w:trHeight w:val="174"/>
        </w:trPr>
        <w:tc>
          <w:tcPr>
            <w:tcW w:w="4160" w:type="dxa"/>
            <w:vAlign w:val="bottom"/>
          </w:tcPr>
          <w:p>
            <w:pPr>
              <w:jc w:val="center"/>
              <w:ind w:left="108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0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December 19, 2012, Analog Devices, Inc. (the “Company”) entered into a $500 million senior unsecured revolving credit facility that expires on December 19, 2017 with Bank of America, N.A. as Administrative Agent, Swing Line Lender and L/C Issuer, and each lender from time to time party thereto (the “Credit Agreement”). At the closing, the Company did not borrow any funds under the Credit Agreement.</w:t>
      </w:r>
    </w:p>
    <w:p>
      <w:pPr>
        <w:spacing w:after="0" w:line="14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Credit Agreement provides that the Company may borrow up to $500 million under revolving loans with a $75 million sublimit for the issuance of standby letters of credit and a $25 million sublimit for swing line loans. The Company may from time to increase the aggregate amount of the facility by an aggregate amount up to $250 million with additional commitments from existing or new lenders acceptable to the Company and the Administrative Agent, subject to certain conditions. The Company has agreed to pay customary facility fees to the lenders at a rate per annum that varies based on the Company’s debt rating, as well as customary fronting fees to the letter of credit bank.</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Revolving loans under the Credit Agreement (other than swing line loans) bear interest, at the Company’s option, at either a rate equal to (a) the Eurodollar Rate (as defined in the Credit Agreement) plus a margin based on the Company’s debt rating or (ii) the Base Rate (defined as the highest of (i) the Bank of America prime rate, (ii) the Federal Funds Rate (as defined in the Credit Agreement) plus .50% and (iii) one month Eurodollar Rate plus 1.00%) plus a margin based on the Company’s debt rating. Swing line loans will bear interest at the Base Rate plus the applicable margin for Base Rate loans. Under the Credit Agreement, for each loan bearing interest at a rate determined by reference to the Eurodollar Rate, the Company may select an interest period of one, two, three or six months, or such other period that is twelve months or less as requested by the Company and consented to by all the lenders.</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Payments of the principal amounts of revolving loans under the Credit Agreement are due no later than December 19, 2017. The Company may prepay loans under the Credit Agreement in whole or in part at any time, without premium or penalty, subject to reimbursement of certain costs in the case of borrowings that bear interest at the Eurodollar Rate.</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Credit Agreement contains customary representations and warranties and affirmative and negative covenants, including, among others, limitations on liens, indebtedness of subsidiaries, mergers and other fundamental changes, sales and other dispositions of property or assets and transactions with affiliates. The Credit Agreement contains a consolidated leverage ratio covenant of total consolidated funded debt to consolidated EBITDA (earnings before interest, taxes, depreciation, and amortization) of not greater than 3.0 to 1.0.</w:t>
      </w:r>
    </w:p>
    <w:p>
      <w:pPr>
        <w:spacing w:after="0" w:line="143" w:lineRule="exact"/>
        <w:rPr>
          <w:sz w:val="20"/>
          <w:szCs w:val="20"/>
          <w:color w:val="auto"/>
        </w:rPr>
      </w:pPr>
    </w:p>
    <w:p>
      <w:pPr>
        <w:jc w:val="both"/>
        <w:ind w:right="80" w:firstLine="456"/>
        <w:spacing w:after="0" w:line="370" w:lineRule="auto"/>
        <w:rPr>
          <w:sz w:val="20"/>
          <w:szCs w:val="20"/>
          <w:color w:val="auto"/>
        </w:rPr>
      </w:pPr>
      <w:r>
        <w:rPr>
          <w:rFonts w:ascii="Arial" w:cs="Arial" w:eastAsia="Arial" w:hAnsi="Arial"/>
          <w:sz w:val="15"/>
          <w:szCs w:val="15"/>
          <w:color w:val="auto"/>
        </w:rPr>
        <w:t>The Credit Agreement also contains customary events of default, including, among others, nonpayment of principal, interest, fees or other amounts, failure to perform covenants, cross-defaults to certain other indebtedness, insolvency or bankruptcy, customary ERISA defaults or the occurrence of a change of control.</w:t>
      </w:r>
    </w:p>
    <w:p>
      <w:pPr>
        <w:spacing w:after="0" w:line="6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the ordinary course of their respective businesses, certain of the lenders and the other parties to the Credit Agreement and their respective affiliates have engaged, and may in the future engage, in commercial banking, investment banking, financial advisory or other services with the Company and its affiliates for which they have in the past and/or may in the future receive customary compensation and expense reimbursement.</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foregoing description of the Credit Agreement does not purport to be complete and is qualified in its entirety by the full text of the Credit Agreement, which is filed as Exhibit 10.1 hereto and incorporated herein by reference.</w:t>
      </w:r>
    </w:p>
    <w:p>
      <w:pPr>
        <w:sectPr>
          <w:pgSz w:w="11900" w:h="16838" w:orient="portrait"/>
          <w:cols w:equalWidth="0" w:num="1">
            <w:col w:w="11420"/>
          </w:cols>
          <w:pgMar w:left="240" w:top="274" w:right="239" w:bottom="1440" w:gutter="0" w:footer="0" w:header="0"/>
        </w:sectPr>
      </w:pPr>
    </w:p>
    <w:bookmarkStart w:id="2" w:name="page3"/>
    <w:bookmarkEnd w:id="2"/>
    <w:p>
      <w:pPr>
        <w:jc w:val="center"/>
        <w:ind w:right="15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2.03. Creation of a Direct Financial Obligation or an Obligation under an Off-Balance Sheet Arrangement of a Registrant.</w:t>
      </w:r>
    </w:p>
    <w:p>
      <w:pPr>
        <w:spacing w:after="0" w:line="119" w:lineRule="exact"/>
        <w:rPr>
          <w:sz w:val="20"/>
          <w:szCs w:val="20"/>
          <w:color w:val="auto"/>
        </w:rPr>
      </w:pPr>
    </w:p>
    <w:p>
      <w:pPr>
        <w:jc w:val="center"/>
        <w:ind w:right="1520"/>
        <w:spacing w:after="0"/>
        <w:rPr>
          <w:sz w:val="20"/>
          <w:szCs w:val="20"/>
          <w:color w:val="auto"/>
        </w:rPr>
      </w:pPr>
      <w:r>
        <w:rPr>
          <w:rFonts w:ascii="Arial" w:cs="Arial" w:eastAsia="Arial" w:hAnsi="Arial"/>
          <w:sz w:val="16"/>
          <w:szCs w:val="16"/>
          <w:color w:val="auto"/>
        </w:rPr>
        <w:t>The information included in Item 1.01 of this Current Report on Form 8-K is incorporated by reference into this Item 2.03.</w:t>
      </w:r>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jc w:val="right"/>
              <w:spacing w:after="0"/>
              <w:rPr>
                <w:sz w:val="20"/>
                <w:szCs w:val="20"/>
                <w:color w:val="auto"/>
              </w:rPr>
            </w:pPr>
            <w:r>
              <w:rPr>
                <w:rFonts w:ascii="Arial" w:cs="Arial" w:eastAsia="Arial" w:hAnsi="Arial"/>
                <w:sz w:val="14"/>
                <w:szCs w:val="14"/>
                <w:color w:val="auto"/>
                <w:w w:val="95"/>
              </w:rPr>
              <w:t>Exhibit</w:t>
            </w:r>
          </w:p>
        </w:tc>
        <w:tc>
          <w:tcPr>
            <w:tcW w:w="5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540" w:type="dxa"/>
            <w:vAlign w:val="bottom"/>
          </w:tcPr>
          <w:p>
            <w:pPr>
              <w:spacing w:after="0"/>
              <w:rPr>
                <w:sz w:val="14"/>
                <w:szCs w:val="14"/>
                <w:color w:val="auto"/>
              </w:rPr>
            </w:pPr>
          </w:p>
        </w:tc>
      </w:tr>
      <w:tr>
        <w:trPr>
          <w:trHeight w:val="159"/>
        </w:trPr>
        <w:tc>
          <w:tcPr>
            <w:tcW w:w="420" w:type="dxa"/>
            <w:vAlign w:val="bottom"/>
            <w:tcBorders>
              <w:bottom w:val="single" w:sz="8" w:color="auto"/>
            </w:tcBorders>
          </w:tcPr>
          <w:p>
            <w:pPr>
              <w:jc w:val="right"/>
              <w:ind w:right="26"/>
              <w:spacing w:after="0" w:line="159" w:lineRule="exact"/>
              <w:rPr>
                <w:sz w:val="20"/>
                <w:szCs w:val="20"/>
                <w:color w:val="auto"/>
              </w:rPr>
            </w:pPr>
            <w:r>
              <w:rPr>
                <w:rFonts w:ascii="Arial" w:cs="Arial" w:eastAsia="Arial" w:hAnsi="Arial"/>
                <w:sz w:val="14"/>
                <w:szCs w:val="14"/>
                <w:color w:val="auto"/>
              </w:rPr>
              <w:t>No.</w:t>
            </w:r>
          </w:p>
        </w:tc>
        <w:tc>
          <w:tcPr>
            <w:tcW w:w="5440" w:type="dxa"/>
            <w:vAlign w:val="bottom"/>
          </w:tcPr>
          <w:p>
            <w:pPr>
              <w:spacing w:after="0"/>
              <w:rPr>
                <w:sz w:val="13"/>
                <w:szCs w:val="13"/>
                <w:color w:val="auto"/>
              </w:rPr>
            </w:pPr>
          </w:p>
        </w:tc>
        <w:tc>
          <w:tcPr>
            <w:tcW w:w="68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w w:val="91"/>
              </w:rPr>
              <w:t>Description</w:t>
            </w:r>
          </w:p>
        </w:tc>
        <w:tc>
          <w:tcPr>
            <w:tcW w:w="4540" w:type="dxa"/>
            <w:vAlign w:val="bottom"/>
          </w:tcPr>
          <w:p>
            <w:pPr>
              <w:spacing w:after="0"/>
              <w:rPr>
                <w:sz w:val="13"/>
                <w:szCs w:val="13"/>
                <w:color w:val="auto"/>
              </w:rPr>
            </w:pPr>
          </w:p>
        </w:tc>
      </w:tr>
      <w:tr>
        <w:trPr>
          <w:trHeight w:val="309"/>
        </w:trPr>
        <w:tc>
          <w:tcPr>
            <w:tcW w:w="420" w:type="dxa"/>
            <w:vAlign w:val="bottom"/>
          </w:tcPr>
          <w:p>
            <w:pPr>
              <w:jc w:val="right"/>
              <w:ind w:right="26"/>
              <w:spacing w:after="0"/>
              <w:rPr>
                <w:sz w:val="20"/>
                <w:szCs w:val="20"/>
                <w:color w:val="auto"/>
              </w:rPr>
            </w:pPr>
            <w:r>
              <w:rPr>
                <w:rFonts w:ascii="Arial" w:cs="Arial" w:eastAsia="Arial" w:hAnsi="Arial"/>
                <w:sz w:val="18"/>
                <w:szCs w:val="18"/>
                <w:color w:val="auto"/>
                <w:w w:val="85"/>
              </w:rPr>
              <w:t>10.1</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w w:val="89"/>
              </w:rPr>
              <w:t>Credit Agreement, dated as of December 19, 2012, among Analog Devices, Inc., as Borrower, Bank of America, N.A. as Administrative Agent,</w:t>
            </w:r>
          </w:p>
        </w:tc>
      </w:tr>
      <w:tr>
        <w:trPr>
          <w:trHeight w:val="222"/>
        </w:trPr>
        <w:tc>
          <w:tcPr>
            <w:tcW w:w="420" w:type="dxa"/>
            <w:vAlign w:val="bottom"/>
          </w:tcPr>
          <w:p>
            <w:pPr>
              <w:spacing w:after="0"/>
              <w:rPr>
                <w:sz w:val="19"/>
                <w:szCs w:val="19"/>
                <w:color w:val="auto"/>
              </w:rPr>
            </w:pP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Swing Line Lender and L/C Issuer, and each lender from time to time party thereto (the “Credit Agreement”)</w:t>
            </w:r>
          </w:p>
        </w:tc>
      </w:tr>
    </w:tbl>
    <w:p>
      <w:pPr>
        <w:sectPr>
          <w:pgSz w:w="11900" w:h="16838" w:orient="portrait"/>
          <w:cols w:equalWidth="0" w:num="1">
            <w:col w:w="11080"/>
          </w:cols>
          <w:pgMar w:left="240" w:top="274" w:right="579" w:bottom="1440" w:gutter="0" w:footer="0" w:header="0"/>
        </w:sectPr>
      </w:pPr>
    </w:p>
    <w:bookmarkStart w:id="3" w:name="page4"/>
    <w:bookmarkEnd w:id="3"/>
    <w:p>
      <w:pPr>
        <w:jc w:val="center"/>
        <w:ind w:right="-4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December 20, 2012</w:t>
      </w:r>
      <w:r>
        <w:rPr>
          <w:sz w:val="20"/>
          <w:szCs w:val="20"/>
          <w:color w:val="auto"/>
        </w:rPr>
        <w:tab/>
      </w:r>
      <w:r>
        <w:rPr>
          <w:rFonts w:ascii="Arial" w:cs="Arial" w:eastAsia="Arial" w:hAnsi="Arial"/>
          <w:sz w:val="16"/>
          <w:szCs w:val="16"/>
          <w:color w:val="auto"/>
        </w:rPr>
        <w:t>ANALOG DEVICES, INC.</w:t>
      </w:r>
    </w:p>
    <w:p>
      <w:pPr>
        <w:spacing w:after="0" w:line="225" w:lineRule="exact"/>
        <w:rPr>
          <w:sz w:val="20"/>
          <w:szCs w:val="20"/>
          <w:color w:val="auto"/>
        </w:rPr>
      </w:pPr>
    </w:p>
    <w:p>
      <w:pPr>
        <w:ind w:left="5840"/>
        <w:spacing w:after="0"/>
        <w:tabs>
          <w:tab w:leader="none" w:pos="6260" w:val="left"/>
        </w:tabs>
        <w:rPr>
          <w:sz w:val="20"/>
          <w:szCs w:val="20"/>
          <w:color w:val="auto"/>
        </w:rPr>
      </w:pPr>
      <w:r>
        <w:rPr>
          <w:rFonts w:ascii="Arial" w:cs="Arial" w:eastAsia="Arial" w:hAnsi="Arial"/>
          <w:sz w:val="18"/>
          <w:szCs w:val="18"/>
          <w:color w:val="auto"/>
        </w:rPr>
        <w:t>By:</w:t>
        <w:tab/>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David A. Zinsner</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Finance and Chief Financial Officer</w:t>
      </w:r>
    </w:p>
    <w:p>
      <w:pPr>
        <w:sectPr>
          <w:pgSz w:w="11900" w:h="16838" w:orient="portrait"/>
          <w:cols w:equalWidth="0" w:num="1">
            <w:col w:w="11000"/>
          </w:cols>
          <w:pgMar w:left="240" w:top="280" w:right="6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2"/>
        </w:trPr>
        <w:tc>
          <w:tcPr>
            <w:tcW w:w="420" w:type="dxa"/>
            <w:vAlign w:val="bottom"/>
          </w:tcPr>
          <w:p>
            <w:pPr>
              <w:spacing w:after="0"/>
              <w:rPr>
                <w:sz w:val="19"/>
                <w:szCs w:val="19"/>
                <w:color w:val="auto"/>
              </w:rPr>
            </w:pPr>
          </w:p>
        </w:tc>
        <w:tc>
          <w:tcPr>
            <w:tcW w:w="10660" w:type="dxa"/>
            <w:vAlign w:val="bottom"/>
            <w:gridSpan w:val="3"/>
          </w:tcPr>
          <w:p>
            <w:pPr>
              <w:ind w:left="4640"/>
              <w:spacing w:after="0"/>
              <w:rPr>
                <w:sz w:val="20"/>
                <w:szCs w:val="20"/>
                <w:color w:val="auto"/>
              </w:rPr>
            </w:pPr>
            <w:r>
              <w:rPr>
                <w:rFonts w:ascii="Arial" w:cs="Arial" w:eastAsia="Arial" w:hAnsi="Arial"/>
                <w:sz w:val="18"/>
                <w:szCs w:val="18"/>
                <w:color w:val="auto"/>
              </w:rPr>
              <w:t>EXHIBIT INDEX</w:t>
            </w:r>
          </w:p>
        </w:tc>
      </w:tr>
      <w:tr>
        <w:trPr>
          <w:trHeight w:val="342"/>
        </w:trPr>
        <w:tc>
          <w:tcPr>
            <w:tcW w:w="420" w:type="dxa"/>
            <w:vAlign w:val="bottom"/>
          </w:tcPr>
          <w:p>
            <w:pPr>
              <w:jc w:val="right"/>
              <w:spacing w:after="0"/>
              <w:rPr>
                <w:sz w:val="20"/>
                <w:szCs w:val="20"/>
                <w:color w:val="auto"/>
              </w:rPr>
            </w:pPr>
            <w:r>
              <w:rPr>
                <w:rFonts w:ascii="Arial" w:cs="Arial" w:eastAsia="Arial" w:hAnsi="Arial"/>
                <w:sz w:val="14"/>
                <w:szCs w:val="14"/>
                <w:color w:val="auto"/>
                <w:w w:val="95"/>
              </w:rPr>
              <w:t>Exhibit</w:t>
            </w:r>
          </w:p>
        </w:tc>
        <w:tc>
          <w:tcPr>
            <w:tcW w:w="5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159"/>
        </w:trPr>
        <w:tc>
          <w:tcPr>
            <w:tcW w:w="420" w:type="dxa"/>
            <w:vAlign w:val="bottom"/>
            <w:tcBorders>
              <w:bottom w:val="single" w:sz="8" w:color="auto"/>
            </w:tcBorders>
          </w:tcPr>
          <w:p>
            <w:pPr>
              <w:jc w:val="right"/>
              <w:ind w:right="26"/>
              <w:spacing w:after="0" w:line="159" w:lineRule="exact"/>
              <w:rPr>
                <w:sz w:val="20"/>
                <w:szCs w:val="20"/>
                <w:color w:val="auto"/>
              </w:rPr>
            </w:pPr>
            <w:r>
              <w:rPr>
                <w:rFonts w:ascii="Arial" w:cs="Arial" w:eastAsia="Arial" w:hAnsi="Arial"/>
                <w:sz w:val="14"/>
                <w:szCs w:val="14"/>
                <w:color w:val="auto"/>
              </w:rPr>
              <w:t>No.</w:t>
            </w:r>
          </w:p>
        </w:tc>
        <w:tc>
          <w:tcPr>
            <w:tcW w:w="5440" w:type="dxa"/>
            <w:vAlign w:val="bottom"/>
          </w:tcPr>
          <w:p>
            <w:pPr>
              <w:spacing w:after="0"/>
              <w:rPr>
                <w:sz w:val="13"/>
                <w:szCs w:val="13"/>
                <w:color w:val="auto"/>
              </w:rPr>
            </w:pPr>
          </w:p>
        </w:tc>
        <w:tc>
          <w:tcPr>
            <w:tcW w:w="68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w w:val="91"/>
              </w:rPr>
              <w:t>Description</w:t>
            </w:r>
          </w:p>
        </w:tc>
        <w:tc>
          <w:tcPr>
            <w:tcW w:w="4540" w:type="dxa"/>
            <w:vAlign w:val="bottom"/>
          </w:tcPr>
          <w:p>
            <w:pPr>
              <w:spacing w:after="0"/>
              <w:rPr>
                <w:sz w:val="13"/>
                <w:szCs w:val="13"/>
                <w:color w:val="auto"/>
              </w:rPr>
            </w:pPr>
          </w:p>
        </w:tc>
      </w:tr>
      <w:tr>
        <w:trPr>
          <w:trHeight w:val="309"/>
        </w:trPr>
        <w:tc>
          <w:tcPr>
            <w:tcW w:w="420" w:type="dxa"/>
            <w:vAlign w:val="bottom"/>
          </w:tcPr>
          <w:p>
            <w:pPr>
              <w:jc w:val="right"/>
              <w:ind w:right="26"/>
              <w:spacing w:after="0"/>
              <w:rPr>
                <w:sz w:val="20"/>
                <w:szCs w:val="20"/>
                <w:color w:val="auto"/>
              </w:rPr>
            </w:pPr>
            <w:r>
              <w:rPr>
                <w:rFonts w:ascii="Arial" w:cs="Arial" w:eastAsia="Arial" w:hAnsi="Arial"/>
                <w:sz w:val="18"/>
                <w:szCs w:val="18"/>
                <w:color w:val="auto"/>
                <w:w w:val="85"/>
              </w:rPr>
              <w:t>10.1</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w w:val="89"/>
              </w:rPr>
              <w:t>Credit Agreement, dated as of December 19, 2012, among Analog Devices, Inc., as Borrower, Bank of America, N.A. as Administrative Agent,</w:t>
            </w:r>
          </w:p>
        </w:tc>
      </w:tr>
      <w:tr>
        <w:trPr>
          <w:trHeight w:val="222"/>
        </w:trPr>
        <w:tc>
          <w:tcPr>
            <w:tcW w:w="420" w:type="dxa"/>
            <w:vAlign w:val="bottom"/>
          </w:tcPr>
          <w:p>
            <w:pPr>
              <w:spacing w:after="0"/>
              <w:rPr>
                <w:sz w:val="19"/>
                <w:szCs w:val="19"/>
                <w:color w:val="auto"/>
              </w:rPr>
            </w:pP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Swing Line Lender and L/C Issuer, and each lender from time to time party thereto (the “Credit Agreement”)</w:t>
            </w:r>
          </w:p>
        </w:tc>
      </w:tr>
    </w:tbl>
    <w:p>
      <w:pPr>
        <w:ind w:left="560"/>
        <w:spacing w:after="0"/>
        <w:rPr>
          <w:sz w:val="20"/>
          <w:szCs w:val="20"/>
          <w:color w:val="auto"/>
        </w:rPr>
        <w:sectPr>
          <w:pgSz w:w="11900" w:h="16838" w:orient="portrait"/>
          <w:cols w:equalWidth="0" w:num="1">
            <w:col w:w="11080"/>
          </w:cols>
          <w:pgMar w:left="240" w:top="280" w:right="5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203835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CUSIP Number: 03265PAA6</w:t>
      </w:r>
    </w:p>
    <w:p>
      <w:pPr>
        <w:spacing w:after="0" w:line="17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CREDIT AGREEMENT</w:t>
      </w:r>
    </w:p>
    <w:p>
      <w:pPr>
        <w:spacing w:after="0" w:line="171"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as of December 19, 2012</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ANALOG DEVICES, INC.,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as Borrower,</w:t>
      </w:r>
    </w:p>
    <w:p>
      <w:pPr>
        <w:spacing w:after="0" w:line="16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 Swing Line Lender</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L/C Issuer,</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Syndication Agent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Other Lenders Party Hereto</w:t>
      </w:r>
    </w:p>
    <w:p>
      <w:pPr>
        <w:spacing w:after="0" w:line="17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MERRILL LYNCH, PIERCE, FENNER &amp; SMITH INCORPORATED</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Joint Lead Arrangers and Joint Book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153035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170180</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19"/>
                <w:szCs w:val="19"/>
                <w:color w:val="auto"/>
              </w:rPr>
            </w:pPr>
          </w:p>
        </w:tc>
        <w:tc>
          <w:tcPr>
            <w:tcW w:w="7940" w:type="dxa"/>
            <w:vAlign w:val="bottom"/>
          </w:tcPr>
          <w:p>
            <w:pPr>
              <w:ind w:left="4220"/>
              <w:spacing w:after="0"/>
              <w:rPr>
                <w:sz w:val="20"/>
                <w:szCs w:val="20"/>
                <w:color w:val="auto"/>
              </w:rPr>
            </w:pPr>
            <w:r>
              <w:rPr>
                <w:rFonts w:ascii="Arial" w:cs="Arial" w:eastAsia="Arial" w:hAnsi="Arial"/>
                <w:sz w:val="18"/>
                <w:szCs w:val="18"/>
                <w:color w:val="auto"/>
              </w:rPr>
              <w:t>Table of Contents</w:t>
            </w:r>
          </w:p>
        </w:tc>
        <w:tc>
          <w:tcPr>
            <w:tcW w:w="2500" w:type="dxa"/>
            <w:vAlign w:val="bottom"/>
          </w:tcPr>
          <w:p>
            <w:pPr>
              <w:spacing w:after="0"/>
              <w:rPr>
                <w:sz w:val="19"/>
                <w:szCs w:val="19"/>
                <w:color w:val="auto"/>
              </w:rPr>
            </w:pPr>
          </w:p>
        </w:tc>
      </w:tr>
      <w:tr>
        <w:trPr>
          <w:trHeight w:val="366"/>
        </w:trPr>
        <w:tc>
          <w:tcPr>
            <w:tcW w:w="88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303"/>
        </w:trPr>
        <w:tc>
          <w:tcPr>
            <w:tcW w:w="8820" w:type="dxa"/>
            <w:vAlign w:val="bottom"/>
            <w:gridSpan w:val="2"/>
          </w:tcPr>
          <w:p>
            <w:pPr>
              <w:spacing w:after="0"/>
              <w:rPr>
                <w:sz w:val="20"/>
                <w:szCs w:val="20"/>
                <w:color w:val="auto"/>
              </w:rPr>
            </w:pPr>
            <w:r>
              <w:rPr>
                <w:rFonts w:ascii="Arial" w:cs="Arial" w:eastAsia="Arial" w:hAnsi="Arial"/>
                <w:sz w:val="18"/>
                <w:szCs w:val="18"/>
                <w:color w:val="auto"/>
              </w:rPr>
              <w:t>ARTICLE I. DEFINITIONS AND ACCOUNTING TERMS</w:t>
            </w:r>
          </w:p>
        </w:tc>
        <w:tc>
          <w:tcPr>
            <w:tcW w:w="2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1.01</w:t>
            </w:r>
          </w:p>
        </w:tc>
        <w:tc>
          <w:tcPr>
            <w:tcW w:w="7940" w:type="dxa"/>
            <w:vAlign w:val="bottom"/>
          </w:tcPr>
          <w:p>
            <w:pPr>
              <w:ind w:left="120"/>
              <w:spacing w:after="0"/>
              <w:rPr>
                <w:sz w:val="20"/>
                <w:szCs w:val="20"/>
                <w:color w:val="auto"/>
              </w:rPr>
            </w:pPr>
            <w:r>
              <w:rPr>
                <w:rFonts w:ascii="Arial" w:cs="Arial" w:eastAsia="Arial" w:hAnsi="Arial"/>
                <w:sz w:val="18"/>
                <w:szCs w:val="18"/>
                <w:color w:val="auto"/>
              </w:rPr>
              <w:t>Defined Terms.</w:t>
            </w:r>
          </w:p>
        </w:tc>
        <w:tc>
          <w:tcPr>
            <w:tcW w:w="2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1.02</w:t>
            </w:r>
          </w:p>
        </w:tc>
        <w:tc>
          <w:tcPr>
            <w:tcW w:w="7940" w:type="dxa"/>
            <w:vAlign w:val="bottom"/>
          </w:tcPr>
          <w:p>
            <w:pPr>
              <w:ind w:left="120"/>
              <w:spacing w:after="0"/>
              <w:rPr>
                <w:sz w:val="20"/>
                <w:szCs w:val="20"/>
                <w:color w:val="auto"/>
              </w:rPr>
            </w:pPr>
            <w:r>
              <w:rPr>
                <w:rFonts w:ascii="Arial" w:cs="Arial" w:eastAsia="Arial" w:hAnsi="Arial"/>
                <w:sz w:val="18"/>
                <w:szCs w:val="18"/>
                <w:color w:val="auto"/>
              </w:rPr>
              <w:t>Other Interpretive Provisions.</w:t>
            </w:r>
          </w:p>
        </w:tc>
        <w:tc>
          <w:tcPr>
            <w:tcW w:w="2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1.03</w:t>
            </w:r>
          </w:p>
        </w:tc>
        <w:tc>
          <w:tcPr>
            <w:tcW w:w="7940" w:type="dxa"/>
            <w:vAlign w:val="bottom"/>
          </w:tcPr>
          <w:p>
            <w:pPr>
              <w:ind w:left="120"/>
              <w:spacing w:after="0"/>
              <w:rPr>
                <w:sz w:val="20"/>
                <w:szCs w:val="20"/>
                <w:color w:val="auto"/>
              </w:rPr>
            </w:pPr>
            <w:r>
              <w:rPr>
                <w:rFonts w:ascii="Arial" w:cs="Arial" w:eastAsia="Arial" w:hAnsi="Arial"/>
                <w:sz w:val="18"/>
                <w:szCs w:val="18"/>
                <w:color w:val="auto"/>
              </w:rPr>
              <w:t>Accounting Terms.</w:t>
            </w:r>
          </w:p>
        </w:tc>
        <w:tc>
          <w:tcPr>
            <w:tcW w:w="2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1.04</w:t>
            </w:r>
          </w:p>
        </w:tc>
        <w:tc>
          <w:tcPr>
            <w:tcW w:w="7940" w:type="dxa"/>
            <w:vAlign w:val="bottom"/>
          </w:tcPr>
          <w:p>
            <w:pPr>
              <w:ind w:left="120"/>
              <w:spacing w:after="0"/>
              <w:rPr>
                <w:sz w:val="20"/>
                <w:szCs w:val="20"/>
                <w:color w:val="auto"/>
              </w:rPr>
            </w:pPr>
            <w:r>
              <w:rPr>
                <w:rFonts w:ascii="Arial" w:cs="Arial" w:eastAsia="Arial" w:hAnsi="Arial"/>
                <w:sz w:val="18"/>
                <w:szCs w:val="18"/>
                <w:color w:val="auto"/>
              </w:rPr>
              <w:t>Rounding.</w:t>
            </w:r>
          </w:p>
        </w:tc>
        <w:tc>
          <w:tcPr>
            <w:tcW w:w="2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1.05</w:t>
            </w:r>
          </w:p>
        </w:tc>
        <w:tc>
          <w:tcPr>
            <w:tcW w:w="7940" w:type="dxa"/>
            <w:vAlign w:val="bottom"/>
          </w:tcPr>
          <w:p>
            <w:pPr>
              <w:ind w:left="120"/>
              <w:spacing w:after="0"/>
              <w:rPr>
                <w:sz w:val="20"/>
                <w:szCs w:val="20"/>
                <w:color w:val="auto"/>
              </w:rPr>
            </w:pPr>
            <w:r>
              <w:rPr>
                <w:rFonts w:ascii="Arial" w:cs="Arial" w:eastAsia="Arial" w:hAnsi="Arial"/>
                <w:sz w:val="18"/>
                <w:szCs w:val="18"/>
                <w:color w:val="auto"/>
              </w:rPr>
              <w:t>Times of Day.</w:t>
            </w:r>
          </w:p>
        </w:tc>
        <w:tc>
          <w:tcPr>
            <w:tcW w:w="2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1.06</w:t>
            </w:r>
          </w:p>
        </w:tc>
        <w:tc>
          <w:tcPr>
            <w:tcW w:w="7940" w:type="dxa"/>
            <w:vAlign w:val="bottom"/>
          </w:tcPr>
          <w:p>
            <w:pPr>
              <w:ind w:left="120"/>
              <w:spacing w:after="0"/>
              <w:rPr>
                <w:sz w:val="20"/>
                <w:szCs w:val="20"/>
                <w:color w:val="auto"/>
              </w:rPr>
            </w:pPr>
            <w:r>
              <w:rPr>
                <w:rFonts w:ascii="Arial" w:cs="Arial" w:eastAsia="Arial" w:hAnsi="Arial"/>
                <w:sz w:val="18"/>
                <w:szCs w:val="18"/>
                <w:color w:val="auto"/>
              </w:rPr>
              <w:t>Letter of Credit Amounts.</w:t>
            </w:r>
          </w:p>
        </w:tc>
        <w:tc>
          <w:tcPr>
            <w:tcW w:w="2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8"/>
        </w:trPr>
        <w:tc>
          <w:tcPr>
            <w:tcW w:w="8820" w:type="dxa"/>
            <w:vAlign w:val="bottom"/>
            <w:gridSpan w:val="2"/>
          </w:tcPr>
          <w:p>
            <w:pPr>
              <w:spacing w:after="0"/>
              <w:rPr>
                <w:sz w:val="20"/>
                <w:szCs w:val="20"/>
                <w:color w:val="auto"/>
              </w:rPr>
            </w:pPr>
            <w:r>
              <w:rPr>
                <w:rFonts w:ascii="Arial" w:cs="Arial" w:eastAsia="Arial" w:hAnsi="Arial"/>
                <w:sz w:val="18"/>
                <w:szCs w:val="18"/>
                <w:color w:val="auto"/>
              </w:rPr>
              <w:t>ARTICLE II. THE COMMITMENTS AND CREDIT EXTENSIONS</w:t>
            </w:r>
          </w:p>
        </w:tc>
        <w:tc>
          <w:tcPr>
            <w:tcW w:w="2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2.01</w:t>
            </w:r>
          </w:p>
        </w:tc>
        <w:tc>
          <w:tcPr>
            <w:tcW w:w="7940" w:type="dxa"/>
            <w:vAlign w:val="bottom"/>
          </w:tcPr>
          <w:p>
            <w:pPr>
              <w:ind w:left="120"/>
              <w:spacing w:after="0"/>
              <w:rPr>
                <w:sz w:val="20"/>
                <w:szCs w:val="20"/>
                <w:color w:val="auto"/>
              </w:rPr>
            </w:pPr>
            <w:r>
              <w:rPr>
                <w:rFonts w:ascii="Arial" w:cs="Arial" w:eastAsia="Arial" w:hAnsi="Arial"/>
                <w:sz w:val="18"/>
                <w:szCs w:val="18"/>
                <w:color w:val="auto"/>
              </w:rPr>
              <w:t>Committed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2.02</w:t>
            </w:r>
          </w:p>
        </w:tc>
        <w:tc>
          <w:tcPr>
            <w:tcW w:w="7940" w:type="dxa"/>
            <w:vAlign w:val="bottom"/>
          </w:tcPr>
          <w:p>
            <w:pPr>
              <w:ind w:left="120"/>
              <w:spacing w:after="0"/>
              <w:rPr>
                <w:sz w:val="20"/>
                <w:szCs w:val="20"/>
                <w:color w:val="auto"/>
              </w:rPr>
            </w:pPr>
            <w:r>
              <w:rPr>
                <w:rFonts w:ascii="Arial" w:cs="Arial" w:eastAsia="Arial" w:hAnsi="Arial"/>
                <w:sz w:val="18"/>
                <w:szCs w:val="18"/>
                <w:color w:val="auto"/>
              </w:rPr>
              <w:t>Borrowings, Conversions and Continuations of Committed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2.03</w:t>
            </w:r>
          </w:p>
        </w:tc>
        <w:tc>
          <w:tcPr>
            <w:tcW w:w="7940" w:type="dxa"/>
            <w:vAlign w:val="bottom"/>
          </w:tcPr>
          <w:p>
            <w:pPr>
              <w:ind w:left="120"/>
              <w:spacing w:after="0"/>
              <w:rPr>
                <w:sz w:val="20"/>
                <w:szCs w:val="20"/>
                <w:color w:val="auto"/>
              </w:rPr>
            </w:pPr>
            <w:r>
              <w:rPr>
                <w:rFonts w:ascii="Arial" w:cs="Arial" w:eastAsia="Arial" w:hAnsi="Arial"/>
                <w:sz w:val="18"/>
                <w:szCs w:val="18"/>
                <w:color w:val="auto"/>
              </w:rPr>
              <w:t>Letters of Credit.</w:t>
            </w:r>
          </w:p>
        </w:tc>
        <w:tc>
          <w:tcPr>
            <w:tcW w:w="2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2.04</w:t>
            </w:r>
          </w:p>
        </w:tc>
        <w:tc>
          <w:tcPr>
            <w:tcW w:w="7940" w:type="dxa"/>
            <w:vAlign w:val="bottom"/>
          </w:tcPr>
          <w:p>
            <w:pPr>
              <w:ind w:left="120"/>
              <w:spacing w:after="0"/>
              <w:rPr>
                <w:sz w:val="20"/>
                <w:szCs w:val="20"/>
                <w:color w:val="auto"/>
              </w:rPr>
            </w:pPr>
            <w:r>
              <w:rPr>
                <w:rFonts w:ascii="Arial" w:cs="Arial" w:eastAsia="Arial" w:hAnsi="Arial"/>
                <w:sz w:val="18"/>
                <w:szCs w:val="18"/>
                <w:color w:val="auto"/>
              </w:rPr>
              <w:t>Swing Line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2.05</w:t>
            </w:r>
          </w:p>
        </w:tc>
        <w:tc>
          <w:tcPr>
            <w:tcW w:w="7940" w:type="dxa"/>
            <w:vAlign w:val="bottom"/>
          </w:tcPr>
          <w:p>
            <w:pPr>
              <w:ind w:left="120"/>
              <w:spacing w:after="0"/>
              <w:rPr>
                <w:sz w:val="20"/>
                <w:szCs w:val="20"/>
                <w:color w:val="auto"/>
              </w:rPr>
            </w:pPr>
            <w:r>
              <w:rPr>
                <w:rFonts w:ascii="Arial" w:cs="Arial" w:eastAsia="Arial" w:hAnsi="Arial"/>
                <w:sz w:val="18"/>
                <w:szCs w:val="18"/>
                <w:color w:val="auto"/>
              </w:rPr>
              <w:t>Prepayments.</w:t>
            </w:r>
          </w:p>
        </w:tc>
        <w:tc>
          <w:tcPr>
            <w:tcW w:w="25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2.06</w:t>
            </w:r>
          </w:p>
        </w:tc>
        <w:tc>
          <w:tcPr>
            <w:tcW w:w="7940" w:type="dxa"/>
            <w:vAlign w:val="bottom"/>
          </w:tcPr>
          <w:p>
            <w:pPr>
              <w:ind w:left="120"/>
              <w:spacing w:after="0"/>
              <w:rPr>
                <w:sz w:val="20"/>
                <w:szCs w:val="20"/>
                <w:color w:val="auto"/>
              </w:rPr>
            </w:pPr>
            <w:r>
              <w:rPr>
                <w:rFonts w:ascii="Arial" w:cs="Arial" w:eastAsia="Arial" w:hAnsi="Arial"/>
                <w:sz w:val="18"/>
                <w:szCs w:val="18"/>
                <w:color w:val="auto"/>
              </w:rPr>
              <w:t>Termination or Reduction of Commitments.</w:t>
            </w:r>
          </w:p>
        </w:tc>
        <w:tc>
          <w:tcPr>
            <w:tcW w:w="2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2.07</w:t>
            </w:r>
          </w:p>
        </w:tc>
        <w:tc>
          <w:tcPr>
            <w:tcW w:w="7940" w:type="dxa"/>
            <w:vAlign w:val="bottom"/>
          </w:tcPr>
          <w:p>
            <w:pPr>
              <w:ind w:left="120"/>
              <w:spacing w:after="0"/>
              <w:rPr>
                <w:sz w:val="20"/>
                <w:szCs w:val="20"/>
                <w:color w:val="auto"/>
              </w:rPr>
            </w:pPr>
            <w:r>
              <w:rPr>
                <w:rFonts w:ascii="Arial" w:cs="Arial" w:eastAsia="Arial" w:hAnsi="Arial"/>
                <w:sz w:val="18"/>
                <w:szCs w:val="18"/>
                <w:color w:val="auto"/>
              </w:rPr>
              <w:t>Repayment of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2.08</w:t>
            </w:r>
          </w:p>
        </w:tc>
        <w:tc>
          <w:tcPr>
            <w:tcW w:w="7940" w:type="dxa"/>
            <w:vAlign w:val="bottom"/>
          </w:tcPr>
          <w:p>
            <w:pPr>
              <w:ind w:left="120"/>
              <w:spacing w:after="0"/>
              <w:rPr>
                <w:sz w:val="20"/>
                <w:szCs w:val="20"/>
                <w:color w:val="auto"/>
              </w:rPr>
            </w:pPr>
            <w:r>
              <w:rPr>
                <w:rFonts w:ascii="Arial" w:cs="Arial" w:eastAsia="Arial" w:hAnsi="Arial"/>
                <w:sz w:val="18"/>
                <w:szCs w:val="18"/>
                <w:color w:val="auto"/>
              </w:rPr>
              <w:t>Interest.</w:t>
            </w:r>
          </w:p>
        </w:tc>
        <w:tc>
          <w:tcPr>
            <w:tcW w:w="2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2.09</w:t>
            </w:r>
          </w:p>
        </w:tc>
        <w:tc>
          <w:tcPr>
            <w:tcW w:w="7940" w:type="dxa"/>
            <w:vAlign w:val="bottom"/>
          </w:tcPr>
          <w:p>
            <w:pPr>
              <w:ind w:left="120"/>
              <w:spacing w:after="0"/>
              <w:rPr>
                <w:sz w:val="20"/>
                <w:szCs w:val="20"/>
                <w:color w:val="auto"/>
              </w:rPr>
            </w:pPr>
            <w:r>
              <w:rPr>
                <w:rFonts w:ascii="Arial" w:cs="Arial" w:eastAsia="Arial" w:hAnsi="Arial"/>
                <w:sz w:val="18"/>
                <w:szCs w:val="18"/>
                <w:color w:val="auto"/>
              </w:rPr>
              <w:t>Fees.</w:t>
            </w:r>
          </w:p>
        </w:tc>
        <w:tc>
          <w:tcPr>
            <w:tcW w:w="25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2.10</w:t>
            </w:r>
          </w:p>
        </w:tc>
        <w:tc>
          <w:tcPr>
            <w:tcW w:w="7940" w:type="dxa"/>
            <w:vAlign w:val="bottom"/>
          </w:tcPr>
          <w:p>
            <w:pPr>
              <w:ind w:left="120"/>
              <w:spacing w:after="0"/>
              <w:rPr>
                <w:sz w:val="20"/>
                <w:szCs w:val="20"/>
                <w:color w:val="auto"/>
              </w:rPr>
            </w:pPr>
            <w:r>
              <w:rPr>
                <w:rFonts w:ascii="Arial" w:cs="Arial" w:eastAsia="Arial" w:hAnsi="Arial"/>
                <w:sz w:val="18"/>
                <w:szCs w:val="18"/>
                <w:color w:val="auto"/>
              </w:rPr>
              <w:t>Computation of Interest and Fees; Retroactive Adjustments of Applicable Rate.</w:t>
            </w:r>
          </w:p>
        </w:tc>
        <w:tc>
          <w:tcPr>
            <w:tcW w:w="25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2.11</w:t>
            </w:r>
          </w:p>
        </w:tc>
        <w:tc>
          <w:tcPr>
            <w:tcW w:w="7940" w:type="dxa"/>
            <w:vAlign w:val="bottom"/>
          </w:tcPr>
          <w:p>
            <w:pPr>
              <w:ind w:left="120"/>
              <w:spacing w:after="0"/>
              <w:rPr>
                <w:sz w:val="20"/>
                <w:szCs w:val="20"/>
                <w:color w:val="auto"/>
              </w:rPr>
            </w:pPr>
            <w:r>
              <w:rPr>
                <w:rFonts w:ascii="Arial" w:cs="Arial" w:eastAsia="Arial" w:hAnsi="Arial"/>
                <w:sz w:val="18"/>
                <w:szCs w:val="18"/>
                <w:color w:val="auto"/>
              </w:rPr>
              <w:t>Evidence of Debt.</w:t>
            </w:r>
          </w:p>
        </w:tc>
        <w:tc>
          <w:tcPr>
            <w:tcW w:w="2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2.12</w:t>
            </w:r>
          </w:p>
        </w:tc>
        <w:tc>
          <w:tcPr>
            <w:tcW w:w="7940" w:type="dxa"/>
            <w:vAlign w:val="bottom"/>
          </w:tcPr>
          <w:p>
            <w:pPr>
              <w:ind w:left="120"/>
              <w:spacing w:after="0"/>
              <w:rPr>
                <w:sz w:val="20"/>
                <w:szCs w:val="20"/>
                <w:color w:val="auto"/>
              </w:rPr>
            </w:pPr>
            <w:r>
              <w:rPr>
                <w:rFonts w:ascii="Arial" w:cs="Arial" w:eastAsia="Arial" w:hAnsi="Arial"/>
                <w:sz w:val="18"/>
                <w:szCs w:val="18"/>
                <w:color w:val="auto"/>
              </w:rPr>
              <w:t>Payments Generally; Administrative Agent’s Clawback.</w:t>
            </w:r>
          </w:p>
        </w:tc>
        <w:tc>
          <w:tcPr>
            <w:tcW w:w="2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2.13</w:t>
            </w:r>
          </w:p>
        </w:tc>
        <w:tc>
          <w:tcPr>
            <w:tcW w:w="7940" w:type="dxa"/>
            <w:vAlign w:val="bottom"/>
          </w:tcPr>
          <w:p>
            <w:pPr>
              <w:ind w:left="120"/>
              <w:spacing w:after="0"/>
              <w:rPr>
                <w:sz w:val="20"/>
                <w:szCs w:val="20"/>
                <w:color w:val="auto"/>
              </w:rPr>
            </w:pPr>
            <w:r>
              <w:rPr>
                <w:rFonts w:ascii="Arial" w:cs="Arial" w:eastAsia="Arial" w:hAnsi="Arial"/>
                <w:sz w:val="18"/>
                <w:szCs w:val="18"/>
                <w:color w:val="auto"/>
              </w:rPr>
              <w:t>Sharing of Payments by Lenders.</w:t>
            </w:r>
          </w:p>
        </w:tc>
        <w:tc>
          <w:tcPr>
            <w:tcW w:w="2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2.14</w:t>
            </w:r>
          </w:p>
        </w:tc>
        <w:tc>
          <w:tcPr>
            <w:tcW w:w="7940" w:type="dxa"/>
            <w:vAlign w:val="bottom"/>
          </w:tcPr>
          <w:p>
            <w:pPr>
              <w:ind w:left="120"/>
              <w:spacing w:after="0"/>
              <w:rPr>
                <w:sz w:val="20"/>
                <w:szCs w:val="20"/>
                <w:color w:val="auto"/>
              </w:rPr>
            </w:pPr>
            <w:r>
              <w:rPr>
                <w:rFonts w:ascii="Arial" w:cs="Arial" w:eastAsia="Arial" w:hAnsi="Arial"/>
                <w:sz w:val="18"/>
                <w:szCs w:val="18"/>
                <w:color w:val="auto"/>
              </w:rPr>
              <w:t>Extension of Maturity Date.</w:t>
            </w:r>
          </w:p>
        </w:tc>
        <w:tc>
          <w:tcPr>
            <w:tcW w:w="2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2.15</w:t>
            </w:r>
          </w:p>
        </w:tc>
        <w:tc>
          <w:tcPr>
            <w:tcW w:w="7940" w:type="dxa"/>
            <w:vAlign w:val="bottom"/>
          </w:tcPr>
          <w:p>
            <w:pPr>
              <w:ind w:left="120"/>
              <w:spacing w:after="0"/>
              <w:rPr>
                <w:sz w:val="20"/>
                <w:szCs w:val="20"/>
                <w:color w:val="auto"/>
              </w:rPr>
            </w:pPr>
            <w:r>
              <w:rPr>
                <w:rFonts w:ascii="Arial" w:cs="Arial" w:eastAsia="Arial" w:hAnsi="Arial"/>
                <w:sz w:val="18"/>
                <w:szCs w:val="18"/>
                <w:color w:val="auto"/>
              </w:rPr>
              <w:t>Increase in Commitments.</w:t>
            </w:r>
          </w:p>
        </w:tc>
        <w:tc>
          <w:tcPr>
            <w:tcW w:w="2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2.16</w:t>
            </w:r>
          </w:p>
        </w:tc>
        <w:tc>
          <w:tcPr>
            <w:tcW w:w="7940" w:type="dxa"/>
            <w:vAlign w:val="bottom"/>
          </w:tcPr>
          <w:p>
            <w:pPr>
              <w:ind w:left="120"/>
              <w:spacing w:after="0"/>
              <w:rPr>
                <w:sz w:val="20"/>
                <w:szCs w:val="20"/>
                <w:color w:val="auto"/>
              </w:rPr>
            </w:pPr>
            <w:r>
              <w:rPr>
                <w:rFonts w:ascii="Arial" w:cs="Arial" w:eastAsia="Arial" w:hAnsi="Arial"/>
                <w:sz w:val="18"/>
                <w:szCs w:val="18"/>
                <w:color w:val="auto"/>
              </w:rPr>
              <w:t>Cash Collateral.</w:t>
            </w:r>
          </w:p>
        </w:tc>
        <w:tc>
          <w:tcPr>
            <w:tcW w:w="25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2.17</w:t>
            </w:r>
          </w:p>
        </w:tc>
        <w:tc>
          <w:tcPr>
            <w:tcW w:w="7940" w:type="dxa"/>
            <w:vAlign w:val="bottom"/>
          </w:tcPr>
          <w:p>
            <w:pPr>
              <w:ind w:left="120"/>
              <w:spacing w:after="0"/>
              <w:rPr>
                <w:sz w:val="20"/>
                <w:szCs w:val="20"/>
                <w:color w:val="auto"/>
              </w:rPr>
            </w:pPr>
            <w:r>
              <w:rPr>
                <w:rFonts w:ascii="Arial" w:cs="Arial" w:eastAsia="Arial" w:hAnsi="Arial"/>
                <w:sz w:val="18"/>
                <w:szCs w:val="18"/>
                <w:color w:val="auto"/>
              </w:rPr>
              <w:t>Defaulting Lenders.</w:t>
            </w:r>
          </w:p>
        </w:tc>
        <w:tc>
          <w:tcPr>
            <w:tcW w:w="25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8"/>
        </w:trPr>
        <w:tc>
          <w:tcPr>
            <w:tcW w:w="8820" w:type="dxa"/>
            <w:vAlign w:val="bottom"/>
            <w:gridSpan w:val="2"/>
          </w:tcPr>
          <w:p>
            <w:pPr>
              <w:spacing w:after="0"/>
              <w:rPr>
                <w:sz w:val="20"/>
                <w:szCs w:val="20"/>
                <w:color w:val="auto"/>
              </w:rPr>
            </w:pPr>
            <w:r>
              <w:rPr>
                <w:rFonts w:ascii="Arial" w:cs="Arial" w:eastAsia="Arial" w:hAnsi="Arial"/>
                <w:sz w:val="18"/>
                <w:szCs w:val="18"/>
                <w:color w:val="auto"/>
              </w:rPr>
              <w:t>ARTICLE III. TAXES, YIELD PROTECTION AND ILLEGALITY</w:t>
            </w:r>
          </w:p>
        </w:tc>
        <w:tc>
          <w:tcPr>
            <w:tcW w:w="25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3.01</w:t>
            </w:r>
          </w:p>
        </w:tc>
        <w:tc>
          <w:tcPr>
            <w:tcW w:w="7940" w:type="dxa"/>
            <w:vAlign w:val="bottom"/>
          </w:tcPr>
          <w:p>
            <w:pPr>
              <w:ind w:left="120"/>
              <w:spacing w:after="0"/>
              <w:rPr>
                <w:sz w:val="20"/>
                <w:szCs w:val="20"/>
                <w:color w:val="auto"/>
              </w:rPr>
            </w:pPr>
            <w:r>
              <w:rPr>
                <w:rFonts w:ascii="Arial" w:cs="Arial" w:eastAsia="Arial" w:hAnsi="Arial"/>
                <w:sz w:val="18"/>
                <w:szCs w:val="18"/>
                <w:color w:val="auto"/>
              </w:rPr>
              <w:t>Taxes.</w:t>
            </w:r>
          </w:p>
        </w:tc>
        <w:tc>
          <w:tcPr>
            <w:tcW w:w="25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3.02</w:t>
            </w:r>
          </w:p>
        </w:tc>
        <w:tc>
          <w:tcPr>
            <w:tcW w:w="7940" w:type="dxa"/>
            <w:vAlign w:val="bottom"/>
          </w:tcPr>
          <w:p>
            <w:pPr>
              <w:ind w:left="120"/>
              <w:spacing w:after="0"/>
              <w:rPr>
                <w:sz w:val="20"/>
                <w:szCs w:val="20"/>
                <w:color w:val="auto"/>
              </w:rPr>
            </w:pPr>
            <w:r>
              <w:rPr>
                <w:rFonts w:ascii="Arial" w:cs="Arial" w:eastAsia="Arial" w:hAnsi="Arial"/>
                <w:sz w:val="18"/>
                <w:szCs w:val="18"/>
                <w:color w:val="auto"/>
              </w:rPr>
              <w:t>Illegality.</w:t>
            </w:r>
          </w:p>
        </w:tc>
        <w:tc>
          <w:tcPr>
            <w:tcW w:w="25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3.03</w:t>
            </w:r>
          </w:p>
        </w:tc>
        <w:tc>
          <w:tcPr>
            <w:tcW w:w="7940" w:type="dxa"/>
            <w:vAlign w:val="bottom"/>
          </w:tcPr>
          <w:p>
            <w:pPr>
              <w:ind w:left="120"/>
              <w:spacing w:after="0"/>
              <w:rPr>
                <w:sz w:val="20"/>
                <w:szCs w:val="20"/>
                <w:color w:val="auto"/>
              </w:rPr>
            </w:pPr>
            <w:r>
              <w:rPr>
                <w:rFonts w:ascii="Arial" w:cs="Arial" w:eastAsia="Arial" w:hAnsi="Arial"/>
                <w:sz w:val="18"/>
                <w:szCs w:val="18"/>
                <w:color w:val="auto"/>
              </w:rPr>
              <w:t>Inability to Determine Rates.</w:t>
            </w:r>
          </w:p>
        </w:tc>
        <w:tc>
          <w:tcPr>
            <w:tcW w:w="25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3.04</w:t>
            </w:r>
          </w:p>
        </w:tc>
        <w:tc>
          <w:tcPr>
            <w:tcW w:w="7940" w:type="dxa"/>
            <w:vAlign w:val="bottom"/>
          </w:tcPr>
          <w:p>
            <w:pPr>
              <w:ind w:left="120"/>
              <w:spacing w:after="0"/>
              <w:rPr>
                <w:sz w:val="20"/>
                <w:szCs w:val="20"/>
                <w:color w:val="auto"/>
              </w:rPr>
            </w:pPr>
            <w:r>
              <w:rPr>
                <w:rFonts w:ascii="Arial" w:cs="Arial" w:eastAsia="Arial" w:hAnsi="Arial"/>
                <w:sz w:val="18"/>
                <w:szCs w:val="18"/>
                <w:color w:val="auto"/>
              </w:rPr>
              <w:t>Increased Costs; Reserves on Eurodollar Rate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3.05</w:t>
            </w:r>
          </w:p>
        </w:tc>
        <w:tc>
          <w:tcPr>
            <w:tcW w:w="7940" w:type="dxa"/>
            <w:vAlign w:val="bottom"/>
          </w:tcPr>
          <w:p>
            <w:pPr>
              <w:ind w:left="120"/>
              <w:spacing w:after="0"/>
              <w:rPr>
                <w:sz w:val="20"/>
                <w:szCs w:val="20"/>
                <w:color w:val="auto"/>
              </w:rPr>
            </w:pPr>
            <w:r>
              <w:rPr>
                <w:rFonts w:ascii="Arial" w:cs="Arial" w:eastAsia="Arial" w:hAnsi="Arial"/>
                <w:sz w:val="18"/>
                <w:szCs w:val="18"/>
                <w:color w:val="auto"/>
              </w:rPr>
              <w:t>Compensation for Losses.</w:t>
            </w:r>
          </w:p>
        </w:tc>
        <w:tc>
          <w:tcPr>
            <w:tcW w:w="25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3.06</w:t>
            </w:r>
          </w:p>
        </w:tc>
        <w:tc>
          <w:tcPr>
            <w:tcW w:w="7940" w:type="dxa"/>
            <w:vAlign w:val="bottom"/>
          </w:tcPr>
          <w:p>
            <w:pPr>
              <w:ind w:left="120"/>
              <w:spacing w:after="0"/>
              <w:rPr>
                <w:sz w:val="20"/>
                <w:szCs w:val="20"/>
                <w:color w:val="auto"/>
              </w:rPr>
            </w:pPr>
            <w:r>
              <w:rPr>
                <w:rFonts w:ascii="Arial" w:cs="Arial" w:eastAsia="Arial" w:hAnsi="Arial"/>
                <w:sz w:val="18"/>
                <w:szCs w:val="18"/>
                <w:color w:val="auto"/>
              </w:rPr>
              <w:t>Mitigation Obligations; Replacement of Lenders.</w:t>
            </w:r>
          </w:p>
        </w:tc>
        <w:tc>
          <w:tcPr>
            <w:tcW w:w="25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2"/>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3.07</w:t>
            </w:r>
          </w:p>
        </w:tc>
        <w:tc>
          <w:tcPr>
            <w:tcW w:w="7940" w:type="dxa"/>
            <w:vAlign w:val="bottom"/>
          </w:tcPr>
          <w:p>
            <w:pPr>
              <w:ind w:left="120"/>
              <w:spacing w:after="0"/>
              <w:rPr>
                <w:sz w:val="20"/>
                <w:szCs w:val="20"/>
                <w:color w:val="auto"/>
              </w:rPr>
            </w:pPr>
            <w:r>
              <w:rPr>
                <w:rFonts w:ascii="Arial" w:cs="Arial" w:eastAsia="Arial" w:hAnsi="Arial"/>
                <w:sz w:val="18"/>
                <w:szCs w:val="18"/>
                <w:color w:val="auto"/>
              </w:rPr>
              <w:t>Survival.</w:t>
            </w:r>
          </w:p>
        </w:tc>
        <w:tc>
          <w:tcPr>
            <w:tcW w:w="25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8"/>
        </w:trPr>
        <w:tc>
          <w:tcPr>
            <w:tcW w:w="8820" w:type="dxa"/>
            <w:vAlign w:val="bottom"/>
            <w:gridSpan w:val="2"/>
          </w:tcPr>
          <w:p>
            <w:pPr>
              <w:spacing w:after="0"/>
              <w:rPr>
                <w:sz w:val="20"/>
                <w:szCs w:val="20"/>
                <w:color w:val="auto"/>
              </w:rPr>
            </w:pPr>
            <w:r>
              <w:rPr>
                <w:rFonts w:ascii="Arial" w:cs="Arial" w:eastAsia="Arial" w:hAnsi="Arial"/>
                <w:sz w:val="18"/>
                <w:szCs w:val="18"/>
                <w:color w:val="auto"/>
              </w:rPr>
              <w:t>ARTICLE IV. CONDITIONS PRECEDENT</w:t>
            </w:r>
          </w:p>
        </w:tc>
        <w:tc>
          <w:tcPr>
            <w:tcW w:w="25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4.01</w:t>
            </w:r>
          </w:p>
        </w:tc>
        <w:tc>
          <w:tcPr>
            <w:tcW w:w="7940" w:type="dxa"/>
            <w:vAlign w:val="bottom"/>
          </w:tcPr>
          <w:p>
            <w:pPr>
              <w:ind w:left="120"/>
              <w:spacing w:after="0"/>
              <w:rPr>
                <w:sz w:val="20"/>
                <w:szCs w:val="20"/>
                <w:color w:val="auto"/>
              </w:rPr>
            </w:pPr>
            <w:r>
              <w:rPr>
                <w:rFonts w:ascii="Arial" w:cs="Arial" w:eastAsia="Arial" w:hAnsi="Arial"/>
                <w:sz w:val="18"/>
                <w:szCs w:val="18"/>
                <w:color w:val="auto"/>
              </w:rPr>
              <w:t>Conditions to Effectiveness.</w:t>
            </w:r>
          </w:p>
        </w:tc>
        <w:tc>
          <w:tcPr>
            <w:tcW w:w="25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2"/>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4.02</w:t>
            </w:r>
          </w:p>
        </w:tc>
        <w:tc>
          <w:tcPr>
            <w:tcW w:w="7940" w:type="dxa"/>
            <w:vAlign w:val="bottom"/>
          </w:tcPr>
          <w:p>
            <w:pPr>
              <w:ind w:left="120"/>
              <w:spacing w:after="0"/>
              <w:rPr>
                <w:sz w:val="20"/>
                <w:szCs w:val="20"/>
                <w:color w:val="auto"/>
              </w:rPr>
            </w:pPr>
            <w:r>
              <w:rPr>
                <w:rFonts w:ascii="Arial" w:cs="Arial" w:eastAsia="Arial" w:hAnsi="Arial"/>
                <w:sz w:val="18"/>
                <w:szCs w:val="18"/>
                <w:color w:val="auto"/>
              </w:rPr>
              <w:t>Conditions to all Credit Extensions.</w:t>
            </w:r>
          </w:p>
        </w:tc>
        <w:tc>
          <w:tcPr>
            <w:tcW w:w="25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8"/>
        </w:trPr>
        <w:tc>
          <w:tcPr>
            <w:tcW w:w="882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w:t>
            </w:r>
          </w:p>
        </w:tc>
        <w:tc>
          <w:tcPr>
            <w:tcW w:w="25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5.01</w:t>
            </w:r>
          </w:p>
        </w:tc>
        <w:tc>
          <w:tcPr>
            <w:tcW w:w="7940" w:type="dxa"/>
            <w:vAlign w:val="bottom"/>
          </w:tcPr>
          <w:p>
            <w:pPr>
              <w:ind w:left="120"/>
              <w:spacing w:after="0"/>
              <w:rPr>
                <w:sz w:val="20"/>
                <w:szCs w:val="20"/>
                <w:color w:val="auto"/>
              </w:rPr>
            </w:pPr>
            <w:r>
              <w:rPr>
                <w:rFonts w:ascii="Arial" w:cs="Arial" w:eastAsia="Arial" w:hAnsi="Arial"/>
                <w:sz w:val="18"/>
                <w:szCs w:val="18"/>
                <w:color w:val="auto"/>
              </w:rPr>
              <w:t>Existence, Qualification and Power.</w:t>
            </w:r>
          </w:p>
        </w:tc>
        <w:tc>
          <w:tcPr>
            <w:tcW w:w="25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5.02</w:t>
            </w:r>
          </w:p>
        </w:tc>
        <w:tc>
          <w:tcPr>
            <w:tcW w:w="7940" w:type="dxa"/>
            <w:vAlign w:val="bottom"/>
          </w:tcPr>
          <w:p>
            <w:pPr>
              <w:ind w:left="120"/>
              <w:spacing w:after="0"/>
              <w:rPr>
                <w:sz w:val="20"/>
                <w:szCs w:val="20"/>
                <w:color w:val="auto"/>
              </w:rPr>
            </w:pPr>
            <w:r>
              <w:rPr>
                <w:rFonts w:ascii="Arial" w:cs="Arial" w:eastAsia="Arial" w:hAnsi="Arial"/>
                <w:sz w:val="18"/>
                <w:szCs w:val="18"/>
                <w:color w:val="auto"/>
              </w:rPr>
              <w:t>Authorization; No Contravention.</w:t>
            </w:r>
          </w:p>
        </w:tc>
        <w:tc>
          <w:tcPr>
            <w:tcW w:w="2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5.03</w:t>
            </w:r>
          </w:p>
        </w:tc>
        <w:tc>
          <w:tcPr>
            <w:tcW w:w="7940" w:type="dxa"/>
            <w:vAlign w:val="bottom"/>
          </w:tcPr>
          <w:p>
            <w:pPr>
              <w:ind w:left="120"/>
              <w:spacing w:after="0"/>
              <w:rPr>
                <w:sz w:val="20"/>
                <w:szCs w:val="20"/>
                <w:color w:val="auto"/>
              </w:rPr>
            </w:pPr>
            <w:r>
              <w:rPr>
                <w:rFonts w:ascii="Arial" w:cs="Arial" w:eastAsia="Arial" w:hAnsi="Arial"/>
                <w:sz w:val="18"/>
                <w:szCs w:val="18"/>
                <w:color w:val="auto"/>
              </w:rPr>
              <w:t>Governmental Authorization; Other Consents.</w:t>
            </w:r>
          </w:p>
        </w:tc>
        <w:tc>
          <w:tcPr>
            <w:tcW w:w="2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5.04</w:t>
            </w:r>
          </w:p>
        </w:tc>
        <w:tc>
          <w:tcPr>
            <w:tcW w:w="7940" w:type="dxa"/>
            <w:vAlign w:val="bottom"/>
          </w:tcPr>
          <w:p>
            <w:pPr>
              <w:ind w:left="120"/>
              <w:spacing w:after="0"/>
              <w:rPr>
                <w:sz w:val="20"/>
                <w:szCs w:val="20"/>
                <w:color w:val="auto"/>
              </w:rPr>
            </w:pPr>
            <w:r>
              <w:rPr>
                <w:rFonts w:ascii="Arial" w:cs="Arial" w:eastAsia="Arial" w:hAnsi="Arial"/>
                <w:sz w:val="18"/>
                <w:szCs w:val="18"/>
                <w:color w:val="auto"/>
              </w:rPr>
              <w:t>Binding Effect.</w:t>
            </w:r>
          </w:p>
        </w:tc>
        <w:tc>
          <w:tcPr>
            <w:tcW w:w="2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5.05</w:t>
            </w:r>
          </w:p>
        </w:tc>
        <w:tc>
          <w:tcPr>
            <w:tcW w:w="7940" w:type="dxa"/>
            <w:vAlign w:val="bottom"/>
          </w:tcPr>
          <w:p>
            <w:pPr>
              <w:ind w:left="120"/>
              <w:spacing w:after="0"/>
              <w:rPr>
                <w:sz w:val="20"/>
                <w:szCs w:val="20"/>
                <w:color w:val="auto"/>
              </w:rPr>
            </w:pPr>
            <w:r>
              <w:rPr>
                <w:rFonts w:ascii="Arial" w:cs="Arial" w:eastAsia="Arial" w:hAnsi="Arial"/>
                <w:sz w:val="18"/>
                <w:szCs w:val="18"/>
                <w:color w:val="auto"/>
              </w:rPr>
              <w:t>Financial Statements; No Material Adverse Effect.</w:t>
            </w:r>
          </w:p>
        </w:tc>
        <w:tc>
          <w:tcPr>
            <w:tcW w:w="2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5.06</w:t>
            </w:r>
          </w:p>
        </w:tc>
        <w:tc>
          <w:tcPr>
            <w:tcW w:w="794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2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5.07</w:t>
            </w:r>
          </w:p>
        </w:tc>
        <w:tc>
          <w:tcPr>
            <w:tcW w:w="7940" w:type="dxa"/>
            <w:vAlign w:val="bottom"/>
          </w:tcPr>
          <w:p>
            <w:pPr>
              <w:ind w:left="120"/>
              <w:spacing w:after="0"/>
              <w:rPr>
                <w:sz w:val="20"/>
                <w:szCs w:val="20"/>
                <w:color w:val="auto"/>
              </w:rPr>
            </w:pPr>
            <w:r>
              <w:rPr>
                <w:rFonts w:ascii="Arial" w:cs="Arial" w:eastAsia="Arial" w:hAnsi="Arial"/>
                <w:sz w:val="18"/>
                <w:szCs w:val="18"/>
                <w:color w:val="auto"/>
              </w:rPr>
              <w:t>No Default.</w:t>
            </w:r>
          </w:p>
        </w:tc>
        <w:tc>
          <w:tcPr>
            <w:tcW w:w="2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2"/>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5.08</w:t>
            </w:r>
          </w:p>
        </w:tc>
        <w:tc>
          <w:tcPr>
            <w:tcW w:w="7940" w:type="dxa"/>
            <w:vAlign w:val="bottom"/>
          </w:tcPr>
          <w:p>
            <w:pPr>
              <w:ind w:left="120"/>
              <w:spacing w:after="0"/>
              <w:rPr>
                <w:sz w:val="20"/>
                <w:szCs w:val="20"/>
                <w:color w:val="auto"/>
              </w:rPr>
            </w:pPr>
            <w:r>
              <w:rPr>
                <w:rFonts w:ascii="Arial" w:cs="Arial" w:eastAsia="Arial" w:hAnsi="Arial"/>
                <w:sz w:val="18"/>
                <w:szCs w:val="18"/>
                <w:color w:val="auto"/>
              </w:rPr>
              <w:t>Ownership of Property; Liens.</w:t>
            </w:r>
          </w:p>
        </w:tc>
        <w:tc>
          <w:tcPr>
            <w:tcW w:w="250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8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19"/>
                <w:szCs w:val="19"/>
                <w:color w:val="auto"/>
              </w:rPr>
            </w:pPr>
          </w:p>
        </w:tc>
        <w:tc>
          <w:tcPr>
            <w:tcW w:w="8360" w:type="dxa"/>
            <w:vAlign w:val="bottom"/>
          </w:tcPr>
          <w:p>
            <w:pPr>
              <w:ind w:left="3780"/>
              <w:spacing w:after="0"/>
              <w:rPr>
                <w:sz w:val="20"/>
                <w:szCs w:val="20"/>
                <w:color w:val="auto"/>
              </w:rPr>
            </w:pPr>
            <w:r>
              <w:rPr>
                <w:rFonts w:ascii="Arial" w:cs="Arial" w:eastAsia="Arial" w:hAnsi="Arial"/>
                <w:sz w:val="18"/>
                <w:szCs w:val="18"/>
                <w:color w:val="auto"/>
              </w:rPr>
              <w:t>Table of Contents (continued)</w:t>
            </w:r>
          </w:p>
        </w:tc>
        <w:tc>
          <w:tcPr>
            <w:tcW w:w="2080" w:type="dxa"/>
            <w:vAlign w:val="bottom"/>
          </w:tcPr>
          <w:p>
            <w:pPr>
              <w:spacing w:after="0"/>
              <w:rPr>
                <w:sz w:val="19"/>
                <w:szCs w:val="19"/>
                <w:color w:val="auto"/>
              </w:rPr>
            </w:pPr>
          </w:p>
        </w:tc>
      </w:tr>
      <w:tr>
        <w:trPr>
          <w:trHeight w:val="312"/>
        </w:trPr>
        <w:tc>
          <w:tcPr>
            <w:tcW w:w="88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303"/>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5.09</w:t>
            </w:r>
          </w:p>
        </w:tc>
        <w:tc>
          <w:tcPr>
            <w:tcW w:w="8360" w:type="dxa"/>
            <w:vAlign w:val="bottom"/>
          </w:tcPr>
          <w:p>
            <w:pPr>
              <w:ind w:left="120"/>
              <w:spacing w:after="0"/>
              <w:rPr>
                <w:sz w:val="20"/>
                <w:szCs w:val="20"/>
                <w:color w:val="auto"/>
              </w:rPr>
            </w:pPr>
            <w:r>
              <w:rPr>
                <w:rFonts w:ascii="Arial" w:cs="Arial" w:eastAsia="Arial" w:hAnsi="Arial"/>
                <w:sz w:val="18"/>
                <w:szCs w:val="18"/>
                <w:color w:val="auto"/>
              </w:rPr>
              <w:t>Environmental Compliance.</w:t>
            </w:r>
          </w:p>
        </w:tc>
        <w:tc>
          <w:tcPr>
            <w:tcW w:w="20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5.10</w:t>
            </w:r>
          </w:p>
        </w:tc>
        <w:tc>
          <w:tcPr>
            <w:tcW w:w="8360" w:type="dxa"/>
            <w:vAlign w:val="bottom"/>
          </w:tcPr>
          <w:p>
            <w:pPr>
              <w:ind w:left="120"/>
              <w:spacing w:after="0"/>
              <w:rPr>
                <w:sz w:val="20"/>
                <w:szCs w:val="20"/>
                <w:color w:val="auto"/>
              </w:rPr>
            </w:pPr>
            <w:r>
              <w:rPr>
                <w:rFonts w:ascii="Arial" w:cs="Arial" w:eastAsia="Arial" w:hAnsi="Arial"/>
                <w:sz w:val="18"/>
                <w:szCs w:val="18"/>
                <w:color w:val="auto"/>
              </w:rPr>
              <w:t>Insurance.</w:t>
            </w:r>
          </w:p>
        </w:tc>
        <w:tc>
          <w:tcPr>
            <w:tcW w:w="20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5.11</w:t>
            </w:r>
          </w:p>
        </w:tc>
        <w:tc>
          <w:tcPr>
            <w:tcW w:w="8360" w:type="dxa"/>
            <w:vAlign w:val="bottom"/>
          </w:tcPr>
          <w:p>
            <w:pPr>
              <w:ind w:left="120"/>
              <w:spacing w:after="0"/>
              <w:rPr>
                <w:sz w:val="20"/>
                <w:szCs w:val="20"/>
                <w:color w:val="auto"/>
              </w:rPr>
            </w:pPr>
            <w:r>
              <w:rPr>
                <w:rFonts w:ascii="Arial" w:cs="Arial" w:eastAsia="Arial" w:hAnsi="Arial"/>
                <w:sz w:val="18"/>
                <w:szCs w:val="18"/>
                <w:color w:val="auto"/>
              </w:rPr>
              <w:t>Taxes.</w:t>
            </w:r>
          </w:p>
        </w:tc>
        <w:tc>
          <w:tcPr>
            <w:tcW w:w="20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5.12</w:t>
            </w:r>
          </w:p>
        </w:tc>
        <w:tc>
          <w:tcPr>
            <w:tcW w:w="8360" w:type="dxa"/>
            <w:vAlign w:val="bottom"/>
          </w:tcPr>
          <w:p>
            <w:pPr>
              <w:ind w:left="120"/>
              <w:spacing w:after="0"/>
              <w:rPr>
                <w:sz w:val="20"/>
                <w:szCs w:val="20"/>
                <w:color w:val="auto"/>
              </w:rPr>
            </w:pPr>
            <w:r>
              <w:rPr>
                <w:rFonts w:ascii="Arial" w:cs="Arial" w:eastAsia="Arial" w:hAnsi="Arial"/>
                <w:sz w:val="18"/>
                <w:szCs w:val="18"/>
                <w:color w:val="auto"/>
              </w:rPr>
              <w:t>ERISA Compliance.</w:t>
            </w:r>
          </w:p>
        </w:tc>
        <w:tc>
          <w:tcPr>
            <w:tcW w:w="20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5.13</w:t>
            </w:r>
          </w:p>
        </w:tc>
        <w:tc>
          <w:tcPr>
            <w:tcW w:w="8360" w:type="dxa"/>
            <w:vAlign w:val="bottom"/>
          </w:tcPr>
          <w:p>
            <w:pPr>
              <w:ind w:left="120"/>
              <w:spacing w:after="0"/>
              <w:rPr>
                <w:sz w:val="20"/>
                <w:szCs w:val="20"/>
                <w:color w:val="auto"/>
              </w:rPr>
            </w:pPr>
            <w:r>
              <w:rPr>
                <w:rFonts w:ascii="Arial" w:cs="Arial" w:eastAsia="Arial" w:hAnsi="Arial"/>
                <w:sz w:val="18"/>
                <w:szCs w:val="18"/>
                <w:color w:val="auto"/>
              </w:rPr>
              <w:t>Subsidiaries.</w:t>
            </w:r>
          </w:p>
        </w:tc>
        <w:tc>
          <w:tcPr>
            <w:tcW w:w="20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5.14</w:t>
            </w:r>
          </w:p>
        </w:tc>
        <w:tc>
          <w:tcPr>
            <w:tcW w:w="8360" w:type="dxa"/>
            <w:vAlign w:val="bottom"/>
          </w:tcPr>
          <w:p>
            <w:pPr>
              <w:ind w:left="120"/>
              <w:spacing w:after="0"/>
              <w:rPr>
                <w:sz w:val="20"/>
                <w:szCs w:val="20"/>
                <w:color w:val="auto"/>
              </w:rPr>
            </w:pPr>
            <w:r>
              <w:rPr>
                <w:rFonts w:ascii="Arial" w:cs="Arial" w:eastAsia="Arial" w:hAnsi="Arial"/>
                <w:sz w:val="18"/>
                <w:szCs w:val="18"/>
                <w:color w:val="auto"/>
              </w:rPr>
              <w:t>Margin Regulations; Investment Company Act.</w:t>
            </w:r>
          </w:p>
        </w:tc>
        <w:tc>
          <w:tcPr>
            <w:tcW w:w="20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5.15</w:t>
            </w:r>
          </w:p>
        </w:tc>
        <w:tc>
          <w:tcPr>
            <w:tcW w:w="8360" w:type="dxa"/>
            <w:vAlign w:val="bottom"/>
          </w:tcPr>
          <w:p>
            <w:pPr>
              <w:ind w:left="120"/>
              <w:spacing w:after="0"/>
              <w:rPr>
                <w:sz w:val="20"/>
                <w:szCs w:val="20"/>
                <w:color w:val="auto"/>
              </w:rPr>
            </w:pPr>
            <w:r>
              <w:rPr>
                <w:rFonts w:ascii="Arial" w:cs="Arial" w:eastAsia="Arial" w:hAnsi="Arial"/>
                <w:sz w:val="18"/>
                <w:szCs w:val="18"/>
                <w:color w:val="auto"/>
              </w:rPr>
              <w:t>Disclosure.</w:t>
            </w:r>
          </w:p>
        </w:tc>
        <w:tc>
          <w:tcPr>
            <w:tcW w:w="20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5.16</w:t>
            </w:r>
          </w:p>
        </w:tc>
        <w:tc>
          <w:tcPr>
            <w:tcW w:w="8360" w:type="dxa"/>
            <w:vAlign w:val="bottom"/>
          </w:tcPr>
          <w:p>
            <w:pPr>
              <w:ind w:left="120"/>
              <w:spacing w:after="0"/>
              <w:rPr>
                <w:sz w:val="20"/>
                <w:szCs w:val="20"/>
                <w:color w:val="auto"/>
              </w:rPr>
            </w:pPr>
            <w:r>
              <w:rPr>
                <w:rFonts w:ascii="Arial" w:cs="Arial" w:eastAsia="Arial" w:hAnsi="Arial"/>
                <w:sz w:val="18"/>
                <w:szCs w:val="18"/>
                <w:color w:val="auto"/>
              </w:rPr>
              <w:t>Compliance with Laws.</w:t>
            </w:r>
          </w:p>
        </w:tc>
        <w:tc>
          <w:tcPr>
            <w:tcW w:w="20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5.17</w:t>
            </w:r>
          </w:p>
        </w:tc>
        <w:tc>
          <w:tcPr>
            <w:tcW w:w="8360" w:type="dxa"/>
            <w:vAlign w:val="bottom"/>
          </w:tcPr>
          <w:p>
            <w:pPr>
              <w:ind w:left="120"/>
              <w:spacing w:after="0"/>
              <w:rPr>
                <w:sz w:val="20"/>
                <w:szCs w:val="20"/>
                <w:color w:val="auto"/>
              </w:rPr>
            </w:pPr>
            <w:r>
              <w:rPr>
                <w:rFonts w:ascii="Arial" w:cs="Arial" w:eastAsia="Arial" w:hAnsi="Arial"/>
                <w:sz w:val="18"/>
                <w:szCs w:val="18"/>
                <w:color w:val="auto"/>
              </w:rPr>
              <w:t>Taxpayer Identification Number.</w:t>
            </w:r>
          </w:p>
        </w:tc>
        <w:tc>
          <w:tcPr>
            <w:tcW w:w="20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5.18</w:t>
            </w:r>
          </w:p>
        </w:tc>
        <w:tc>
          <w:tcPr>
            <w:tcW w:w="8360" w:type="dxa"/>
            <w:vAlign w:val="bottom"/>
          </w:tcPr>
          <w:p>
            <w:pPr>
              <w:ind w:left="120"/>
              <w:spacing w:after="0"/>
              <w:rPr>
                <w:sz w:val="20"/>
                <w:szCs w:val="20"/>
                <w:color w:val="auto"/>
              </w:rPr>
            </w:pPr>
            <w:r>
              <w:rPr>
                <w:rFonts w:ascii="Arial" w:cs="Arial" w:eastAsia="Arial" w:hAnsi="Arial"/>
                <w:sz w:val="18"/>
                <w:szCs w:val="18"/>
                <w:color w:val="auto"/>
              </w:rPr>
              <w:t>Intellectual Property; Licenses, Etc.</w:t>
            </w:r>
          </w:p>
        </w:tc>
        <w:tc>
          <w:tcPr>
            <w:tcW w:w="20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5.19</w:t>
            </w:r>
          </w:p>
        </w:tc>
        <w:tc>
          <w:tcPr>
            <w:tcW w:w="8360" w:type="dxa"/>
            <w:vAlign w:val="bottom"/>
          </w:tcPr>
          <w:p>
            <w:pPr>
              <w:ind w:left="120"/>
              <w:spacing w:after="0"/>
              <w:rPr>
                <w:sz w:val="20"/>
                <w:szCs w:val="20"/>
                <w:color w:val="auto"/>
              </w:rPr>
            </w:pPr>
            <w:r>
              <w:rPr>
                <w:rFonts w:ascii="Arial" w:cs="Arial" w:eastAsia="Arial" w:hAnsi="Arial"/>
                <w:sz w:val="18"/>
                <w:szCs w:val="18"/>
                <w:color w:val="auto"/>
              </w:rPr>
              <w:t>OFAC.</w:t>
            </w:r>
          </w:p>
        </w:tc>
        <w:tc>
          <w:tcPr>
            <w:tcW w:w="20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2"/>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5.20</w:t>
            </w:r>
          </w:p>
        </w:tc>
        <w:tc>
          <w:tcPr>
            <w:tcW w:w="8360" w:type="dxa"/>
            <w:vAlign w:val="bottom"/>
          </w:tcPr>
          <w:p>
            <w:pPr>
              <w:ind w:left="120"/>
              <w:spacing w:after="0"/>
              <w:rPr>
                <w:sz w:val="20"/>
                <w:szCs w:val="20"/>
                <w:color w:val="auto"/>
              </w:rPr>
            </w:pPr>
            <w:r>
              <w:rPr>
                <w:rFonts w:ascii="Arial" w:cs="Arial" w:eastAsia="Arial" w:hAnsi="Arial"/>
                <w:sz w:val="18"/>
                <w:szCs w:val="18"/>
                <w:color w:val="auto"/>
              </w:rPr>
              <w:t>Anti-Terrorism Laws.</w:t>
            </w:r>
          </w:p>
        </w:tc>
        <w:tc>
          <w:tcPr>
            <w:tcW w:w="20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8"/>
        </w:trPr>
        <w:tc>
          <w:tcPr>
            <w:tcW w:w="9240" w:type="dxa"/>
            <w:vAlign w:val="bottom"/>
            <w:gridSpan w:val="2"/>
          </w:tcPr>
          <w:p>
            <w:pPr>
              <w:spacing w:after="0"/>
              <w:rPr>
                <w:sz w:val="20"/>
                <w:szCs w:val="20"/>
                <w:color w:val="auto"/>
              </w:rPr>
            </w:pPr>
            <w:r>
              <w:rPr>
                <w:rFonts w:ascii="Arial" w:cs="Arial" w:eastAsia="Arial" w:hAnsi="Arial"/>
                <w:sz w:val="18"/>
                <w:szCs w:val="18"/>
                <w:color w:val="auto"/>
              </w:rPr>
              <w:t>ARTICLE VI. AFFIRMATIVE COVENANTS</w:t>
            </w:r>
          </w:p>
        </w:tc>
        <w:tc>
          <w:tcPr>
            <w:tcW w:w="20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6.01</w:t>
            </w:r>
          </w:p>
        </w:tc>
        <w:tc>
          <w:tcPr>
            <w:tcW w:w="8360" w:type="dxa"/>
            <w:vAlign w:val="bottom"/>
          </w:tcPr>
          <w:p>
            <w:pPr>
              <w:ind w:left="120"/>
              <w:spacing w:after="0"/>
              <w:rPr>
                <w:sz w:val="20"/>
                <w:szCs w:val="20"/>
                <w:color w:val="auto"/>
              </w:rPr>
            </w:pPr>
            <w:r>
              <w:rPr>
                <w:rFonts w:ascii="Arial" w:cs="Arial" w:eastAsia="Arial" w:hAnsi="Arial"/>
                <w:sz w:val="18"/>
                <w:szCs w:val="18"/>
                <w:color w:val="auto"/>
              </w:rPr>
              <w:t>Financial Statements.</w:t>
            </w:r>
          </w:p>
        </w:tc>
        <w:tc>
          <w:tcPr>
            <w:tcW w:w="20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6.02</w:t>
            </w:r>
          </w:p>
        </w:tc>
        <w:tc>
          <w:tcPr>
            <w:tcW w:w="8360" w:type="dxa"/>
            <w:vAlign w:val="bottom"/>
          </w:tcPr>
          <w:p>
            <w:pPr>
              <w:ind w:left="120"/>
              <w:spacing w:after="0"/>
              <w:rPr>
                <w:sz w:val="20"/>
                <w:szCs w:val="20"/>
                <w:color w:val="auto"/>
              </w:rPr>
            </w:pPr>
            <w:r>
              <w:rPr>
                <w:rFonts w:ascii="Arial" w:cs="Arial" w:eastAsia="Arial" w:hAnsi="Arial"/>
                <w:sz w:val="18"/>
                <w:szCs w:val="18"/>
                <w:color w:val="auto"/>
              </w:rPr>
              <w:t>Certificates; Other Information.</w:t>
            </w:r>
          </w:p>
        </w:tc>
        <w:tc>
          <w:tcPr>
            <w:tcW w:w="20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6.03</w:t>
            </w:r>
          </w:p>
        </w:tc>
        <w:tc>
          <w:tcPr>
            <w:tcW w:w="8360" w:type="dxa"/>
            <w:vAlign w:val="bottom"/>
          </w:tcPr>
          <w:p>
            <w:pPr>
              <w:ind w:left="120"/>
              <w:spacing w:after="0"/>
              <w:rPr>
                <w:sz w:val="20"/>
                <w:szCs w:val="20"/>
                <w:color w:val="auto"/>
              </w:rPr>
            </w:pPr>
            <w:r>
              <w:rPr>
                <w:rFonts w:ascii="Arial" w:cs="Arial" w:eastAsia="Arial" w:hAnsi="Arial"/>
                <w:sz w:val="18"/>
                <w:szCs w:val="18"/>
                <w:color w:val="auto"/>
              </w:rPr>
              <w:t>Notices.</w:t>
            </w:r>
          </w:p>
        </w:tc>
        <w:tc>
          <w:tcPr>
            <w:tcW w:w="20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6.04</w:t>
            </w:r>
          </w:p>
        </w:tc>
        <w:tc>
          <w:tcPr>
            <w:tcW w:w="8360" w:type="dxa"/>
            <w:vAlign w:val="bottom"/>
          </w:tcPr>
          <w:p>
            <w:pPr>
              <w:ind w:left="120"/>
              <w:spacing w:after="0"/>
              <w:rPr>
                <w:sz w:val="20"/>
                <w:szCs w:val="20"/>
                <w:color w:val="auto"/>
              </w:rPr>
            </w:pPr>
            <w:r>
              <w:rPr>
                <w:rFonts w:ascii="Arial" w:cs="Arial" w:eastAsia="Arial" w:hAnsi="Arial"/>
                <w:sz w:val="18"/>
                <w:szCs w:val="18"/>
                <w:color w:val="auto"/>
              </w:rPr>
              <w:t>Payment of Obligations.</w:t>
            </w:r>
          </w:p>
        </w:tc>
        <w:tc>
          <w:tcPr>
            <w:tcW w:w="20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6.05</w:t>
            </w:r>
          </w:p>
        </w:tc>
        <w:tc>
          <w:tcPr>
            <w:tcW w:w="8360" w:type="dxa"/>
            <w:vAlign w:val="bottom"/>
          </w:tcPr>
          <w:p>
            <w:pPr>
              <w:ind w:left="120"/>
              <w:spacing w:after="0"/>
              <w:rPr>
                <w:sz w:val="20"/>
                <w:szCs w:val="20"/>
                <w:color w:val="auto"/>
              </w:rPr>
            </w:pPr>
            <w:r>
              <w:rPr>
                <w:rFonts w:ascii="Arial" w:cs="Arial" w:eastAsia="Arial" w:hAnsi="Arial"/>
                <w:sz w:val="18"/>
                <w:szCs w:val="18"/>
                <w:color w:val="auto"/>
              </w:rPr>
              <w:t>Preservation of Existence, Etc.</w:t>
            </w:r>
          </w:p>
        </w:tc>
        <w:tc>
          <w:tcPr>
            <w:tcW w:w="20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6.06</w:t>
            </w:r>
          </w:p>
        </w:tc>
        <w:tc>
          <w:tcPr>
            <w:tcW w:w="8360" w:type="dxa"/>
            <w:vAlign w:val="bottom"/>
          </w:tcPr>
          <w:p>
            <w:pPr>
              <w:ind w:left="120"/>
              <w:spacing w:after="0"/>
              <w:rPr>
                <w:sz w:val="20"/>
                <w:szCs w:val="20"/>
                <w:color w:val="auto"/>
              </w:rPr>
            </w:pPr>
            <w:r>
              <w:rPr>
                <w:rFonts w:ascii="Arial" w:cs="Arial" w:eastAsia="Arial" w:hAnsi="Arial"/>
                <w:sz w:val="18"/>
                <w:szCs w:val="18"/>
                <w:color w:val="auto"/>
              </w:rPr>
              <w:t>Maintenance of Properties.</w:t>
            </w:r>
          </w:p>
        </w:tc>
        <w:tc>
          <w:tcPr>
            <w:tcW w:w="20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6.07</w:t>
            </w:r>
          </w:p>
        </w:tc>
        <w:tc>
          <w:tcPr>
            <w:tcW w:w="8360" w:type="dxa"/>
            <w:vAlign w:val="bottom"/>
          </w:tcPr>
          <w:p>
            <w:pPr>
              <w:ind w:left="120"/>
              <w:spacing w:after="0"/>
              <w:rPr>
                <w:sz w:val="20"/>
                <w:szCs w:val="20"/>
                <w:color w:val="auto"/>
              </w:rPr>
            </w:pPr>
            <w:r>
              <w:rPr>
                <w:rFonts w:ascii="Arial" w:cs="Arial" w:eastAsia="Arial" w:hAnsi="Arial"/>
                <w:sz w:val="18"/>
                <w:szCs w:val="18"/>
                <w:color w:val="auto"/>
              </w:rPr>
              <w:t>Maintenance of Insurance.</w:t>
            </w:r>
          </w:p>
        </w:tc>
        <w:tc>
          <w:tcPr>
            <w:tcW w:w="20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6.08</w:t>
            </w:r>
          </w:p>
        </w:tc>
        <w:tc>
          <w:tcPr>
            <w:tcW w:w="8360" w:type="dxa"/>
            <w:vAlign w:val="bottom"/>
          </w:tcPr>
          <w:p>
            <w:pPr>
              <w:ind w:left="120"/>
              <w:spacing w:after="0"/>
              <w:rPr>
                <w:sz w:val="20"/>
                <w:szCs w:val="20"/>
                <w:color w:val="auto"/>
              </w:rPr>
            </w:pPr>
            <w:r>
              <w:rPr>
                <w:rFonts w:ascii="Arial" w:cs="Arial" w:eastAsia="Arial" w:hAnsi="Arial"/>
                <w:sz w:val="18"/>
                <w:szCs w:val="18"/>
                <w:color w:val="auto"/>
              </w:rPr>
              <w:t>Compliance with Laws.</w:t>
            </w:r>
          </w:p>
        </w:tc>
        <w:tc>
          <w:tcPr>
            <w:tcW w:w="20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6.09</w:t>
            </w:r>
          </w:p>
        </w:tc>
        <w:tc>
          <w:tcPr>
            <w:tcW w:w="8360" w:type="dxa"/>
            <w:vAlign w:val="bottom"/>
          </w:tcPr>
          <w:p>
            <w:pPr>
              <w:ind w:left="120"/>
              <w:spacing w:after="0"/>
              <w:rPr>
                <w:sz w:val="20"/>
                <w:szCs w:val="20"/>
                <w:color w:val="auto"/>
              </w:rPr>
            </w:pPr>
            <w:r>
              <w:rPr>
                <w:rFonts w:ascii="Arial" w:cs="Arial" w:eastAsia="Arial" w:hAnsi="Arial"/>
                <w:sz w:val="18"/>
                <w:szCs w:val="18"/>
                <w:color w:val="auto"/>
              </w:rPr>
              <w:t>Books and Records.</w:t>
            </w:r>
          </w:p>
        </w:tc>
        <w:tc>
          <w:tcPr>
            <w:tcW w:w="20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6.10</w:t>
            </w:r>
          </w:p>
        </w:tc>
        <w:tc>
          <w:tcPr>
            <w:tcW w:w="8360" w:type="dxa"/>
            <w:vAlign w:val="bottom"/>
          </w:tcPr>
          <w:p>
            <w:pPr>
              <w:ind w:left="120"/>
              <w:spacing w:after="0"/>
              <w:rPr>
                <w:sz w:val="20"/>
                <w:szCs w:val="20"/>
                <w:color w:val="auto"/>
              </w:rPr>
            </w:pPr>
            <w:r>
              <w:rPr>
                <w:rFonts w:ascii="Arial" w:cs="Arial" w:eastAsia="Arial" w:hAnsi="Arial"/>
                <w:sz w:val="18"/>
                <w:szCs w:val="18"/>
                <w:color w:val="auto"/>
              </w:rPr>
              <w:t>Inspection Rights.</w:t>
            </w:r>
          </w:p>
        </w:tc>
        <w:tc>
          <w:tcPr>
            <w:tcW w:w="20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2"/>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6.11</w:t>
            </w:r>
          </w:p>
        </w:tc>
        <w:tc>
          <w:tcPr>
            <w:tcW w:w="836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20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18"/>
        </w:trPr>
        <w:tc>
          <w:tcPr>
            <w:tcW w:w="9240" w:type="dxa"/>
            <w:vAlign w:val="bottom"/>
            <w:gridSpan w:val="2"/>
          </w:tcPr>
          <w:p>
            <w:pPr>
              <w:spacing w:after="0"/>
              <w:rPr>
                <w:sz w:val="20"/>
                <w:szCs w:val="20"/>
                <w:color w:val="auto"/>
              </w:rPr>
            </w:pPr>
            <w:r>
              <w:rPr>
                <w:rFonts w:ascii="Arial" w:cs="Arial" w:eastAsia="Arial" w:hAnsi="Arial"/>
                <w:sz w:val="18"/>
                <w:szCs w:val="18"/>
                <w:color w:val="auto"/>
              </w:rPr>
              <w:t>ARTICLE VII. NEGATIVE COVENANTS</w:t>
            </w:r>
          </w:p>
        </w:tc>
        <w:tc>
          <w:tcPr>
            <w:tcW w:w="20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7.01</w:t>
            </w:r>
          </w:p>
        </w:tc>
        <w:tc>
          <w:tcPr>
            <w:tcW w:w="8360" w:type="dxa"/>
            <w:vAlign w:val="bottom"/>
          </w:tcPr>
          <w:p>
            <w:pPr>
              <w:ind w:left="120"/>
              <w:spacing w:after="0"/>
              <w:rPr>
                <w:sz w:val="20"/>
                <w:szCs w:val="20"/>
                <w:color w:val="auto"/>
              </w:rPr>
            </w:pPr>
            <w:r>
              <w:rPr>
                <w:rFonts w:ascii="Arial" w:cs="Arial" w:eastAsia="Arial" w:hAnsi="Arial"/>
                <w:sz w:val="18"/>
                <w:szCs w:val="18"/>
                <w:color w:val="auto"/>
              </w:rPr>
              <w:t>Liens.</w:t>
            </w:r>
          </w:p>
        </w:tc>
        <w:tc>
          <w:tcPr>
            <w:tcW w:w="20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7.02</w:t>
            </w:r>
          </w:p>
        </w:tc>
        <w:tc>
          <w:tcPr>
            <w:tcW w:w="8360" w:type="dxa"/>
            <w:vAlign w:val="bottom"/>
          </w:tcPr>
          <w:p>
            <w:pPr>
              <w:ind w:left="120"/>
              <w:spacing w:after="0"/>
              <w:rPr>
                <w:sz w:val="20"/>
                <w:szCs w:val="20"/>
                <w:color w:val="auto"/>
              </w:rPr>
            </w:pPr>
            <w:r>
              <w:rPr>
                <w:rFonts w:ascii="Arial" w:cs="Arial" w:eastAsia="Arial" w:hAnsi="Arial"/>
                <w:sz w:val="18"/>
                <w:szCs w:val="18"/>
                <w:color w:val="auto"/>
              </w:rPr>
              <w:t>Indebtedness.</w:t>
            </w:r>
          </w:p>
        </w:tc>
        <w:tc>
          <w:tcPr>
            <w:tcW w:w="20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7.03</w:t>
            </w:r>
          </w:p>
        </w:tc>
        <w:tc>
          <w:tcPr>
            <w:tcW w:w="8360" w:type="dxa"/>
            <w:vAlign w:val="bottom"/>
          </w:tcPr>
          <w:p>
            <w:pPr>
              <w:ind w:left="120"/>
              <w:spacing w:after="0"/>
              <w:rPr>
                <w:sz w:val="20"/>
                <w:szCs w:val="20"/>
                <w:color w:val="auto"/>
              </w:rPr>
            </w:pPr>
            <w:r>
              <w:rPr>
                <w:rFonts w:ascii="Arial" w:cs="Arial" w:eastAsia="Arial" w:hAnsi="Arial"/>
                <w:sz w:val="18"/>
                <w:szCs w:val="18"/>
                <w:color w:val="auto"/>
              </w:rPr>
              <w:t>Fundamental Changes.</w:t>
            </w:r>
          </w:p>
        </w:tc>
        <w:tc>
          <w:tcPr>
            <w:tcW w:w="20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7.04</w:t>
            </w:r>
          </w:p>
        </w:tc>
        <w:tc>
          <w:tcPr>
            <w:tcW w:w="8360" w:type="dxa"/>
            <w:vAlign w:val="bottom"/>
          </w:tcPr>
          <w:p>
            <w:pPr>
              <w:ind w:left="120"/>
              <w:spacing w:after="0"/>
              <w:rPr>
                <w:sz w:val="20"/>
                <w:szCs w:val="20"/>
                <w:color w:val="auto"/>
              </w:rPr>
            </w:pPr>
            <w:r>
              <w:rPr>
                <w:rFonts w:ascii="Arial" w:cs="Arial" w:eastAsia="Arial" w:hAnsi="Arial"/>
                <w:sz w:val="18"/>
                <w:szCs w:val="18"/>
                <w:color w:val="auto"/>
              </w:rPr>
              <w:t>Dispositions.</w:t>
            </w:r>
          </w:p>
        </w:tc>
        <w:tc>
          <w:tcPr>
            <w:tcW w:w="20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7.05</w:t>
            </w:r>
          </w:p>
        </w:tc>
        <w:tc>
          <w:tcPr>
            <w:tcW w:w="8360" w:type="dxa"/>
            <w:vAlign w:val="bottom"/>
          </w:tcPr>
          <w:p>
            <w:pPr>
              <w:ind w:left="120"/>
              <w:spacing w:after="0"/>
              <w:rPr>
                <w:sz w:val="20"/>
                <w:szCs w:val="20"/>
                <w:color w:val="auto"/>
              </w:rPr>
            </w:pPr>
            <w:r>
              <w:rPr>
                <w:rFonts w:ascii="Arial" w:cs="Arial" w:eastAsia="Arial" w:hAnsi="Arial"/>
                <w:sz w:val="18"/>
                <w:szCs w:val="18"/>
                <w:color w:val="auto"/>
              </w:rPr>
              <w:t>Change in Nature of Business.</w:t>
            </w:r>
          </w:p>
        </w:tc>
        <w:tc>
          <w:tcPr>
            <w:tcW w:w="20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7.06</w:t>
            </w:r>
          </w:p>
        </w:tc>
        <w:tc>
          <w:tcPr>
            <w:tcW w:w="8360" w:type="dxa"/>
            <w:vAlign w:val="bottom"/>
          </w:tcPr>
          <w:p>
            <w:pPr>
              <w:ind w:left="120"/>
              <w:spacing w:after="0"/>
              <w:rPr>
                <w:sz w:val="20"/>
                <w:szCs w:val="20"/>
                <w:color w:val="auto"/>
              </w:rPr>
            </w:pPr>
            <w:r>
              <w:rPr>
                <w:rFonts w:ascii="Arial" w:cs="Arial" w:eastAsia="Arial" w:hAnsi="Arial"/>
                <w:sz w:val="18"/>
                <w:szCs w:val="18"/>
                <w:color w:val="auto"/>
              </w:rPr>
              <w:t>Transactions with Affiliates.</w:t>
            </w:r>
          </w:p>
        </w:tc>
        <w:tc>
          <w:tcPr>
            <w:tcW w:w="20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7.07</w:t>
            </w:r>
          </w:p>
        </w:tc>
        <w:tc>
          <w:tcPr>
            <w:tcW w:w="8360" w:type="dxa"/>
            <w:vAlign w:val="bottom"/>
          </w:tcPr>
          <w:p>
            <w:pPr>
              <w:ind w:left="120"/>
              <w:spacing w:after="0"/>
              <w:rPr>
                <w:sz w:val="20"/>
                <w:szCs w:val="20"/>
                <w:color w:val="auto"/>
              </w:rPr>
            </w:pPr>
            <w:r>
              <w:rPr>
                <w:rFonts w:ascii="Arial" w:cs="Arial" w:eastAsia="Arial" w:hAnsi="Arial"/>
                <w:sz w:val="18"/>
                <w:szCs w:val="18"/>
                <w:color w:val="auto"/>
              </w:rPr>
              <w:t>Burdensome Agreements.</w:t>
            </w:r>
          </w:p>
        </w:tc>
        <w:tc>
          <w:tcPr>
            <w:tcW w:w="20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7.08</w:t>
            </w:r>
          </w:p>
        </w:tc>
        <w:tc>
          <w:tcPr>
            <w:tcW w:w="836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20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7.09</w:t>
            </w:r>
          </w:p>
        </w:tc>
        <w:tc>
          <w:tcPr>
            <w:tcW w:w="8360" w:type="dxa"/>
            <w:vAlign w:val="bottom"/>
          </w:tcPr>
          <w:p>
            <w:pPr>
              <w:ind w:left="120"/>
              <w:spacing w:after="0"/>
              <w:rPr>
                <w:sz w:val="20"/>
                <w:szCs w:val="20"/>
                <w:color w:val="auto"/>
              </w:rPr>
            </w:pPr>
            <w:r>
              <w:rPr>
                <w:rFonts w:ascii="Arial" w:cs="Arial" w:eastAsia="Arial" w:hAnsi="Arial"/>
                <w:sz w:val="18"/>
                <w:szCs w:val="18"/>
                <w:color w:val="auto"/>
              </w:rPr>
              <w:t>Organization Documents; Fiscal Year; Legal Name, State of Formation and Form of Entity.</w:t>
            </w:r>
          </w:p>
        </w:tc>
        <w:tc>
          <w:tcPr>
            <w:tcW w:w="20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2"/>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7.10</w:t>
            </w:r>
          </w:p>
        </w:tc>
        <w:tc>
          <w:tcPr>
            <w:tcW w:w="8360" w:type="dxa"/>
            <w:vAlign w:val="bottom"/>
          </w:tcPr>
          <w:p>
            <w:pPr>
              <w:ind w:left="120"/>
              <w:spacing w:after="0"/>
              <w:rPr>
                <w:sz w:val="20"/>
                <w:szCs w:val="20"/>
                <w:color w:val="auto"/>
              </w:rPr>
            </w:pPr>
            <w:r>
              <w:rPr>
                <w:rFonts w:ascii="Arial" w:cs="Arial" w:eastAsia="Arial" w:hAnsi="Arial"/>
                <w:sz w:val="18"/>
                <w:szCs w:val="18"/>
                <w:color w:val="auto"/>
              </w:rPr>
              <w:t>Financial Covenant.</w:t>
            </w:r>
          </w:p>
        </w:tc>
        <w:tc>
          <w:tcPr>
            <w:tcW w:w="20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18"/>
        </w:trPr>
        <w:tc>
          <w:tcPr>
            <w:tcW w:w="9240" w:type="dxa"/>
            <w:vAlign w:val="bottom"/>
            <w:gridSpan w:val="2"/>
          </w:tcPr>
          <w:p>
            <w:pPr>
              <w:spacing w:after="0"/>
              <w:rPr>
                <w:sz w:val="20"/>
                <w:szCs w:val="20"/>
                <w:color w:val="auto"/>
              </w:rPr>
            </w:pPr>
            <w:r>
              <w:rPr>
                <w:rFonts w:ascii="Arial" w:cs="Arial" w:eastAsia="Arial" w:hAnsi="Arial"/>
                <w:sz w:val="18"/>
                <w:szCs w:val="18"/>
                <w:color w:val="auto"/>
              </w:rPr>
              <w:t>ARTICLE VIII. EVENTS OF DEFAULT AND REMEDIES</w:t>
            </w:r>
          </w:p>
        </w:tc>
        <w:tc>
          <w:tcPr>
            <w:tcW w:w="20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8.01</w:t>
            </w:r>
          </w:p>
        </w:tc>
        <w:tc>
          <w:tcPr>
            <w:tcW w:w="8360" w:type="dxa"/>
            <w:vAlign w:val="bottom"/>
          </w:tcPr>
          <w:p>
            <w:pPr>
              <w:ind w:left="120"/>
              <w:spacing w:after="0"/>
              <w:rPr>
                <w:sz w:val="20"/>
                <w:szCs w:val="20"/>
                <w:color w:val="auto"/>
              </w:rPr>
            </w:pPr>
            <w:r>
              <w:rPr>
                <w:rFonts w:ascii="Arial" w:cs="Arial" w:eastAsia="Arial" w:hAnsi="Arial"/>
                <w:sz w:val="18"/>
                <w:szCs w:val="18"/>
                <w:color w:val="auto"/>
              </w:rPr>
              <w:t>Events of Default.</w:t>
            </w:r>
          </w:p>
        </w:tc>
        <w:tc>
          <w:tcPr>
            <w:tcW w:w="20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8.02</w:t>
            </w:r>
          </w:p>
        </w:tc>
        <w:tc>
          <w:tcPr>
            <w:tcW w:w="8360" w:type="dxa"/>
            <w:vAlign w:val="bottom"/>
          </w:tcPr>
          <w:p>
            <w:pPr>
              <w:ind w:left="120"/>
              <w:spacing w:after="0"/>
              <w:rPr>
                <w:sz w:val="20"/>
                <w:szCs w:val="20"/>
                <w:color w:val="auto"/>
              </w:rPr>
            </w:pPr>
            <w:r>
              <w:rPr>
                <w:rFonts w:ascii="Arial" w:cs="Arial" w:eastAsia="Arial" w:hAnsi="Arial"/>
                <w:sz w:val="18"/>
                <w:szCs w:val="18"/>
                <w:color w:val="auto"/>
              </w:rPr>
              <w:t>Remedies Upon Event of Default.</w:t>
            </w:r>
          </w:p>
        </w:tc>
        <w:tc>
          <w:tcPr>
            <w:tcW w:w="20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2"/>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8.03</w:t>
            </w:r>
          </w:p>
        </w:tc>
        <w:tc>
          <w:tcPr>
            <w:tcW w:w="8360" w:type="dxa"/>
            <w:vAlign w:val="bottom"/>
          </w:tcPr>
          <w:p>
            <w:pPr>
              <w:ind w:left="120"/>
              <w:spacing w:after="0"/>
              <w:rPr>
                <w:sz w:val="20"/>
                <w:szCs w:val="20"/>
                <w:color w:val="auto"/>
              </w:rPr>
            </w:pPr>
            <w:r>
              <w:rPr>
                <w:rFonts w:ascii="Arial" w:cs="Arial" w:eastAsia="Arial" w:hAnsi="Arial"/>
                <w:sz w:val="18"/>
                <w:szCs w:val="18"/>
                <w:color w:val="auto"/>
              </w:rPr>
              <w:t>Application of Funds.</w:t>
            </w:r>
          </w:p>
        </w:tc>
        <w:tc>
          <w:tcPr>
            <w:tcW w:w="20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18"/>
        </w:trPr>
        <w:tc>
          <w:tcPr>
            <w:tcW w:w="9240" w:type="dxa"/>
            <w:vAlign w:val="bottom"/>
            <w:gridSpan w:val="2"/>
          </w:tcPr>
          <w:p>
            <w:pPr>
              <w:spacing w:after="0"/>
              <w:rPr>
                <w:sz w:val="20"/>
                <w:szCs w:val="20"/>
                <w:color w:val="auto"/>
              </w:rPr>
            </w:pPr>
            <w:r>
              <w:rPr>
                <w:rFonts w:ascii="Arial" w:cs="Arial" w:eastAsia="Arial" w:hAnsi="Arial"/>
                <w:sz w:val="18"/>
                <w:szCs w:val="18"/>
                <w:color w:val="auto"/>
              </w:rPr>
              <w:t>ARTICLE IX. ADMINISTRATIVE AGENT</w:t>
            </w:r>
          </w:p>
        </w:tc>
        <w:tc>
          <w:tcPr>
            <w:tcW w:w="20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9.01</w:t>
            </w:r>
          </w:p>
        </w:tc>
        <w:tc>
          <w:tcPr>
            <w:tcW w:w="8360" w:type="dxa"/>
            <w:vAlign w:val="bottom"/>
          </w:tcPr>
          <w:p>
            <w:pPr>
              <w:ind w:left="120"/>
              <w:spacing w:after="0"/>
              <w:rPr>
                <w:sz w:val="20"/>
                <w:szCs w:val="20"/>
                <w:color w:val="auto"/>
              </w:rPr>
            </w:pPr>
            <w:r>
              <w:rPr>
                <w:rFonts w:ascii="Arial" w:cs="Arial" w:eastAsia="Arial" w:hAnsi="Arial"/>
                <w:sz w:val="18"/>
                <w:szCs w:val="18"/>
                <w:color w:val="auto"/>
              </w:rPr>
              <w:t>Appointment and Authority.</w:t>
            </w:r>
          </w:p>
        </w:tc>
        <w:tc>
          <w:tcPr>
            <w:tcW w:w="20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9.02</w:t>
            </w:r>
          </w:p>
        </w:tc>
        <w:tc>
          <w:tcPr>
            <w:tcW w:w="8360" w:type="dxa"/>
            <w:vAlign w:val="bottom"/>
          </w:tcPr>
          <w:p>
            <w:pPr>
              <w:ind w:left="120"/>
              <w:spacing w:after="0"/>
              <w:rPr>
                <w:sz w:val="20"/>
                <w:szCs w:val="20"/>
                <w:color w:val="auto"/>
              </w:rPr>
            </w:pPr>
            <w:r>
              <w:rPr>
                <w:rFonts w:ascii="Arial" w:cs="Arial" w:eastAsia="Arial" w:hAnsi="Arial"/>
                <w:sz w:val="18"/>
                <w:szCs w:val="18"/>
                <w:color w:val="auto"/>
              </w:rPr>
              <w:t>Rights as a Lender.</w:t>
            </w:r>
          </w:p>
        </w:tc>
        <w:tc>
          <w:tcPr>
            <w:tcW w:w="20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9.03</w:t>
            </w:r>
          </w:p>
        </w:tc>
        <w:tc>
          <w:tcPr>
            <w:tcW w:w="8360" w:type="dxa"/>
            <w:vAlign w:val="bottom"/>
          </w:tcPr>
          <w:p>
            <w:pPr>
              <w:ind w:left="120"/>
              <w:spacing w:after="0"/>
              <w:rPr>
                <w:sz w:val="20"/>
                <w:szCs w:val="20"/>
                <w:color w:val="auto"/>
              </w:rPr>
            </w:pPr>
            <w:r>
              <w:rPr>
                <w:rFonts w:ascii="Arial" w:cs="Arial" w:eastAsia="Arial" w:hAnsi="Arial"/>
                <w:sz w:val="18"/>
                <w:szCs w:val="18"/>
                <w:color w:val="auto"/>
              </w:rPr>
              <w:t>Exculpatory Provisions.</w:t>
            </w:r>
          </w:p>
        </w:tc>
        <w:tc>
          <w:tcPr>
            <w:tcW w:w="20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9.04</w:t>
            </w:r>
          </w:p>
        </w:tc>
        <w:tc>
          <w:tcPr>
            <w:tcW w:w="8360" w:type="dxa"/>
            <w:vAlign w:val="bottom"/>
          </w:tcPr>
          <w:p>
            <w:pPr>
              <w:ind w:left="120"/>
              <w:spacing w:after="0"/>
              <w:rPr>
                <w:sz w:val="20"/>
                <w:szCs w:val="20"/>
                <w:color w:val="auto"/>
              </w:rPr>
            </w:pPr>
            <w:r>
              <w:rPr>
                <w:rFonts w:ascii="Arial" w:cs="Arial" w:eastAsia="Arial" w:hAnsi="Arial"/>
                <w:sz w:val="18"/>
                <w:szCs w:val="18"/>
                <w:color w:val="auto"/>
              </w:rPr>
              <w:t>Reliance by Administrative Agent.</w:t>
            </w:r>
          </w:p>
        </w:tc>
        <w:tc>
          <w:tcPr>
            <w:tcW w:w="20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2"/>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9.05</w:t>
            </w:r>
          </w:p>
        </w:tc>
        <w:tc>
          <w:tcPr>
            <w:tcW w:w="8360" w:type="dxa"/>
            <w:vAlign w:val="bottom"/>
          </w:tcPr>
          <w:p>
            <w:pPr>
              <w:ind w:left="120"/>
              <w:spacing w:after="0"/>
              <w:rPr>
                <w:sz w:val="20"/>
                <w:szCs w:val="20"/>
                <w:color w:val="auto"/>
              </w:rPr>
            </w:pPr>
            <w:r>
              <w:rPr>
                <w:rFonts w:ascii="Arial" w:cs="Arial" w:eastAsia="Arial" w:hAnsi="Arial"/>
                <w:sz w:val="18"/>
                <w:szCs w:val="18"/>
                <w:color w:val="auto"/>
              </w:rPr>
              <w:t>Delegation of Duties.</w:t>
            </w:r>
          </w:p>
        </w:tc>
        <w:tc>
          <w:tcPr>
            <w:tcW w:w="208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80" w:right="339" w:bottom="1440" w:gutter="0" w:footer="0" w:header="0"/>
        </w:sectPr>
      </w:pPr>
    </w:p>
    <w:bookmarkStart w:id="8" w:name="page9"/>
    <w:bookmarkEnd w:id="8"/>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 (continued)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4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286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303"/>
        </w:trPr>
        <w:tc>
          <w:tcPr>
            <w:tcW w:w="940" w:type="dxa"/>
            <w:vAlign w:val="bottom"/>
          </w:tcPr>
          <w:p>
            <w:pPr>
              <w:ind w:left="440"/>
              <w:spacing w:after="0"/>
              <w:rPr>
                <w:sz w:val="20"/>
                <w:szCs w:val="20"/>
                <w:color w:val="auto"/>
              </w:rPr>
            </w:pPr>
            <w:r>
              <w:rPr>
                <w:rFonts w:ascii="Arial" w:cs="Arial" w:eastAsia="Arial" w:hAnsi="Arial"/>
                <w:sz w:val="18"/>
                <w:szCs w:val="18"/>
                <w:color w:val="auto"/>
              </w:rPr>
              <w:t>9.06</w:t>
            </w:r>
          </w:p>
        </w:tc>
        <w:tc>
          <w:tcPr>
            <w:tcW w:w="7520" w:type="dxa"/>
            <w:vAlign w:val="bottom"/>
          </w:tcPr>
          <w:p>
            <w:pPr>
              <w:ind w:left="100"/>
              <w:spacing w:after="0"/>
              <w:rPr>
                <w:sz w:val="20"/>
                <w:szCs w:val="20"/>
                <w:color w:val="auto"/>
              </w:rPr>
            </w:pPr>
            <w:r>
              <w:rPr>
                <w:rFonts w:ascii="Arial" w:cs="Arial" w:eastAsia="Arial" w:hAnsi="Arial"/>
                <w:sz w:val="18"/>
                <w:szCs w:val="18"/>
                <w:color w:val="auto"/>
              </w:rPr>
              <w:t>Resignation of Administrative Agent.</w:t>
            </w:r>
          </w:p>
        </w:tc>
        <w:tc>
          <w:tcPr>
            <w:tcW w:w="28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9.07</w:t>
            </w:r>
          </w:p>
        </w:tc>
        <w:tc>
          <w:tcPr>
            <w:tcW w:w="7520" w:type="dxa"/>
            <w:vAlign w:val="bottom"/>
          </w:tcPr>
          <w:p>
            <w:pPr>
              <w:ind w:left="100"/>
              <w:spacing w:after="0"/>
              <w:rPr>
                <w:sz w:val="20"/>
                <w:szCs w:val="20"/>
                <w:color w:val="auto"/>
              </w:rPr>
            </w:pPr>
            <w:r>
              <w:rPr>
                <w:rFonts w:ascii="Arial" w:cs="Arial" w:eastAsia="Arial" w:hAnsi="Arial"/>
                <w:sz w:val="18"/>
                <w:szCs w:val="18"/>
                <w:color w:val="auto"/>
              </w:rPr>
              <w:t>Non-Reliance on Administrative Agent and Other Lenders.</w:t>
            </w:r>
          </w:p>
        </w:tc>
        <w:tc>
          <w:tcPr>
            <w:tcW w:w="28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9.08</w:t>
            </w:r>
          </w:p>
        </w:tc>
        <w:tc>
          <w:tcPr>
            <w:tcW w:w="7520" w:type="dxa"/>
            <w:vAlign w:val="bottom"/>
          </w:tcPr>
          <w:p>
            <w:pPr>
              <w:ind w:left="100"/>
              <w:spacing w:after="0"/>
              <w:rPr>
                <w:sz w:val="20"/>
                <w:szCs w:val="20"/>
                <w:color w:val="auto"/>
              </w:rPr>
            </w:pPr>
            <w:r>
              <w:rPr>
                <w:rFonts w:ascii="Arial" w:cs="Arial" w:eastAsia="Arial" w:hAnsi="Arial"/>
                <w:sz w:val="18"/>
                <w:szCs w:val="18"/>
                <w:color w:val="auto"/>
              </w:rPr>
              <w:t>No Other Duties, Etc.</w:t>
            </w:r>
          </w:p>
        </w:tc>
        <w:tc>
          <w:tcPr>
            <w:tcW w:w="28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2"/>
        </w:trPr>
        <w:tc>
          <w:tcPr>
            <w:tcW w:w="940" w:type="dxa"/>
            <w:vAlign w:val="bottom"/>
          </w:tcPr>
          <w:p>
            <w:pPr>
              <w:ind w:left="440"/>
              <w:spacing w:after="0"/>
              <w:rPr>
                <w:sz w:val="20"/>
                <w:szCs w:val="20"/>
                <w:color w:val="auto"/>
              </w:rPr>
            </w:pPr>
            <w:r>
              <w:rPr>
                <w:rFonts w:ascii="Arial" w:cs="Arial" w:eastAsia="Arial" w:hAnsi="Arial"/>
                <w:sz w:val="18"/>
                <w:szCs w:val="18"/>
                <w:color w:val="auto"/>
              </w:rPr>
              <w:t>9.09</w:t>
            </w:r>
          </w:p>
        </w:tc>
        <w:tc>
          <w:tcPr>
            <w:tcW w:w="7520" w:type="dxa"/>
            <w:vAlign w:val="bottom"/>
          </w:tcPr>
          <w:p>
            <w:pPr>
              <w:ind w:left="100"/>
              <w:spacing w:after="0"/>
              <w:rPr>
                <w:sz w:val="20"/>
                <w:szCs w:val="20"/>
                <w:color w:val="auto"/>
              </w:rPr>
            </w:pPr>
            <w:r>
              <w:rPr>
                <w:rFonts w:ascii="Arial" w:cs="Arial" w:eastAsia="Arial" w:hAnsi="Arial"/>
                <w:sz w:val="18"/>
                <w:szCs w:val="18"/>
                <w:color w:val="auto"/>
              </w:rPr>
              <w:t>Administrative Agent May File Proofs of Claim.</w:t>
            </w:r>
          </w:p>
        </w:tc>
        <w:tc>
          <w:tcPr>
            <w:tcW w:w="28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18"/>
        </w:trPr>
        <w:tc>
          <w:tcPr>
            <w:tcW w:w="846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28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10.01</w:t>
            </w:r>
          </w:p>
        </w:tc>
        <w:tc>
          <w:tcPr>
            <w:tcW w:w="7520" w:type="dxa"/>
            <w:vAlign w:val="bottom"/>
          </w:tcPr>
          <w:p>
            <w:pPr>
              <w:ind w:left="100"/>
              <w:spacing w:after="0"/>
              <w:rPr>
                <w:sz w:val="20"/>
                <w:szCs w:val="20"/>
                <w:color w:val="auto"/>
              </w:rPr>
            </w:pPr>
            <w:r>
              <w:rPr>
                <w:rFonts w:ascii="Arial" w:cs="Arial" w:eastAsia="Arial" w:hAnsi="Arial"/>
                <w:sz w:val="18"/>
                <w:szCs w:val="18"/>
                <w:color w:val="auto"/>
              </w:rPr>
              <w:t>Amendments, Etc.</w:t>
            </w:r>
          </w:p>
        </w:tc>
        <w:tc>
          <w:tcPr>
            <w:tcW w:w="28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10.02</w:t>
            </w:r>
          </w:p>
        </w:tc>
        <w:tc>
          <w:tcPr>
            <w:tcW w:w="7520" w:type="dxa"/>
            <w:vAlign w:val="bottom"/>
          </w:tcPr>
          <w:p>
            <w:pPr>
              <w:ind w:left="100"/>
              <w:spacing w:after="0"/>
              <w:rPr>
                <w:sz w:val="20"/>
                <w:szCs w:val="20"/>
                <w:color w:val="auto"/>
              </w:rPr>
            </w:pPr>
            <w:r>
              <w:rPr>
                <w:rFonts w:ascii="Arial" w:cs="Arial" w:eastAsia="Arial" w:hAnsi="Arial"/>
                <w:sz w:val="18"/>
                <w:szCs w:val="18"/>
                <w:color w:val="auto"/>
              </w:rPr>
              <w:t>Notices; Effectiveness; Electronic Communication.</w:t>
            </w:r>
          </w:p>
        </w:tc>
        <w:tc>
          <w:tcPr>
            <w:tcW w:w="28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10.03</w:t>
            </w:r>
          </w:p>
        </w:tc>
        <w:tc>
          <w:tcPr>
            <w:tcW w:w="7520" w:type="dxa"/>
            <w:vAlign w:val="bottom"/>
          </w:tcPr>
          <w:p>
            <w:pPr>
              <w:ind w:left="100"/>
              <w:spacing w:after="0"/>
              <w:rPr>
                <w:sz w:val="20"/>
                <w:szCs w:val="20"/>
                <w:color w:val="auto"/>
              </w:rPr>
            </w:pPr>
            <w:r>
              <w:rPr>
                <w:rFonts w:ascii="Arial" w:cs="Arial" w:eastAsia="Arial" w:hAnsi="Arial"/>
                <w:sz w:val="18"/>
                <w:szCs w:val="18"/>
                <w:color w:val="auto"/>
              </w:rPr>
              <w:t>No Waiver; Cumulative Remedies; Enforcement.</w:t>
            </w:r>
          </w:p>
        </w:tc>
        <w:tc>
          <w:tcPr>
            <w:tcW w:w="28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10.04</w:t>
            </w:r>
          </w:p>
        </w:tc>
        <w:tc>
          <w:tcPr>
            <w:tcW w:w="7520" w:type="dxa"/>
            <w:vAlign w:val="bottom"/>
          </w:tcPr>
          <w:p>
            <w:pPr>
              <w:ind w:left="100"/>
              <w:spacing w:after="0"/>
              <w:rPr>
                <w:sz w:val="20"/>
                <w:szCs w:val="20"/>
                <w:color w:val="auto"/>
              </w:rPr>
            </w:pPr>
            <w:r>
              <w:rPr>
                <w:rFonts w:ascii="Arial" w:cs="Arial" w:eastAsia="Arial" w:hAnsi="Arial"/>
                <w:sz w:val="18"/>
                <w:szCs w:val="18"/>
                <w:color w:val="auto"/>
              </w:rPr>
              <w:t>Expenses; Indemnity; Damage Waiver.</w:t>
            </w:r>
          </w:p>
        </w:tc>
        <w:tc>
          <w:tcPr>
            <w:tcW w:w="28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10.05</w:t>
            </w:r>
          </w:p>
        </w:tc>
        <w:tc>
          <w:tcPr>
            <w:tcW w:w="7520" w:type="dxa"/>
            <w:vAlign w:val="bottom"/>
          </w:tcPr>
          <w:p>
            <w:pPr>
              <w:ind w:left="100"/>
              <w:spacing w:after="0"/>
              <w:rPr>
                <w:sz w:val="20"/>
                <w:szCs w:val="20"/>
                <w:color w:val="auto"/>
              </w:rPr>
            </w:pPr>
            <w:r>
              <w:rPr>
                <w:rFonts w:ascii="Arial" w:cs="Arial" w:eastAsia="Arial" w:hAnsi="Arial"/>
                <w:sz w:val="18"/>
                <w:szCs w:val="18"/>
                <w:color w:val="auto"/>
              </w:rPr>
              <w:t>Payments Set Aside.</w:t>
            </w:r>
          </w:p>
        </w:tc>
        <w:tc>
          <w:tcPr>
            <w:tcW w:w="28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10.06</w:t>
            </w:r>
          </w:p>
        </w:tc>
        <w:tc>
          <w:tcPr>
            <w:tcW w:w="7520" w:type="dxa"/>
            <w:vAlign w:val="bottom"/>
          </w:tcPr>
          <w:p>
            <w:pPr>
              <w:ind w:left="100"/>
              <w:spacing w:after="0"/>
              <w:rPr>
                <w:sz w:val="20"/>
                <w:szCs w:val="20"/>
                <w:color w:val="auto"/>
              </w:rPr>
            </w:pPr>
            <w:r>
              <w:rPr>
                <w:rFonts w:ascii="Arial" w:cs="Arial" w:eastAsia="Arial" w:hAnsi="Arial"/>
                <w:sz w:val="18"/>
                <w:szCs w:val="18"/>
                <w:color w:val="auto"/>
              </w:rPr>
              <w:t>Successors and Assigns.</w:t>
            </w:r>
          </w:p>
        </w:tc>
        <w:tc>
          <w:tcPr>
            <w:tcW w:w="28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10.07</w:t>
            </w:r>
          </w:p>
        </w:tc>
        <w:tc>
          <w:tcPr>
            <w:tcW w:w="7520" w:type="dxa"/>
            <w:vAlign w:val="bottom"/>
          </w:tcPr>
          <w:p>
            <w:pPr>
              <w:ind w:left="100"/>
              <w:spacing w:after="0"/>
              <w:rPr>
                <w:sz w:val="20"/>
                <w:szCs w:val="20"/>
                <w:color w:val="auto"/>
              </w:rPr>
            </w:pPr>
            <w:r>
              <w:rPr>
                <w:rFonts w:ascii="Arial" w:cs="Arial" w:eastAsia="Arial" w:hAnsi="Arial"/>
                <w:sz w:val="18"/>
                <w:szCs w:val="18"/>
                <w:color w:val="auto"/>
              </w:rPr>
              <w:t>Treatment of Certain Information; Confidentiality.</w:t>
            </w:r>
          </w:p>
        </w:tc>
        <w:tc>
          <w:tcPr>
            <w:tcW w:w="28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10.08</w:t>
            </w:r>
          </w:p>
        </w:tc>
        <w:tc>
          <w:tcPr>
            <w:tcW w:w="7520" w:type="dxa"/>
            <w:vAlign w:val="bottom"/>
          </w:tcPr>
          <w:p>
            <w:pPr>
              <w:ind w:left="100"/>
              <w:spacing w:after="0"/>
              <w:rPr>
                <w:sz w:val="20"/>
                <w:szCs w:val="20"/>
                <w:color w:val="auto"/>
              </w:rPr>
            </w:pPr>
            <w:r>
              <w:rPr>
                <w:rFonts w:ascii="Arial" w:cs="Arial" w:eastAsia="Arial" w:hAnsi="Arial"/>
                <w:sz w:val="18"/>
                <w:szCs w:val="18"/>
                <w:color w:val="auto"/>
              </w:rPr>
              <w:t>Right of Setoff.</w:t>
            </w:r>
          </w:p>
        </w:tc>
        <w:tc>
          <w:tcPr>
            <w:tcW w:w="28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10.09</w:t>
            </w:r>
          </w:p>
        </w:tc>
        <w:tc>
          <w:tcPr>
            <w:tcW w:w="7520" w:type="dxa"/>
            <w:vAlign w:val="bottom"/>
          </w:tcPr>
          <w:p>
            <w:pPr>
              <w:ind w:left="100"/>
              <w:spacing w:after="0"/>
              <w:rPr>
                <w:sz w:val="20"/>
                <w:szCs w:val="20"/>
                <w:color w:val="auto"/>
              </w:rPr>
            </w:pPr>
            <w:r>
              <w:rPr>
                <w:rFonts w:ascii="Arial" w:cs="Arial" w:eastAsia="Arial" w:hAnsi="Arial"/>
                <w:sz w:val="18"/>
                <w:szCs w:val="18"/>
                <w:color w:val="auto"/>
              </w:rPr>
              <w:t>Interest Rate Limitation.</w:t>
            </w:r>
          </w:p>
        </w:tc>
        <w:tc>
          <w:tcPr>
            <w:tcW w:w="28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10.10</w:t>
            </w:r>
          </w:p>
        </w:tc>
        <w:tc>
          <w:tcPr>
            <w:tcW w:w="7520" w:type="dxa"/>
            <w:vAlign w:val="bottom"/>
          </w:tcPr>
          <w:p>
            <w:pPr>
              <w:ind w:left="100"/>
              <w:spacing w:after="0"/>
              <w:rPr>
                <w:sz w:val="20"/>
                <w:szCs w:val="20"/>
                <w:color w:val="auto"/>
              </w:rPr>
            </w:pPr>
            <w:r>
              <w:rPr>
                <w:rFonts w:ascii="Arial" w:cs="Arial" w:eastAsia="Arial" w:hAnsi="Arial"/>
                <w:sz w:val="18"/>
                <w:szCs w:val="18"/>
                <w:color w:val="auto"/>
              </w:rPr>
              <w:t>Counterparts; Integration; Effectiveness.</w:t>
            </w:r>
          </w:p>
        </w:tc>
        <w:tc>
          <w:tcPr>
            <w:tcW w:w="28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10.11</w:t>
            </w:r>
          </w:p>
        </w:tc>
        <w:tc>
          <w:tcPr>
            <w:tcW w:w="7520" w:type="dxa"/>
            <w:vAlign w:val="bottom"/>
          </w:tcPr>
          <w:p>
            <w:pPr>
              <w:ind w:left="100"/>
              <w:spacing w:after="0"/>
              <w:rPr>
                <w:sz w:val="20"/>
                <w:szCs w:val="20"/>
                <w:color w:val="auto"/>
              </w:rPr>
            </w:pPr>
            <w:r>
              <w:rPr>
                <w:rFonts w:ascii="Arial" w:cs="Arial" w:eastAsia="Arial" w:hAnsi="Arial"/>
                <w:sz w:val="18"/>
                <w:szCs w:val="18"/>
                <w:color w:val="auto"/>
              </w:rPr>
              <w:t>Survival of Representations and Warranties.</w:t>
            </w:r>
          </w:p>
        </w:tc>
        <w:tc>
          <w:tcPr>
            <w:tcW w:w="28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10.12</w:t>
            </w:r>
          </w:p>
        </w:tc>
        <w:tc>
          <w:tcPr>
            <w:tcW w:w="752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28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10.13</w:t>
            </w:r>
          </w:p>
        </w:tc>
        <w:tc>
          <w:tcPr>
            <w:tcW w:w="7520" w:type="dxa"/>
            <w:vAlign w:val="bottom"/>
          </w:tcPr>
          <w:p>
            <w:pPr>
              <w:ind w:left="100"/>
              <w:spacing w:after="0"/>
              <w:rPr>
                <w:sz w:val="20"/>
                <w:szCs w:val="20"/>
                <w:color w:val="auto"/>
              </w:rPr>
            </w:pPr>
            <w:r>
              <w:rPr>
                <w:rFonts w:ascii="Arial" w:cs="Arial" w:eastAsia="Arial" w:hAnsi="Arial"/>
                <w:sz w:val="18"/>
                <w:szCs w:val="18"/>
                <w:color w:val="auto"/>
              </w:rPr>
              <w:t>Replacement of Lenders.</w:t>
            </w:r>
          </w:p>
        </w:tc>
        <w:tc>
          <w:tcPr>
            <w:tcW w:w="28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10.14</w:t>
            </w:r>
          </w:p>
        </w:tc>
        <w:tc>
          <w:tcPr>
            <w:tcW w:w="7520" w:type="dxa"/>
            <w:vAlign w:val="bottom"/>
          </w:tcPr>
          <w:p>
            <w:pPr>
              <w:ind w:left="100"/>
              <w:spacing w:after="0"/>
              <w:rPr>
                <w:sz w:val="20"/>
                <w:szCs w:val="20"/>
                <w:color w:val="auto"/>
              </w:rPr>
            </w:pPr>
            <w:r>
              <w:rPr>
                <w:rFonts w:ascii="Arial" w:cs="Arial" w:eastAsia="Arial" w:hAnsi="Arial"/>
                <w:sz w:val="18"/>
                <w:szCs w:val="18"/>
                <w:color w:val="auto"/>
              </w:rPr>
              <w:t>Governing Law; Jurisdiction; Etc.</w:t>
            </w:r>
          </w:p>
        </w:tc>
        <w:tc>
          <w:tcPr>
            <w:tcW w:w="28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10.15</w:t>
            </w:r>
          </w:p>
        </w:tc>
        <w:tc>
          <w:tcPr>
            <w:tcW w:w="7520" w:type="dxa"/>
            <w:vAlign w:val="bottom"/>
          </w:tcPr>
          <w:p>
            <w:pPr>
              <w:ind w:left="100"/>
              <w:spacing w:after="0"/>
              <w:rPr>
                <w:sz w:val="20"/>
                <w:szCs w:val="20"/>
                <w:color w:val="auto"/>
              </w:rPr>
            </w:pPr>
            <w:r>
              <w:rPr>
                <w:rFonts w:ascii="Arial" w:cs="Arial" w:eastAsia="Arial" w:hAnsi="Arial"/>
                <w:sz w:val="18"/>
                <w:szCs w:val="18"/>
                <w:color w:val="auto"/>
              </w:rPr>
              <w:t>Waiver of Jury Trial.</w:t>
            </w:r>
          </w:p>
        </w:tc>
        <w:tc>
          <w:tcPr>
            <w:tcW w:w="28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10.16</w:t>
            </w:r>
          </w:p>
        </w:tc>
        <w:tc>
          <w:tcPr>
            <w:tcW w:w="7520" w:type="dxa"/>
            <w:vAlign w:val="bottom"/>
          </w:tcPr>
          <w:p>
            <w:pPr>
              <w:ind w:left="100"/>
              <w:spacing w:after="0"/>
              <w:rPr>
                <w:sz w:val="20"/>
                <w:szCs w:val="20"/>
                <w:color w:val="auto"/>
              </w:rPr>
            </w:pPr>
            <w:r>
              <w:rPr>
                <w:rFonts w:ascii="Arial" w:cs="Arial" w:eastAsia="Arial" w:hAnsi="Arial"/>
                <w:sz w:val="18"/>
                <w:szCs w:val="18"/>
                <w:color w:val="auto"/>
              </w:rPr>
              <w:t>No Advisory or Fiduciary Responsibility.</w:t>
            </w:r>
          </w:p>
        </w:tc>
        <w:tc>
          <w:tcPr>
            <w:tcW w:w="28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10.17</w:t>
            </w:r>
          </w:p>
        </w:tc>
        <w:tc>
          <w:tcPr>
            <w:tcW w:w="7520" w:type="dxa"/>
            <w:vAlign w:val="bottom"/>
          </w:tcPr>
          <w:p>
            <w:pPr>
              <w:ind w:left="100"/>
              <w:spacing w:after="0"/>
              <w:rPr>
                <w:sz w:val="20"/>
                <w:szCs w:val="20"/>
                <w:color w:val="auto"/>
              </w:rPr>
            </w:pPr>
            <w:r>
              <w:rPr>
                <w:rFonts w:ascii="Arial" w:cs="Arial" w:eastAsia="Arial" w:hAnsi="Arial"/>
                <w:sz w:val="18"/>
                <w:szCs w:val="18"/>
                <w:color w:val="auto"/>
              </w:rPr>
              <w:t>Electronic Execution of Assignments and Certain Other Documents.</w:t>
            </w:r>
          </w:p>
        </w:tc>
        <w:tc>
          <w:tcPr>
            <w:tcW w:w="28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2"/>
        </w:trPr>
        <w:tc>
          <w:tcPr>
            <w:tcW w:w="940" w:type="dxa"/>
            <w:vAlign w:val="bottom"/>
          </w:tcPr>
          <w:p>
            <w:pPr>
              <w:ind w:left="440"/>
              <w:spacing w:after="0"/>
              <w:rPr>
                <w:sz w:val="20"/>
                <w:szCs w:val="20"/>
                <w:color w:val="auto"/>
              </w:rPr>
            </w:pPr>
            <w:r>
              <w:rPr>
                <w:rFonts w:ascii="Arial" w:cs="Arial" w:eastAsia="Arial" w:hAnsi="Arial"/>
                <w:sz w:val="18"/>
                <w:szCs w:val="18"/>
                <w:color w:val="auto"/>
              </w:rPr>
              <w:t>10.18</w:t>
            </w:r>
          </w:p>
        </w:tc>
        <w:tc>
          <w:tcPr>
            <w:tcW w:w="7520" w:type="dxa"/>
            <w:vAlign w:val="bottom"/>
          </w:tcPr>
          <w:p>
            <w:pPr>
              <w:ind w:left="100"/>
              <w:spacing w:after="0"/>
              <w:rPr>
                <w:sz w:val="20"/>
                <w:szCs w:val="20"/>
                <w:color w:val="auto"/>
              </w:rPr>
            </w:pPr>
            <w:r>
              <w:rPr>
                <w:rFonts w:ascii="Arial" w:cs="Arial" w:eastAsia="Arial" w:hAnsi="Arial"/>
                <w:sz w:val="18"/>
                <w:szCs w:val="18"/>
                <w:color w:val="auto"/>
              </w:rPr>
              <w:t>USA PATRIOT ACT NOTICE.</w:t>
            </w:r>
          </w:p>
        </w:tc>
        <w:tc>
          <w:tcPr>
            <w:tcW w:w="2860" w:type="dxa"/>
            <w:vAlign w:val="bottom"/>
          </w:tcPr>
          <w:p>
            <w:pPr>
              <w:jc w:val="right"/>
              <w:spacing w:after="0"/>
              <w:rPr>
                <w:sz w:val="20"/>
                <w:szCs w:val="20"/>
                <w:color w:val="auto"/>
              </w:rPr>
            </w:pPr>
            <w:r>
              <w:rPr>
                <w:rFonts w:ascii="Arial" w:cs="Arial" w:eastAsia="Arial" w:hAnsi="Arial"/>
                <w:sz w:val="18"/>
                <w:szCs w:val="18"/>
                <w:color w:val="auto"/>
              </w:rPr>
              <w:t>88</w:t>
            </w: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8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SCHEDULES</w:t>
            </w:r>
          </w:p>
        </w:tc>
        <w:tc>
          <w:tcPr>
            <w:tcW w:w="4440" w:type="dxa"/>
            <w:vAlign w:val="bottom"/>
          </w:tcPr>
          <w:p>
            <w:pPr>
              <w:spacing w:after="0"/>
              <w:rPr>
                <w:sz w:val="19"/>
                <w:szCs w:val="19"/>
                <w:color w:val="auto"/>
              </w:rPr>
            </w:pPr>
          </w:p>
        </w:tc>
      </w:tr>
      <w:tr>
        <w:trPr>
          <w:trHeight w:val="318"/>
        </w:trPr>
        <w:tc>
          <w:tcPr>
            <w:tcW w:w="1140" w:type="dxa"/>
            <w:vAlign w:val="bottom"/>
          </w:tcPr>
          <w:p>
            <w:pPr>
              <w:ind w:left="440"/>
              <w:spacing w:after="0"/>
              <w:rPr>
                <w:sz w:val="20"/>
                <w:szCs w:val="20"/>
                <w:color w:val="auto"/>
              </w:rPr>
            </w:pPr>
            <w:r>
              <w:rPr>
                <w:rFonts w:ascii="Arial" w:cs="Arial" w:eastAsia="Arial" w:hAnsi="Arial"/>
                <w:sz w:val="18"/>
                <w:szCs w:val="18"/>
                <w:color w:val="auto"/>
              </w:rPr>
              <w:t>1.01</w:t>
            </w:r>
          </w:p>
        </w:tc>
        <w:tc>
          <w:tcPr>
            <w:tcW w:w="4440" w:type="dxa"/>
            <w:vAlign w:val="bottom"/>
          </w:tcPr>
          <w:p>
            <w:pPr>
              <w:ind w:left="120"/>
              <w:spacing w:after="0"/>
              <w:rPr>
                <w:sz w:val="20"/>
                <w:szCs w:val="20"/>
                <w:color w:val="auto"/>
              </w:rPr>
            </w:pPr>
            <w:r>
              <w:rPr>
                <w:rFonts w:ascii="Arial" w:cs="Arial" w:eastAsia="Arial" w:hAnsi="Arial"/>
                <w:sz w:val="18"/>
                <w:szCs w:val="18"/>
                <w:color w:val="auto"/>
              </w:rPr>
              <w:t>Consolidated EBITDA Add-backs</w:t>
            </w:r>
          </w:p>
        </w:tc>
      </w:tr>
      <w:tr>
        <w:trPr>
          <w:trHeight w:val="216"/>
        </w:trPr>
        <w:tc>
          <w:tcPr>
            <w:tcW w:w="1140" w:type="dxa"/>
            <w:vAlign w:val="bottom"/>
          </w:tcPr>
          <w:p>
            <w:pPr>
              <w:ind w:left="440"/>
              <w:spacing w:after="0"/>
              <w:rPr>
                <w:sz w:val="20"/>
                <w:szCs w:val="20"/>
                <w:color w:val="auto"/>
              </w:rPr>
            </w:pPr>
            <w:r>
              <w:rPr>
                <w:rFonts w:ascii="Arial" w:cs="Arial" w:eastAsia="Arial" w:hAnsi="Arial"/>
                <w:sz w:val="18"/>
                <w:szCs w:val="18"/>
                <w:color w:val="auto"/>
              </w:rPr>
              <w:t>2.01</w:t>
            </w:r>
          </w:p>
        </w:tc>
        <w:tc>
          <w:tcPr>
            <w:tcW w:w="4440" w:type="dxa"/>
            <w:vAlign w:val="bottom"/>
          </w:tcPr>
          <w:p>
            <w:pPr>
              <w:ind w:left="120"/>
              <w:spacing w:after="0"/>
              <w:rPr>
                <w:sz w:val="20"/>
                <w:szCs w:val="20"/>
                <w:color w:val="auto"/>
              </w:rPr>
            </w:pPr>
            <w:r>
              <w:rPr>
                <w:rFonts w:ascii="Arial" w:cs="Arial" w:eastAsia="Arial" w:hAnsi="Arial"/>
                <w:sz w:val="18"/>
                <w:szCs w:val="18"/>
                <w:color w:val="auto"/>
              </w:rPr>
              <w:t>Commitments and Applicable Percentages</w:t>
            </w:r>
          </w:p>
        </w:tc>
      </w:tr>
      <w:tr>
        <w:trPr>
          <w:trHeight w:val="216"/>
        </w:trPr>
        <w:tc>
          <w:tcPr>
            <w:tcW w:w="1140" w:type="dxa"/>
            <w:vAlign w:val="bottom"/>
          </w:tcPr>
          <w:p>
            <w:pPr>
              <w:ind w:left="440"/>
              <w:spacing w:after="0"/>
              <w:rPr>
                <w:sz w:val="20"/>
                <w:szCs w:val="20"/>
                <w:color w:val="auto"/>
              </w:rPr>
            </w:pPr>
            <w:r>
              <w:rPr>
                <w:rFonts w:ascii="Arial" w:cs="Arial" w:eastAsia="Arial" w:hAnsi="Arial"/>
                <w:sz w:val="18"/>
                <w:szCs w:val="18"/>
                <w:color w:val="auto"/>
              </w:rPr>
              <w:t>5.13</w:t>
            </w:r>
          </w:p>
        </w:tc>
        <w:tc>
          <w:tcPr>
            <w:tcW w:w="4440" w:type="dxa"/>
            <w:vAlign w:val="bottom"/>
          </w:tcPr>
          <w:p>
            <w:pPr>
              <w:ind w:left="120"/>
              <w:spacing w:after="0"/>
              <w:rPr>
                <w:sz w:val="20"/>
                <w:szCs w:val="20"/>
                <w:color w:val="auto"/>
              </w:rPr>
            </w:pPr>
            <w:r>
              <w:rPr>
                <w:rFonts w:ascii="Arial" w:cs="Arial" w:eastAsia="Arial" w:hAnsi="Arial"/>
                <w:sz w:val="18"/>
                <w:szCs w:val="18"/>
                <w:color w:val="auto"/>
              </w:rPr>
              <w:t>Material Subsidiaries</w:t>
            </w:r>
          </w:p>
        </w:tc>
      </w:tr>
      <w:tr>
        <w:trPr>
          <w:trHeight w:val="216"/>
        </w:trPr>
        <w:tc>
          <w:tcPr>
            <w:tcW w:w="1140" w:type="dxa"/>
            <w:vAlign w:val="bottom"/>
          </w:tcPr>
          <w:p>
            <w:pPr>
              <w:ind w:left="440"/>
              <w:spacing w:after="0"/>
              <w:rPr>
                <w:sz w:val="20"/>
                <w:szCs w:val="20"/>
                <w:color w:val="auto"/>
              </w:rPr>
            </w:pPr>
            <w:r>
              <w:rPr>
                <w:rFonts w:ascii="Arial" w:cs="Arial" w:eastAsia="Arial" w:hAnsi="Arial"/>
                <w:sz w:val="18"/>
                <w:szCs w:val="18"/>
                <w:color w:val="auto"/>
              </w:rPr>
              <w:t>5.17</w:t>
            </w:r>
          </w:p>
        </w:tc>
        <w:tc>
          <w:tcPr>
            <w:tcW w:w="4440" w:type="dxa"/>
            <w:vAlign w:val="bottom"/>
          </w:tcPr>
          <w:p>
            <w:pPr>
              <w:ind w:left="120"/>
              <w:spacing w:after="0"/>
              <w:rPr>
                <w:sz w:val="20"/>
                <w:szCs w:val="20"/>
                <w:color w:val="auto"/>
              </w:rPr>
            </w:pPr>
            <w:r>
              <w:rPr>
                <w:rFonts w:ascii="Arial" w:cs="Arial" w:eastAsia="Arial" w:hAnsi="Arial"/>
                <w:sz w:val="18"/>
                <w:szCs w:val="18"/>
                <w:color w:val="auto"/>
              </w:rPr>
              <w:t>Taxpayer Identification Number</w:t>
            </w:r>
          </w:p>
        </w:tc>
      </w:tr>
      <w:tr>
        <w:trPr>
          <w:trHeight w:val="216"/>
        </w:trPr>
        <w:tc>
          <w:tcPr>
            <w:tcW w:w="1140" w:type="dxa"/>
            <w:vAlign w:val="bottom"/>
          </w:tcPr>
          <w:p>
            <w:pPr>
              <w:ind w:left="440"/>
              <w:spacing w:after="0"/>
              <w:rPr>
                <w:sz w:val="20"/>
                <w:szCs w:val="20"/>
                <w:color w:val="auto"/>
              </w:rPr>
            </w:pPr>
            <w:r>
              <w:rPr>
                <w:rFonts w:ascii="Arial" w:cs="Arial" w:eastAsia="Arial" w:hAnsi="Arial"/>
                <w:sz w:val="18"/>
                <w:szCs w:val="18"/>
                <w:color w:val="auto"/>
              </w:rPr>
              <w:t>7.01</w:t>
            </w:r>
          </w:p>
        </w:tc>
        <w:tc>
          <w:tcPr>
            <w:tcW w:w="4440" w:type="dxa"/>
            <w:vAlign w:val="bottom"/>
          </w:tcPr>
          <w:p>
            <w:pPr>
              <w:ind w:left="120"/>
              <w:spacing w:after="0"/>
              <w:rPr>
                <w:sz w:val="20"/>
                <w:szCs w:val="20"/>
                <w:color w:val="auto"/>
              </w:rPr>
            </w:pPr>
            <w:r>
              <w:rPr>
                <w:rFonts w:ascii="Arial" w:cs="Arial" w:eastAsia="Arial" w:hAnsi="Arial"/>
                <w:sz w:val="18"/>
                <w:szCs w:val="18"/>
                <w:color w:val="auto"/>
              </w:rPr>
              <w:t>Liens</w:t>
            </w:r>
          </w:p>
        </w:tc>
      </w:tr>
      <w:tr>
        <w:trPr>
          <w:trHeight w:val="216"/>
        </w:trPr>
        <w:tc>
          <w:tcPr>
            <w:tcW w:w="1140" w:type="dxa"/>
            <w:vAlign w:val="bottom"/>
          </w:tcPr>
          <w:p>
            <w:pPr>
              <w:ind w:left="440"/>
              <w:spacing w:after="0"/>
              <w:rPr>
                <w:sz w:val="20"/>
                <w:szCs w:val="20"/>
                <w:color w:val="auto"/>
              </w:rPr>
            </w:pPr>
            <w:r>
              <w:rPr>
                <w:rFonts w:ascii="Arial" w:cs="Arial" w:eastAsia="Arial" w:hAnsi="Arial"/>
                <w:sz w:val="18"/>
                <w:szCs w:val="18"/>
                <w:color w:val="auto"/>
              </w:rPr>
              <w:t>7.02</w:t>
            </w:r>
          </w:p>
        </w:tc>
        <w:tc>
          <w:tcPr>
            <w:tcW w:w="4440" w:type="dxa"/>
            <w:vAlign w:val="bottom"/>
          </w:tcPr>
          <w:p>
            <w:pPr>
              <w:ind w:left="120"/>
              <w:spacing w:after="0"/>
              <w:rPr>
                <w:sz w:val="20"/>
                <w:szCs w:val="20"/>
                <w:color w:val="auto"/>
              </w:rPr>
            </w:pPr>
            <w:r>
              <w:rPr>
                <w:rFonts w:ascii="Arial" w:cs="Arial" w:eastAsia="Arial" w:hAnsi="Arial"/>
                <w:sz w:val="18"/>
                <w:szCs w:val="18"/>
                <w:color w:val="auto"/>
              </w:rPr>
              <w:t>Indebtedness</w:t>
            </w:r>
          </w:p>
        </w:tc>
      </w:tr>
      <w:tr>
        <w:trPr>
          <w:trHeight w:val="222"/>
        </w:trPr>
        <w:tc>
          <w:tcPr>
            <w:tcW w:w="1140" w:type="dxa"/>
            <w:vAlign w:val="bottom"/>
          </w:tcPr>
          <w:p>
            <w:pPr>
              <w:ind w:left="440"/>
              <w:spacing w:after="0"/>
              <w:rPr>
                <w:sz w:val="20"/>
                <w:szCs w:val="20"/>
                <w:color w:val="auto"/>
              </w:rPr>
            </w:pPr>
            <w:r>
              <w:rPr>
                <w:rFonts w:ascii="Arial" w:cs="Arial" w:eastAsia="Arial" w:hAnsi="Arial"/>
                <w:sz w:val="18"/>
                <w:szCs w:val="18"/>
                <w:color w:val="auto"/>
              </w:rPr>
              <w:t>10.02</w:t>
            </w:r>
          </w:p>
        </w:tc>
        <w:tc>
          <w:tcPr>
            <w:tcW w:w="4440" w:type="dxa"/>
            <w:vAlign w:val="bottom"/>
          </w:tcPr>
          <w:p>
            <w:pPr>
              <w:ind w:left="120"/>
              <w:spacing w:after="0"/>
              <w:rPr>
                <w:sz w:val="20"/>
                <w:szCs w:val="20"/>
                <w:color w:val="auto"/>
              </w:rPr>
            </w:pPr>
            <w:r>
              <w:rPr>
                <w:rFonts w:ascii="Arial" w:cs="Arial" w:eastAsia="Arial" w:hAnsi="Arial"/>
                <w:sz w:val="18"/>
                <w:szCs w:val="18"/>
                <w:color w:val="auto"/>
                <w:w w:val="89"/>
              </w:rPr>
              <w:t>Administrative Agent’s Office; Certain Addresses for Notices</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EXHIBITS</w:t>
            </w:r>
          </w:p>
        </w:tc>
        <w:tc>
          <w:tcPr>
            <w:tcW w:w="4440" w:type="dxa"/>
            <w:vAlign w:val="bottom"/>
          </w:tcPr>
          <w:p>
            <w:pPr>
              <w:spacing w:after="0"/>
              <w:rPr>
                <w:sz w:val="24"/>
                <w:szCs w:val="24"/>
                <w:color w:val="auto"/>
              </w:rPr>
            </w:pPr>
          </w:p>
        </w:tc>
      </w:tr>
      <w:tr>
        <w:trPr>
          <w:trHeight w:val="324"/>
        </w:trPr>
        <w:tc>
          <w:tcPr>
            <w:tcW w:w="1140" w:type="dxa"/>
            <w:vAlign w:val="bottom"/>
          </w:tcPr>
          <w:p>
            <w:pPr>
              <w:spacing w:after="0"/>
              <w:rPr>
                <w:sz w:val="24"/>
                <w:szCs w:val="24"/>
                <w:color w:val="auto"/>
              </w:rPr>
            </w:pPr>
          </w:p>
        </w:tc>
        <w:tc>
          <w:tcPr>
            <w:tcW w:w="4440" w:type="dxa"/>
            <w:vAlign w:val="bottom"/>
          </w:tcPr>
          <w:p>
            <w:pPr>
              <w:ind w:left="120"/>
              <w:spacing w:after="0"/>
              <w:rPr>
                <w:sz w:val="20"/>
                <w:szCs w:val="20"/>
                <w:color w:val="auto"/>
              </w:rPr>
            </w:pPr>
            <w:r>
              <w:rPr>
                <w:rFonts w:ascii="Arial" w:cs="Arial" w:eastAsia="Arial" w:hAnsi="Arial"/>
                <w:sz w:val="18"/>
                <w:szCs w:val="18"/>
                <w:i w:val="1"/>
                <w:iCs w:val="1"/>
                <w:color w:val="auto"/>
              </w:rPr>
              <w:t>Form of</w:t>
            </w:r>
          </w:p>
        </w:tc>
      </w:tr>
      <w:tr>
        <w:trPr>
          <w:trHeight w:val="318"/>
        </w:trPr>
        <w:tc>
          <w:tcPr>
            <w:tcW w:w="1140" w:type="dxa"/>
            <w:vAlign w:val="bottom"/>
          </w:tcPr>
          <w:p>
            <w:pPr>
              <w:ind w:left="440"/>
              <w:spacing w:after="0"/>
              <w:rPr>
                <w:sz w:val="20"/>
                <w:szCs w:val="20"/>
                <w:color w:val="auto"/>
              </w:rPr>
            </w:pPr>
            <w:r>
              <w:rPr>
                <w:rFonts w:ascii="Arial" w:cs="Arial" w:eastAsia="Arial" w:hAnsi="Arial"/>
                <w:sz w:val="18"/>
                <w:szCs w:val="18"/>
                <w:color w:val="auto"/>
              </w:rPr>
              <w:t>2.02</w:t>
            </w:r>
          </w:p>
        </w:tc>
        <w:tc>
          <w:tcPr>
            <w:tcW w:w="4440" w:type="dxa"/>
            <w:vAlign w:val="bottom"/>
          </w:tcPr>
          <w:p>
            <w:pPr>
              <w:ind w:left="120"/>
              <w:spacing w:after="0"/>
              <w:rPr>
                <w:sz w:val="20"/>
                <w:szCs w:val="20"/>
                <w:color w:val="auto"/>
              </w:rPr>
            </w:pPr>
            <w:r>
              <w:rPr>
                <w:rFonts w:ascii="Arial" w:cs="Arial" w:eastAsia="Arial" w:hAnsi="Arial"/>
                <w:sz w:val="18"/>
                <w:szCs w:val="18"/>
                <w:color w:val="auto"/>
              </w:rPr>
              <w:t>Committed Loan Notice</w:t>
            </w:r>
          </w:p>
        </w:tc>
      </w:tr>
      <w:tr>
        <w:trPr>
          <w:trHeight w:val="216"/>
        </w:trPr>
        <w:tc>
          <w:tcPr>
            <w:tcW w:w="1140" w:type="dxa"/>
            <w:vAlign w:val="bottom"/>
          </w:tcPr>
          <w:p>
            <w:pPr>
              <w:ind w:left="440"/>
              <w:spacing w:after="0"/>
              <w:rPr>
                <w:sz w:val="20"/>
                <w:szCs w:val="20"/>
                <w:color w:val="auto"/>
              </w:rPr>
            </w:pPr>
            <w:r>
              <w:rPr>
                <w:rFonts w:ascii="Arial" w:cs="Arial" w:eastAsia="Arial" w:hAnsi="Arial"/>
                <w:sz w:val="18"/>
                <w:szCs w:val="18"/>
                <w:color w:val="auto"/>
              </w:rPr>
              <w:t>2.04</w:t>
            </w:r>
          </w:p>
        </w:tc>
        <w:tc>
          <w:tcPr>
            <w:tcW w:w="4440" w:type="dxa"/>
            <w:vAlign w:val="bottom"/>
          </w:tcPr>
          <w:p>
            <w:pPr>
              <w:ind w:left="120"/>
              <w:spacing w:after="0"/>
              <w:rPr>
                <w:sz w:val="20"/>
                <w:szCs w:val="20"/>
                <w:color w:val="auto"/>
              </w:rPr>
            </w:pPr>
            <w:r>
              <w:rPr>
                <w:rFonts w:ascii="Arial" w:cs="Arial" w:eastAsia="Arial" w:hAnsi="Arial"/>
                <w:sz w:val="18"/>
                <w:szCs w:val="18"/>
                <w:color w:val="auto"/>
              </w:rPr>
              <w:t>Swing Line Loan Notice</w:t>
            </w:r>
          </w:p>
        </w:tc>
      </w:tr>
      <w:tr>
        <w:trPr>
          <w:trHeight w:val="216"/>
        </w:trPr>
        <w:tc>
          <w:tcPr>
            <w:tcW w:w="1140" w:type="dxa"/>
            <w:vAlign w:val="bottom"/>
          </w:tcPr>
          <w:p>
            <w:pPr>
              <w:ind w:left="440"/>
              <w:spacing w:after="0"/>
              <w:rPr>
                <w:sz w:val="20"/>
                <w:szCs w:val="20"/>
                <w:color w:val="auto"/>
              </w:rPr>
            </w:pPr>
            <w:r>
              <w:rPr>
                <w:rFonts w:ascii="Arial" w:cs="Arial" w:eastAsia="Arial" w:hAnsi="Arial"/>
                <w:sz w:val="18"/>
                <w:szCs w:val="18"/>
                <w:color w:val="auto"/>
              </w:rPr>
              <w:t>2.11</w:t>
            </w:r>
          </w:p>
        </w:tc>
        <w:tc>
          <w:tcPr>
            <w:tcW w:w="4440" w:type="dxa"/>
            <w:vAlign w:val="bottom"/>
          </w:tcPr>
          <w:p>
            <w:pPr>
              <w:ind w:left="120"/>
              <w:spacing w:after="0"/>
              <w:rPr>
                <w:sz w:val="20"/>
                <w:szCs w:val="20"/>
                <w:color w:val="auto"/>
              </w:rPr>
            </w:pPr>
            <w:r>
              <w:rPr>
                <w:rFonts w:ascii="Arial" w:cs="Arial" w:eastAsia="Arial" w:hAnsi="Arial"/>
                <w:sz w:val="18"/>
                <w:szCs w:val="18"/>
                <w:color w:val="auto"/>
              </w:rPr>
              <w:t>Note</w:t>
            </w:r>
          </w:p>
        </w:tc>
      </w:tr>
      <w:tr>
        <w:trPr>
          <w:trHeight w:val="216"/>
        </w:trPr>
        <w:tc>
          <w:tcPr>
            <w:tcW w:w="1140" w:type="dxa"/>
            <w:vAlign w:val="bottom"/>
          </w:tcPr>
          <w:p>
            <w:pPr>
              <w:ind w:left="440"/>
              <w:spacing w:after="0"/>
              <w:rPr>
                <w:sz w:val="20"/>
                <w:szCs w:val="20"/>
                <w:color w:val="auto"/>
              </w:rPr>
            </w:pPr>
            <w:r>
              <w:rPr>
                <w:rFonts w:ascii="Arial" w:cs="Arial" w:eastAsia="Arial" w:hAnsi="Arial"/>
                <w:sz w:val="18"/>
                <w:szCs w:val="18"/>
                <w:color w:val="auto"/>
              </w:rPr>
              <w:t>3.01</w:t>
            </w:r>
          </w:p>
        </w:tc>
        <w:tc>
          <w:tcPr>
            <w:tcW w:w="4440" w:type="dxa"/>
            <w:vAlign w:val="bottom"/>
          </w:tcPr>
          <w:p>
            <w:pPr>
              <w:ind w:left="120"/>
              <w:spacing w:after="0"/>
              <w:rPr>
                <w:sz w:val="20"/>
                <w:szCs w:val="20"/>
                <w:color w:val="auto"/>
              </w:rPr>
            </w:pPr>
            <w:r>
              <w:rPr>
                <w:rFonts w:ascii="Arial" w:cs="Arial" w:eastAsia="Arial" w:hAnsi="Arial"/>
                <w:sz w:val="18"/>
                <w:szCs w:val="18"/>
                <w:color w:val="auto"/>
              </w:rPr>
              <w:t>Forms of U.S. Tax Compliance Certificates</w:t>
            </w:r>
          </w:p>
        </w:tc>
      </w:tr>
      <w:tr>
        <w:trPr>
          <w:trHeight w:val="216"/>
        </w:trPr>
        <w:tc>
          <w:tcPr>
            <w:tcW w:w="1140" w:type="dxa"/>
            <w:vAlign w:val="bottom"/>
          </w:tcPr>
          <w:p>
            <w:pPr>
              <w:ind w:left="440"/>
              <w:spacing w:after="0"/>
              <w:rPr>
                <w:sz w:val="20"/>
                <w:szCs w:val="20"/>
                <w:color w:val="auto"/>
              </w:rPr>
            </w:pPr>
            <w:r>
              <w:rPr>
                <w:rFonts w:ascii="Arial" w:cs="Arial" w:eastAsia="Arial" w:hAnsi="Arial"/>
                <w:sz w:val="18"/>
                <w:szCs w:val="18"/>
                <w:color w:val="auto"/>
              </w:rPr>
              <w:t>6.02</w:t>
            </w:r>
          </w:p>
        </w:tc>
        <w:tc>
          <w:tcPr>
            <w:tcW w:w="4440" w:type="dxa"/>
            <w:vAlign w:val="bottom"/>
          </w:tcPr>
          <w:p>
            <w:pPr>
              <w:ind w:left="120"/>
              <w:spacing w:after="0"/>
              <w:rPr>
                <w:sz w:val="20"/>
                <w:szCs w:val="20"/>
                <w:color w:val="auto"/>
              </w:rPr>
            </w:pPr>
            <w:r>
              <w:rPr>
                <w:rFonts w:ascii="Arial" w:cs="Arial" w:eastAsia="Arial" w:hAnsi="Arial"/>
                <w:sz w:val="18"/>
                <w:szCs w:val="18"/>
                <w:color w:val="auto"/>
              </w:rPr>
              <w:t>Compliance Certificate</w:t>
            </w:r>
          </w:p>
        </w:tc>
      </w:tr>
      <w:tr>
        <w:trPr>
          <w:trHeight w:val="222"/>
        </w:trPr>
        <w:tc>
          <w:tcPr>
            <w:tcW w:w="1140" w:type="dxa"/>
            <w:vAlign w:val="bottom"/>
          </w:tcPr>
          <w:p>
            <w:pPr>
              <w:ind w:left="440"/>
              <w:spacing w:after="0"/>
              <w:rPr>
                <w:sz w:val="20"/>
                <w:szCs w:val="20"/>
                <w:color w:val="auto"/>
              </w:rPr>
            </w:pPr>
            <w:r>
              <w:rPr>
                <w:rFonts w:ascii="Arial" w:cs="Arial" w:eastAsia="Arial" w:hAnsi="Arial"/>
                <w:sz w:val="18"/>
                <w:szCs w:val="18"/>
                <w:color w:val="auto"/>
              </w:rPr>
              <w:t>10.06</w:t>
            </w:r>
          </w:p>
        </w:tc>
        <w:tc>
          <w:tcPr>
            <w:tcW w:w="4440" w:type="dxa"/>
            <w:vAlign w:val="bottom"/>
          </w:tcPr>
          <w:p>
            <w:pPr>
              <w:ind w:left="120"/>
              <w:spacing w:after="0"/>
              <w:rPr>
                <w:sz w:val="20"/>
                <w:szCs w:val="20"/>
                <w:color w:val="auto"/>
              </w:rPr>
            </w:pPr>
            <w:r>
              <w:rPr>
                <w:rFonts w:ascii="Arial" w:cs="Arial" w:eastAsia="Arial" w:hAnsi="Arial"/>
                <w:sz w:val="18"/>
                <w:szCs w:val="18"/>
                <w:color w:val="auto"/>
              </w:rPr>
              <w:t>Assignment and Assumption</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ind w:right="44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219"/>
          </w:cols>
          <w:pgMar w:left="240" w:top="280" w:right="1440"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AGREEMENT</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This CREDIT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December 19, 2012, among ANALOG DEVICES, INC., a Massachusetts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each lender from time to time party 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 and BANK OF AMERICA, N.A., as Administrative Agent, Swing Line Lender and L/C Issuer.</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Borrower has requested that the Lenders provide a revolving credit facility, and the Lenders are willing to do so on the terms and conditions set forth 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 AND ACCOUNTING TERMS</w:t>
      </w:r>
    </w:p>
    <w:p>
      <w:pPr>
        <w:spacing w:after="0" w:line="2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u w:val="single" w:color="auto"/>
          <w:color w:val="auto"/>
        </w:rPr>
        <w:t>Defined Terms.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Agreement, the following terms shall have the meanings set forth below: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means Bank of America in its capacity as administrative agent under any of the Loan Documents, or any successor administrative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16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10.02</w:t>
      </w:r>
      <w:r>
        <w:rPr>
          <w:rFonts w:ascii="Arial" w:cs="Arial" w:eastAsia="Arial" w:hAnsi="Arial"/>
          <w:sz w:val="18"/>
          <w:szCs w:val="18"/>
          <w:color w:val="auto"/>
        </w:rPr>
        <w:t xml:space="preserve"> or such other address or account as the Administrative Agent may from time to time notify to the Borrower and the Lenders.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Agent Fee Letter</w:t>
      </w:r>
      <w:r>
        <w:rPr>
          <w:rFonts w:ascii="Arial" w:cs="Arial" w:eastAsia="Arial" w:hAnsi="Arial"/>
          <w:sz w:val="16"/>
          <w:szCs w:val="16"/>
          <w:color w:val="auto"/>
        </w:rPr>
        <w:t>” means the fee letter agreement, dated as of November 9, 2012, among the Borrower, Administrative Agent and MLPFS.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the Lenders.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Anniversary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xml:space="preserve">” means with respect to any Lender at any time, the percentage (carried out to the ninth decimal place) of the Aggregate Commitments represented by such Lender’s Commitment at such time, subject to adjustment as provided in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If the commitment of each Lender to make Loans and the obligation of the L/C Issuer to make L/C Credit Extensions have been terminated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if the Aggregate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or in the Assignment and Assumption or other agreement pursuant to which such Lender becomes a party hereto, as applicable.</w:t>
      </w:r>
    </w:p>
    <w:p>
      <w:pPr>
        <w:sectPr>
          <w:pgSz w:w="11900" w:h="16838" w:orient="portrait"/>
          <w:cols w:equalWidth="0" w:num="1">
            <w:col w:w="11380"/>
          </w:cols>
          <w:pgMar w:left="240" w:top="280" w:right="279" w:bottom="1440" w:gutter="0" w:footer="0" w:header="0"/>
        </w:sectPr>
      </w:pPr>
    </w:p>
    <w:bookmarkStart w:id="11" w:name="page12"/>
    <w:bookmarkEnd w:id="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from time to time, the following percentages per annum, based upon the Borrower’s current Debt Rating.</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4"/>
                <w:szCs w:val="14"/>
                <w:color w:val="auto"/>
                <w:w w:val="92"/>
              </w:rPr>
              <w:t>Applicable</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1"/>
              </w:rPr>
              <w:t>Margin for</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0"/>
              </w:rPr>
              <w:t>Eurodollar</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6"/>
              </w:rPr>
              <w:t>Rate Loans</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Applicable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5"/>
              </w:rPr>
              <w:t>and Letter</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Margin for</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color w:val="auto"/>
                <w:w w:val="94"/>
              </w:rPr>
              <w:t>Pricing Level</w:t>
            </w:r>
          </w:p>
        </w:tc>
        <w:tc>
          <w:tcPr>
            <w:tcW w:w="5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w w:val="96"/>
              </w:rPr>
              <w:t>Facility</w:t>
            </w: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0"/>
              </w:rPr>
              <w:t>of Credit</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Base Rate</w:t>
            </w:r>
          </w:p>
        </w:tc>
        <w:tc>
          <w:tcPr>
            <w:tcW w:w="0" w:type="dxa"/>
            <w:vAlign w:val="bottom"/>
          </w:tcPr>
          <w:p>
            <w:pPr>
              <w:spacing w:after="0"/>
              <w:rPr>
                <w:sz w:val="1"/>
                <w:szCs w:val="1"/>
                <w:color w:val="auto"/>
              </w:rPr>
            </w:pPr>
          </w:p>
        </w:tc>
      </w:tr>
      <w:tr>
        <w:trPr>
          <w:trHeight w:val="151"/>
        </w:trPr>
        <w:tc>
          <w:tcPr>
            <w:tcW w:w="780" w:type="dxa"/>
            <w:vAlign w:val="bottom"/>
            <w:tcBorders>
              <w:bottom w:val="single" w:sz="8" w:color="auto"/>
            </w:tcBorders>
            <w:vMerge w:val="continue"/>
          </w:tcPr>
          <w:p>
            <w:pPr>
              <w:spacing w:after="0"/>
              <w:rPr>
                <w:sz w:val="12"/>
                <w:szCs w:val="12"/>
                <w:color w:val="auto"/>
              </w:rPr>
            </w:pPr>
          </w:p>
        </w:tc>
        <w:tc>
          <w:tcPr>
            <w:tcW w:w="5480" w:type="dxa"/>
            <w:vAlign w:val="bottom"/>
          </w:tcPr>
          <w:p>
            <w:pPr>
              <w:spacing w:after="0"/>
              <w:rPr>
                <w:sz w:val="12"/>
                <w:szCs w:val="12"/>
                <w:color w:val="auto"/>
              </w:rPr>
            </w:pPr>
          </w:p>
        </w:tc>
        <w:tc>
          <w:tcPr>
            <w:tcW w:w="1220" w:type="dxa"/>
            <w:vAlign w:val="bottom"/>
            <w:gridSpan w:val="2"/>
          </w:tcPr>
          <w:p>
            <w:pPr>
              <w:jc w:val="center"/>
              <w:ind w:right="360"/>
              <w:spacing w:after="0" w:line="146" w:lineRule="exact"/>
              <w:rPr>
                <w:sz w:val="20"/>
                <w:szCs w:val="20"/>
                <w:color w:val="auto"/>
              </w:rPr>
            </w:pPr>
            <w:r>
              <w:rPr>
                <w:rFonts w:ascii="Arial" w:cs="Arial" w:eastAsia="Arial" w:hAnsi="Arial"/>
                <w:sz w:val="14"/>
                <w:szCs w:val="14"/>
                <w:color w:val="auto"/>
                <w:w w:val="89"/>
              </w:rPr>
              <w:t>Debt Rating</w:t>
            </w:r>
          </w:p>
        </w:tc>
        <w:tc>
          <w:tcPr>
            <w:tcW w:w="1040" w:type="dxa"/>
            <w:vAlign w:val="bottom"/>
            <w:gridSpan w:val="2"/>
          </w:tcPr>
          <w:p>
            <w:pPr>
              <w:jc w:val="right"/>
              <w:ind w:right="700"/>
              <w:spacing w:after="0" w:line="146" w:lineRule="exact"/>
              <w:rPr>
                <w:sz w:val="20"/>
                <w:szCs w:val="20"/>
                <w:color w:val="auto"/>
              </w:rPr>
            </w:pPr>
            <w:r>
              <w:rPr>
                <w:rFonts w:ascii="Arial" w:cs="Arial" w:eastAsia="Arial" w:hAnsi="Arial"/>
                <w:sz w:val="14"/>
                <w:szCs w:val="14"/>
                <w:color w:val="auto"/>
              </w:rPr>
              <w:t>Fee</w:t>
            </w:r>
          </w:p>
        </w:tc>
        <w:tc>
          <w:tcPr>
            <w:tcW w:w="1180" w:type="dxa"/>
            <w:vAlign w:val="bottom"/>
            <w:gridSpan w:val="2"/>
          </w:tcPr>
          <w:p>
            <w:pPr>
              <w:jc w:val="center"/>
              <w:ind w:right="580"/>
              <w:spacing w:after="0" w:line="146" w:lineRule="exact"/>
              <w:rPr>
                <w:sz w:val="20"/>
                <w:szCs w:val="20"/>
                <w:color w:val="auto"/>
              </w:rPr>
            </w:pPr>
            <w:r>
              <w:rPr>
                <w:rFonts w:ascii="Arial" w:cs="Arial" w:eastAsia="Arial" w:hAnsi="Arial"/>
                <w:sz w:val="14"/>
                <w:szCs w:val="14"/>
                <w:color w:val="auto"/>
                <w:w w:val="76"/>
              </w:rPr>
              <w:t>Fees</w:t>
            </w:r>
          </w:p>
        </w:tc>
        <w:tc>
          <w:tcPr>
            <w:tcW w:w="80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83"/>
              </w:rPr>
              <w:t>Loans</w:t>
            </w:r>
          </w:p>
        </w:tc>
        <w:tc>
          <w:tcPr>
            <w:tcW w:w="0" w:type="dxa"/>
            <w:vAlign w:val="bottom"/>
          </w:tcPr>
          <w:p>
            <w:pPr>
              <w:spacing w:after="0"/>
              <w:rPr>
                <w:sz w:val="1"/>
                <w:szCs w:val="1"/>
                <w:color w:val="auto"/>
              </w:rPr>
            </w:pPr>
          </w:p>
        </w:tc>
      </w:tr>
      <w:tr>
        <w:trPr>
          <w:trHeight w:val="20"/>
        </w:trPr>
        <w:tc>
          <w:tcPr>
            <w:tcW w:w="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w:t>
            </w:r>
          </w:p>
        </w:tc>
        <w:tc>
          <w:tcPr>
            <w:tcW w:w="54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 w:type="dxa"/>
            <w:vAlign w:val="bottom"/>
            <w:vMerge w:val="continue"/>
            <w:shd w:val="clear" w:color="auto" w:fill="CCEEFF"/>
          </w:tcPr>
          <w:p>
            <w:pPr>
              <w:spacing w:after="0"/>
              <w:rPr>
                <w:sz w:val="17"/>
                <w:szCs w:val="17"/>
                <w:color w:val="auto"/>
              </w:rPr>
            </w:pPr>
          </w:p>
        </w:tc>
        <w:tc>
          <w:tcPr>
            <w:tcW w:w="548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7"/>
              </w:rPr>
              <w:t>³A+/A1</w:t>
            </w:r>
          </w:p>
        </w:tc>
        <w:tc>
          <w:tcPr>
            <w:tcW w:w="36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w w:val="98"/>
              </w:rPr>
              <w:t>0.060%</w:t>
            </w:r>
          </w:p>
        </w:tc>
        <w:tc>
          <w:tcPr>
            <w:tcW w:w="118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0.690%</w:t>
            </w:r>
          </w:p>
        </w:tc>
        <w:tc>
          <w:tcPr>
            <w:tcW w:w="8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II</w:t>
            </w:r>
          </w:p>
        </w:tc>
        <w:tc>
          <w:tcPr>
            <w:tcW w:w="548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A/A2</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0.080%</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0.795%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III</w:t>
            </w:r>
          </w:p>
        </w:tc>
        <w:tc>
          <w:tcPr>
            <w:tcW w:w="5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A-/A3</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0.100%</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0.900%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IV</w:t>
            </w:r>
          </w:p>
        </w:tc>
        <w:tc>
          <w:tcPr>
            <w:tcW w:w="548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BBB+/Baa1</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0.125%</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1.000%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V</w:t>
            </w:r>
          </w:p>
        </w:tc>
        <w:tc>
          <w:tcPr>
            <w:tcW w:w="5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£BBB/Baa2</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0.150%</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1.100%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0.100%</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Rate in effect on the Closing Date shall be determined based upon Pricing Level III.</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Each change in the Applicable Rate resulting from a publicly announced change in the Debt Rating shall be effective</w:t>
      </w:r>
      <w:r>
        <w:rPr>
          <w:rFonts w:ascii="Arial" w:cs="Arial" w:eastAsia="Arial" w:hAnsi="Arial"/>
          <w:sz w:val="16"/>
          <w:szCs w:val="16"/>
          <w:b w:val="1"/>
          <w:bCs w:val="1"/>
          <w:color w:val="auto"/>
        </w:rPr>
        <w:t>,</w:t>
      </w:r>
      <w:r>
        <w:rPr>
          <w:rFonts w:ascii="Arial" w:cs="Arial" w:eastAsia="Arial" w:hAnsi="Arial"/>
          <w:sz w:val="16"/>
          <w:szCs w:val="16"/>
          <w:color w:val="auto"/>
        </w:rPr>
        <w:t xml:space="preserve"> in the case of an upgrade, during the period commencing on the date of delivery by the Borrower to the Administrative Agent of notice thereof pursuant to </w:t>
      </w:r>
      <w:r>
        <w:rPr>
          <w:rFonts w:ascii="Arial" w:cs="Arial" w:eastAsia="Arial" w:hAnsi="Arial"/>
          <w:sz w:val="16"/>
          <w:szCs w:val="16"/>
          <w:u w:val="single" w:color="auto"/>
          <w:color w:val="auto"/>
        </w:rPr>
        <w:t>Section 6.03(e)</w:t>
      </w:r>
      <w:r>
        <w:rPr>
          <w:rFonts w:ascii="Arial" w:cs="Arial" w:eastAsia="Arial" w:hAnsi="Arial"/>
          <w:sz w:val="16"/>
          <w:szCs w:val="16"/>
          <w:color w:val="auto"/>
        </w:rPr>
        <w:t xml:space="preserve"> and ending on the date immediately preceding the effective date of the next such change and, in the case of a downgrade</w:t>
      </w:r>
      <w:r>
        <w:rPr>
          <w:rFonts w:ascii="Arial" w:cs="Arial" w:eastAsia="Arial" w:hAnsi="Arial"/>
          <w:sz w:val="16"/>
          <w:szCs w:val="16"/>
          <w:b w:val="1"/>
          <w:bCs w:val="1"/>
          <w:color w:val="auto"/>
        </w:rPr>
        <w:t>,</w:t>
      </w:r>
      <w:r>
        <w:rPr>
          <w:rFonts w:ascii="Arial" w:cs="Arial" w:eastAsia="Arial" w:hAnsi="Arial"/>
          <w:sz w:val="16"/>
          <w:szCs w:val="16"/>
          <w:color w:val="auto"/>
        </w:rPr>
        <w:t xml:space="preserve"> during the period commencing on the date of the public announcement thereof and ending on the date immediately preceding the effective date of the next such change. If the respective Debt Ratings differ by one level, then the Pricing Level for the higher of such Debt Ratings shall apply (with the Debt Rating for Pricing Level I being the highest and the Debt Rating for Pricing Level V being the lowest). If there is a split in Debt Ratings of more than one level, then the Pricing Level that is one level lower than the Pricing Level of the higher Debt Rating shall apply. If the Borrower has only one Debt Rating, Pricing Level V shall apply; </w:t>
      </w:r>
      <w:r>
        <w:rPr>
          <w:rFonts w:ascii="Arial" w:cs="Arial" w:eastAsia="Arial" w:hAnsi="Arial"/>
          <w:sz w:val="16"/>
          <w:szCs w:val="16"/>
          <w:u w:val="single" w:color="auto"/>
          <w:color w:val="auto"/>
        </w:rPr>
        <w:t>provide</w:t>
      </w:r>
      <w:r>
        <w:rPr>
          <w:rFonts w:ascii="Arial" w:cs="Arial" w:eastAsia="Arial" w:hAnsi="Arial"/>
          <w:sz w:val="16"/>
          <w:szCs w:val="16"/>
          <w:color w:val="auto"/>
        </w:rPr>
        <w:t>d, that, if either S&amp;P or Moody’s elects not to rate borrowers generally or by industry or other characteristic specific to the Borrower, then the Debt Rating shall be determined with reference to the ratings provided by the sole remaining Debt Rating. If the Borrower does not have any Debt Rating, Pricing Level V shall apply.</w:t>
      </w:r>
    </w:p>
    <w:p>
      <w:pPr>
        <w:spacing w:after="0" w:line="11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MLPFS and J.P. Morgan Securities LLC, each in its capacity as a joint lead arranger and joint book manager.</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10.06(b)</w:t>
      </w:r>
      <w:r>
        <w:rPr>
          <w:rFonts w:ascii="Arial" w:cs="Arial" w:eastAsia="Arial" w:hAnsi="Arial"/>
          <w:sz w:val="18"/>
          <w:szCs w:val="18"/>
          <w:color w:val="auto"/>
        </w:rPr>
        <w:t xml:space="preserve">), and accepted by the Administrative Agent, in substantially the form of </w:t>
      </w:r>
      <w:r>
        <w:rPr>
          <w:rFonts w:ascii="Arial" w:cs="Arial" w:eastAsia="Arial" w:hAnsi="Arial"/>
          <w:sz w:val="18"/>
          <w:szCs w:val="18"/>
          <w:u w:val="single" w:color="auto"/>
          <w:color w:val="auto"/>
        </w:rPr>
        <w:t>Exhibit 10.06</w:t>
      </w:r>
      <w:r>
        <w:rPr>
          <w:rFonts w:ascii="Arial" w:cs="Arial" w:eastAsia="Arial" w:hAnsi="Arial"/>
          <w:sz w:val="18"/>
          <w:szCs w:val="18"/>
          <w:color w:val="auto"/>
        </w:rPr>
        <w:t xml:space="preserve"> or any other form (including electronic documentation generated by MarkitClear or other electronic platform) approved by the Administrative Agent and reasonably acceptable to the Borrower.</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 lease of any Person, the capitalized amount thereof that would appear on a balance sheet of such Person prepared as of such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2" w:name="page13"/>
    <w:bookmarkEnd w:id="12"/>
    <w:p>
      <w:pPr>
        <w:jc w:val="both"/>
        <w:ind w:right="10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6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the Borrower and its Subsidiaries for the fiscal year ended November 3, 2012, and the related consolidated statements of income or operations, shareholders’ equity and cash flows for such fiscal year of the Borrower and its Subsidiaries, including the notes thereto.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2.03(b)(iii)</w:t>
      </w:r>
      <w:r>
        <w:rPr>
          <w:rFonts w:ascii="Arial" w:cs="Arial" w:eastAsia="Arial" w:hAnsi="Arial"/>
          <w:sz w:val="18"/>
          <w:szCs w:val="18"/>
          <w:color w:val="auto"/>
        </w:rPr>
        <w:t>.</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xml:space="preserve">” means the period from and including the Closing Date to the earliest of (a) the Maturity Date, (b) the date of termination of the Aggregate Commitments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(c) the date of termination of the commitment of each Lender to make Loans and of the obligation of the L/C Issuer to make L/C Credit Extensions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successors.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means for any day a fluctuating rate per annum equal to the highest of (a) the Federal Funds Rate plus 1/2 of 1%, (b) the rate of interest in effect for such day as publicly announced from time to time by Bank of America as its “prime rate” and (c) the Eurodollar Rate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the “prime rate” announced by Bank of America shall take effect at the opening of business on the day specified in the public announcement of such change.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Committed Loan</w:t>
      </w:r>
      <w:r>
        <w:rPr>
          <w:rFonts w:ascii="Arial" w:cs="Arial" w:eastAsia="Arial" w:hAnsi="Arial"/>
          <w:sz w:val="18"/>
          <w:szCs w:val="18"/>
          <w:color w:val="auto"/>
        </w:rPr>
        <w:t>” means a Committed Loan that is a Base Rate Loan.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bears interest based on the Base Rate.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introductory paragraph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Committed Borrowing or a Swing Line Borrowing, as the context may require.</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that is also a London Banking Day.</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means to pledge and deposit with or deliver to the Administrative Agent, for the benefit of one or more of the L/C Issuer or the Lenders, as collateral for L/C Obligations or obligations of the Lenders to fund participations in respect of L/C Obligations, cash or deposit account balances or other credit support reasonably satisfactory to the Administrative Agent and the L/C Issuer, in each case pursuant to documentation in form and substance reasonably satisfactory to the Administrative Agent and the L/C Issuer. “</w:t>
      </w:r>
      <w:r>
        <w:rPr>
          <w:rFonts w:ascii="Arial" w:cs="Arial" w:eastAsia="Arial" w:hAnsi="Arial"/>
          <w:sz w:val="18"/>
          <w:szCs w:val="18"/>
          <w:u w:val="single" w:color="auto"/>
          <w:color w:val="auto"/>
        </w:rPr>
        <w:t>Cash Collateral</w:t>
      </w:r>
      <w:r>
        <w:rPr>
          <w:rFonts w:ascii="Arial" w:cs="Arial" w:eastAsia="Arial" w:hAnsi="Arial"/>
          <w:sz w:val="18"/>
          <w:szCs w:val="18"/>
          <w:color w:val="auto"/>
        </w:rPr>
        <w:t>” shall have a meaning correlative to the foregoing and shall include the proceeds of such cash collateral and other credit support.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13" w:name="page14"/>
    <w:bookmarkEnd w:id="13"/>
    <w:p>
      <w:pPr>
        <w:ind w:right="8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w:t>
      </w:r>
      <w:r>
        <w:rPr>
          <w:rFonts w:ascii="Arial" w:cs="Arial" w:eastAsia="Arial" w:hAnsi="Arial"/>
          <w:sz w:val="16"/>
          <w:szCs w:val="16"/>
          <w:u w:val="single" w:color="auto"/>
          <w:color w:val="auto"/>
        </w:rPr>
        <w:t>Change in Law</w:t>
      </w:r>
      <w:r>
        <w:rPr>
          <w:rFonts w:ascii="Arial" w:cs="Arial" w:eastAsia="Arial" w:hAnsi="Arial"/>
          <w:sz w:val="16"/>
          <w:szCs w:val="16"/>
          <w:color w:val="auto"/>
        </w:rPr>
        <w:t>”, regardless of the date enacted, adopted or issued.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 event or series of events by which:</w:t>
      </w:r>
    </w:p>
    <w:p>
      <w:pPr>
        <w:spacing w:after="0" w:line="90" w:lineRule="exact"/>
        <w:rPr>
          <w:sz w:val="20"/>
          <w:szCs w:val="20"/>
          <w:color w:val="auto"/>
        </w:rPr>
      </w:pPr>
    </w:p>
    <w:p>
      <w:pPr>
        <w:ind w:left="460" w:firstLine="443"/>
        <w:spacing w:after="0" w:line="290" w:lineRule="auto"/>
        <w:tabs>
          <w:tab w:leader="none" w:pos="1137"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Arial" w:cs="Arial" w:eastAsia="Arial" w:hAnsi="Arial"/>
          <w:sz w:val="16"/>
          <w:szCs w:val="16"/>
          <w:u w:val="single" w:color="auto"/>
          <w:color w:val="auto"/>
        </w:rPr>
        <w:t>option right</w:t>
      </w:r>
      <w:r>
        <w:rPr>
          <w:rFonts w:ascii="Arial" w:cs="Arial" w:eastAsia="Arial" w:hAnsi="Arial"/>
          <w:sz w:val="16"/>
          <w:szCs w:val="16"/>
          <w:color w:val="auto"/>
        </w:rPr>
        <w:t>”), directly or indirectly, of 30% or more of the equity securities of the Borrower entitled to vote for members of the board of directors or equivalent governing body of the Borrower on a fully-diluted basis (and taking into account all such securities that such person or group has the right to acquire pursuant to any option right); or</w:t>
      </w:r>
    </w:p>
    <w:p>
      <w:pPr>
        <w:spacing w:after="0" w:line="37" w:lineRule="exact"/>
        <w:rPr>
          <w:rFonts w:ascii="Arial" w:cs="Arial" w:eastAsia="Arial" w:hAnsi="Arial"/>
          <w:sz w:val="16"/>
          <w:szCs w:val="16"/>
          <w:color w:val="auto"/>
        </w:rPr>
      </w:pPr>
    </w:p>
    <w:p>
      <w:pPr>
        <w:ind w:left="1160" w:hanging="257"/>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board of directors of the Borrower shall cease to consist of a majority of Continuing Directors.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the first date all the conditions precedent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as to each Lender, its obligation to (a) make Committed Loans to the Borrower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pursuant to which such Lender becomes a party hereto, as applicable, as such amount may be adjusted from time to time in accordance with this Agreement. The aggregate amount of the Commitments on the Closing Date is FIVE HUNDRED MILLION DOLLARS ($500,000,000).</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Borrowing</w:t>
      </w:r>
      <w:r>
        <w:rPr>
          <w:rFonts w:ascii="Arial" w:cs="Arial" w:eastAsia="Arial" w:hAnsi="Arial"/>
          <w:sz w:val="18"/>
          <w:szCs w:val="18"/>
          <w:color w:val="auto"/>
        </w:rPr>
        <w:t xml:space="preserve">” means a borrowing consisting of simultaneous Committed Loans of the same Type and, in the case of Eurodollar Rate Loans, having the same Interest Period made by each of the Lenders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4" w:name="page15"/>
    <w:bookmarkEnd w:id="14"/>
    <w:p>
      <w:pPr>
        <w:ind w:right="58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Committed Loan Notice</w:t>
      </w:r>
      <w:r>
        <w:rPr>
          <w:rFonts w:ascii="Arial" w:cs="Arial" w:eastAsia="Arial" w:hAnsi="Arial"/>
          <w:sz w:val="16"/>
          <w:szCs w:val="16"/>
          <w:color w:val="auto"/>
        </w:rPr>
        <w:t xml:space="preserve">” means a notice of (a) a Committed Borrowing, (b) a conversion of Committed Loans from one Type to the other, or (c) a continuation of Eurodollar Rate Loans, pursuant to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which, if in writing, shall be substantially in the form of </w:t>
      </w:r>
      <w:r>
        <w:rPr>
          <w:rFonts w:ascii="Arial" w:cs="Arial" w:eastAsia="Arial" w:hAnsi="Arial"/>
          <w:sz w:val="16"/>
          <w:szCs w:val="16"/>
          <w:u w:val="single" w:color="auto"/>
          <w:color w:val="auto"/>
        </w:rPr>
        <w:t>Exhibit 2.02</w:t>
      </w:r>
      <w:r>
        <w:rPr>
          <w:rFonts w:ascii="Arial" w:cs="Arial" w:eastAsia="Arial" w:hAnsi="Arial"/>
          <w:sz w:val="16"/>
          <w:szCs w:val="16"/>
          <w:color w:val="auto"/>
        </w:rPr>
        <w: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6.02</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xml:space="preserve">” means, for any period, for the Borrower and its Subsidiaries on a consolidated basis, an amount equal to Consolidated Net Income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 the following to the extent deducted in calculating such Consolidated Net Income: (i) Consolidated Interest Charges for such period, (ii) the provision for federal, state, local and foreign income taxes payable by the Borrower and its Subsidiaries for such period, (iii) depreciation and amortization expense for such period, (iv) non-cash stock-based compensation expense for such period, (v) certain non-recurring expenses of the Borrower and its Subsidiaries incurred prior to the Closing Date, as more fully set forth on </w:t>
      </w:r>
      <w:r>
        <w:rPr>
          <w:rFonts w:ascii="Arial" w:cs="Arial" w:eastAsia="Arial" w:hAnsi="Arial"/>
          <w:sz w:val="16"/>
          <w:szCs w:val="16"/>
          <w:u w:val="single" w:color="auto"/>
          <w:color w:val="auto"/>
        </w:rPr>
        <w:t>Schedule 1.01</w:t>
      </w:r>
      <w:r>
        <w:rPr>
          <w:rFonts w:ascii="Arial" w:cs="Arial" w:eastAsia="Arial" w:hAnsi="Arial"/>
          <w:sz w:val="16"/>
          <w:szCs w:val="16"/>
          <w:color w:val="auto"/>
        </w:rPr>
        <w:t xml:space="preserve">, for such period, (vi) non-recurring expenses (whether or not separately identified on the profit and loss statement) of the Borrower and its Subsidiaries reducing such Consolidated Net Income which do not represent a cash item in such period or any future period and (vii) non-recurring cash expenses (whether or not separately identified on the profit and loss statement) of the Borrower and its Subsidiaries reducing such Consolidated Net Income to the extent such cash expenses are not paid in such period but will be paid in a future period (it being understood that such non-recurring cash expenses will reduce Consolidated EBITDA only when paid)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to the extent included in calculating such Consolidated Net Income, all non-recurring non-cash items increasing Consolidated Net Income for such period, all as determined in accordance with GAAP.</w:t>
      </w:r>
    </w:p>
    <w:p>
      <w:pPr>
        <w:spacing w:after="0" w:line="12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 Adjustments</w:t>
      </w:r>
      <w:r>
        <w:rPr>
          <w:rFonts w:ascii="Arial" w:cs="Arial" w:eastAsia="Arial" w:hAnsi="Arial"/>
          <w:sz w:val="16"/>
          <w:szCs w:val="16"/>
          <w:color w:val="auto"/>
        </w:rPr>
        <w:t xml:space="preserve">” means, in connection with (a) any Person acquired by the Borrower or any of its Subsidiaries or any other assets acquired by the Borrower or any of its Subsidiaries during the applicable four fiscal quarter measurement period for purposes of </w:t>
      </w:r>
      <w:r>
        <w:rPr>
          <w:rFonts w:ascii="Arial" w:cs="Arial" w:eastAsia="Arial" w:hAnsi="Arial"/>
          <w:sz w:val="16"/>
          <w:szCs w:val="16"/>
          <w:u w:val="single" w:color="auto"/>
          <w:color w:val="auto"/>
        </w:rPr>
        <w:t>Section 7.10</w:t>
      </w:r>
      <w:r>
        <w:rPr>
          <w:rFonts w:ascii="Arial" w:cs="Arial" w:eastAsia="Arial" w:hAnsi="Arial"/>
          <w:sz w:val="16"/>
          <w:szCs w:val="16"/>
          <w:color w:val="auto"/>
        </w:rPr>
        <w:t xml:space="preserve">, in each case where there exist historical financial statements with respect thereto or the Borrower provides internally prepared separate financial statements to the Administrative Agent with respect to such Person or assets (such statements to be reasonably acceptable to the Administrative Agent), Consolidated EBITDA shall be calculated, without duplication, as if such Person or assets had been acquired on the first day of such four fiscal quarter period and (b) any Person disposed of by the Borrower or any of its Subsidiaries or any other assets disposed of by the Borrower or any of its Subsidiaries during the applicable four fiscal quarter measurement period for purposes of </w:t>
      </w:r>
      <w:r>
        <w:rPr>
          <w:rFonts w:ascii="Arial" w:cs="Arial" w:eastAsia="Arial" w:hAnsi="Arial"/>
          <w:sz w:val="16"/>
          <w:szCs w:val="16"/>
          <w:u w:val="single" w:color="auto"/>
          <w:color w:val="auto"/>
        </w:rPr>
        <w:t>Section 7.10</w:t>
      </w:r>
      <w:r>
        <w:rPr>
          <w:rFonts w:ascii="Arial" w:cs="Arial" w:eastAsia="Arial" w:hAnsi="Arial"/>
          <w:sz w:val="16"/>
          <w:szCs w:val="16"/>
          <w:color w:val="auto"/>
        </w:rPr>
        <w:t>, in each case to the extent there exist historical financial statements with respect to such Person or assets or the Borrower provides (or, upon the request of the Administrative Agent, can reasonably provide) internally prepared separate financial statements to the Administrative Agent with respect to such Person or assets (such statements to be reasonably acceptable to the Administrative Agent), Consolidated EBITDA shall be calculated, without duplication, as if such Person or assets had been disposed of on the first day of such four fiscal quarter period.</w:t>
      </w:r>
    </w:p>
    <w:p>
      <w:pPr>
        <w:spacing w:after="0" w:line="12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Funded Indebtedness</w:t>
      </w:r>
      <w:r>
        <w:rPr>
          <w:rFonts w:ascii="Arial" w:cs="Arial" w:eastAsia="Arial" w:hAnsi="Arial"/>
          <w:sz w:val="16"/>
          <w:szCs w:val="16"/>
          <w:color w:val="auto"/>
        </w:rPr>
        <w:t>” means, as of any date of determination with respect to the Borrower and its Subsidiaries on a consolidated basis, without duplication, the sum of: (a) all obligations for borrowed money, whether current or long-term (including the Obligations) and all obligations evidenced by bonds, debentures, notes, loan agreements or other similar instruments; (b) all purchase money Indebtedness; (c) all obligations (direct or contingent) arising in respect of letters of credit, whether standby or commercial, (other than commercial letters of credit issued in the ordinary course of business to the extent there is no overdue reimbursement obligation in respect thereof), bankers’ acceptances, bank guaranties, surety bonds and similar instruments; (d) all obligations in respect of the deferred purchase price of property or services (other than trade accounts payable in the ordinary course of business); (e) all Attributable Indebtedness; (f) all Guarantees with respect to Indebtedness of the types specified in clauses (a) through (e) above of another Person; and (g) all Indebtedness of the types referred to in clauses (a) through (f) above of any partnership or joint venture (other than a joint venture that is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5" w:name="page16"/>
    <w:bookmarkEnd w:id="15"/>
    <w:p>
      <w:pPr>
        <w:ind w:right="7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itself a corporation or limited liability company) in which the Borrower or any Subsidiary is a general partner or joint venturer, except to the extent that Indebtedness is expressly made non-recourse to such Person.</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Charges</w:t>
      </w:r>
      <w:r>
        <w:rPr>
          <w:rFonts w:ascii="Arial" w:cs="Arial" w:eastAsia="Arial" w:hAnsi="Arial"/>
          <w:sz w:val="16"/>
          <w:szCs w:val="16"/>
          <w:color w:val="auto"/>
        </w:rPr>
        <w:t>” means, for any period, for the Borrower and its Subsidiaries on a consolidated basis, the sum of (a) all interest, premium payments, debt discount, fees, charges and related expenses of the Borrower and its Subsidiaries in connection with borrowed money (including capitalized interest) or in connection with the deferred purchase price of assets, in each case to the extent treated as interest in accordance with GAAP, and (b) the portion of rent expense of the Borrower and its Subsidiaries with respect to such period under capital leases that is treated as interest in accordance with GAAP.</w:t>
      </w:r>
    </w:p>
    <w:p>
      <w:pPr>
        <w:spacing w:after="0" w:line="113"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Leverage Ratio</w:t>
      </w:r>
      <w:r>
        <w:rPr>
          <w:rFonts w:ascii="Arial" w:cs="Arial" w:eastAsia="Arial" w:hAnsi="Arial"/>
          <w:sz w:val="16"/>
          <w:szCs w:val="16"/>
          <w:color w:val="auto"/>
        </w:rPr>
        <w:t>” means, as of the last day of each fiscal quarter, the ratio of (a) Consolidated Funded Indebtedness as of such date to (b) Consolidated EBITDA for the period of the four fiscal quarters most recently ended, subject to Consolidated EBITDA Adjustments.</w:t>
      </w:r>
    </w:p>
    <w:p>
      <w:pPr>
        <w:spacing w:after="0" w:line="85"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means, for any period, for the Borrower and its Subsidiaries on a consolidated basis, the net income of the Borrower and its Subsidiaries (excluding extraordinary gains and extraordinary losses) for that period, in each case as determined in accordance with GAAP.</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Tangible Assets</w:t>
      </w:r>
      <w:r>
        <w:rPr>
          <w:rFonts w:ascii="Arial" w:cs="Arial" w:eastAsia="Arial" w:hAnsi="Arial"/>
          <w:sz w:val="18"/>
          <w:szCs w:val="18"/>
          <w:color w:val="auto"/>
        </w:rPr>
        <w:t>” means, at any time, the consolidated tangible assets of the Borrower and its Subsidiaries, as determined in accordance with GAAP.</w:t>
      </w:r>
    </w:p>
    <w:p>
      <w:pPr>
        <w:spacing w:after="0" w:line="132"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Directors</w:t>
      </w:r>
      <w:r>
        <w:rPr>
          <w:rFonts w:ascii="Arial" w:cs="Arial" w:eastAsia="Arial" w:hAnsi="Arial"/>
          <w:sz w:val="18"/>
          <w:szCs w:val="18"/>
          <w:color w:val="auto"/>
        </w:rPr>
        <w:t>” means the directors of the Borrower on the Closing Date, and each other director whose election by the board of directors of the Borrower or whose nomination for election by the stockholders of the Borrower was approved by a vote of at least a majority of the directors who were either directors of the Borrower on the Closing Date or whose election or nomination for election was previously so approved by directors who were Continuing Directors.</w:t>
      </w:r>
    </w:p>
    <w:p>
      <w:pPr>
        <w:spacing w:after="0" w:line="143"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32"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the following: (a) a Borrowing and (b) an L/C Credit Extension.</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Rating</w:t>
      </w:r>
      <w:r>
        <w:rPr>
          <w:rFonts w:ascii="Arial" w:cs="Arial" w:eastAsia="Arial" w:hAnsi="Arial"/>
          <w:sz w:val="18"/>
          <w:szCs w:val="18"/>
          <w:color w:val="auto"/>
        </w:rPr>
        <w:t>” means, as of any date of determination, the rating as determined by S&amp;P and Moody’s (collectively, the “</w:t>
      </w:r>
      <w:r>
        <w:rPr>
          <w:rFonts w:ascii="Arial" w:cs="Arial" w:eastAsia="Arial" w:hAnsi="Arial"/>
          <w:sz w:val="18"/>
          <w:szCs w:val="18"/>
          <w:u w:val="single" w:color="auto"/>
          <w:color w:val="auto"/>
        </w:rPr>
        <w:t>Debt Ratings</w:t>
      </w:r>
      <w:r>
        <w:rPr>
          <w:rFonts w:ascii="Arial" w:cs="Arial" w:eastAsia="Arial" w:hAnsi="Arial"/>
          <w:sz w:val="18"/>
          <w:szCs w:val="18"/>
          <w:color w:val="auto"/>
        </w:rPr>
        <w:t>”) of the Borrower’s non-credit-enhanced, senior unsecured long-term debt.</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6" w:name="page17"/>
    <w:bookmarkEnd w:id="16"/>
    <w:p>
      <w:pPr>
        <w:ind w:right="4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 when used with respect to Obligations other than Letter of Credit Fees, an interest rate equal to (i) the Base Rate plus (ii) the Applicable Rate, if any, applicable to Base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2%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 Eurodollar Rate Loan, the Default Rate shall be an interest rate equal to the interest rate (including any Applicable Rate) otherwise applicable to such Loan plus 2% per annum, in each case to the fullest extent permitted by applicable Laws and (b) when used with respect to Letter of Credit Fees, a rate equal to the Applicable Rate for Letters of Credit plus 2% per annum.</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2.17(b)</w:t>
      </w:r>
      <w:r>
        <w:rPr>
          <w:rFonts w:ascii="Arial" w:cs="Arial" w:eastAsia="Arial" w:hAnsi="Arial"/>
          <w:sz w:val="16"/>
          <w:szCs w:val="16"/>
          <w:color w:val="auto"/>
        </w:rPr>
        <w:t>, any Lender that (a) has failed to (i) fund all or any portion of its Committed Loans within two</w:t>
      </w:r>
    </w:p>
    <w:p>
      <w:pPr>
        <w:spacing w:after="0" w:line="38" w:lineRule="exact"/>
        <w:rPr>
          <w:sz w:val="20"/>
          <w:szCs w:val="20"/>
          <w:color w:val="auto"/>
        </w:rPr>
      </w:pPr>
    </w:p>
    <w:p>
      <w:pPr>
        <w:ind w:firstLine="8"/>
        <w:spacing w:after="0" w:line="283" w:lineRule="auto"/>
        <w:tabs>
          <w:tab w:leader="none" w:pos="249" w:val="left"/>
        </w:tabs>
        <w:numPr>
          <w:ilvl w:val="0"/>
          <w:numId w:val="4"/>
        </w:numPr>
        <w:rPr>
          <w:rFonts w:ascii="Arial" w:cs="Arial" w:eastAsia="Arial" w:hAnsi="Arial"/>
          <w:sz w:val="16"/>
          <w:szCs w:val="16"/>
          <w:color w:val="auto"/>
        </w:rPr>
      </w:pPr>
      <w:r>
        <w:rPr>
          <w:rFonts w:ascii="Arial" w:cs="Arial" w:eastAsia="Arial" w:hAnsi="Arial"/>
          <w:sz w:val="16"/>
          <w:szCs w:val="16"/>
          <w:color w:val="auto"/>
        </w:rPr>
        <w:t>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 Line Lender or any other Lender any other amount required to be paid by it hereunder (including in respect of its participation in Letters of Credit or Swing Line Loans) within two Business Days of the date when due, (b) has notified the Borrower,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Committed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Interests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of the effective date of such status, shall be conclusive and binding absent manifest error, and such Lender shall be deemed to be a Defaulting Lender (subject to </w:t>
      </w:r>
      <w:r>
        <w:rPr>
          <w:rFonts w:ascii="Arial" w:cs="Arial" w:eastAsia="Arial" w:hAnsi="Arial"/>
          <w:sz w:val="16"/>
          <w:szCs w:val="16"/>
          <w:u w:val="single" w:color="auto"/>
          <w:color w:val="auto"/>
        </w:rPr>
        <w:t>Section 2.17(b)</w:t>
      </w:r>
      <w:r>
        <w:rPr>
          <w:rFonts w:ascii="Arial" w:cs="Arial" w:eastAsia="Arial" w:hAnsi="Arial"/>
          <w:sz w:val="16"/>
          <w:szCs w:val="16"/>
          <w:color w:val="auto"/>
        </w:rPr>
        <w:t>) as of the date established therefore by the Administrative Agent in a written notice of such determination, which shall be delivered by the Administrative Agent to the Borrower, the L/C Issuer, the Swing Line Lender and each other Lender promptly following such determination.</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means any country or territory to the extent that such country or territory is the subject of any Sanction.</w:t>
      </w:r>
    </w:p>
    <w:p>
      <w:pPr>
        <w:spacing w:after="0" w:line="17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(including any sale and leaseback transaction) of property of any Person, including any sale, assignment, transfer or other disposal, with or without recourse, of any notes or accounts receivable or any rights and claims associated therewith.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7" w:name="page18"/>
    <w:bookmarkEnd w:id="1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applicable federal, state, local, foreign and other applicable statutes, laws, regulations, ordinances, rules, judgments, orders, decrees, permits, concessions, grants, franchises, governmental licenses, governmental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43"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Borrower or any of its Subsidiaries directly or indirectly resulting from or based upon (a) violation of any Environmental Law,</w:t>
      </w:r>
    </w:p>
    <w:p>
      <w:pPr>
        <w:ind w:right="100" w:firstLine="8"/>
        <w:spacing w:after="0" w:line="255"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4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171" w:lineRule="exact"/>
        <w:rPr>
          <w:sz w:val="20"/>
          <w:szCs w:val="20"/>
          <w:color w:val="auto"/>
        </w:rPr>
      </w:pPr>
    </w:p>
    <w:p>
      <w:pPr>
        <w:ind w:right="9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85" w:lineRule="exact"/>
        <w:rPr>
          <w:sz w:val="20"/>
          <w:szCs w:val="20"/>
          <w:color w:val="auto"/>
        </w:rPr>
      </w:pPr>
    </w:p>
    <w:p>
      <w:pPr>
        <w:ind w:right="220" w:firstLine="456"/>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ERISA Event</w:t>
      </w:r>
      <w:r>
        <w:rPr>
          <w:rFonts w:ascii="Arial" w:cs="Arial" w:eastAsia="Arial" w:hAnsi="Arial"/>
          <w:sz w:val="15"/>
          <w:szCs w:val="15"/>
          <w:color w:val="auto"/>
        </w:rPr>
        <w:t>” means (a) a Reportable Event with respect to a Pension Plan; (b) a withdrawal by the Borrower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the treatment of a Pension Plan amendment as a termination under Section 4041 or 4041A of ERISA, or the institution by the PBGC of proceedings to terminate a Pension Plan;</w:t>
      </w:r>
    </w:p>
    <w:p>
      <w:pPr>
        <w:spacing w:after="0" w:line="2" w:lineRule="exact"/>
        <w:rPr>
          <w:sz w:val="20"/>
          <w:szCs w:val="20"/>
          <w:color w:val="auto"/>
        </w:rPr>
      </w:pPr>
    </w:p>
    <w:p>
      <w:pPr>
        <w:ind w:right="180" w:firstLine="8"/>
        <w:spacing w:after="0" w:line="295" w:lineRule="auto"/>
        <w:tabs>
          <w:tab w:leader="none" w:pos="239"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event or condition which constitutes grounds under Section 4042 of ERISA for the termination of, or the appointment of a trustee to administer, any Pension Plan; (f) the imposition of any liability under Title IV of ERISA, other than for PBGC premiums due but not delinquent under Section 4007 of ERISA, upon the Borrower or any ERISA Affiliate; or (g) the determination that any Pension Plan is considered an at-risk plan or a plan in endangered or critical status within the meaning of Sections 430, 431 and 432 of the Code or Sections 303, 304 and 305 of ERISA.</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18" w:name="page19"/>
    <w:bookmarkEnd w:id="1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Eurodollar Base Rate</w:t>
      </w:r>
      <w:r>
        <w:rPr>
          <w:rFonts w:ascii="Arial" w:cs="Arial" w:eastAsia="Arial" w:hAnsi="Arial"/>
          <w:sz w:val="18"/>
          <w:szCs w:val="18"/>
          <w:color w:val="auto"/>
        </w:rPr>
        <w:t>” means:</w:t>
      </w:r>
    </w:p>
    <w:p>
      <w:pPr>
        <w:spacing w:after="0" w:line="90" w:lineRule="exact"/>
        <w:rPr>
          <w:sz w:val="20"/>
          <w:szCs w:val="20"/>
          <w:color w:val="auto"/>
        </w:rPr>
      </w:pPr>
    </w:p>
    <w:p>
      <w:pPr>
        <w:ind w:left="460" w:firstLine="443"/>
        <w:spacing w:after="0" w:line="288" w:lineRule="auto"/>
        <w:tabs>
          <w:tab w:leader="none" w:pos="1137"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any Interest Period with respect to a Eurodollar Rate Loan, the rate per annum equal to the British Bankers Association LIBOR Rate or the successor thereto if the British Bankers Association is no longer making a LIBOR Rate available (“LIBOR”), as published by Reuters (or such other commercially available source providing quotations of LIBOR as may be designated by the Administrative Agent from time to time) at approximately 11:00 a.m., London time, two London Banking Days prior to the commencement of such Interest Period, for Dollar deposits (for delivery on the first day of such Interest Period) with a term equivalent to such Interest Period. If such rate is not available at such time for any reason, then the “Eurodollar Rate” for such Interest Period shall be the rate per annum determined by the Administrative Agent to be the rate at which deposits in Dollars for delivery on the first day of such Interest Period in same day funds in the approximate amount of the Eurodollar Rate Loan being made, continued or converted and with a term equivalent to such Interest Period would be offered by Bank of America’s London Branch to major banks in the London interbank eurodollar market at their request at approximately 11:00 a.m. (London time) two London Banking Days prior to the commencement of such Interest Period; and</w:t>
      </w:r>
    </w:p>
    <w:p>
      <w:pPr>
        <w:spacing w:after="0" w:line="38" w:lineRule="exact"/>
        <w:rPr>
          <w:rFonts w:ascii="Arial" w:cs="Arial" w:eastAsia="Arial" w:hAnsi="Arial"/>
          <w:sz w:val="16"/>
          <w:szCs w:val="16"/>
          <w:color w:val="auto"/>
        </w:rPr>
      </w:pPr>
    </w:p>
    <w:p>
      <w:pPr>
        <w:ind w:left="460" w:right="20" w:firstLine="443"/>
        <w:spacing w:after="0" w:line="291" w:lineRule="auto"/>
        <w:tabs>
          <w:tab w:leader="none" w:pos="1147"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any interest rate calculation with respect to a Base Rate Loan on any date, the rate per annum equal to (i) LIBOR, at approximately 11:00 a.m. London time determined two London Banking Days prior to such date for Dollar deposits being delivered in the London interbank market for a term of one month commencing that day or (ii) if such published rate is not available at such time for any reason, the rate per annum determined by the Administrative Agent to be the rate at which deposits in Dollars for delivery on the date of determination in same day funds in the approximate amount of the Base Rate Loan being made or maintained with a term equal to one month would be offered by Bank of America’s London Branch to major banks in the London interbank eurodollar market at their request at the date and time of determination.</w:t>
      </w:r>
    </w:p>
    <w:p>
      <w:pPr>
        <w:spacing w:after="0" w:line="120"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Rate</w:t>
      </w:r>
      <w:r>
        <w:rPr>
          <w:rFonts w:ascii="Arial" w:cs="Arial" w:eastAsia="Arial" w:hAnsi="Arial"/>
          <w:sz w:val="16"/>
          <w:szCs w:val="16"/>
          <w:color w:val="auto"/>
        </w:rPr>
        <w:t xml:space="preserve">” means (a) for any Interest Period with respect to any Eurodollar Rate Loan, a rate per annum determined by the Administrative Agent to be equal to the quotient obtained by dividing (i) the Eurodollar Base Rate for such Eurodollar Rate Loan for such Interest Period by (ii) one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Eurodollar Reserve Percentage for such Eurodollar Rate Loan for such Interest Period and (b) for any day with respect to any Base Rate Loan bearing interest at a rate based on the Eurodollar Rate, a rate per annum determined by the Administrative Agent to be equal to the quotient obtained by dividing (i) the Eurodollar Base Rate for such Base Rate Loan for such day by (ii) one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Eurodollar Reserve Percentage for such Base Rate Loan for such day.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Loan</w:t>
      </w:r>
      <w:r>
        <w:rPr>
          <w:rFonts w:ascii="Arial" w:cs="Arial" w:eastAsia="Arial" w:hAnsi="Arial"/>
          <w:sz w:val="18"/>
          <w:szCs w:val="18"/>
          <w:color w:val="auto"/>
        </w:rPr>
        <w:t>” means a Loan that bears interest at a rate based on clause (a) of the definition of “Eurodollar Rate”.</w:t>
      </w:r>
    </w:p>
    <w:p>
      <w:pPr>
        <w:spacing w:after="0" w:line="171"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Reserve Percentage</w:t>
      </w:r>
      <w:r>
        <w:rPr>
          <w:rFonts w:ascii="Arial" w:cs="Arial" w:eastAsia="Arial" w:hAnsi="Arial"/>
          <w:sz w:val="16"/>
          <w:szCs w:val="16"/>
          <w:color w:val="auto"/>
        </w:rPr>
        <w:t>” means, for any day, the reserve percentage (expressed as a decimal, carried out to five decimal places) in effect on such day, whether or not applicable to any Lender, under regulations issued from time to time by the FRB for determining the maximum reserve requirement (including any emergency, supplemental or other marginal reserve requirement) with respect to Eurocurrency funding (currently referred to as “Eurocurrency liabilities”). The Eurodollar Rate for each outstanding Eurodollar Rate Loan and for each outstanding Base Rate Loan the interest on which is determined by reference to the Eurodollar Rate, in each case, shall be adjusted automatically as of the effective date of any change in the Eurodollar Reserve Percentage.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9" w:name="page20"/>
    <w:bookmarkEnd w:id="1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or (ii) such Lender changes its Lending Office, except in each case to the extent that pursuant to </w:t>
      </w:r>
      <w:r>
        <w:rPr>
          <w:rFonts w:ascii="Arial" w:cs="Arial" w:eastAsia="Arial" w:hAnsi="Arial"/>
          <w:sz w:val="16"/>
          <w:szCs w:val="16"/>
          <w:u w:val="single" w:color="auto"/>
          <w:color w:val="auto"/>
        </w:rPr>
        <w:t>Section 3.01(a)(ii)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any U.S. federal withholding taxes imposed under FATCA.</w:t>
      </w:r>
    </w:p>
    <w:p>
      <w:pPr>
        <w:spacing w:after="0" w:line="12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that certain Credit Agreement dated as of May 13, 2008 among the Borrower, the lenders party thereto and Bank of America, as administrative agent, swing line lender and L/C issuer, as amended or modified from time to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the Agent Fee Letter and the JPM Fee Letter.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not a U.S Person.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Fronting Exposure</w:t>
      </w:r>
      <w:r>
        <w:rPr>
          <w:rFonts w:ascii="Arial" w:cs="Arial" w:eastAsia="Arial" w:hAnsi="Arial"/>
          <w:sz w:val="16"/>
          <w:szCs w:val="16"/>
          <w:color w:val="auto"/>
        </w:rPr>
        <w:t>” means, at any time there is a Defaulting Lender, (a)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or Cash Collateralized, in each case, in accordance with the terms hereof.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0" w:name="page21"/>
    <w:bookmarkEnd w:id="20"/>
    <w:p>
      <w:pPr>
        <w:ind w:right="2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means, as to any Person, any (a) any obligation, contingent or otherwise, of such Person guaranteeing any Indebtedness or other monetary obligation payable by another Person (the “primary obligor”) in any manner, whether directly or indirectly, and including any obligation of such Person, direct or indirect, (i) to purchase or pay (or advance or supply funds for the purchase or payment of) such Indebtedness or other monetary obligation, (ii) to purchase or lease property, securities or services for the purpose of assuring the obligee in respect of such Indebtedness or other monetary obligation of the payment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thereof or to protect such obligee against loss in respect thereof (in whole or in part), or (b) any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2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Honor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2.03(c)</w:t>
      </w:r>
      <w:r>
        <w:rPr>
          <w:rFonts w:ascii="Arial" w:cs="Arial" w:eastAsia="Arial" w:hAnsi="Arial"/>
          <w:sz w:val="18"/>
          <w:szCs w:val="18"/>
          <w:color w:val="auto"/>
        </w:rPr>
        <w: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51" w:lineRule="exact"/>
        <w:rPr>
          <w:sz w:val="20"/>
          <w:szCs w:val="20"/>
          <w:color w:val="auto"/>
        </w:rPr>
      </w:pPr>
    </w:p>
    <w:p>
      <w:pPr>
        <w:ind w:left="460" w:right="120" w:firstLine="443"/>
        <w:spacing w:after="0" w:line="268" w:lineRule="auto"/>
        <w:tabs>
          <w:tab w:leader="none" w:pos="1137"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1" w:name="page22"/>
    <w:bookmarkEnd w:id="21"/>
    <w:p>
      <w:pPr>
        <w:ind w:left="460" w:firstLine="443"/>
        <w:spacing w:after="0" w:line="268" w:lineRule="auto"/>
        <w:tabs>
          <w:tab w:leader="none" w:pos="1147"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direct or contingent obligations of such Person arising in respect of letters of credit (including standby and commercial), bankers’ acceptances, bank guaranties, surety bonds and similar instruments;</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obligations of such Person under any Swap Contract;</w:t>
      </w:r>
    </w:p>
    <w:p>
      <w:pPr>
        <w:spacing w:after="0" w:line="90" w:lineRule="exact"/>
        <w:rPr>
          <w:rFonts w:ascii="Arial" w:cs="Arial" w:eastAsia="Arial" w:hAnsi="Arial"/>
          <w:sz w:val="18"/>
          <w:szCs w:val="18"/>
          <w:color w:val="auto"/>
        </w:rPr>
      </w:pPr>
    </w:p>
    <w:p>
      <w:pPr>
        <w:ind w:left="460" w:right="220" w:firstLine="443"/>
        <w:spacing w:after="0" w:line="306" w:lineRule="auto"/>
        <w:tabs>
          <w:tab w:leader="none" w:pos="1147"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obligations of such Person to pay the deferred purchase price of property or services (other than (i) trade accounts payable in the ordinary course of business) and (ii) earnouts or other earned deferred payment obligations measured in whole or in part by events or performance occurring after the purchase, to the extent such obligations have not yet been recorded as liabilities on the consolidated balance sheet of the Borrower);</w:t>
      </w:r>
    </w:p>
    <w:p>
      <w:pPr>
        <w:spacing w:after="0" w:line="25" w:lineRule="exact"/>
        <w:rPr>
          <w:rFonts w:ascii="Arial" w:cs="Arial" w:eastAsia="Arial" w:hAnsi="Arial"/>
          <w:sz w:val="16"/>
          <w:szCs w:val="16"/>
          <w:color w:val="auto"/>
        </w:rPr>
      </w:pPr>
    </w:p>
    <w:p>
      <w:pPr>
        <w:ind w:left="460" w:right="60" w:firstLine="443"/>
        <w:spacing w:after="0" w:line="259" w:lineRule="auto"/>
        <w:tabs>
          <w:tab w:leader="none" w:pos="1137"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leases and Synthetic Lease Obligations;</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obligations of such Person to purchase, redeem, retire, defease or otherwise make any payment in respect of any Equity Interest in such Person or any other Person, valued, in the case of a redeemable preferred interest, at the greater of its voluntary or involuntary liquidation preference plus accrued and unpaid dividends;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Guarantees of such Person in respect of any of the foregoing.</w:t>
      </w:r>
    </w:p>
    <w:p>
      <w:pPr>
        <w:spacing w:after="0" w:line="171"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amount of any capital lease or Synthetic Lease Obligation as of any date shall be deemed to be the amount of Attributable Indebtedness in respect thereof as of such date.</w:t>
      </w:r>
    </w:p>
    <w:p>
      <w:pPr>
        <w:spacing w:after="0" w:line="13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the Borrower under any Loan Document and (b) to the extent not otherwise described in (a), Other Taxes.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10.04(b)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10.07</w:t>
      </w:r>
      <w:r>
        <w:rPr>
          <w:rFonts w:ascii="Arial" w:cs="Arial" w:eastAsia="Arial" w:hAnsi="Arial"/>
          <w:sz w:val="18"/>
          <w:szCs w:val="18"/>
          <w:color w:val="auto"/>
        </w:rPr>
        <w:t>.</w:t>
      </w:r>
    </w:p>
    <w:p>
      <w:pPr>
        <w:spacing w:after="0" w:line="17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means, (a) as to any Loan other than a Base Rate Loan, the last day of each Interest Period applicable to such Loan and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Interest Period for a Eurodollar Rate Loan exceeds three months, the respective dates that fall every three months after the beginning of such Interest Period shall also be Interest Payment Dates; and (b) as to any Base Rate Loan (including a Swing Line Loan), the last Business Day of each March, June, September and December and the Maturity Date.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22" w:name="page23"/>
    <w:bookmarkEnd w:id="22"/>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as to each Eurodollar Rate Loan, the period commencing on the date such Eurodollar Rate Loan is disbursed or converted to or continued as a Eurodollar Rate Loan and ending on the date one, two, three or six months thereafter, as selected by the Borrower in its Committed Loan Notice or such other period that is twelve months or less requested by the Borrower and consented to by all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6" w:lineRule="exact"/>
        <w:rPr>
          <w:sz w:val="20"/>
          <w:szCs w:val="20"/>
          <w:color w:val="auto"/>
        </w:rPr>
      </w:pPr>
    </w:p>
    <w:p>
      <w:pPr>
        <w:ind w:left="460" w:right="260" w:firstLine="443"/>
        <w:spacing w:after="0" w:line="332" w:lineRule="auto"/>
        <w:tabs>
          <w:tab w:leader="none" w:pos="1108"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4" w:lineRule="exact"/>
        <w:rPr>
          <w:rFonts w:ascii="Arial" w:cs="Arial" w:eastAsia="Arial" w:hAnsi="Arial"/>
          <w:sz w:val="16"/>
          <w:szCs w:val="16"/>
          <w:color w:val="auto"/>
        </w:rPr>
      </w:pPr>
    </w:p>
    <w:p>
      <w:pPr>
        <w:ind w:left="460" w:right="80" w:firstLine="443"/>
        <w:spacing w:after="0" w:line="332" w:lineRule="auto"/>
        <w:tabs>
          <w:tab w:leader="none" w:pos="1157"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4" w:lineRule="exact"/>
        <w:rPr>
          <w:rFonts w:ascii="Arial" w:cs="Arial" w:eastAsia="Arial" w:hAnsi="Arial"/>
          <w:sz w:val="16"/>
          <w:szCs w:val="16"/>
          <w:color w:val="auto"/>
        </w:rPr>
      </w:pPr>
    </w:p>
    <w:p>
      <w:pPr>
        <w:ind w:left="1200" w:hanging="297"/>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Documents</w:t>
      </w:r>
      <w:r>
        <w:rPr>
          <w:rFonts w:ascii="Arial" w:cs="Arial" w:eastAsia="Arial" w:hAnsi="Arial"/>
          <w:sz w:val="18"/>
          <w:szCs w:val="18"/>
          <w:color w:val="auto"/>
        </w:rPr>
        <w:t>” means, with respect to any Letter of Credit, the Letter of Credit Application, and any other document, agreement or instrument entered into by the L/C Issuer and the Borrower (or any Subsidiary) or in favor of the L/C Issuer and relating to such Letter of Credit.</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 Fee Letter</w:t>
      </w:r>
      <w:r>
        <w:rPr>
          <w:rFonts w:ascii="Arial" w:cs="Arial" w:eastAsia="Arial" w:hAnsi="Arial"/>
          <w:sz w:val="18"/>
          <w:szCs w:val="18"/>
          <w:color w:val="auto"/>
        </w:rPr>
        <w:t>” means the fee letter agreement, dated as of November 9, 2012, among the Borrower, JPMorgan Chase Bank, N.A. and J.P. Morgan Securities LLC.</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Laws</w:t>
      </w:r>
      <w:r>
        <w:rPr>
          <w:rFonts w:ascii="Arial" w:cs="Arial" w:eastAsia="Arial" w:hAnsi="Arial"/>
          <w:sz w:val="16"/>
          <w:szCs w:val="16"/>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(other than agreements consisting of contracts with Governmental Authorities entered into by a Person in the ordinary course of business), in each case whether or not having the force of law.</w:t>
      </w:r>
    </w:p>
    <w:p>
      <w:pPr>
        <w:spacing w:after="0" w:line="1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Lender, such Lender’s funding of its participation in any L/C Borrowing in accordance with its Applicable Percentage.</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Committed Borrowing.</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Issuer</w:t>
      </w:r>
      <w:r>
        <w:rPr>
          <w:rFonts w:ascii="Arial" w:cs="Arial" w:eastAsia="Arial" w:hAnsi="Arial"/>
          <w:sz w:val="18"/>
          <w:szCs w:val="18"/>
          <w:color w:val="auto"/>
        </w:rPr>
        <w:t>” means Bank of America in its capacity as issuer of Letters of Credit or any successor issuer of Letters of Credit hereunder.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23" w:name="page24"/>
    <w:bookmarkEnd w:id="23"/>
    <w:p>
      <w:pPr>
        <w:ind w:right="1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L/C Obligations</w:t>
      </w:r>
      <w:r>
        <w:rPr>
          <w:rFonts w:ascii="Arial" w:cs="Arial" w:eastAsia="Arial" w:hAnsi="Arial"/>
          <w:sz w:val="16"/>
          <w:szCs w:val="16"/>
          <w:color w:val="auto"/>
        </w:rPr>
        <w:t xml:space="preserve">” means, as at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16"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Lender</w:t>
      </w:r>
      <w:r>
        <w:rPr>
          <w:rFonts w:ascii="Arial" w:cs="Arial" w:eastAsia="Arial" w:hAnsi="Arial"/>
          <w:sz w:val="15"/>
          <w:szCs w:val="15"/>
          <w:color w:val="auto"/>
        </w:rPr>
        <w:t xml:space="preserve">” means each of the Persons identified as a “Lender” on the signature pages hereto and their successors and assigns, each Person that executes a lender joinder agreement or commitment agreement in accordance with </w:t>
      </w:r>
      <w:r>
        <w:rPr>
          <w:rFonts w:ascii="Arial" w:cs="Arial" w:eastAsia="Arial" w:hAnsi="Arial"/>
          <w:sz w:val="15"/>
          <w:szCs w:val="15"/>
          <w:u w:val="single" w:color="auto"/>
          <w:color w:val="auto"/>
        </w:rPr>
        <w:t>Section 2.15(c)</w:t>
      </w:r>
      <w:r>
        <w:rPr>
          <w:rFonts w:ascii="Arial" w:cs="Arial" w:eastAsia="Arial" w:hAnsi="Arial"/>
          <w:sz w:val="15"/>
          <w:szCs w:val="15"/>
          <w:color w:val="auto"/>
        </w:rPr>
        <w:t xml:space="preserve"> and, as the context requires, includes the Swing Line Lender.</w:t>
      </w:r>
    </w:p>
    <w:p>
      <w:pPr>
        <w:spacing w:after="0" w:line="6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standby letter of credit issued hereunder.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L/C Issuer.</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day that is seven days prior to the Maturity Date then in effect (or, if such day is not a Business Day, the next preceding Business Day).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2.03(i)</w:t>
      </w:r>
      <w:r>
        <w:rPr>
          <w:rFonts w:ascii="Arial" w:cs="Arial" w:eastAsia="Arial" w:hAnsi="Arial"/>
          <w:sz w:val="18"/>
          <w:szCs w:val="18"/>
          <w:color w:val="auto"/>
        </w:rPr>
        <w:t>.</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an amount equal to the lesser of (a) $75,000,000 and (b) the Aggregate Commitments. The Letter of Credit Sublimit is part of, and not in addition to, the Aggregate Commitments.</w:t>
      </w:r>
    </w:p>
    <w:p>
      <w:pPr>
        <w:spacing w:after="0" w:line="13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means an extension of credit by a Lender to the Borrower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the form of a Committed Loan or a Swing Line Loan.</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each Note, each Issuer Document, any agreement creating or perfecting rights in Cash Collateral pursuant to the provisions of Section 2.16 of this Agreement and the Fee Letters.</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change in, or a material adverse effect upon, the operations, business, assets, properties, liabilities (actual or contingent) or financial condition of the Borrower and its Subsidiaries, taken as a whole; (b) a material impairment of the rights and remedies of the Administrative Agent or any Lender under this Agreement or the Loan Documents taken as a</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24" w:name="page25"/>
    <w:bookmarkEnd w:id="24"/>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whole, or the ability of the Borrower to perform its obligations under this Agreement or the Loan Documents taken as a whole; or (c) a material adverse effect upon the legality, validity, binding effect or enforceability against the Borrower of this Agreement or the Loan Documents taken as a whole.</w:t>
      </w:r>
    </w:p>
    <w:p>
      <w:pPr>
        <w:spacing w:after="0" w:line="8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Subsidiary</w:t>
      </w:r>
      <w:r>
        <w:rPr>
          <w:rFonts w:ascii="Arial" w:cs="Arial" w:eastAsia="Arial" w:hAnsi="Arial"/>
          <w:sz w:val="16"/>
          <w:szCs w:val="16"/>
          <w:color w:val="auto"/>
        </w:rPr>
        <w:t>” means each Subsidiary now existing or hereafter acquired or formed, and each successor thereto, together with its Subsidiaries on a consolidated basis, with respect to which any of the following criteria has been met: (a) the aggregate revenue generated by such Subsidiary and its Subsidiaries on a consolidated basis for the twelve month period ending as of the most recently completed fiscal quarter of the Borrower equals or exceeds 5% of the consolidated gross revenues of the Borrower and its Subsidiaries for such period, (b) the Consolidated EBITDA attributable to such Subsidiary and its Subsidiaries on a consolidated basis for the twelve month period ending as of the most recently completed fiscal quarter of the Borrower equals or exceeds 5% of Consolidated EBITDA for such period or (c) the aggregate book value of the assets of such Subsidiary and its Subsidiaries on a consolidated basis as of the last day of the most recently completed fiscal quarter of the Borrower equals or exceeds 5% of the book value of all of the assets of the Borrower and its Subsidiaries as of the last day of such period.</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 Date</w:t>
      </w:r>
      <w:r>
        <w:rPr>
          <w:rFonts w:ascii="Arial" w:cs="Arial" w:eastAsia="Arial" w:hAnsi="Arial"/>
          <w:sz w:val="16"/>
          <w:szCs w:val="16"/>
          <w:color w:val="auto"/>
        </w:rPr>
        <w:t xml:space="preserve">” means the later of (a) December 19, 2017 and (b) if maturity is extended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such extended maturity date as determined pursuant to such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 respect to any Non-Extending Lender, its Maturity Date shall be the then applicable Existing Maturity Date;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in each case, if such date is not a Business Day, the Maturity Date shall be the next preceding Business Day.</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Minimum Collateral Amount</w:t>
      </w:r>
      <w:r>
        <w:rPr>
          <w:rFonts w:ascii="Arial" w:cs="Arial" w:eastAsia="Arial" w:hAnsi="Arial"/>
          <w:sz w:val="16"/>
          <w:szCs w:val="16"/>
          <w:color w:val="auto"/>
        </w:rPr>
        <w:t xml:space="preserve">” means, at any time, (a) with respect to Cash Collateral consisting of cash or deposit account balances provided to reduce or eliminate Fronting Exposure during the existence of a Defaulting Lender, an amount equal to 100% of the Fronting Exposure of the L/C Issuer with respect to Letters of Credit issued and outstanding at such time, (b) with respect to Cash Collateral consisting of cash or deposit account balances provided in accordance with the provisions of </w:t>
      </w:r>
      <w:r>
        <w:rPr>
          <w:rFonts w:ascii="Arial" w:cs="Arial" w:eastAsia="Arial" w:hAnsi="Arial"/>
          <w:sz w:val="16"/>
          <w:szCs w:val="16"/>
          <w:u w:val="single" w:color="auto"/>
          <w:color w:val="auto"/>
        </w:rPr>
        <w:t>Section 2.16(a)(i), (a)(ii) or (a)(iii)</w:t>
      </w:r>
      <w:r>
        <w:rPr>
          <w:rFonts w:ascii="Arial" w:cs="Arial" w:eastAsia="Arial" w:hAnsi="Arial"/>
          <w:sz w:val="16"/>
          <w:szCs w:val="16"/>
          <w:color w:val="auto"/>
        </w:rPr>
        <w:t>, an amount equal to 102% of the Outstanding Amount of all L/C Obligations, and (c) otherwise, an amount determined by the Administrative Agent and the L/C Issuer in their sole discretion.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MLPFS</w:t>
      </w:r>
      <w:r>
        <w:rPr>
          <w:rFonts w:ascii="Arial" w:cs="Arial" w:eastAsia="Arial" w:hAnsi="Arial"/>
          <w:sz w:val="18"/>
          <w:szCs w:val="18"/>
          <w:color w:val="auto"/>
        </w:rPr>
        <w:t>” means Merrill Lynch, Pierce, Fenner &amp; Smith Incorporated, in its capacity as a joint lead arranger and book manager.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17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described in Section 4001(a)(3) of ERISA, to which the Borrower or any ERISA Affiliate makes or is obligated to make contributions, or during the preceding five plan years, has made or been obligated to make contributions.</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Pension Plan which has two or more contributing sponsors (including the Borrower or any ERISA Affiliate) at least two of whom are not under common control, as such a plan is described in Section 4064 of ERISA.</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or amendment that (a) requires the approval of all Lenders or all affected Lenders in accordance with the terms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(b) has been approved by the Required Lenders.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5" w:name="page26"/>
    <w:bookmarkEnd w:id="2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Non-Extending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a promissory note made by the Borrower in favor of a Lender evidencing Loans made by such Lender to the Borrower, substantially in the form of </w:t>
      </w:r>
      <w:r>
        <w:rPr>
          <w:rFonts w:ascii="Arial" w:cs="Arial" w:eastAsia="Arial" w:hAnsi="Arial"/>
          <w:sz w:val="18"/>
          <w:szCs w:val="18"/>
          <w:u w:val="single" w:color="auto"/>
          <w:color w:val="auto"/>
        </w:rPr>
        <w:t>Exhibit 2.11</w:t>
      </w:r>
      <w:r>
        <w:rPr>
          <w:rFonts w:ascii="Arial" w:cs="Arial" w:eastAsia="Arial" w:hAnsi="Arial"/>
          <w:sz w:val="18"/>
          <w:szCs w:val="18"/>
          <w:color w:val="auto"/>
        </w:rPr>
        <w:t>.</w:t>
      </w:r>
    </w:p>
    <w:p>
      <w:pPr>
        <w:spacing w:after="0" w:line="132"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advances to, and debts, liabilities, obligations, covenants and duties of, the Borrower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the Borrower or any Affiliate thereof of any proceeding under any Debtor Relief Laws naming such Person as the debtor in such proceeding, regardless of whether such interest and fees are allowed claims in such proceeding.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 Documents</w:t>
      </w:r>
      <w:r>
        <w:rPr>
          <w:rFonts w:ascii="Arial" w:cs="Arial" w:eastAsia="Arial" w:hAnsi="Arial"/>
          <w:sz w:val="16"/>
          <w:szCs w:val="16"/>
          <w:color w:val="auto"/>
        </w:rPr>
        <w:t>” means the certificate or articles of incorporation and the bylaws (or equivalent or comparable constitutive documents).</w:t>
      </w:r>
    </w:p>
    <w:p>
      <w:pPr>
        <w:spacing w:after="0" w:line="19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3.06</w:t>
      </w:r>
      <w:r>
        <w:rPr>
          <w:rFonts w:ascii="Arial" w:cs="Arial" w:eastAsia="Arial" w:hAnsi="Arial"/>
          <w:sz w:val="18"/>
          <w:szCs w:val="18"/>
          <w:color w:val="auto"/>
        </w:rPr>
        <w:t>).</w:t>
      </w:r>
    </w:p>
    <w:p>
      <w:pPr>
        <w:spacing w:after="0" w:line="143"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Outstanding Amount</w:t>
      </w:r>
      <w:r>
        <w:rPr>
          <w:rFonts w:ascii="Arial" w:cs="Arial" w:eastAsia="Arial" w:hAnsi="Arial"/>
          <w:sz w:val="15"/>
          <w:szCs w:val="15"/>
          <w:color w:val="auto"/>
        </w:rPr>
        <w:t>” means (a) with respect to Committed Loans and Swing Line Loans on any date, the aggregate outstanding principal amount thereof after giving effect to any borrowings and prepayments or repayments of Committed Loans and Swing Line Loans, as the case may be, occurring on such date; and</w:t>
      </w:r>
    </w:p>
    <w:p>
      <w:pPr>
        <w:ind w:right="20" w:firstLine="8"/>
        <w:spacing w:after="0" w:line="255" w:lineRule="auto"/>
        <w:tabs>
          <w:tab w:leader="none" w:pos="2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 thereto.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Act</w:t>
      </w:r>
      <w:r>
        <w:rPr>
          <w:rFonts w:ascii="Arial" w:cs="Arial" w:eastAsia="Arial" w:hAnsi="Arial"/>
          <w:sz w:val="18"/>
          <w:szCs w:val="18"/>
          <w:color w:val="auto"/>
        </w:rPr>
        <w:t>” means the Pension Protection Act of 2006.</w:t>
      </w:r>
    </w:p>
    <w:p>
      <w:pPr>
        <w:spacing w:after="0" w:line="171"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Pension Funding Rules</w:t>
      </w:r>
      <w:r>
        <w:rPr>
          <w:rFonts w:ascii="Arial" w:cs="Arial" w:eastAsia="Arial" w:hAnsi="Arial"/>
          <w:sz w:val="15"/>
          <w:szCs w:val="15"/>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6" w:name="page27"/>
    <w:bookmarkEnd w:id="26"/>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the Borrower or any ERISA Affiliate and is either covered by Title IV of ERISA or is subject to minimum funding standards under Section 412 of the Code.</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the L/C Issuer or any other recipient of any payment to be made by or on account of any obligation of the Borrower hereunder.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10.06(c)</w:t>
      </w:r>
      <w:r>
        <w:rPr>
          <w:rFonts w:ascii="Arial" w:cs="Arial" w:eastAsia="Arial" w:hAnsi="Arial"/>
          <w:sz w:val="18"/>
          <w:szCs w:val="18"/>
          <w:color w:val="auto"/>
        </w:rPr>
        <w:t>.</w:t>
      </w:r>
    </w:p>
    <w:p>
      <w:pPr>
        <w:spacing w:after="0" w:line="171" w:lineRule="exact"/>
        <w:rPr>
          <w:sz w:val="20"/>
          <w:szCs w:val="20"/>
          <w:color w:val="auto"/>
        </w:rPr>
      </w:pPr>
    </w:p>
    <w:p>
      <w:pPr>
        <w:ind w:right="10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Related Parties</w:t>
      </w:r>
      <w:r>
        <w:rPr>
          <w:rFonts w:ascii="Arial" w:cs="Arial" w:eastAsia="Arial" w:hAnsi="Arial"/>
          <w:sz w:val="16"/>
          <w:szCs w:val="16"/>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means any of the events set forth in Section 4043(c) of ERISA, other than events for which the 30 day notice period has been waived.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Request for Credit Extension</w:t>
      </w:r>
      <w:r>
        <w:rPr>
          <w:rFonts w:ascii="Arial" w:cs="Arial" w:eastAsia="Arial" w:hAnsi="Arial"/>
          <w:sz w:val="16"/>
          <w:szCs w:val="16"/>
          <w:color w:val="auto"/>
        </w:rPr>
        <w:t>” means (a) with respect to a Borrowing, conversion or continuation of Committed Loans, a Committed Loan Notice,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 with respect to an L/C Credit Extension, a Letter of Credit Application, and (c) with respect to a Swing Line Loan, a Swing Line Loan Notice.</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at any time, Lenders having Total Credit Exposures representing more than 50% of the Total Credit Exposures of all Lenders. The Total Credit Exposure of any Defaulting Lender shall be disregarded in determining Required Lenders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any participation in any Swing Line Loan and Unreimbursed Amounts that such Defaulting Lender has failed to fund that have not been reallocated to another Lender shall be deemed to be held by the Lender that is the Swing Line Lender or L/C Issuer, as the case may be, in making such determination.</w:t>
      </w:r>
    </w:p>
    <w:p>
      <w:pPr>
        <w:spacing w:after="0" w:line="113"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Responsible Officer</w:t>
      </w:r>
      <w:r>
        <w:rPr>
          <w:rFonts w:ascii="Arial" w:cs="Arial" w:eastAsia="Arial" w:hAnsi="Arial"/>
          <w:sz w:val="15"/>
          <w:szCs w:val="15"/>
          <w:color w:val="auto"/>
        </w:rPr>
        <w:t>” means the chief executive officer, president, chief financial officer, treasurer, assistant treasurer or controller of the Borrower and any other officer of the Borrower so designated by any of the foregoing officers in a written notice to the Administrative Agent</w:t>
      </w:r>
      <w:r>
        <w:rPr>
          <w:rFonts w:ascii="Arial" w:cs="Arial" w:eastAsia="Arial" w:hAnsi="Arial"/>
          <w:sz w:val="15"/>
          <w:szCs w:val="15"/>
          <w:b w:val="1"/>
          <w:bCs w:val="1"/>
          <w:color w:val="auto"/>
        </w:rPr>
        <w:t>.</w:t>
      </w:r>
      <w:r>
        <w:rPr>
          <w:rFonts w:ascii="Arial" w:cs="Arial" w:eastAsia="Arial" w:hAnsi="Arial"/>
          <w:sz w:val="15"/>
          <w:szCs w:val="15"/>
          <w:color w:val="auto"/>
        </w:rPr>
        <w:t xml:space="preserve"> Any document delivered hereunder that is signed by a Responsible Officer of the Borrower shall be conclusively presumed to have been authorized by all necessary corporate, partnership and/or other action on the part of the Borrower and such Responsible Officer shall be conclusively presumed to have acted on behalf of the Borrower.</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27" w:name="page28"/>
    <w:bookmarkEnd w:id="27"/>
    <w:p>
      <w:pPr>
        <w:ind w:right="2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as to any Lender at any time, the aggregate principal amount at such time of its outstanding Committed Loans and such Lender’s participation in L/C Obligations and Swing Line Loans at such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The McGraw-Hill Companies, Inc. and any successor thereto.</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any international economic sanction administered or enforced by the United States government (including, without limitation, OFAC), the United Nations Security Council, the European Union, Her Majesty’s Treasury or other relevant sanctions authority.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Contract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Borrowing</w:t>
      </w:r>
      <w:r>
        <w:rPr>
          <w:rFonts w:ascii="Arial" w:cs="Arial" w:eastAsia="Arial" w:hAnsi="Arial"/>
          <w:sz w:val="18"/>
          <w:szCs w:val="18"/>
          <w:color w:val="auto"/>
        </w:rPr>
        <w:t xml:space="preserve">” means a borrowing of a Swing Line Loan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 Line Lender</w:t>
      </w:r>
      <w:r>
        <w:rPr>
          <w:rFonts w:ascii="Arial" w:cs="Arial" w:eastAsia="Arial" w:hAnsi="Arial"/>
          <w:sz w:val="16"/>
          <w:szCs w:val="16"/>
          <w:color w:val="auto"/>
        </w:rPr>
        <w:t>” means Bank of America in its capacity as provider of Swing Line Loans, or any successor swing line lender hereunder.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8" w:name="page29"/>
    <w:bookmarkEnd w:id="2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Swing Line Loan Notice</w:t>
      </w:r>
      <w:r>
        <w:rPr>
          <w:rFonts w:ascii="Arial" w:cs="Arial" w:eastAsia="Arial" w:hAnsi="Arial"/>
          <w:sz w:val="18"/>
          <w:szCs w:val="18"/>
          <w:color w:val="auto"/>
        </w:rPr>
        <w:t xml:space="preserve">” means a notice of a Swing Line Borrowing pursuant to </w:t>
      </w:r>
      <w:r>
        <w:rPr>
          <w:rFonts w:ascii="Arial" w:cs="Arial" w:eastAsia="Arial" w:hAnsi="Arial"/>
          <w:sz w:val="18"/>
          <w:szCs w:val="18"/>
          <w:u w:val="single" w:color="auto"/>
          <w:color w:val="auto"/>
        </w:rPr>
        <w:t>Section 2.04(b)</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2.04</w:t>
      </w:r>
      <w:r>
        <w:rPr>
          <w:rFonts w:ascii="Arial" w:cs="Arial" w:eastAsia="Arial" w:hAnsi="Arial"/>
          <w:sz w:val="18"/>
          <w:szCs w:val="18"/>
          <w:color w:val="auto"/>
        </w:rPr>
        <w:t>.</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means an amount equal to the lesser of (a) $25,000,000 and (b) the Aggregate Commitments. The Swing Line Sublimit is part of, and not in addition to, the Aggregate Commitments.</w:t>
      </w:r>
    </w:p>
    <w:p>
      <w:pPr>
        <w:spacing w:after="0" w:line="13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07"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$50,000,000.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Credit Exposure</w:t>
      </w:r>
      <w:r>
        <w:rPr>
          <w:rFonts w:ascii="Arial" w:cs="Arial" w:eastAsia="Arial" w:hAnsi="Arial"/>
          <w:sz w:val="16"/>
          <w:szCs w:val="16"/>
          <w:color w:val="auto"/>
        </w:rPr>
        <w:t>” means, as to any Lender at any time, the unused Commitments and Revolving Credit Exposure of such Lender at such time.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means the aggregate Outstanding Amount of all Loans and all L/C Obligations.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Committed Loan, its character as a Base Rate Loan or a Eurodollar Rate Loan.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 “</w:t>
      </w:r>
      <w:r>
        <w:rPr>
          <w:rFonts w:ascii="Arial" w:cs="Arial" w:eastAsia="Arial" w:hAnsi="Arial"/>
          <w:sz w:val="18"/>
          <w:szCs w:val="18"/>
          <w:u w:val="single" w:color="auto"/>
          <w:color w:val="auto"/>
        </w:rPr>
        <w:t>United States person</w:t>
      </w:r>
      <w:r>
        <w:rPr>
          <w:rFonts w:ascii="Arial" w:cs="Arial" w:eastAsia="Arial" w:hAnsi="Arial"/>
          <w:sz w:val="18"/>
          <w:szCs w:val="18"/>
          <w:color w:val="auto"/>
        </w:rPr>
        <w:t>” within the meaning of Section 7701(a)(30) of the Code.</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means any Person 100% of whose Equity Interests (other than qualifying shares required in connection with a Subsidiary organized and domiciled outside of the United States) are at the time owned, directly or indirectly, by the Borrower.</w:t>
      </w:r>
    </w:p>
    <w:p>
      <w:pPr>
        <w:spacing w:after="0" w:line="25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Other Interpretive Provisions.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reference to this Agreement and each other Loan Document, unless otherwise specified herein or in such other Loan Document:</w:t>
      </w:r>
    </w:p>
    <w:p>
      <w:pPr>
        <w:spacing w:after="0" w:line="90" w:lineRule="exact"/>
        <w:rPr>
          <w:sz w:val="20"/>
          <w:szCs w:val="20"/>
          <w:color w:val="auto"/>
        </w:rPr>
      </w:pPr>
    </w:p>
    <w:p>
      <w:pPr>
        <w:ind w:left="460" w:right="140" w:firstLine="443"/>
        <w:spacing w:after="0" w:line="298" w:lineRule="auto"/>
        <w:tabs>
          <w:tab w:leader="none" w:pos="113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6"/>
          <w:szCs w:val="16"/>
          <w:u w:val="single" w:color="auto"/>
          <w:color w:val="auto"/>
        </w:rPr>
        <w:t>include</w:t>
      </w:r>
      <w:r>
        <w:rPr>
          <w:rFonts w:ascii="Arial" w:cs="Arial" w:eastAsia="Arial" w:hAnsi="Arial"/>
          <w:sz w:val="16"/>
          <w:szCs w:val="16"/>
          <w:color w:val="auto"/>
        </w:rPr>
        <w:t>,” “</w:t>
      </w:r>
      <w:r>
        <w:rPr>
          <w:rFonts w:ascii="Arial" w:cs="Arial" w:eastAsia="Arial" w:hAnsi="Arial"/>
          <w:sz w:val="16"/>
          <w:szCs w:val="16"/>
          <w:u w:val="single" w:color="auto"/>
          <w:color w:val="auto"/>
        </w:rPr>
        <w:t>includes</w:t>
      </w:r>
      <w:r>
        <w:rPr>
          <w:rFonts w:ascii="Arial" w:cs="Arial" w:eastAsia="Arial" w:hAnsi="Arial"/>
          <w:sz w:val="16"/>
          <w:szCs w:val="16"/>
          <w:color w:val="auto"/>
        </w:rPr>
        <w:t>” and “</w:t>
      </w:r>
      <w:r>
        <w:rPr>
          <w:rFonts w:ascii="Arial" w:cs="Arial" w:eastAsia="Arial" w:hAnsi="Arial"/>
          <w:sz w:val="16"/>
          <w:szCs w:val="16"/>
          <w:u w:val="single" w:color="auto"/>
          <w:color w:val="auto"/>
        </w:rPr>
        <w:t>including</w:t>
      </w:r>
      <w:r>
        <w:rPr>
          <w:rFonts w:ascii="Arial" w:cs="Arial" w:eastAsia="Arial" w:hAnsi="Arial"/>
          <w:sz w:val="16"/>
          <w:szCs w:val="16"/>
          <w:color w:val="auto"/>
        </w:rPr>
        <w:t>” shall be deemed to be followed by the phrase “without limitation.” The word “</w:t>
      </w:r>
      <w:r>
        <w:rPr>
          <w:rFonts w:ascii="Arial" w:cs="Arial" w:eastAsia="Arial" w:hAnsi="Arial"/>
          <w:sz w:val="16"/>
          <w:szCs w:val="16"/>
          <w:u w:val="single" w:color="auto"/>
          <w:color w:val="auto"/>
        </w:rPr>
        <w:t>will</w:t>
      </w:r>
      <w:r>
        <w:rPr>
          <w:rFonts w:ascii="Arial" w:cs="Arial" w:eastAsia="Arial" w:hAnsi="Arial"/>
          <w:sz w:val="16"/>
          <w:szCs w:val="16"/>
          <w:color w:val="auto"/>
        </w:rPr>
        <w:t>” shall be construed to have the same meaning and effect as the word “</w:t>
      </w:r>
      <w:r>
        <w:rPr>
          <w:rFonts w:ascii="Arial" w:cs="Arial" w:eastAsia="Arial" w:hAnsi="Arial"/>
          <w:sz w:val="16"/>
          <w:szCs w:val="16"/>
          <w:u w:val="single" w:color="auto"/>
          <w:color w:val="auto"/>
        </w:rPr>
        <w:t>shall</w:t>
      </w:r>
      <w:r>
        <w:rPr>
          <w:rFonts w:ascii="Arial" w:cs="Arial" w:eastAsia="Arial" w:hAnsi="Arial"/>
          <w:sz w:val="16"/>
          <w:szCs w:val="16"/>
          <w:color w:val="auto"/>
        </w:rPr>
        <w:t>.” Unless the context requires otherwise, (i) any definition of or reference to any agreement, instrument or other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29" w:name="page30"/>
    <w:bookmarkEnd w:id="29"/>
    <w:p>
      <w:pPr>
        <w:ind w:left="4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6"/>
          <w:szCs w:val="16"/>
          <w:u w:val="single" w:color="auto"/>
          <w:color w:val="auto"/>
        </w:rPr>
        <w:t>herein</w:t>
      </w:r>
      <w:r>
        <w:rPr>
          <w:rFonts w:ascii="Arial" w:cs="Arial" w:eastAsia="Arial" w:hAnsi="Arial"/>
          <w:sz w:val="16"/>
          <w:szCs w:val="16"/>
          <w:color w:val="auto"/>
        </w:rPr>
        <w:t>,” “</w:t>
      </w:r>
      <w:r>
        <w:rPr>
          <w:rFonts w:ascii="Arial" w:cs="Arial" w:eastAsia="Arial" w:hAnsi="Arial"/>
          <w:sz w:val="16"/>
          <w:szCs w:val="16"/>
          <w:u w:val="single" w:color="auto"/>
          <w:color w:val="auto"/>
        </w:rPr>
        <w:t>hereof</w:t>
      </w:r>
      <w:r>
        <w:rPr>
          <w:rFonts w:ascii="Arial" w:cs="Arial" w:eastAsia="Arial" w:hAnsi="Arial"/>
          <w:sz w:val="16"/>
          <w:szCs w:val="16"/>
          <w:color w:val="auto"/>
        </w:rPr>
        <w:t>” and “</w:t>
      </w:r>
      <w:r>
        <w:rPr>
          <w:rFonts w:ascii="Arial" w:cs="Arial" w:eastAsia="Arial" w:hAnsi="Arial"/>
          <w:sz w:val="16"/>
          <w:szCs w:val="16"/>
          <w:u w:val="single" w:color="auto"/>
          <w:color w:val="auto"/>
        </w:rPr>
        <w:t>hereunder</w:t>
      </w:r>
      <w:r>
        <w:rPr>
          <w:rFonts w:ascii="Arial" w:cs="Arial" w:eastAsia="Arial" w:hAnsi="Arial"/>
          <w:sz w:val="16"/>
          <w:szCs w:val="16"/>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6"/>
          <w:szCs w:val="16"/>
          <w:u w:val="single" w:color="auto"/>
          <w:color w:val="auto"/>
        </w:rPr>
        <w:t>asset</w:t>
      </w:r>
      <w:r>
        <w:rPr>
          <w:rFonts w:ascii="Arial" w:cs="Arial" w:eastAsia="Arial" w:hAnsi="Arial"/>
          <w:sz w:val="16"/>
          <w:szCs w:val="16"/>
          <w:color w:val="auto"/>
        </w:rPr>
        <w:t>” and “</w:t>
      </w:r>
      <w:r>
        <w:rPr>
          <w:rFonts w:ascii="Arial" w:cs="Arial" w:eastAsia="Arial" w:hAnsi="Arial"/>
          <w:sz w:val="16"/>
          <w:szCs w:val="16"/>
          <w:u w:val="single" w:color="auto"/>
          <w:color w:val="auto"/>
        </w:rPr>
        <w:t>property</w:t>
      </w:r>
      <w:r>
        <w:rPr>
          <w:rFonts w:ascii="Arial" w:cs="Arial" w:eastAsia="Arial" w:hAnsi="Arial"/>
          <w:sz w:val="16"/>
          <w:szCs w:val="16"/>
          <w:color w:val="auto"/>
        </w:rPr>
        <w:t>” shall be construed to have the same meaning and effect and to refer to any and all tangible and intangible assets and properties, including cash, securities, accounts and contract rights.</w:t>
      </w:r>
    </w:p>
    <w:p>
      <w:pPr>
        <w:spacing w:after="0" w:line="42" w:lineRule="exact"/>
        <w:rPr>
          <w:sz w:val="20"/>
          <w:szCs w:val="20"/>
          <w:color w:val="auto"/>
        </w:rPr>
      </w:pPr>
    </w:p>
    <w:p>
      <w:pPr>
        <w:ind w:left="460" w:right="20" w:firstLine="443"/>
        <w:spacing w:after="0" w:line="268" w:lineRule="auto"/>
        <w:tabs>
          <w:tab w:leader="none" w:pos="11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137"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25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Accounting Terms.</w:t>
      </w:r>
    </w:p>
    <w:p>
      <w:pPr>
        <w:spacing w:after="0" w:line="90" w:lineRule="exact"/>
        <w:rPr>
          <w:sz w:val="20"/>
          <w:szCs w:val="20"/>
          <w:color w:val="auto"/>
        </w:rPr>
      </w:pPr>
    </w:p>
    <w:p>
      <w:pPr>
        <w:jc w:val="both"/>
        <w:ind w:right="160" w:firstLine="464"/>
        <w:spacing w:after="0" w:line="256"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otherwise specifically prescribed herein.</w:t>
      </w:r>
    </w:p>
    <w:p>
      <w:pPr>
        <w:spacing w:after="0" w:line="143" w:lineRule="exact"/>
        <w:rPr>
          <w:rFonts w:ascii="Arial" w:cs="Arial" w:eastAsia="Arial" w:hAnsi="Arial"/>
          <w:sz w:val="18"/>
          <w:szCs w:val="18"/>
          <w:color w:val="auto"/>
        </w:rPr>
      </w:pPr>
    </w:p>
    <w:p>
      <w:pPr>
        <w:ind w:firstLine="464"/>
        <w:spacing w:after="0" w:line="291" w:lineRule="auto"/>
        <w:tabs>
          <w:tab w:leader="none" w:pos="705"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Changes in GAAP</w:t>
      </w:r>
      <w:r>
        <w:rPr>
          <w:rFonts w:ascii="Arial" w:cs="Arial" w:eastAsia="Arial" w:hAnsi="Arial"/>
          <w:sz w:val="16"/>
          <w:szCs w:val="16"/>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6"/>
          <w:szCs w:val="16"/>
          <w:u w:val="single" w:color="auto"/>
          <w:color w:val="auto"/>
        </w:rPr>
        <w:t>provided that</w:t>
      </w:r>
      <w:r>
        <w:rPr>
          <w:rFonts w:ascii="Arial" w:cs="Arial" w:eastAsia="Arial" w:hAnsi="Arial"/>
          <w:sz w:val="16"/>
          <w:szCs w:val="16"/>
          <w:color w:val="auto"/>
        </w:rPr>
        <w: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20" w:lineRule="exact"/>
        <w:rPr>
          <w:rFonts w:ascii="Arial" w:cs="Arial" w:eastAsia="Arial" w:hAnsi="Arial"/>
          <w:sz w:val="16"/>
          <w:szCs w:val="16"/>
          <w:color w:val="auto"/>
        </w:rPr>
      </w:pPr>
    </w:p>
    <w:p>
      <w:pPr>
        <w:ind w:right="60" w:firstLine="464"/>
        <w:spacing w:after="0" w:line="298" w:lineRule="auto"/>
        <w:tabs>
          <w:tab w:leader="none" w:pos="695"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Consolidation of Variable Interest Entities</w:t>
      </w:r>
      <w:r>
        <w:rPr>
          <w:rFonts w:ascii="Arial" w:cs="Arial" w:eastAsia="Arial" w:hAnsi="Arial"/>
          <w:sz w:val="16"/>
          <w:szCs w:val="16"/>
          <w:color w:val="auto"/>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Interpretation No. 46 – Consolidation of Variable Interest Entities: an interpretation of ARB No. 51 (January 2003) as if such variable interest entity were a Subsidiary as defined herein.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30" w:name="page31"/>
    <w:bookmarkEnd w:id="30"/>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1.04</w:t>
      </w:r>
      <w:r>
        <w:rPr>
          <w:sz w:val="20"/>
          <w:szCs w:val="20"/>
          <w:color w:val="auto"/>
        </w:rPr>
        <w:tab/>
      </w:r>
      <w:r>
        <w:rPr>
          <w:rFonts w:ascii="Arial" w:cs="Arial" w:eastAsia="Arial" w:hAnsi="Arial"/>
          <w:sz w:val="16"/>
          <w:szCs w:val="16"/>
          <w:u w:val="single" w:color="auto"/>
          <w:color w:val="auto"/>
        </w:rPr>
        <w:t>Rounding.</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26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u w:val="single" w:color="auto"/>
          <w:color w:val="auto"/>
        </w:rPr>
        <w:t>Times of Day.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specified, all references herein to times of day shall be references to Eastern time (daylight or standard, as applicable).</w:t>
      </w:r>
    </w:p>
    <w:p>
      <w:pPr>
        <w:spacing w:after="0" w:line="29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Letter of Credit Amounts.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Unless otherwise specified herein, the amount of a Letter of Credit at any time shall be deemed to be the stated amount of such Letter of Credit in effect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COMMITMENTS AND CREDIT EXTENSIONS</w:t>
      </w:r>
    </w:p>
    <w:p>
      <w:pPr>
        <w:spacing w:after="0" w:line="2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u w:val="single" w:color="auto"/>
          <w:color w:val="auto"/>
        </w:rPr>
        <w:t>Committed Loans.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Subject to the terms and conditions set forth herein, each Lender severally agrees to make loans (each such loan, a “</w:t>
      </w:r>
      <w:r>
        <w:rPr>
          <w:rFonts w:ascii="Arial" w:cs="Arial" w:eastAsia="Arial" w:hAnsi="Arial"/>
          <w:sz w:val="16"/>
          <w:szCs w:val="16"/>
          <w:u w:val="single" w:color="auto"/>
          <w:color w:val="auto"/>
        </w:rPr>
        <w:t>Committed Loan</w:t>
      </w:r>
      <w:r>
        <w:rPr>
          <w:rFonts w:ascii="Arial" w:cs="Arial" w:eastAsia="Arial" w:hAnsi="Arial"/>
          <w:sz w:val="16"/>
          <w:szCs w:val="16"/>
          <w:color w:val="auto"/>
        </w:rPr>
        <w:t xml:space="preserve">”) to the Borrower in Dollars from time to time, on any Business Day during the Availability Period, in an aggregate amount not to exceed at any time outstanding the amount of such Lender’s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after giving effect to any Committed Borrowing, (a) the Total Outstandings shall not exceed the Aggregate Commitments, and (b) the Revolving Credit Exposure of any Lender shall not exceed such Lender’s Commitment. Within the limits of each Lender’s Commitment, and subject to the other terms and conditions hereof, the Borrower may borrow under this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reborrow under this </w:t>
      </w:r>
      <w:r>
        <w:rPr>
          <w:rFonts w:ascii="Arial" w:cs="Arial" w:eastAsia="Arial" w:hAnsi="Arial"/>
          <w:sz w:val="16"/>
          <w:szCs w:val="16"/>
          <w:u w:val="single" w:color="auto"/>
          <w:color w:val="auto"/>
        </w:rPr>
        <w:t>Section 2.01</w:t>
      </w:r>
      <w:r>
        <w:rPr>
          <w:rFonts w:ascii="Arial" w:cs="Arial" w:eastAsia="Arial" w:hAnsi="Arial"/>
          <w:sz w:val="16"/>
          <w:szCs w:val="16"/>
          <w:color w:val="auto"/>
        </w:rPr>
        <w:t>. Committed Loans may be Base Rate Loans or Eurodollar Rate Loans, as further provided herein.</w:t>
      </w:r>
    </w:p>
    <w:p>
      <w:pPr>
        <w:spacing w:after="0" w:line="24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u w:val="single" w:color="auto"/>
          <w:color w:val="auto"/>
        </w:rPr>
        <w:t>Borrowings, Conversions and Continuations of Committed Loans.</w:t>
      </w:r>
    </w:p>
    <w:p>
      <w:pPr>
        <w:spacing w:after="0" w:line="90" w:lineRule="exact"/>
        <w:rPr>
          <w:sz w:val="20"/>
          <w:szCs w:val="20"/>
          <w:color w:val="auto"/>
        </w:rPr>
      </w:pPr>
    </w:p>
    <w:p>
      <w:pPr>
        <w:ind w:firstLine="464"/>
        <w:spacing w:after="0" w:line="290" w:lineRule="auto"/>
        <w:tabs>
          <w:tab w:leader="none" w:pos="6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Each Committed Borrowing, each conversion of Committed Loans from one Type to the other, and each continuation of Eurodollar Rate Loans shall be made upon the Borrower’s irrevocable notice to the Administrative Agent, which may be given by telephone. Each such notice must be received by the Administrative Agent not later than 11:00 a.m. (i) three Business Days prior to the requested date of any Borrowing of, conversion to or continuation of Eurodollar Rate Loans or of any conversion of Eurodollar Rate Loans to Base Rate Committed Loans, and (ii) on the requested date of any Borrowing of Base Rate Committed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Borrower wishes to request Eurodollar Rate Loans having an Interest Period other than one, two, three or six months in duration as provided in the definition of “Interest Period,” the applicable notice must be received by the Administrative Agent not later than 11:00 a.m. four Business Days prior to the requested date of such Borrowing, conversion or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80" w:right="299" w:bottom="1440" w:gutter="0" w:footer="0" w:header="0"/>
        </w:sectPr>
      </w:pPr>
    </w:p>
    <w:bookmarkStart w:id="31" w:name="page32"/>
    <w:bookmarkEnd w:id="31"/>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continuation, whereupon the Administrative Agent shall give prompt notice to the Lenders of such request and determine whether the requested Interest Period is acceptable to all of them. Not later than 11:00 a.m., three Business Days before the requested date of such Borrowing, conversion or continuation, the Administrative Agent shall notify the Borrower (which notice may be by telephone) whether or not the requested Interest Period has been consented to by all the Lenders. Each telephonic notice by the Borrower pursuant to this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must be confirmed promptly by delivery to the Administrative Agent of a written Committed Loan Notice, appropriately completed and signed by a Responsible Officer of the Borrower. Each Borrowing of, conversion to or continuation of Eurodollar Rate Loans shall be in a principal amount of $500,000 or a whole multiple of $100,000 in excess thereof. Except as provided in</w:t>
      </w:r>
    </w:p>
    <w:p>
      <w:pPr>
        <w:spacing w:after="0" w:line="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u w:val="single" w:color="auto"/>
          <w:color w:val="auto"/>
        </w:rPr>
        <w:t>Sections 2.03(c)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2.04(c)</w:t>
      </w:r>
      <w:r>
        <w:rPr>
          <w:rFonts w:ascii="Arial" w:cs="Arial" w:eastAsia="Arial" w:hAnsi="Arial"/>
          <w:sz w:val="16"/>
          <w:szCs w:val="16"/>
          <w:color w:val="auto"/>
        </w:rPr>
        <w:t>, each Committed Borrowing of or conversion to Base Rate Committed Loans shall be in a principal amount of $500,000 or a whole multiple of $100,000 in excess thereof. Each Committed Loan Notice (whether telephonic or written) shall specify (i) whether the Borrower is requesting a Committed Borrowing, a conversion of Committed Loans from one Type to the other, or a continuation of Eurodollar Rate Loans, (ii) the requested date of the Borrowing, conversion or continuation, as the case may be (which shall be a Business Day), (iii) the principal amount of Committed Loans to be borrowed, converted or continued, (iv) the Type of Committed Loans to be borrowed or to which existing Committed Loans are to be converted, and (v) if applicable, the duration of the Interest Period with respect thereto. If the Borrower fails to specify a Type of Committed Loan in a Committed Loan Notice or if the Borrower fails to give a timely notice requesting a conversion or continuation, then the applicable Committed Loans shall be made as, or converted to, Base Rate Loans. Any automatic conversion to Base Rate Loans shall be effective as of the last day of the Interest Period then in effect with respect to the applicable Eurodollar Rate Loans. If the Borrower requests a Borrowing of, conversion to, or continuation of Eurodollar Rate Loans in any such Committed Loan Notice, but fails to specify an Interest Period, it will be deemed to have specified an Interest Period of one month.</w:t>
      </w:r>
    </w:p>
    <w:p>
      <w:pPr>
        <w:spacing w:after="0" w:line="124" w:lineRule="exact"/>
        <w:rPr>
          <w:sz w:val="20"/>
          <w:szCs w:val="20"/>
          <w:color w:val="auto"/>
        </w:rPr>
      </w:pPr>
    </w:p>
    <w:p>
      <w:pPr>
        <w:ind w:firstLine="464"/>
        <w:spacing w:after="0" w:line="286" w:lineRule="auto"/>
        <w:tabs>
          <w:tab w:leader="none" w:pos="705"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Following receipt of a Committed Loan Notice, the Administrative Agent shall promptly notify each Lender of the amount of its Applicable Percentage of the applicable Committed Loans, and if no timely notice of a conversion or continuation is provided by the Borrower, the Administrative Agent shall notify each Lender of the details of any automatic conversion to Base Rate Loans described in the preceding clause. In the case of a Committed Borrowing, each Lender shall make the amount of its Committed Loan available to the Administrative Agent in immediately available funds at the Administrative Agent’s Office not later than 1:00 p.m. on the Business Day specified in the applicable Committed Loan Notice. Upon satisfaction of the applicable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(and, if such Borrowing is the initial Credit Extension,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on the date the Committed Loan Notice with respect to such Borrowing is given by the Borrower, there are L/C Borrowings outstanding, then the proceeds of such Borrowing,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shall be applied to the payment in full of any such L/C Borrowings, and, </w:t>
      </w:r>
      <w:r>
        <w:rPr>
          <w:rFonts w:ascii="Arial" w:cs="Arial" w:eastAsia="Arial" w:hAnsi="Arial"/>
          <w:sz w:val="16"/>
          <w:szCs w:val="16"/>
          <w:u w:val="single" w:color="auto"/>
          <w:color w:val="auto"/>
        </w:rPr>
        <w:t>second</w:t>
      </w:r>
      <w:r>
        <w:rPr>
          <w:rFonts w:ascii="Arial" w:cs="Arial" w:eastAsia="Arial" w:hAnsi="Arial"/>
          <w:sz w:val="16"/>
          <w:szCs w:val="16"/>
          <w:color w:val="auto"/>
        </w:rPr>
        <w:t>, shall be made available to the Borrower as provided above.</w:t>
      </w:r>
    </w:p>
    <w:p>
      <w:pPr>
        <w:spacing w:after="0" w:line="127" w:lineRule="exact"/>
        <w:rPr>
          <w:rFonts w:ascii="Arial" w:cs="Arial" w:eastAsia="Arial" w:hAnsi="Arial"/>
          <w:sz w:val="16"/>
          <w:szCs w:val="16"/>
          <w:color w:val="auto"/>
        </w:rPr>
      </w:pPr>
    </w:p>
    <w:p>
      <w:pPr>
        <w:ind w:right="100" w:firstLine="464"/>
        <w:spacing w:after="0" w:line="259"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otherwise provided herein, a Eurodollar Rate Loan may be continued or converted only on the last day of an Interest Period for such Eurodollar Rate Loan. During the existence of a Default, no Loans may be requested as, converted to or continued as Eurodollar Rate Loans without the consent of the Required Lenders.</w:t>
      </w:r>
    </w:p>
    <w:p>
      <w:pPr>
        <w:spacing w:after="0" w:line="140" w:lineRule="exact"/>
        <w:rPr>
          <w:rFonts w:ascii="Arial" w:cs="Arial" w:eastAsia="Arial" w:hAnsi="Arial"/>
          <w:sz w:val="18"/>
          <w:szCs w:val="18"/>
          <w:color w:val="auto"/>
        </w:rPr>
      </w:pPr>
    </w:p>
    <w:p>
      <w:pPr>
        <w:ind w:right="120" w:firstLine="464"/>
        <w:spacing w:after="0" w:line="306" w:lineRule="auto"/>
        <w:tabs>
          <w:tab w:leader="none" w:pos="70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Administrative Agent shall promptly notify the Borrower and the Lenders of the interest rate applicable to any Interest Period for Eurodollar Rate Loans upon determination of such interest rate. At any time that Base Rate Loans are outstanding, the Administrative Agent shall notify the Borrower and the Lenders of any change in Bank of America’s prime rate used in determining the Base Rate promptly following the public announcement of such change.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32" w:name="page33"/>
    <w:bookmarkEnd w:id="32"/>
    <w:p>
      <w:pPr>
        <w:ind w:right="180" w:firstLine="464"/>
        <w:spacing w:after="0" w:line="332" w:lineRule="auto"/>
        <w:tabs>
          <w:tab w:leader="none" w:pos="695"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giving effect to all Committed Borrowings, all conversions of Committed Loans from one Type to the other, and all continuations of Committed Loans as the same Type, there shall not be more than five Interest Periods in effect with respect to Committed Loans.</w:t>
      </w:r>
    </w:p>
    <w:p>
      <w:pPr>
        <w:spacing w:after="0" w:line="20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u w:val="single" w:color="auto"/>
          <w:color w:val="auto"/>
        </w:rPr>
        <w:t>Letters of Credit.</w:t>
      </w:r>
    </w:p>
    <w:p>
      <w:pPr>
        <w:spacing w:after="0" w:line="90" w:lineRule="exact"/>
        <w:rPr>
          <w:sz w:val="20"/>
          <w:szCs w:val="20"/>
          <w:color w:val="auto"/>
        </w:rPr>
      </w:pPr>
    </w:p>
    <w:p>
      <w:pPr>
        <w:ind w:left="700" w:hanging="23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83" w:lineRule="auto"/>
        <w:tabs>
          <w:tab w:leader="none" w:pos="1108" w:val="left"/>
        </w:tabs>
        <w:numPr>
          <w:ilvl w:val="1"/>
          <w:numId w:val="18"/>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(A) the L/C Issuer agrees, in reliance upon the agreements of the Lenders set forth in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(1) from time to time on any Business Day during the period from the Closing Date until the Letter of Credit Expiration Date, to issue Letters of Credit for the account of the Borrower or its Subsidiaries, and to amend Letters of Credit previously issued by it, in accordance with clause (b) below, and (2) to honor drawings under the Letters of Credit; and (B) the Lenders severally agree to participate in Letters of Credit issued for the account of the Borrower or its Subsidiaries and any drawings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L/C Credit Extension with respect to any Letter of Credit,</w:t>
      </w:r>
    </w:p>
    <w:p>
      <w:pPr>
        <w:spacing w:after="0" w:line="2" w:lineRule="exact"/>
        <w:rPr>
          <w:rFonts w:ascii="Arial" w:cs="Arial" w:eastAsia="Arial" w:hAnsi="Arial"/>
          <w:sz w:val="16"/>
          <w:szCs w:val="16"/>
          <w:color w:val="auto"/>
        </w:rPr>
      </w:pPr>
    </w:p>
    <w:p>
      <w:pPr>
        <w:ind w:left="460" w:right="120" w:firstLine="4"/>
        <w:spacing w:after="0" w:line="290" w:lineRule="auto"/>
        <w:tabs>
          <w:tab w:leader="none" w:pos="70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Total Outstandings shall not exceed the Aggregate Commitments, (y) the Revolving Credit Exposure of any Lender shall not exceed such Lender’s Commitment, and (z) the Outstanding Amount of the L/C Obligations shall not exceed the Letter of Credit Sublimit.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37" w:lineRule="exact"/>
        <w:rPr>
          <w:rFonts w:ascii="Arial" w:cs="Arial" w:eastAsia="Arial" w:hAnsi="Arial"/>
          <w:sz w:val="16"/>
          <w:szCs w:val="16"/>
          <w:color w:val="auto"/>
        </w:rPr>
      </w:pPr>
    </w:p>
    <w:p>
      <w:pPr>
        <w:ind w:left="1160" w:hanging="257"/>
        <w:spacing w:after="0"/>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L/C Issuer shall not issue any Letter of Credit, if:</w:t>
      </w:r>
    </w:p>
    <w:p>
      <w:pPr>
        <w:spacing w:after="0" w:line="90" w:lineRule="exact"/>
        <w:rPr>
          <w:rFonts w:ascii="Arial" w:cs="Arial" w:eastAsia="Arial" w:hAnsi="Arial"/>
          <w:sz w:val="18"/>
          <w:szCs w:val="18"/>
          <w:color w:val="auto"/>
        </w:rPr>
      </w:pPr>
    </w:p>
    <w:p>
      <w:pPr>
        <w:ind w:left="920" w:right="300" w:firstLine="421"/>
        <w:spacing w:after="0" w:line="268" w:lineRule="auto"/>
        <w:tabs>
          <w:tab w:leader="none" w:pos="1627" w:val="left"/>
        </w:tabs>
        <w:numPr>
          <w:ilvl w:val="2"/>
          <w:numId w:val="19"/>
        </w:numPr>
        <w:rPr>
          <w:rFonts w:ascii="Arial" w:cs="Arial" w:eastAsia="Arial" w:hAnsi="Arial"/>
          <w:sz w:val="18"/>
          <w:szCs w:val="18"/>
          <w:color w:val="auto"/>
        </w:rPr>
      </w:pPr>
      <w:r>
        <w:rPr>
          <w:rFonts w:ascii="Arial" w:cs="Arial" w:eastAsia="Arial" w:hAnsi="Arial"/>
          <w:sz w:val="18"/>
          <w:szCs w:val="18"/>
          <w:color w:val="auto"/>
        </w:rPr>
        <w:t>subject to Section 2.03(b)(iii), the expiry date of such requested Letter of Credit would occur more than twelve months after the date of issuance or, if later, the last extension, unless the Required Lenders have approved such expiry date; or</w:t>
      </w:r>
    </w:p>
    <w:p>
      <w:pPr>
        <w:spacing w:after="0" w:line="50" w:lineRule="exact"/>
        <w:rPr>
          <w:rFonts w:ascii="Arial" w:cs="Arial" w:eastAsia="Arial" w:hAnsi="Arial"/>
          <w:sz w:val="18"/>
          <w:szCs w:val="18"/>
          <w:color w:val="auto"/>
        </w:rPr>
      </w:pPr>
    </w:p>
    <w:p>
      <w:pPr>
        <w:ind w:left="920" w:right="520" w:firstLine="421"/>
        <w:spacing w:after="0" w:line="268" w:lineRule="auto"/>
        <w:tabs>
          <w:tab w:leader="none" w:pos="1618"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Letter of Credit Expiration Date, unless all the Lenders have approved such expiry date.</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L/C Issuer shall not be under any obligation to issue, amend or increase any Letter of Credit if:</w:t>
      </w:r>
    </w:p>
    <w:p>
      <w:pPr>
        <w:spacing w:after="0" w:line="90" w:lineRule="exact"/>
        <w:rPr>
          <w:rFonts w:ascii="Arial" w:cs="Arial" w:eastAsia="Arial" w:hAnsi="Arial"/>
          <w:sz w:val="18"/>
          <w:szCs w:val="18"/>
          <w:color w:val="auto"/>
        </w:rPr>
      </w:pPr>
    </w:p>
    <w:p>
      <w:pPr>
        <w:ind w:left="920" w:right="40" w:firstLine="421"/>
        <w:spacing w:after="0" w:line="253" w:lineRule="auto"/>
        <w:tabs>
          <w:tab w:leader="none" w:pos="1627" w:val="left"/>
        </w:tabs>
        <w:numPr>
          <w:ilvl w:val="2"/>
          <w:numId w:val="19"/>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33" w:name="page34"/>
    <w:bookmarkEnd w:id="33"/>
    <w:p>
      <w:pPr>
        <w:ind w:left="1160" w:hanging="279"/>
        <w:spacing w:after="0"/>
        <w:tabs>
          <w:tab w:leader="none" w:pos="1160" w:val="left"/>
        </w:tabs>
        <w:numPr>
          <w:ilvl w:val="2"/>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issuance of such Letter of Credit would violate one or more policies of the L/C Issuer applicable to letters of credit generally;</w:t>
      </w:r>
    </w:p>
    <w:p>
      <w:pPr>
        <w:spacing w:after="0" w:line="113" w:lineRule="exact"/>
        <w:rPr>
          <w:rFonts w:ascii="Arial" w:cs="Arial" w:eastAsia="Arial" w:hAnsi="Arial"/>
          <w:sz w:val="16"/>
          <w:szCs w:val="16"/>
          <w:color w:val="auto"/>
        </w:rPr>
      </w:pPr>
    </w:p>
    <w:p>
      <w:pPr>
        <w:ind w:left="460" w:right="320" w:firstLine="421"/>
        <w:spacing w:after="0" w:line="268" w:lineRule="auto"/>
        <w:tabs>
          <w:tab w:leader="none" w:pos="1158" w:val="left"/>
        </w:tabs>
        <w:numPr>
          <w:ilvl w:val="2"/>
          <w:numId w:val="20"/>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the L/C Issuer, such Letter of Credit is in an initial stated amount less than $100,000;</w:t>
      </w:r>
    </w:p>
    <w:p>
      <w:pPr>
        <w:spacing w:after="0" w:line="50" w:lineRule="exact"/>
        <w:rPr>
          <w:rFonts w:ascii="Arial" w:cs="Arial" w:eastAsia="Arial" w:hAnsi="Arial"/>
          <w:sz w:val="18"/>
          <w:szCs w:val="18"/>
          <w:color w:val="auto"/>
        </w:rPr>
      </w:pPr>
    </w:p>
    <w:p>
      <w:pPr>
        <w:ind w:left="1160" w:hanging="279"/>
        <w:spacing w:after="0"/>
        <w:tabs>
          <w:tab w:leader="none" w:pos="1160" w:val="left"/>
        </w:tabs>
        <w:numPr>
          <w:ilvl w:val="2"/>
          <w:numId w:val="20"/>
        </w:numPr>
        <w:rPr>
          <w:rFonts w:ascii="Arial" w:cs="Arial" w:eastAsia="Arial" w:hAnsi="Arial"/>
          <w:sz w:val="18"/>
          <w:szCs w:val="18"/>
          <w:color w:val="auto"/>
        </w:rPr>
      </w:pPr>
      <w:r>
        <w:rPr>
          <w:rFonts w:ascii="Arial" w:cs="Arial" w:eastAsia="Arial" w:hAnsi="Arial"/>
          <w:sz w:val="18"/>
          <w:szCs w:val="18"/>
          <w:color w:val="auto"/>
        </w:rPr>
        <w:t>such Letter of Credit is to be denominated in a currency other than Dollars; or</w:t>
      </w:r>
    </w:p>
    <w:p>
      <w:pPr>
        <w:spacing w:after="0" w:line="90" w:lineRule="exact"/>
        <w:rPr>
          <w:rFonts w:ascii="Arial" w:cs="Arial" w:eastAsia="Arial" w:hAnsi="Arial"/>
          <w:sz w:val="18"/>
          <w:szCs w:val="18"/>
          <w:color w:val="auto"/>
        </w:rPr>
      </w:pPr>
    </w:p>
    <w:p>
      <w:pPr>
        <w:ind w:left="460" w:firstLine="421"/>
        <w:spacing w:after="0" w:line="255" w:lineRule="auto"/>
        <w:tabs>
          <w:tab w:leader="none" w:pos="1148" w:val="left"/>
        </w:tabs>
        <w:numPr>
          <w:ilvl w:val="2"/>
          <w:numId w:val="20"/>
        </w:numPr>
        <w:rPr>
          <w:rFonts w:ascii="Arial" w:cs="Arial" w:eastAsia="Arial" w:hAnsi="Arial"/>
          <w:sz w:val="18"/>
          <w:szCs w:val="18"/>
          <w:color w:val="auto"/>
        </w:rPr>
      </w:pPr>
      <w:r>
        <w:rPr>
          <w:rFonts w:ascii="Arial" w:cs="Arial" w:eastAsia="Arial" w:hAnsi="Arial"/>
          <w:sz w:val="18"/>
          <w:szCs w:val="18"/>
          <w:color w:val="auto"/>
        </w:rPr>
        <w:t xml:space="preserve">any Lender is at that time a Defaulting Lender, unless the L/C Issuer has entered into arrangements, including the delivery of Cash Collateral, reasonably satisfactory to the L/C Issuer with the Borrower or such Lender to eliminate the L/C Issuer’s actual or potential Fronting Exposure (after giving effect to </w:t>
      </w:r>
      <w:r>
        <w:rPr>
          <w:rFonts w:ascii="Arial" w:cs="Arial" w:eastAsia="Arial" w:hAnsi="Arial"/>
          <w:sz w:val="18"/>
          <w:szCs w:val="18"/>
          <w:u w:val="single" w:color="auto"/>
          <w:color w:val="auto"/>
        </w:rPr>
        <w:t>Section 2.17(a)(iv</w:t>
      </w:r>
      <w:r>
        <w:rPr>
          <w:rFonts w:ascii="Arial" w:cs="Arial" w:eastAsia="Arial" w:hAnsi="Arial"/>
          <w:sz w:val="18"/>
          <w:szCs w:val="18"/>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w:t>
      </w:r>
    </w:p>
    <w:p>
      <w:pPr>
        <w:spacing w:after="0" w:line="61" w:lineRule="exact"/>
        <w:rPr>
          <w:rFonts w:ascii="Arial" w:cs="Arial" w:eastAsia="Arial" w:hAnsi="Arial"/>
          <w:sz w:val="18"/>
          <w:szCs w:val="18"/>
          <w:color w:val="auto"/>
        </w:rPr>
      </w:pPr>
    </w:p>
    <w:p>
      <w:pPr>
        <w:ind w:right="360" w:firstLine="443"/>
        <w:spacing w:after="0" w:line="268" w:lineRule="auto"/>
        <w:tabs>
          <w:tab w:leader="none" w:pos="736"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L/C Issuer shall not amend any Letter of Credit if the L/C Issuer would not be permitted at such time to issue such Letter of Credit in its amended form under the terms hereof.</w:t>
      </w:r>
    </w:p>
    <w:p>
      <w:pPr>
        <w:spacing w:after="0" w:line="50" w:lineRule="exact"/>
        <w:rPr>
          <w:rFonts w:ascii="Arial" w:cs="Arial" w:eastAsia="Arial" w:hAnsi="Arial"/>
          <w:sz w:val="18"/>
          <w:szCs w:val="18"/>
          <w:color w:val="auto"/>
        </w:rPr>
      </w:pPr>
    </w:p>
    <w:p>
      <w:pPr>
        <w:ind w:right="40" w:firstLine="443"/>
        <w:spacing w:after="0" w:line="259" w:lineRule="auto"/>
        <w:tabs>
          <w:tab w:leader="none" w:pos="687"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59" w:lineRule="exact"/>
        <w:rPr>
          <w:rFonts w:ascii="Arial" w:cs="Arial" w:eastAsia="Arial" w:hAnsi="Arial"/>
          <w:sz w:val="18"/>
          <w:szCs w:val="18"/>
          <w:color w:val="auto"/>
        </w:rPr>
      </w:pPr>
    </w:p>
    <w:p>
      <w:pPr>
        <w:ind w:right="180" w:firstLine="443"/>
        <w:spacing w:after="0" w:line="255" w:lineRule="auto"/>
        <w:tabs>
          <w:tab w:leader="none" w:pos="736"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The L/C Issuer shall act on behalf of the Lenders with respect to any Letters of Credit issued by it and the documents associated therewith, and the L/C Issuer shall have all of the benefits and immunities (a) provided to the Administrative Agent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included the L/C Issuer with respect to such acts or omissions, and (b) as additionally provided herein with respect to the L/C Issuer.</w:t>
      </w:r>
    </w:p>
    <w:p>
      <w:pPr>
        <w:spacing w:after="0" w:line="142" w:lineRule="exact"/>
        <w:rPr>
          <w:rFonts w:ascii="Arial" w:cs="Arial" w:eastAsia="Arial" w:hAnsi="Arial"/>
          <w:sz w:val="18"/>
          <w:szCs w:val="18"/>
          <w:color w:val="auto"/>
        </w:rPr>
      </w:pPr>
    </w:p>
    <w:p>
      <w:pPr>
        <w:ind w:left="260" w:hanging="256"/>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Amendment of Letters of Credit; Auto-Extension Letters of Credit.</w:t>
      </w:r>
    </w:p>
    <w:p>
      <w:pPr>
        <w:spacing w:after="0" w:line="90" w:lineRule="exact"/>
        <w:rPr>
          <w:rFonts w:ascii="Arial" w:cs="Arial" w:eastAsia="Arial" w:hAnsi="Arial"/>
          <w:sz w:val="18"/>
          <w:szCs w:val="18"/>
          <w:color w:val="auto"/>
        </w:rPr>
      </w:pPr>
    </w:p>
    <w:p>
      <w:pPr>
        <w:ind w:right="60" w:firstLine="443"/>
        <w:spacing w:after="0" w:line="291" w:lineRule="auto"/>
        <w:tabs>
          <w:tab w:leader="none" w:pos="648" w:val="left"/>
        </w:tabs>
        <w:numPr>
          <w:ilvl w:val="1"/>
          <w:numId w:val="22"/>
        </w:numPr>
        <w:rPr>
          <w:rFonts w:ascii="Arial" w:cs="Arial" w:eastAsia="Arial" w:hAnsi="Arial"/>
          <w:sz w:val="16"/>
          <w:szCs w:val="16"/>
          <w:color w:val="auto"/>
        </w:rPr>
      </w:pPr>
      <w:r>
        <w:rPr>
          <w:rFonts w:ascii="Arial" w:cs="Arial" w:eastAsia="Arial" w:hAnsi="Arial"/>
          <w:sz w:val="16"/>
          <w:szCs w:val="16"/>
          <w:color w:val="auto"/>
        </w:rPr>
        <w:t>Each Letter of Credit shall be issued or amended, as the case may be, upon the request of the Borrower delivered to the L/C Issuer (with a copy to the Administrative Agent) in the form of a Letter of Credit Application, appropriately completed and signed by a Responsible Officer of the Borrower.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not later than 11:00 a.m. at least two Business Days (or such later date and time as the Administrative Agent and the L/C Issuer may agree in a particular instance in their sole discretion) prior to the</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700" w:top="280" w:right="239" w:bottom="1440" w:gutter="0" w:footer="0" w:header="0"/>
        </w:sectPr>
      </w:pPr>
    </w:p>
    <w:bookmarkStart w:id="34" w:name="page35"/>
    <w:bookmarkEnd w:id="34"/>
    <w:p>
      <w:pPr>
        <w:ind w:right="2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require. In the case of a request for an amendment of any outstanding Letter of Credit, such Letter of Credit Application shall specify in form and detail satisfactory to the L/C Issuer</w:t>
      </w:r>
    </w:p>
    <w:p>
      <w:pPr>
        <w:spacing w:after="0" w:line="1" w:lineRule="exact"/>
        <w:rPr>
          <w:sz w:val="20"/>
          <w:szCs w:val="20"/>
          <w:color w:val="auto"/>
        </w:rPr>
      </w:pPr>
    </w:p>
    <w:p>
      <w:pPr>
        <w:ind w:right="60" w:firstLine="4"/>
        <w:spacing w:after="0" w:line="254" w:lineRule="auto"/>
        <w:tabs>
          <w:tab w:leader="none" w:pos="2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Letter of Credit to be amended; (B) the proposed date of amendment thereof (which shall be a Business Day); (C) the nature of the proposed amendment; and (D) such other matters as the L/C Issuer may require. Additionally, the Borrower shall furnish to the L/C Issuer and the Administrative Agent such other documents and information pertaining to such requested Letter of Credit issuance or amendment, including any Issuer Documents, as the L/C Issuer or the Administrative Agent may require.</w:t>
      </w:r>
    </w:p>
    <w:p>
      <w:pPr>
        <w:spacing w:after="0" w:line="62" w:lineRule="exact"/>
        <w:rPr>
          <w:rFonts w:ascii="Arial" w:cs="Arial" w:eastAsia="Arial" w:hAnsi="Arial"/>
          <w:sz w:val="18"/>
          <w:szCs w:val="18"/>
          <w:color w:val="auto"/>
        </w:rPr>
      </w:pPr>
    </w:p>
    <w:p>
      <w:pPr>
        <w:ind w:firstLine="443"/>
        <w:spacing w:after="0" w:line="288" w:lineRule="auto"/>
        <w:tabs>
          <w:tab w:leader="none" w:pos="697"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Promptly after receipt of any Letter of Credit Application, the L/C Issuer will confirm with the Administrative Agent (by telephone or in writing) that the Administrative Agent has received a copy of such Letter of Credit Application from the Borrower and, if not, the L/C Issuer will provide the Administrative Agent with a copy thereof. Unless the L/C Issuer has received written notice from any Lender, the Administrative Agent or the Borrower, at least one Business Day prior to the requested date of issuance or amendment of the applicable Letter of Credit, that one or more applicable conditions contained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not then be satisfied, then, subject to the terms and conditions hereof, the L/C Issuer shall, on the requested date, issue a Letter of Credit for the account of the Borrower (or the applicable Subsidiary)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Applicable Percentage times the amount of such Letter of Credit.</w:t>
      </w:r>
    </w:p>
    <w:p>
      <w:pPr>
        <w:spacing w:after="0" w:line="38" w:lineRule="exact"/>
        <w:rPr>
          <w:rFonts w:ascii="Arial" w:cs="Arial" w:eastAsia="Arial" w:hAnsi="Arial"/>
          <w:sz w:val="16"/>
          <w:szCs w:val="16"/>
          <w:color w:val="auto"/>
        </w:rPr>
      </w:pPr>
    </w:p>
    <w:p>
      <w:pPr>
        <w:ind w:right="20" w:firstLine="443"/>
        <w:spacing w:after="0" w:line="286" w:lineRule="auto"/>
        <w:tabs>
          <w:tab w:leader="none" w:pos="745" w:val="left"/>
        </w:tabs>
        <w:numPr>
          <w:ilvl w:val="1"/>
          <w:numId w:val="23"/>
        </w:numPr>
        <w:rPr>
          <w:rFonts w:ascii="Arial" w:cs="Arial" w:eastAsia="Arial" w:hAnsi="Arial"/>
          <w:sz w:val="16"/>
          <w:szCs w:val="16"/>
          <w:color w:val="auto"/>
        </w:rPr>
      </w:pPr>
      <w:r>
        <w:rPr>
          <w:rFonts w:ascii="Arial" w:cs="Arial" w:eastAsia="Arial" w:hAnsi="Arial"/>
          <w:sz w:val="16"/>
          <w:szCs w:val="16"/>
          <w:color w:val="auto"/>
        </w:rPr>
        <w:t>If the Borrower so requests in any applicable Letter of Credit Application, the L/C Issuer agrees to issue a Letter of Credit that has automatic extension provisions (each, an “</w:t>
      </w:r>
      <w:r>
        <w:rPr>
          <w:rFonts w:ascii="Arial" w:cs="Arial" w:eastAsia="Arial" w:hAnsi="Arial"/>
          <w:sz w:val="16"/>
          <w:szCs w:val="16"/>
          <w:u w:val="single" w:color="auto"/>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6"/>
          <w:szCs w:val="16"/>
          <w:u w:val="single" w:color="auto"/>
          <w:color w:val="auto"/>
        </w:rPr>
        <w:t>Non-Extension Notice Date</w:t>
      </w:r>
      <w:r>
        <w:rPr>
          <w:rFonts w:ascii="Arial" w:cs="Arial" w:eastAsia="Arial" w:hAnsi="Arial"/>
          <w:sz w:val="16"/>
          <w:szCs w:val="16"/>
          <w:color w:val="auto"/>
        </w:rPr>
        <w:t xml:space="preserve">”) in each such twelve-month period to be agreed upon at the time such Letter of Credit is issued. Unless otherwise directed by the L/C Issuer, the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Letter of Credit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 (iii) of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or otherwise) or (B) it has received notice (which may be by telephone or in writing) on or before the day that is seven Business Days before the Non-Extension Notice Date from the Administrative Agent, any Lender or the Borrower that one or more of the applicable conditions specified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is not then satisfied, and in each such case directing the L/C Issuer not to permit such extension.</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700" w:top="280" w:right="259" w:bottom="1440" w:gutter="0" w:footer="0" w:header="0"/>
        </w:sectPr>
      </w:pPr>
    </w:p>
    <w:bookmarkStart w:id="35" w:name="page36"/>
    <w:bookmarkEnd w:id="35"/>
    <w:p>
      <w:pPr>
        <w:ind w:right="400" w:firstLine="443"/>
        <w:spacing w:after="0" w:line="259" w:lineRule="auto"/>
        <w:tabs>
          <w:tab w:leader="none" w:pos="736" w:val="left"/>
        </w:tabs>
        <w:numPr>
          <w:ilvl w:val="1"/>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Promptly after its delivery of any Letter of Credit or any amendment to a Letter of Credit to an advising bank with respect thereto or to the beneficiary thereof, the L/C Issuer will also deliver to the Borrower and the Administrative Agent a true and complete copy of such Letter of Credit or amendment.</w:t>
      </w:r>
    </w:p>
    <w:p>
      <w:pPr>
        <w:spacing w:after="0" w:line="140" w:lineRule="exact"/>
        <w:rPr>
          <w:rFonts w:ascii="Arial" w:cs="Arial" w:eastAsia="Arial" w:hAnsi="Arial"/>
          <w:sz w:val="18"/>
          <w:szCs w:val="18"/>
          <w:color w:val="auto"/>
        </w:rPr>
      </w:pPr>
    </w:p>
    <w:p>
      <w:pPr>
        <w:ind w:left="240" w:hanging="236"/>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Drawings and Reimbursements; Funding of Participations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443"/>
        <w:spacing w:after="0" w:line="285" w:lineRule="auto"/>
        <w:tabs>
          <w:tab w:leader="none" w:pos="648" w:val="left"/>
        </w:tabs>
        <w:numPr>
          <w:ilvl w:val="1"/>
          <w:numId w:val="25"/>
        </w:numPr>
        <w:rPr>
          <w:rFonts w:ascii="Arial" w:cs="Arial" w:eastAsia="Arial" w:hAnsi="Arial"/>
          <w:sz w:val="16"/>
          <w:szCs w:val="16"/>
          <w:color w:val="auto"/>
        </w:rPr>
      </w:pPr>
      <w:r>
        <w:rPr>
          <w:rFonts w:ascii="Arial" w:cs="Arial" w:eastAsia="Arial" w:hAnsi="Arial"/>
          <w:sz w:val="16"/>
          <w:szCs w:val="16"/>
          <w:color w:val="auto"/>
        </w:rPr>
        <w:t>Upon receipt from the beneficiary of any Letter of Credit of any notice of a drawing under such Letter of Credit, the L/C Issuer shall notify the Borrower and the Administrative Agent thereof. To the extent the Borrower receives such notice on or before 10:00 a.m. on an Honor Date (as defined below), not later than 12:00 noon on the date of any payment by the L/C Issuer under a Letter of Credit (each such date, an “</w:t>
      </w:r>
      <w:r>
        <w:rPr>
          <w:rFonts w:ascii="Arial" w:cs="Arial" w:eastAsia="Arial" w:hAnsi="Arial"/>
          <w:sz w:val="16"/>
          <w:szCs w:val="16"/>
          <w:u w:val="single" w:color="auto"/>
          <w:color w:val="auto"/>
        </w:rPr>
        <w:t>Honor Date</w:t>
      </w:r>
      <w:r>
        <w:rPr>
          <w:rFonts w:ascii="Arial" w:cs="Arial" w:eastAsia="Arial" w:hAnsi="Arial"/>
          <w:sz w:val="16"/>
          <w:szCs w:val="16"/>
          <w:color w:val="auto"/>
        </w:rPr>
        <w:t>”), the Borrower shall reimburse the L/C Issuer through the Administrative Agent in an amount equal to the amount of such drawing. To the extent the Borrower receives such notice after 10:00 a.m. but on or before 3:00 p.m. on an Honor Date, on or before 5:00 p.m. on such Honor Date, the Borrower shall reimburse the L/C Issuer through the Administrative Agent in an amount equal to the amount of such drawing. To the extent the Borrower receives such notice after 3:00 p.m. on an Honor Date, on or before 11:00 a.m. on the next day following such Honor Date, the Borrower shall reimburse the L/C Issuer through the Administrative Agent in an amount equal to the amount of such drawing. If the Borrower fails to so reimburse the L/C Issuer by such time, the Administrative Agent shall promptly notify each Lender of the Honor Date, the amount of the unreimbursed drawing (the “</w:t>
      </w:r>
      <w:r>
        <w:rPr>
          <w:rFonts w:ascii="Arial" w:cs="Arial" w:eastAsia="Arial" w:hAnsi="Arial"/>
          <w:sz w:val="16"/>
          <w:szCs w:val="16"/>
          <w:u w:val="single" w:color="auto"/>
          <w:color w:val="auto"/>
        </w:rPr>
        <w:t>Unreimbursed Amount</w:t>
      </w:r>
      <w:r>
        <w:rPr>
          <w:rFonts w:ascii="Arial" w:cs="Arial" w:eastAsia="Arial" w:hAnsi="Arial"/>
          <w:sz w:val="16"/>
          <w:szCs w:val="16"/>
          <w:color w:val="auto"/>
        </w:rPr>
        <w:t xml:space="preserve">”), and the amount of such Lender’s Applicable Percentage thereof. In such event, the Borrower shall be deemed to have requested a Committed Borrowing of Base Rate Loans to be disbursed on the Honor Date in an amount equal to the Unreimbursed Amount, without regard to the minimum and multiples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for the principal amount of Base Rate Loans, but subject to the amount of the unutilized portion of the Aggregate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the delivery of a Committed Loan Notice) and provided that, after giving effect to such Borrowing, the Total Outstandings shall not exceed the Aggregate Commitments. Any notice given by the L/C Issuer or the Administrative Agent pursuant to this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may be given by telephone if immediately confirmed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lack of such an immediate confirmation shall not affect the conclusiveness or binding effect of such notice.</w:t>
      </w:r>
    </w:p>
    <w:p>
      <w:pPr>
        <w:spacing w:after="0" w:line="42" w:lineRule="exact"/>
        <w:rPr>
          <w:rFonts w:ascii="Arial" w:cs="Arial" w:eastAsia="Arial" w:hAnsi="Arial"/>
          <w:sz w:val="16"/>
          <w:szCs w:val="16"/>
          <w:color w:val="auto"/>
        </w:rPr>
      </w:pPr>
    </w:p>
    <w:p>
      <w:pPr>
        <w:ind w:right="80" w:firstLine="443"/>
        <w:spacing w:after="0" w:line="294" w:lineRule="auto"/>
        <w:tabs>
          <w:tab w:leader="none" w:pos="697"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Each Lender shall upon any notice pursuant to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make funds available (and the Administrative Agent may apply Cash Collateral provided for this purpose) to the Administrative Agent for the account of the L/C Issuer at the Administrative Agent’s Office in an amount equal to its Applicable Percentage of the Unreimbursed Amount not later than 1:00 p.m. on the Business Day specified in such notice by the Administrative Agent, whereupon, subject to the provisions of </w:t>
      </w:r>
      <w:r>
        <w:rPr>
          <w:rFonts w:ascii="Arial" w:cs="Arial" w:eastAsia="Arial" w:hAnsi="Arial"/>
          <w:sz w:val="16"/>
          <w:szCs w:val="16"/>
          <w:u w:val="single" w:color="auto"/>
          <w:color w:val="auto"/>
        </w:rPr>
        <w:t>Section 2.03(c)(iii)</w:t>
      </w:r>
      <w:r>
        <w:rPr>
          <w:rFonts w:ascii="Arial" w:cs="Arial" w:eastAsia="Arial" w:hAnsi="Arial"/>
          <w:sz w:val="16"/>
          <w:szCs w:val="16"/>
          <w:color w:val="auto"/>
        </w:rPr>
        <w:t>, each Lender that so makes funds available shall be deemed to have made a Base Rate Committed Loan to the Borrower in such amount. The Administrative Agent shall remit the funds so received to the L/C Issuer.</w:t>
      </w:r>
    </w:p>
    <w:p>
      <w:pPr>
        <w:spacing w:after="0" w:line="34" w:lineRule="exact"/>
        <w:rPr>
          <w:rFonts w:ascii="Arial" w:cs="Arial" w:eastAsia="Arial" w:hAnsi="Arial"/>
          <w:sz w:val="16"/>
          <w:szCs w:val="16"/>
          <w:color w:val="auto"/>
        </w:rPr>
      </w:pPr>
    </w:p>
    <w:p>
      <w:pPr>
        <w:ind w:right="20" w:firstLine="443"/>
        <w:spacing w:after="0" w:line="291" w:lineRule="auto"/>
        <w:tabs>
          <w:tab w:leader="none" w:pos="745"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With respect to any Unreimbursed Amount that is not fully refinanced by a Committed Borrowing of Base Rate Loans because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cannot be satisfied or for any other reason, the Borrower shall be deemed to have incurred from the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L/C Issuer pursuant to </w:t>
      </w:r>
      <w:r>
        <w:rPr>
          <w:rFonts w:ascii="Arial" w:cs="Arial" w:eastAsia="Arial" w:hAnsi="Arial"/>
          <w:sz w:val="16"/>
          <w:szCs w:val="16"/>
          <w:u w:val="single" w:color="auto"/>
          <w:color w:val="auto"/>
        </w:rPr>
        <w:t>Section 2.03(c)(ii)</w:t>
      </w:r>
      <w:r>
        <w:rPr>
          <w:rFonts w:ascii="Arial" w:cs="Arial" w:eastAsia="Arial" w:hAnsi="Arial"/>
          <w:sz w:val="16"/>
          <w:szCs w:val="16"/>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700" w:top="280" w:right="239" w:bottom="1440" w:gutter="0" w:footer="0" w:header="0"/>
        </w:sectPr>
      </w:pPr>
    </w:p>
    <w:bookmarkStart w:id="36" w:name="page37"/>
    <w:bookmarkEnd w:id="36"/>
    <w:p>
      <w:pPr>
        <w:ind w:right="60" w:firstLine="443"/>
        <w:spacing w:after="0" w:line="332" w:lineRule="auto"/>
        <w:tabs>
          <w:tab w:leader="none" w:pos="736" w:val="left"/>
        </w:tabs>
        <w:numPr>
          <w:ilvl w:val="1"/>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Until each Lender funds its Committed Loan or L/C Advance pursuant to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to reimburse the L/C Issuer for any amount drawn under any Letter of Credit, interest in respect of such Lender’s Applicable Percentage of such amount shall be solely for the account of the L/C Issuer.</w:t>
      </w:r>
    </w:p>
    <w:p>
      <w:pPr>
        <w:spacing w:after="0" w:line="4" w:lineRule="exact"/>
        <w:rPr>
          <w:rFonts w:ascii="Arial" w:cs="Arial" w:eastAsia="Arial" w:hAnsi="Arial"/>
          <w:sz w:val="16"/>
          <w:szCs w:val="16"/>
          <w:color w:val="auto"/>
        </w:rPr>
      </w:pPr>
    </w:p>
    <w:p>
      <w:pPr>
        <w:ind w:firstLine="443"/>
        <w:spacing w:after="0" w:line="289" w:lineRule="auto"/>
        <w:tabs>
          <w:tab w:leader="none" w:pos="687" w:val="left"/>
        </w:tabs>
        <w:numPr>
          <w:ilvl w:val="1"/>
          <w:numId w:val="26"/>
        </w:numPr>
        <w:rPr>
          <w:rFonts w:ascii="Arial" w:cs="Arial" w:eastAsia="Arial" w:hAnsi="Arial"/>
          <w:sz w:val="16"/>
          <w:szCs w:val="16"/>
          <w:color w:val="auto"/>
        </w:rPr>
      </w:pPr>
      <w:r>
        <w:rPr>
          <w:rFonts w:ascii="Arial" w:cs="Arial" w:eastAsia="Arial" w:hAnsi="Arial"/>
          <w:sz w:val="16"/>
          <w:szCs w:val="16"/>
          <w:color w:val="auto"/>
        </w:rPr>
        <w:t xml:space="preserve">Each Lender’s obligation to make Committed Loans or L/C Advances to reimburse the L/C Issuer for amounts drawn under Letters of Credit, as contemplated by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shall be absolute and unconditional and shall not be affected by any circumstance, including (A) any setoff, counterclaim, recoupment, defense or other right which such Lender may have against the L/C Issuer, the Borrower, any Subsidiary or any other Person for any reason whatsoever; (B) the occurrence or continuance of a Default, or (C) any other occurrence, event or condition, whether or not similar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Lender’s obligation to make Committed Loans pursuant to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is subject to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delivery by the Borrower of a Committed Loan Notice). No such making of an L/C Advance shall relieve or otherwise impair the obligation of the Borrower to reimburse the L/C Issuer for the amount of any payment made by the L/C Issuer under any Letter of Credit, together with interest as provided herein.</w:t>
      </w:r>
    </w:p>
    <w:p>
      <w:pPr>
        <w:spacing w:after="0" w:line="37" w:lineRule="exact"/>
        <w:rPr>
          <w:rFonts w:ascii="Arial" w:cs="Arial" w:eastAsia="Arial" w:hAnsi="Arial"/>
          <w:sz w:val="16"/>
          <w:szCs w:val="16"/>
          <w:color w:val="auto"/>
        </w:rPr>
      </w:pPr>
    </w:p>
    <w:p>
      <w:pPr>
        <w:ind w:firstLine="443"/>
        <w:spacing w:after="0" w:line="288" w:lineRule="auto"/>
        <w:tabs>
          <w:tab w:leader="none" w:pos="736" w:val="left"/>
        </w:tabs>
        <w:numPr>
          <w:ilvl w:val="1"/>
          <w:numId w:val="26"/>
        </w:numPr>
        <w:rPr>
          <w:rFonts w:ascii="Arial" w:cs="Arial" w:eastAsia="Arial" w:hAnsi="Arial"/>
          <w:sz w:val="16"/>
          <w:szCs w:val="16"/>
          <w:color w:val="auto"/>
        </w:rPr>
      </w:pPr>
      <w:r>
        <w:rPr>
          <w:rFonts w:ascii="Arial" w:cs="Arial" w:eastAsia="Arial" w:hAnsi="Arial"/>
          <w:sz w:val="16"/>
          <w:szCs w:val="16"/>
          <w:color w:val="auto"/>
        </w:rPr>
        <w:t xml:space="preserve">If any Lender fails to make available to the Administrative Agent for the account of the L/C Issuer any amount required to be paid by such Lender pursuant to the foregoing provisions of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 2.03(c)(ii)</w:t>
      </w:r>
      <w:r>
        <w:rPr>
          <w:rFonts w:ascii="Arial" w:cs="Arial" w:eastAsia="Arial" w:hAnsi="Arial"/>
          <w:sz w:val="16"/>
          <w:szCs w:val="16"/>
          <w:color w:val="auto"/>
        </w:rPr>
        <w: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greater of the Federal Funds Rate and a rate determined by the L/C Issuer in accordance with banking industry rules on interbank compensation, plus any administrative, processing or similar fees customarily charged by the L/C Issuer in connection with the foregoing. If such Lender pays such amount (with interest and fees as aforesaid), the amount so paid shall constitute such Lender’s Committed Loan included in the relevant Committed Borrowing or L/C Advance in respect of the relevant L/C Borrowing, as the case may be. A certificate of the L/C Issuer submitted to any Lender (through the Administrative Agent) with respect to any amounts owing under this clause (vi) shall be conclusive absent manifest error.</w:t>
      </w:r>
    </w:p>
    <w:p>
      <w:pPr>
        <w:spacing w:after="0" w:line="119" w:lineRule="exact"/>
        <w:rPr>
          <w:rFonts w:ascii="Arial" w:cs="Arial" w:eastAsia="Arial" w:hAnsi="Arial"/>
          <w:sz w:val="16"/>
          <w:szCs w:val="16"/>
          <w:color w:val="auto"/>
        </w:rPr>
      </w:pPr>
    </w:p>
    <w:p>
      <w:pPr>
        <w:ind w:left="260" w:hanging="256"/>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80" w:firstLine="443"/>
        <w:spacing w:after="0" w:line="254" w:lineRule="auto"/>
        <w:tabs>
          <w:tab w:leader="none" w:pos="648"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At any time after the L/C Issuer has made a payment under any Letter of Credit and has received from any Lender such Lender’s L/C Advance in respect of such payment in accordance with </w:t>
      </w:r>
      <w:r>
        <w:rPr>
          <w:rFonts w:ascii="Arial" w:cs="Arial" w:eastAsia="Arial" w:hAnsi="Arial"/>
          <w:sz w:val="18"/>
          <w:szCs w:val="18"/>
          <w:u w:val="single" w:color="auto"/>
          <w:color w:val="auto"/>
        </w:rPr>
        <w:t>Section 2.03(c)</w:t>
      </w:r>
      <w:r>
        <w:rPr>
          <w:rFonts w:ascii="Arial" w:cs="Arial" w:eastAsia="Arial" w:hAnsi="Arial"/>
          <w:sz w:val="18"/>
          <w:szCs w:val="18"/>
          <w:color w:val="auto"/>
        </w:rPr>
        <w:t>, if the Administrative Agent receives for the account of the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Percentage thereof (appropriately adjusted, in the case of interest payments, to reflect the period of time during which such Lender’s L/C Advance was outstanding) in the same funds as those received by the Administrative Agent.</w:t>
      </w:r>
    </w:p>
    <w:p>
      <w:pPr>
        <w:spacing w:after="0" w:line="63" w:lineRule="exact"/>
        <w:rPr>
          <w:rFonts w:ascii="Arial" w:cs="Arial" w:eastAsia="Arial" w:hAnsi="Arial"/>
          <w:sz w:val="18"/>
          <w:szCs w:val="18"/>
          <w:color w:val="auto"/>
        </w:rPr>
      </w:pPr>
    </w:p>
    <w:p>
      <w:pPr>
        <w:ind w:right="240" w:firstLine="443"/>
        <w:spacing w:after="0" w:line="332" w:lineRule="auto"/>
        <w:tabs>
          <w:tab w:leader="none" w:pos="697" w:val="left"/>
        </w:tabs>
        <w:numPr>
          <w:ilvl w:val="1"/>
          <w:numId w:val="27"/>
        </w:numPr>
        <w:rPr>
          <w:rFonts w:ascii="Arial" w:cs="Arial" w:eastAsia="Arial" w:hAnsi="Arial"/>
          <w:sz w:val="16"/>
          <w:szCs w:val="16"/>
          <w:color w:val="auto"/>
        </w:rPr>
      </w:pPr>
      <w:r>
        <w:rPr>
          <w:rFonts w:ascii="Arial" w:cs="Arial" w:eastAsia="Arial" w:hAnsi="Arial"/>
          <w:sz w:val="16"/>
          <w:szCs w:val="16"/>
          <w:color w:val="auto"/>
        </w:rPr>
        <w:t xml:space="preserve">If any payment received by the Administrative Agent for the account of the L/C Issuer pursuant to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is required to be returned under any of the circumstances described in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(including pursuant to any settlement entered into by the L/C Issuer in</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700" w:top="280" w:right="259" w:bottom="1440" w:gutter="0" w:footer="0" w:header="0"/>
        </w:sectPr>
      </w:pPr>
    </w:p>
    <w:bookmarkStart w:id="37" w:name="page38"/>
    <w:bookmarkEnd w:id="37"/>
    <w:p>
      <w:pPr>
        <w:ind w:left="440"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its discretion), each Lender shall pay to the Administrative Agent for the account of the L/C Issuer its Applicable Percentage thereof on demand of the Administrative Agent, plus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spacing w:after="0" w:line="143" w:lineRule="exact"/>
        <w:rPr>
          <w:sz w:val="20"/>
          <w:szCs w:val="20"/>
          <w:color w:val="auto"/>
        </w:rPr>
      </w:pPr>
    </w:p>
    <w:p>
      <w:pPr>
        <w:ind w:left="-20" w:right="200" w:firstLine="464"/>
        <w:spacing w:after="0" w:line="259" w:lineRule="auto"/>
        <w:tabs>
          <w:tab w:leader="none" w:pos="67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the Borrower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59" w:lineRule="exact"/>
        <w:rPr>
          <w:rFonts w:ascii="Arial" w:cs="Arial" w:eastAsia="Arial" w:hAnsi="Arial"/>
          <w:sz w:val="18"/>
          <w:szCs w:val="18"/>
          <w:color w:val="auto"/>
        </w:rPr>
      </w:pPr>
    </w:p>
    <w:p>
      <w:pPr>
        <w:ind w:left="1100" w:hanging="217"/>
        <w:spacing w:after="0"/>
        <w:tabs>
          <w:tab w:leader="none" w:pos="11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90" w:lineRule="exact"/>
        <w:rPr>
          <w:rFonts w:ascii="Arial" w:cs="Arial" w:eastAsia="Arial" w:hAnsi="Arial"/>
          <w:sz w:val="18"/>
          <w:szCs w:val="18"/>
          <w:color w:val="auto"/>
        </w:rPr>
      </w:pPr>
    </w:p>
    <w:p>
      <w:pPr>
        <w:ind w:left="440" w:firstLine="443"/>
        <w:spacing w:after="0" w:line="256" w:lineRule="auto"/>
        <w:tabs>
          <w:tab w:leader="none" w:pos="1137"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62" w:lineRule="exact"/>
        <w:rPr>
          <w:rFonts w:ascii="Arial" w:cs="Arial" w:eastAsia="Arial" w:hAnsi="Arial"/>
          <w:sz w:val="18"/>
          <w:szCs w:val="18"/>
          <w:color w:val="auto"/>
        </w:rPr>
      </w:pPr>
    </w:p>
    <w:p>
      <w:pPr>
        <w:ind w:left="440" w:right="80" w:firstLine="443"/>
        <w:spacing w:after="0" w:line="259" w:lineRule="auto"/>
        <w:tabs>
          <w:tab w:leader="none" w:pos="118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59" w:lineRule="exact"/>
        <w:rPr>
          <w:rFonts w:ascii="Arial" w:cs="Arial" w:eastAsia="Arial" w:hAnsi="Arial"/>
          <w:sz w:val="18"/>
          <w:szCs w:val="18"/>
          <w:color w:val="auto"/>
        </w:rPr>
      </w:pPr>
    </w:p>
    <w:p>
      <w:pPr>
        <w:ind w:left="440" w:right="220" w:firstLine="443"/>
        <w:spacing w:after="0" w:line="268" w:lineRule="auto"/>
        <w:tabs>
          <w:tab w:leader="none" w:pos="1176" w:val="left"/>
        </w:tabs>
        <w:numPr>
          <w:ilvl w:val="1"/>
          <w:numId w:val="28"/>
        </w:numPr>
        <w:rPr>
          <w:rFonts w:ascii="Arial" w:cs="Arial" w:eastAsia="Arial" w:hAnsi="Arial"/>
          <w:sz w:val="18"/>
          <w:szCs w:val="18"/>
          <w:color w:val="auto"/>
        </w:rPr>
      </w:pPr>
      <w:r>
        <w:rPr>
          <w:rFonts w:ascii="Arial" w:cs="Arial" w:eastAsia="Arial" w:hAnsi="Arial"/>
          <w:sz w:val="18"/>
          <w:szCs w:val="18"/>
          <w:color w:val="auto"/>
        </w:rPr>
        <w:t>waiver by the L/C Issuer of any requirement that exists for the L/C Issuer’s protection and not the protection of the Borrower or any waiver by the L/C Issuer which does not in fact materially prejudice the Borrower;</w:t>
      </w:r>
    </w:p>
    <w:p>
      <w:pPr>
        <w:spacing w:after="0" w:line="50" w:lineRule="exact"/>
        <w:rPr>
          <w:rFonts w:ascii="Arial" w:cs="Arial" w:eastAsia="Arial" w:hAnsi="Arial"/>
          <w:sz w:val="18"/>
          <w:szCs w:val="18"/>
          <w:color w:val="auto"/>
        </w:rPr>
      </w:pPr>
    </w:p>
    <w:p>
      <w:pPr>
        <w:ind w:left="1140" w:hanging="257"/>
        <w:spacing w:after="0"/>
        <w:tabs>
          <w:tab w:leader="none" w:pos="11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honor of a demand for payment presented electronically even if such Letter of Credit requires that demand be in the form of a draft;</w:t>
      </w:r>
    </w:p>
    <w:p>
      <w:pPr>
        <w:spacing w:after="0" w:line="113" w:lineRule="exact"/>
        <w:rPr>
          <w:rFonts w:ascii="Arial" w:cs="Arial" w:eastAsia="Arial" w:hAnsi="Arial"/>
          <w:sz w:val="16"/>
          <w:szCs w:val="16"/>
          <w:color w:val="auto"/>
        </w:rPr>
      </w:pPr>
    </w:p>
    <w:p>
      <w:pPr>
        <w:ind w:left="440" w:right="60" w:firstLine="443"/>
        <w:spacing w:after="0" w:line="357" w:lineRule="auto"/>
        <w:tabs>
          <w:tab w:leader="none" w:pos="1176" w:val="left"/>
        </w:tabs>
        <w:numPr>
          <w:ilvl w:val="1"/>
          <w:numId w:val="28"/>
        </w:numPr>
        <w:rPr>
          <w:rFonts w:ascii="Arial" w:cs="Arial" w:eastAsia="Arial" w:hAnsi="Arial"/>
          <w:sz w:val="15"/>
          <w:szCs w:val="15"/>
          <w:color w:val="auto"/>
        </w:rPr>
      </w:pPr>
      <w:r>
        <w:rPr>
          <w:rFonts w:ascii="Arial" w:cs="Arial" w:eastAsia="Arial" w:hAnsi="Arial"/>
          <w:sz w:val="15"/>
          <w:szCs w:val="15"/>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ISP or the UCP, as applicable;</w:t>
      </w:r>
    </w:p>
    <w:p>
      <w:pPr>
        <w:ind w:left="440" w:right="80" w:firstLine="443"/>
        <w:spacing w:after="0" w:line="298" w:lineRule="auto"/>
        <w:tabs>
          <w:tab w:leader="none" w:pos="1224"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31" w:lineRule="exact"/>
        <w:rPr>
          <w:rFonts w:ascii="Arial" w:cs="Arial" w:eastAsia="Arial" w:hAnsi="Arial"/>
          <w:sz w:val="16"/>
          <w:szCs w:val="16"/>
          <w:color w:val="auto"/>
        </w:rPr>
      </w:pPr>
    </w:p>
    <w:p>
      <w:pPr>
        <w:ind w:left="440" w:right="120" w:firstLine="443"/>
        <w:spacing w:after="0" w:line="259" w:lineRule="auto"/>
        <w:tabs>
          <w:tab w:leader="none" w:pos="1273"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any other circumstance or happening whatsoever, whether or not similar to any of the foregoing, including any other circumstance that might otherwise constitute a defense available to, or a discharge of, the Borrower or any Subsidiary; provided, however, that nothing in this </w:t>
      </w:r>
      <w:r>
        <w:rPr>
          <w:rFonts w:ascii="Arial" w:cs="Arial" w:eastAsia="Arial" w:hAnsi="Arial"/>
          <w:sz w:val="18"/>
          <w:szCs w:val="18"/>
          <w:u w:val="single" w:color="auto"/>
          <w:color w:val="auto"/>
        </w:rPr>
        <w:t>Section 2.03(e)</w:t>
      </w:r>
      <w:r>
        <w:rPr>
          <w:rFonts w:ascii="Arial" w:cs="Arial" w:eastAsia="Arial" w:hAnsi="Arial"/>
          <w:sz w:val="18"/>
          <w:szCs w:val="18"/>
          <w:color w:val="auto"/>
        </w:rPr>
        <w:t xml:space="preserve"> shall impair the rights of the Borrower under </w:t>
      </w:r>
      <w:r>
        <w:rPr>
          <w:rFonts w:ascii="Arial" w:cs="Arial" w:eastAsia="Arial" w:hAnsi="Arial"/>
          <w:sz w:val="18"/>
          <w:szCs w:val="18"/>
          <w:u w:val="single" w:color="auto"/>
          <w:color w:val="auto"/>
        </w:rPr>
        <w:t>Section 2.03(f)</w:t>
      </w:r>
      <w:r>
        <w:rPr>
          <w:rFonts w:ascii="Arial" w:cs="Arial" w:eastAsia="Arial" w:hAnsi="Arial"/>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60" w:top="280" w:right="239" w:bottom="1440" w:gutter="0" w:footer="0" w:header="0"/>
        </w:sectPr>
      </w:pPr>
    </w:p>
    <w:bookmarkStart w:id="38" w:name="page39"/>
    <w:bookmarkEnd w:id="38"/>
    <w:p>
      <w:pPr>
        <w:jc w:val="both"/>
        <w:ind w:right="20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spacing w:after="0" w:line="107" w:lineRule="exact"/>
        <w:rPr>
          <w:sz w:val="20"/>
          <w:szCs w:val="20"/>
          <w:color w:val="auto"/>
        </w:rPr>
      </w:pPr>
    </w:p>
    <w:p>
      <w:pPr>
        <w:ind w:right="40" w:firstLine="464"/>
        <w:spacing w:after="0" w:line="283" w:lineRule="auto"/>
        <w:tabs>
          <w:tab w:leader="none" w:pos="676"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Role of L/C Issuer</w:t>
      </w:r>
      <w:r>
        <w:rPr>
          <w:rFonts w:ascii="Arial" w:cs="Arial" w:eastAsia="Arial" w:hAnsi="Arial"/>
          <w:sz w:val="16"/>
          <w:szCs w:val="16"/>
          <w:color w:val="auto"/>
        </w:rPr>
        <w:t>. Each Lender and the Borrower agree that, in paying any drawing under a Letter of Credit, the L/C Issuer shall not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w:t>
      </w:r>
    </w:p>
    <w:p>
      <w:pPr>
        <w:spacing w:after="0" w:line="2" w:lineRule="exact"/>
        <w:rPr>
          <w:rFonts w:ascii="Arial" w:cs="Arial" w:eastAsia="Arial" w:hAnsi="Arial"/>
          <w:sz w:val="16"/>
          <w:szCs w:val="16"/>
          <w:color w:val="auto"/>
        </w:rPr>
      </w:pPr>
    </w:p>
    <w:p>
      <w:pPr>
        <w:ind w:firstLine="8"/>
        <w:spacing w:after="0" w:line="284" w:lineRule="auto"/>
        <w:tabs>
          <w:tab w:leader="none" w:pos="21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assumption is not intended to, and shall not, preclude the Borrower’s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(viii) of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anything in such clauses to the contrary notwithstanding, the Borrower may have a claim against the L/C Issuer, and the L/C Issuer may be liable to the Borrower, to the extent, but only to the extent, of any direct, as opposed to consequential or exemplary, damages suffered by the Borrower which the Borrower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unless the L/C Issuer is prevented or prohibited from so paying as a result of any order or directive of any court or other Governmental Authority.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31" w:lineRule="exact"/>
        <w:rPr>
          <w:rFonts w:ascii="Arial" w:cs="Arial" w:eastAsia="Arial" w:hAnsi="Arial"/>
          <w:sz w:val="16"/>
          <w:szCs w:val="16"/>
          <w:color w:val="auto"/>
        </w:rPr>
      </w:pPr>
    </w:p>
    <w:p>
      <w:pPr>
        <w:ind w:right="80" w:firstLine="464"/>
        <w:spacing w:after="0" w:line="290" w:lineRule="auto"/>
        <w:tabs>
          <w:tab w:leader="none" w:pos="705"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Applicability of ISP</w:t>
      </w:r>
      <w:r>
        <w:rPr>
          <w:rFonts w:ascii="Arial" w:cs="Arial" w:eastAsia="Arial" w:hAnsi="Arial"/>
          <w:sz w:val="16"/>
          <w:szCs w:val="16"/>
          <w:color w:val="auto"/>
        </w:rPr>
        <w:t>. Unless otherwise expressly agreed by the L/C Issuer and the Borrower when a Letter of Credit is issued, the rules of the ISP shall apply to each standby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18" w:lineRule="exact"/>
        <w:rPr>
          <w:rFonts w:ascii="Arial" w:cs="Arial" w:eastAsia="Arial" w:hAnsi="Arial"/>
          <w:sz w:val="16"/>
          <w:szCs w:val="16"/>
          <w:color w:val="auto"/>
        </w:rPr>
      </w:pPr>
    </w:p>
    <w:p>
      <w:pPr>
        <w:ind w:right="200" w:firstLine="464"/>
        <w:spacing w:after="0" w:line="332" w:lineRule="auto"/>
        <w:tabs>
          <w:tab w:leader="none" w:pos="705"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xml:space="preserve">. The Borrower shall pay to the Administrative Agent for the account of each Lender in accordance, subject to </w:t>
      </w:r>
      <w:r>
        <w:rPr>
          <w:rFonts w:ascii="Arial" w:cs="Arial" w:eastAsia="Arial" w:hAnsi="Arial"/>
          <w:sz w:val="16"/>
          <w:szCs w:val="16"/>
          <w:u w:val="single" w:color="auto"/>
          <w:color w:val="auto"/>
        </w:rPr>
        <w:t>Section 2.17</w:t>
      </w:r>
      <w:r>
        <w:rPr>
          <w:rFonts w:ascii="Arial" w:cs="Arial" w:eastAsia="Arial" w:hAnsi="Arial"/>
          <w:sz w:val="16"/>
          <w:szCs w:val="16"/>
          <w:color w:val="auto"/>
        </w:rPr>
        <w:t>, with its Applicable Percentage, a Letter of Credit fee (the “</w:t>
      </w:r>
      <w:r>
        <w:rPr>
          <w:rFonts w:ascii="Arial" w:cs="Arial" w:eastAsia="Arial" w:hAnsi="Arial"/>
          <w:sz w:val="16"/>
          <w:szCs w:val="16"/>
          <w:u w:val="single" w:color="auto"/>
          <w:color w:val="auto"/>
        </w:rPr>
        <w:t>Letter of Credit Fee</w:t>
      </w:r>
      <w:r>
        <w:rPr>
          <w:rFonts w:ascii="Arial" w:cs="Arial" w:eastAsia="Arial" w:hAnsi="Arial"/>
          <w:sz w:val="16"/>
          <w:szCs w:val="16"/>
          <w:color w:val="auto"/>
        </w:rPr>
        <w:t xml:space="preserve">”) for each Letter of Credit equal to the Applicable Rate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9" w:name="page40"/>
    <w:bookmarkEnd w:id="39"/>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daily amount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spacing w:after="0" w:line="118" w:lineRule="exact"/>
        <w:rPr>
          <w:sz w:val="20"/>
          <w:szCs w:val="20"/>
          <w:color w:val="auto"/>
        </w:rPr>
      </w:pPr>
    </w:p>
    <w:p>
      <w:pPr>
        <w:ind w:right="20" w:firstLine="464"/>
        <w:spacing w:after="0" w:line="309" w:lineRule="auto"/>
        <w:tabs>
          <w:tab w:leader="none" w:pos="666" w:val="left"/>
        </w:tabs>
        <w:numPr>
          <w:ilvl w:val="0"/>
          <w:numId w:val="31"/>
        </w:numPr>
        <w:rPr>
          <w:rFonts w:ascii="Arial" w:cs="Arial" w:eastAsia="Arial" w:hAnsi="Arial"/>
          <w:sz w:val="15"/>
          <w:szCs w:val="15"/>
          <w:color w:val="auto"/>
        </w:rPr>
      </w:pPr>
      <w:r>
        <w:rPr>
          <w:rFonts w:ascii="Arial" w:cs="Arial" w:eastAsia="Arial" w:hAnsi="Arial"/>
          <w:sz w:val="15"/>
          <w:szCs w:val="15"/>
          <w:u w:val="single" w:color="auto"/>
          <w:color w:val="auto"/>
        </w:rPr>
        <w:t>Fronting Fee and Documentary and Processing Charges Payable to L/C Issuer</w:t>
      </w:r>
      <w:r>
        <w:rPr>
          <w:rFonts w:ascii="Arial" w:cs="Arial" w:eastAsia="Arial" w:hAnsi="Arial"/>
          <w:sz w:val="15"/>
          <w:szCs w:val="15"/>
          <w:color w:val="auto"/>
        </w:rPr>
        <w:t xml:space="preserve">. The Borrower shall pay directly to the L/C Issuer for its own account a fronting fee with respect to each Letter of Credit, at the rate per annum specified in the Agent Fee Letter, computed on the actual daily maximum amount available to be drawn under such Letter of Credit (whether or not such maximum amount is then in effect under such Letter of Credit) and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5"/>
          <w:szCs w:val="15"/>
          <w:u w:val="single" w:color="auto"/>
          <w:color w:val="auto"/>
        </w:rPr>
        <w:t>Section 1.06</w:t>
      </w:r>
      <w:r>
        <w:rPr>
          <w:rFonts w:ascii="Arial" w:cs="Arial" w:eastAsia="Arial" w:hAnsi="Arial"/>
          <w:sz w:val="15"/>
          <w:szCs w:val="15"/>
          <w:color w:val="auto"/>
        </w:rPr>
        <w:t>. In addition, the Borrower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108" w:lineRule="exact"/>
        <w:rPr>
          <w:rFonts w:ascii="Arial" w:cs="Arial" w:eastAsia="Arial" w:hAnsi="Arial"/>
          <w:sz w:val="15"/>
          <w:szCs w:val="15"/>
          <w:color w:val="auto"/>
        </w:rPr>
      </w:pPr>
    </w:p>
    <w:p>
      <w:pPr>
        <w:ind w:left="680" w:hanging="216"/>
        <w:spacing w:after="0"/>
        <w:tabs>
          <w:tab w:leader="none" w:pos="68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Conflict with Issuer Documents</w:t>
      </w:r>
      <w:r>
        <w:rPr>
          <w:rFonts w:ascii="Arial" w:cs="Arial" w:eastAsia="Arial" w:hAnsi="Arial"/>
          <w:sz w:val="16"/>
          <w:szCs w:val="16"/>
          <w:color w:val="auto"/>
        </w:rPr>
        <w:t>. In the event of any conflict between the terms hereof and the terms of any Issuer Document, the terms hereof shall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control.</w:t>
      </w:r>
    </w:p>
    <w:p>
      <w:pPr>
        <w:spacing w:after="0" w:line="164" w:lineRule="exact"/>
        <w:rPr>
          <w:rFonts w:ascii="Arial" w:cs="Arial" w:eastAsia="Arial" w:hAnsi="Arial"/>
          <w:sz w:val="16"/>
          <w:szCs w:val="16"/>
          <w:color w:val="auto"/>
        </w:rPr>
      </w:pPr>
    </w:p>
    <w:p>
      <w:pPr>
        <w:ind w:right="140" w:firstLine="464"/>
        <w:spacing w:after="0" w:line="298" w:lineRule="auto"/>
        <w:tabs>
          <w:tab w:leader="none" w:pos="705"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Letters of Credit Issued for Subsidiaries</w:t>
      </w:r>
      <w:r>
        <w:rPr>
          <w:rFonts w:ascii="Arial" w:cs="Arial" w:eastAsia="Arial" w:hAnsi="Arial"/>
          <w:sz w:val="16"/>
          <w:szCs w:val="16"/>
          <w:color w:val="auto"/>
        </w:rPr>
        <w:t>. Notwithstanding that a Letter of Credit issued or outstanding hereunder is in support of any obligations of, or is for the account of, a Subsidiary, the Borrower shall be obligated to reimburse the L/C Issuer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u w:val="single" w:color="auto"/>
          <w:color w:val="auto"/>
        </w:rPr>
        <w:t>Swing Line Loans.</w:t>
      </w:r>
    </w:p>
    <w:p>
      <w:pPr>
        <w:spacing w:after="0" w:line="90" w:lineRule="exact"/>
        <w:rPr>
          <w:sz w:val="20"/>
          <w:szCs w:val="20"/>
          <w:color w:val="auto"/>
        </w:rPr>
      </w:pPr>
    </w:p>
    <w:p>
      <w:pPr>
        <w:ind w:firstLine="464"/>
        <w:spacing w:after="0" w:line="289" w:lineRule="auto"/>
        <w:tabs>
          <w:tab w:leader="none" w:pos="695"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The Swing Line</w:t>
      </w:r>
      <w:r>
        <w:rPr>
          <w:rFonts w:ascii="Arial" w:cs="Arial" w:eastAsia="Arial" w:hAnsi="Arial"/>
          <w:sz w:val="16"/>
          <w:szCs w:val="16"/>
          <w:color w:val="auto"/>
        </w:rPr>
        <w:t xml:space="preserve">. Subject to the terms and conditions set forth herein, the Swing Line Lender agrees, in reliance upon the agreements of the other Lenders set forth in this </w:t>
      </w:r>
      <w:r>
        <w:rPr>
          <w:rFonts w:ascii="Arial" w:cs="Arial" w:eastAsia="Arial" w:hAnsi="Arial"/>
          <w:sz w:val="16"/>
          <w:szCs w:val="16"/>
          <w:u w:val="single" w:color="auto"/>
          <w:color w:val="auto"/>
        </w:rPr>
        <w:t>Section 2.04</w:t>
      </w:r>
      <w:r>
        <w:rPr>
          <w:rFonts w:ascii="Arial" w:cs="Arial" w:eastAsia="Arial" w:hAnsi="Arial"/>
          <w:sz w:val="16"/>
          <w:szCs w:val="16"/>
          <w:color w:val="auto"/>
        </w:rPr>
        <w:t>, to make loans (each such loan, a “</w:t>
      </w:r>
      <w:r>
        <w:rPr>
          <w:rFonts w:ascii="Arial" w:cs="Arial" w:eastAsia="Arial" w:hAnsi="Arial"/>
          <w:sz w:val="16"/>
          <w:szCs w:val="16"/>
          <w:u w:val="single" w:color="auto"/>
          <w:color w:val="auto"/>
        </w:rPr>
        <w:t>Swing Line Loan</w:t>
      </w:r>
      <w:r>
        <w:rPr>
          <w:rFonts w:ascii="Arial" w:cs="Arial" w:eastAsia="Arial" w:hAnsi="Arial"/>
          <w:sz w:val="16"/>
          <w:szCs w:val="16"/>
          <w:color w:val="auto"/>
        </w:rPr>
        <w:t xml:space="preserve">”) to the Borrower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Committed Loans and L/C Obligations of the Lender acting as Swing Line Lender, may exceed the amount of such Lender’s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after giving effect to any Swing Line Loan, (i) the Total Outstandings shall not exceed the Aggregate Commitments, and (ii) the Revolving Credit Exposure of any Lender shall not exceed such Lender’s Commitment,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(x) Borrower shall not use the proceeds of any Swing Line Loan to refinance any outstanding Swing Line Loan and (y) the Swing Line Lender shall not be under any obligation to make any Swing Line Loan if it shall determine (which determination shall be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40" w:name="page41"/>
    <w:bookmarkEnd w:id="40"/>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conclusive and binding absent manifest error) that it has, or by such Credit Extension may have, Fronting Exposure. Within the foregoing limits, and subject to the other terms and conditions hereof, the Borrower may 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Each Swing Line Loan shall be a Base Rate Loan. Immediately upon the making of a Swing Line Loan, each Lender shall be deemed to, and hereby irrevocably and unconditionally agrees to, purchase from the Swing Line Lender a risk participation in such Swing Line Loan in an amount equal to the product of such Lender’s Applicable Percentage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amount of such Swing Line Loan.</w:t>
      </w:r>
    </w:p>
    <w:p>
      <w:pPr>
        <w:spacing w:after="0" w:line="143" w:lineRule="exact"/>
        <w:rPr>
          <w:sz w:val="20"/>
          <w:szCs w:val="20"/>
          <w:color w:val="auto"/>
        </w:rPr>
      </w:pPr>
    </w:p>
    <w:p>
      <w:pPr>
        <w:ind w:firstLine="464"/>
        <w:spacing w:after="0" w:line="286" w:lineRule="auto"/>
        <w:tabs>
          <w:tab w:leader="none" w:pos="705"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Borrowing Procedures</w:t>
      </w:r>
      <w:r>
        <w:rPr>
          <w:rFonts w:ascii="Arial" w:cs="Arial" w:eastAsia="Arial" w:hAnsi="Arial"/>
          <w:sz w:val="16"/>
          <w:szCs w:val="16"/>
          <w:color w:val="auto"/>
        </w:rPr>
        <w:t xml:space="preserve">. Each Swing Line Borrowing shall be made upon the Borrower’s irrevocable notice to the Swing Line Lender and the Administrative Agent, which may be given by telephone. Each such notice must be received by the Swing Line Lender and the Administrative Agent not later than 1:00 p.m. on the requested borrowing date, and shall specify (i) the amount to be borrowed, which shall be a minimum of $500,000,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the Borrower.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2:00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that one or more of the applicable conditions specified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Borrower at its office by crediting the account of the Borrower on the books of the Swing Line Lender in immediately available funds.</w:t>
      </w:r>
    </w:p>
    <w:p>
      <w:pPr>
        <w:spacing w:after="0" w:line="120" w:lineRule="exact"/>
        <w:rPr>
          <w:rFonts w:ascii="Arial" w:cs="Arial" w:eastAsia="Arial" w:hAnsi="Arial"/>
          <w:sz w:val="16"/>
          <w:szCs w:val="16"/>
          <w:color w:val="auto"/>
        </w:rPr>
      </w:pPr>
    </w:p>
    <w:p>
      <w:pPr>
        <w:ind w:left="700" w:hanging="23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Refinancing of Swing Line Loans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20" w:firstLine="443"/>
        <w:spacing w:after="0" w:line="306" w:lineRule="auto"/>
        <w:tabs>
          <w:tab w:leader="none" w:pos="1108" w:val="left"/>
        </w:tabs>
        <w:numPr>
          <w:ilvl w:val="1"/>
          <w:numId w:val="33"/>
        </w:numPr>
        <w:rPr>
          <w:rFonts w:ascii="Arial" w:cs="Arial" w:eastAsia="Arial" w:hAnsi="Arial"/>
          <w:sz w:val="15"/>
          <w:szCs w:val="15"/>
          <w:color w:val="auto"/>
        </w:rPr>
      </w:pPr>
      <w:r>
        <w:rPr>
          <w:rFonts w:ascii="Arial" w:cs="Arial" w:eastAsia="Arial" w:hAnsi="Arial"/>
          <w:sz w:val="15"/>
          <w:szCs w:val="15"/>
          <w:color w:val="auto"/>
        </w:rPr>
        <w:t xml:space="preserve">Each Swing Line Loan shall be due and payable on the tenth Business Day following the making of such Swing Line Loan;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Swing Line Lender at any time in its sole and absolute discretion may request, on behalf of the Borrower (which hereby irrevocably authorizes the Swing Line Lender to so request on its behalf), that each Lender make a Base Rate Committed Loan in an amount equal to such Lender’s Applicable Percentage of the amount of Swing Line Loans then outstanding. Such request shall be made in writing (which written request shall be deemed to be a Committed Loan Notice for purposes hereof) and in accordance with the requirements of </w:t>
      </w:r>
      <w:r>
        <w:rPr>
          <w:rFonts w:ascii="Arial" w:cs="Arial" w:eastAsia="Arial" w:hAnsi="Arial"/>
          <w:sz w:val="15"/>
          <w:szCs w:val="15"/>
          <w:u w:val="single" w:color="auto"/>
          <w:color w:val="auto"/>
        </w:rPr>
        <w:t>Section 2.02</w:t>
      </w:r>
      <w:r>
        <w:rPr>
          <w:rFonts w:ascii="Arial" w:cs="Arial" w:eastAsia="Arial" w:hAnsi="Arial"/>
          <w:sz w:val="15"/>
          <w:szCs w:val="15"/>
          <w:color w:val="auto"/>
        </w:rPr>
        <w:t xml:space="preserve">, without regard to the minimum and multiples specified therein for the principal amount of Base Rate Loans, but subject to the unutilized portion of the Aggregate Commitments and the conditions set forth in </w:t>
      </w:r>
      <w:r>
        <w:rPr>
          <w:rFonts w:ascii="Arial" w:cs="Arial" w:eastAsia="Arial" w:hAnsi="Arial"/>
          <w:sz w:val="15"/>
          <w:szCs w:val="15"/>
          <w:u w:val="single" w:color="auto"/>
          <w:color w:val="auto"/>
        </w:rPr>
        <w:t>Section 4.02</w:t>
      </w:r>
      <w:r>
        <w:rPr>
          <w:rFonts w:ascii="Arial" w:cs="Arial" w:eastAsia="Arial" w:hAnsi="Arial"/>
          <w:sz w:val="15"/>
          <w:szCs w:val="15"/>
          <w:color w:val="auto"/>
        </w:rPr>
        <w:t xml:space="preserve"> and provided that, after giving effect to such Borrowing, the Total Outstandings shall not exceed the Aggregate Commitments. The Swing Line Lender shall furnish the Borrower with a copy of the applicable Committed Loan Notice promptly after delivering such notice to the Administrative Agent. Each Lender shall make an amount equal to its Applicable Percentage of the amount specified in such Committed Loan Notice available to the Administrative Agent in immediately available funds (and the Administrative Agent may apply Cash Collateral available with respect to the applicable Swing Line Loan) for the account of the Swing Line Lender at the Administrative Agent’s Office not later than 1:00 p.m. on the day specified in such Committed Loan Notice, whereupon, subject to </w:t>
      </w:r>
      <w:r>
        <w:rPr>
          <w:rFonts w:ascii="Arial" w:cs="Arial" w:eastAsia="Arial" w:hAnsi="Arial"/>
          <w:sz w:val="15"/>
          <w:szCs w:val="15"/>
          <w:u w:val="single" w:color="auto"/>
          <w:color w:val="auto"/>
        </w:rPr>
        <w:t>Section 2.04(c)(ii)</w:t>
      </w:r>
      <w:r>
        <w:rPr>
          <w:rFonts w:ascii="Arial" w:cs="Arial" w:eastAsia="Arial" w:hAnsi="Arial"/>
          <w:sz w:val="15"/>
          <w:szCs w:val="15"/>
          <w:color w:val="auto"/>
        </w:rPr>
        <w:t>, each Lender that so makes funds available shall be deemed to have made a Base Rate Committed Loan to the Borrower in such amount. The Administrative Agent shall remit the funds so received to the Swing Line Lender.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41" w:name="page42"/>
    <w:bookmarkEnd w:id="41"/>
    <w:p>
      <w:pPr>
        <w:ind w:right="160" w:firstLine="443"/>
        <w:spacing w:after="0" w:line="298" w:lineRule="auto"/>
        <w:tabs>
          <w:tab w:leader="none" w:pos="697" w:val="left"/>
        </w:tabs>
        <w:numPr>
          <w:ilvl w:val="0"/>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for any reason any Swing Line Loan cannot be refinanced by such a Committed Borrowing in accordance with </w:t>
      </w:r>
      <w:r>
        <w:rPr>
          <w:rFonts w:ascii="Arial" w:cs="Arial" w:eastAsia="Arial" w:hAnsi="Arial"/>
          <w:sz w:val="16"/>
          <w:szCs w:val="16"/>
          <w:u w:val="single" w:color="auto"/>
          <w:color w:val="auto"/>
        </w:rPr>
        <w:t>Section 2.04(c)(i)</w:t>
      </w:r>
      <w:r>
        <w:rPr>
          <w:rFonts w:ascii="Arial" w:cs="Arial" w:eastAsia="Arial" w:hAnsi="Arial"/>
          <w:sz w:val="16"/>
          <w:szCs w:val="16"/>
          <w:color w:val="auto"/>
        </w:rPr>
        <w:t xml:space="preserve">, the request for Base Rate Committed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Arial" w:cs="Arial" w:eastAsia="Arial" w:hAnsi="Arial"/>
          <w:sz w:val="16"/>
          <w:szCs w:val="16"/>
          <w:u w:val="single" w:color="auto"/>
          <w:color w:val="auto"/>
        </w:rPr>
        <w:t>Section 2.04(c)(i)</w:t>
      </w:r>
      <w:r>
        <w:rPr>
          <w:rFonts w:ascii="Arial" w:cs="Arial" w:eastAsia="Arial" w:hAnsi="Arial"/>
          <w:sz w:val="16"/>
          <w:szCs w:val="16"/>
          <w:color w:val="auto"/>
        </w:rPr>
        <w:t xml:space="preserve"> shall be deemed payment in respect of such participation.</w:t>
      </w:r>
    </w:p>
    <w:p>
      <w:pPr>
        <w:spacing w:after="0" w:line="31" w:lineRule="exact"/>
        <w:rPr>
          <w:rFonts w:ascii="Arial" w:cs="Arial" w:eastAsia="Arial" w:hAnsi="Arial"/>
          <w:sz w:val="16"/>
          <w:szCs w:val="16"/>
          <w:color w:val="auto"/>
        </w:rPr>
      </w:pPr>
    </w:p>
    <w:p>
      <w:pPr>
        <w:ind w:right="40" w:firstLine="443"/>
        <w:spacing w:after="0" w:line="288" w:lineRule="auto"/>
        <w:tabs>
          <w:tab w:leader="none" w:pos="745"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If any Lender fails to make available to the Administrative Agent for the account of the Swing Line Lender any amount required to be paid by such Lender pursuant to the foregoing provisions of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 2.04(c)(i)</w:t>
      </w:r>
      <w:r>
        <w:rPr>
          <w:rFonts w:ascii="Arial" w:cs="Arial" w:eastAsia="Arial" w:hAnsi="Arial"/>
          <w:sz w:val="16"/>
          <w:szCs w:val="16"/>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plus any administrative, processing or similar fees customarily charged by the Swing Line Lender in connection with the foregoing. If such Lender pays such amount (with interest and fees as aforesaid), the amount so paid shall constitute such Lender’s Committed Loan included in the relevant Committed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spacing w:after="0" w:line="38" w:lineRule="exact"/>
        <w:rPr>
          <w:rFonts w:ascii="Arial" w:cs="Arial" w:eastAsia="Arial" w:hAnsi="Arial"/>
          <w:sz w:val="16"/>
          <w:szCs w:val="16"/>
          <w:color w:val="auto"/>
        </w:rPr>
      </w:pPr>
    </w:p>
    <w:p>
      <w:pPr>
        <w:ind w:left="740" w:hanging="297"/>
        <w:spacing w:after="0"/>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Each Lender’s obligation to make Committed Loans or to purchase and fund risk participations in Swing Line Loans pursuant to this</w:t>
      </w:r>
    </w:p>
    <w:p>
      <w:pPr>
        <w:spacing w:after="0" w:line="3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Lender may have against the Swing Line Lender, the Borrower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Lender’s obligation to make Committed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No such funding of risk participations shall relieve or otherwise impair the obligation of the Borrower to repay Swing Line Loans, together with interest as provided herein.</w:t>
      </w:r>
    </w:p>
    <w:p>
      <w:pPr>
        <w:spacing w:after="0" w:line="148" w:lineRule="exact"/>
        <w:rPr>
          <w:sz w:val="20"/>
          <w:szCs w:val="20"/>
          <w:color w:val="auto"/>
        </w:rPr>
      </w:pPr>
    </w:p>
    <w:p>
      <w:pPr>
        <w:ind w:left="260" w:hanging="256"/>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firstLine="443"/>
        <w:spacing w:after="0" w:line="256" w:lineRule="auto"/>
        <w:tabs>
          <w:tab w:leader="none" w:pos="64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At any time after any Lender has purchased and funded a risk participation in a Swing Line Loan, if the Swing Line Lender receives any payment on account of such Swing Line Loan, the Swing Line Lender will distribute to such Lender its Applicable Percentage thereof (appropriately adjusted, in the case of interest payments, to reflect the period of time during which such Lender’s risk participation was funded) in the same funds as those received by the Swing Line Lender.</w:t>
      </w:r>
    </w:p>
    <w:p>
      <w:pPr>
        <w:spacing w:after="0" w:line="62" w:lineRule="exact"/>
        <w:rPr>
          <w:rFonts w:ascii="Arial" w:cs="Arial" w:eastAsia="Arial" w:hAnsi="Arial"/>
          <w:sz w:val="18"/>
          <w:szCs w:val="18"/>
          <w:color w:val="auto"/>
        </w:rPr>
      </w:pPr>
    </w:p>
    <w:p>
      <w:pPr>
        <w:ind w:right="40" w:firstLine="443"/>
        <w:spacing w:after="0" w:line="259" w:lineRule="auto"/>
        <w:tabs>
          <w:tab w:leader="none" w:pos="697"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(including pursuant to any settlement entered into by the Swing Line Lender in its discretion), each Lender shall pay to the Swing Line Lender its</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0"/>
          </w:cols>
          <w:pgMar w:left="700" w:top="280" w:right="259" w:bottom="1440" w:gutter="0" w:footer="0" w:header="0"/>
        </w:sectPr>
      </w:pPr>
    </w:p>
    <w:bookmarkStart w:id="42" w:name="page43"/>
    <w:bookmarkEnd w:id="42"/>
    <w:p>
      <w:pPr>
        <w:jc w:val="both"/>
        <w:ind w:left="460" w:right="46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Percentage thereof on demand of the Administrative Agent, plus interest thereon from the date of such demand to the date such amount is returned, at a rate per annum equal to the Federal Funds Rate. The Administrative Agent will make such demand upon the request of the Swing Line Lender. The obligations of the Lenders under this clause shall survive the payment in full of the Obligations and the termination of this Agreement.</w:t>
      </w:r>
    </w:p>
    <w:p>
      <w:pPr>
        <w:spacing w:after="0" w:line="88" w:lineRule="exact"/>
        <w:rPr>
          <w:sz w:val="20"/>
          <w:szCs w:val="20"/>
          <w:color w:val="auto"/>
        </w:rPr>
      </w:pPr>
    </w:p>
    <w:p>
      <w:pPr>
        <w:ind w:right="420" w:firstLine="464"/>
        <w:spacing w:after="0" w:line="306" w:lineRule="auto"/>
        <w:tabs>
          <w:tab w:leader="none" w:pos="695"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Interest for Account of Swing Line Lender</w:t>
      </w:r>
      <w:r>
        <w:rPr>
          <w:rFonts w:ascii="Arial" w:cs="Arial" w:eastAsia="Arial" w:hAnsi="Arial"/>
          <w:sz w:val="16"/>
          <w:szCs w:val="16"/>
          <w:color w:val="auto"/>
        </w:rPr>
        <w:t xml:space="preserve">. The Swing Line Lender shall be responsible for invoicing the Borrower for interest on the Swing Line Loans. Until each Lender funds its Base Rate Committed Loan or risk participation pursuant to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to refinance such Lender’s Applicable Percentage of any Swing Line Loan, interest in respect of such Applicable Percentage shall be solely for the account of the Swing Line Lender.</w:t>
      </w:r>
    </w:p>
    <w:p>
      <w:pPr>
        <w:spacing w:after="0" w:line="106" w:lineRule="exact"/>
        <w:rPr>
          <w:rFonts w:ascii="Arial" w:cs="Arial" w:eastAsia="Arial" w:hAnsi="Arial"/>
          <w:sz w:val="16"/>
          <w:szCs w:val="16"/>
          <w:color w:val="auto"/>
        </w:rPr>
      </w:pPr>
    </w:p>
    <w:p>
      <w:pPr>
        <w:ind w:right="40" w:firstLine="464"/>
        <w:spacing w:after="0" w:line="268" w:lineRule="auto"/>
        <w:tabs>
          <w:tab w:leader="none" w:pos="67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The Borrower shall make all payments of principal and interest in respect of the Swing Line Loans directly to the Swing Line Lender.</w:t>
      </w:r>
    </w:p>
    <w:p>
      <w:pPr>
        <w:spacing w:after="0" w:line="25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5"/>
          <w:szCs w:val="15"/>
          <w:u w:val="single" w:color="auto"/>
          <w:color w:val="auto"/>
        </w:rPr>
        <w:t>Prepayments.</w:t>
      </w:r>
    </w:p>
    <w:p>
      <w:pPr>
        <w:spacing w:after="0" w:line="90" w:lineRule="exact"/>
        <w:rPr>
          <w:sz w:val="20"/>
          <w:szCs w:val="20"/>
          <w:color w:val="auto"/>
        </w:rPr>
      </w:pPr>
    </w:p>
    <w:p>
      <w:pPr>
        <w:ind w:firstLine="464"/>
        <w:spacing w:after="0" w:line="286" w:lineRule="auto"/>
        <w:tabs>
          <w:tab w:leader="none" w:pos="695"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The Borrower may, upon notice to the Administrative Agent, at any time or from time to time voluntarily prepay Committed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notice must be received by the Administrative Agent not later than 11:00 a.m. (A) three Business Days prior to any date of prepayment of Eurodollar Rate Loans and (B) on the date of prepayment of Base Rate Committed Loans; (ii) any prepayment of Eurodollar Rate Loans shall be in a principal amount of $500,000 or a whole multiple of $100,000 in excess thereof; and (iii) any prepayment of Base Rate Committed Loans shall be in a principal amount of $500,000 or a whole multiple of $100,000 in excess thereof or, in each case, if less, the entire principal amount thereof then outstanding. Each such notice shall specify the date and amount of such prepayment and the Type(s) of Committed Loans to be prepaid and, if Eurodollar Rate Loans are to be prepaid, the Interest Period(s) of such Loans. The 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Any prepayment of a Eurodollar Rate Loan shall be accompanied by all accrued interest on the amount prepaid, together with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Each such prepayment shall be applied to the Committed Loans of the Lenders in accordance with their respective Applicable Percentages.</w:t>
      </w:r>
    </w:p>
    <w:p>
      <w:pPr>
        <w:spacing w:after="0" w:line="127" w:lineRule="exact"/>
        <w:rPr>
          <w:rFonts w:ascii="Arial" w:cs="Arial" w:eastAsia="Arial" w:hAnsi="Arial"/>
          <w:sz w:val="16"/>
          <w:szCs w:val="16"/>
          <w:color w:val="auto"/>
        </w:rPr>
      </w:pPr>
    </w:p>
    <w:p>
      <w:pPr>
        <w:ind w:right="160" w:firstLine="464"/>
        <w:spacing w:after="0" w:line="294" w:lineRule="auto"/>
        <w:tabs>
          <w:tab w:leader="none" w:pos="705"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The Borrower may, upon notice to the Swing Line Lender (with a copy to the Administrative Agent), at any time or from time to time, voluntarily prepay Swing Line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notice must be received by the Swing Line Lender and the Administrative Agent not later than 1:00 p.m. on the date of the prepayment, and (ii) any such prepayment shall be in a minimum principal amount of $500,000 or a whole multiple of $100,000 in excess thereof.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115" w:lineRule="exact"/>
        <w:rPr>
          <w:rFonts w:ascii="Arial" w:cs="Arial" w:eastAsia="Arial" w:hAnsi="Arial"/>
          <w:sz w:val="16"/>
          <w:szCs w:val="16"/>
          <w:color w:val="auto"/>
        </w:rPr>
      </w:pPr>
    </w:p>
    <w:p>
      <w:pPr>
        <w:ind w:right="200" w:firstLine="464"/>
        <w:spacing w:after="0" w:line="298" w:lineRule="auto"/>
        <w:tabs>
          <w:tab w:leader="none" w:pos="695"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If the Administrative Agent notifies the Borrower at any time that, for any reason, the Total Outstandings at such time exceed the Aggregate Commitments then in effect, the Borrower shall immediately prepay Loans and/or Cash Collateralize the L/C Obligations in an aggregate amount equal to such excess;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Borrower shall not be required to Cash Collateralize the L/C Obligations pursuant to this </w:t>
      </w:r>
      <w:r>
        <w:rPr>
          <w:rFonts w:ascii="Arial" w:cs="Arial" w:eastAsia="Arial" w:hAnsi="Arial"/>
          <w:sz w:val="16"/>
          <w:szCs w:val="16"/>
          <w:u w:val="single" w:color="auto"/>
          <w:color w:val="auto"/>
        </w:rPr>
        <w:t>Section 2.05(c)</w:t>
      </w:r>
      <w:r>
        <w:rPr>
          <w:rFonts w:ascii="Arial" w:cs="Arial" w:eastAsia="Arial" w:hAnsi="Arial"/>
          <w:sz w:val="16"/>
          <w:szCs w:val="16"/>
          <w:color w:val="auto"/>
        </w:rPr>
        <w:t xml:space="preserve"> unless after the prepayment in full of the Loans the Total Outstandings exceed the Aggregate Commitments then in effect.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43" w:name="page44"/>
    <w:bookmarkEnd w:id="43"/>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2.06</w:t>
      </w:r>
      <w:r>
        <w:rPr>
          <w:sz w:val="20"/>
          <w:szCs w:val="20"/>
          <w:color w:val="auto"/>
        </w:rPr>
        <w:tab/>
      </w:r>
      <w:r>
        <w:rPr>
          <w:rFonts w:ascii="Arial" w:cs="Arial" w:eastAsia="Arial" w:hAnsi="Arial"/>
          <w:sz w:val="16"/>
          <w:szCs w:val="16"/>
          <w:u w:val="single" w:color="auto"/>
          <w:color w:val="auto"/>
        </w:rPr>
        <w:t>Termination or Reduction of Commitments.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The Borrower may, upon notice to the Administrative Agent, terminate the Aggregate Commitments, or from time to time permanently reduce the Aggregate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notice shall be received by the Administrative Agent not later than 11:00 a.m. five Business Days prior to the date of termination or reduction, (ii) any such partial reduction shall be in an aggregate amount of $10,000,000 or any whole multiple of $1,000,000 in excess thereof, (iii) the Borrower shall not terminate or reduce the Aggregate Commitments if, after giving effect thereto and to any concurrent prepayments hereunder, the Total Outstandings would exceed the Aggregate Commitments, and (iv) if, after giving effect to any reduction of the Aggregate Commitments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Cash Collateralization of the L/C Obligations hereunder), either the Letter of Credit Sublimit or the Swing Line Sublimit exceeds the amount of the Aggregate Commitments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Cash Collateralization of the L/C Obligations hereunder), such Sublimit shall be automatically reduced by the amount of such excess. The Administrative Agent will promptly notify the Lenders of any such notice of termination or reduction of the Aggregate Commitments. Any reduction of the Aggregate Commitments shall be applied to the Commitment of each Lender according to its Applicable Percentage. All fees accrued until the effective date of any termination of the Aggregate Commitments shall be paid on the effective date of such termination.</w:t>
      </w:r>
    </w:p>
    <w:p>
      <w:pPr>
        <w:spacing w:after="0" w:line="24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5"/>
          <w:szCs w:val="15"/>
          <w:u w:val="single" w:color="auto"/>
          <w:color w:val="auto"/>
        </w:rPr>
        <w:t>Repayment of Loans.</w:t>
      </w:r>
    </w:p>
    <w:p>
      <w:pPr>
        <w:spacing w:after="0" w:line="90" w:lineRule="exact"/>
        <w:rPr>
          <w:sz w:val="20"/>
          <w:szCs w:val="20"/>
          <w:color w:val="auto"/>
        </w:rPr>
      </w:pPr>
    </w:p>
    <w:p>
      <w:pPr>
        <w:ind w:right="180" w:firstLine="464"/>
        <w:spacing w:after="0" w:line="268" w:lineRule="auto"/>
        <w:tabs>
          <w:tab w:leader="none" w:pos="69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Borrower shall repay to each Lender on the applicable Maturity Date, the aggregate principal amount of Committed Loans made to the Borrower by such Lender outstanding on such date and such Lender’s Commitment shall terminate on such date.</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Borrower shall repay each Swing Line Loan on the earlier to occur of (i) the date ten Business Days after such Loan is made and (ii) the Maturity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8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5"/>
          <w:szCs w:val="15"/>
          <w:u w:val="single" w:color="auto"/>
          <w:color w:val="auto"/>
        </w:rPr>
        <w:t>Interest.</w:t>
      </w:r>
    </w:p>
    <w:p>
      <w:pPr>
        <w:spacing w:after="0" w:line="90" w:lineRule="exact"/>
        <w:rPr>
          <w:sz w:val="20"/>
          <w:szCs w:val="20"/>
          <w:color w:val="auto"/>
        </w:rPr>
      </w:pPr>
    </w:p>
    <w:p>
      <w:pPr>
        <w:ind w:right="20" w:firstLine="464"/>
        <w:spacing w:after="0" w:line="294" w:lineRule="auto"/>
        <w:tabs>
          <w:tab w:leader="none" w:pos="695"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Subject to the provisions of clause (b) below, (i) each Eurodollar Rate Loan shall bear interest on the outstanding principal amount thereof for each Interest Period at a rate per annum equal to the Eurodollar Rate for such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for Eurodollar Rate Loans; (ii) each Base Rate Committed Loan shall bear interest on the outstanding principal amount thereof from the applicable borrowing date at a rate per annum equal to the Base Rate plus the Applicable Rate for Base Rate Committed Loans; and (iii) each Swing Line Loan shall bear interest on the outstanding principal amount thereof from the applicable borrowing date at a rate per annum equal to the Base Rate plus the Applicable Rate for Base Rate Committed Loans.</w:t>
      </w:r>
    </w:p>
    <w:p>
      <w:pPr>
        <w:spacing w:after="0" w:line="115" w:lineRule="exact"/>
        <w:rPr>
          <w:rFonts w:ascii="Arial" w:cs="Arial" w:eastAsia="Arial" w:hAnsi="Arial"/>
          <w:sz w:val="16"/>
          <w:szCs w:val="16"/>
          <w:color w:val="auto"/>
        </w:rPr>
      </w:pPr>
    </w:p>
    <w:p>
      <w:pPr>
        <w:ind w:right="340" w:firstLine="464"/>
        <w:spacing w:after="0" w:line="259" w:lineRule="auto"/>
        <w:tabs>
          <w:tab w:leader="none" w:pos="7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59" w:lineRule="exact"/>
        <w:rPr>
          <w:rFonts w:ascii="Arial" w:cs="Arial" w:eastAsia="Arial" w:hAnsi="Arial"/>
          <w:sz w:val="18"/>
          <w:szCs w:val="18"/>
          <w:color w:val="auto"/>
        </w:rPr>
      </w:pPr>
    </w:p>
    <w:p>
      <w:pPr>
        <w:ind w:left="460" w:firstLine="443"/>
        <w:spacing w:after="0" w:line="306" w:lineRule="auto"/>
        <w:tabs>
          <w:tab w:leader="none" w:pos="1157" w:val="left"/>
        </w:tabs>
        <w:numPr>
          <w:ilvl w:val="1"/>
          <w:numId w:val="39"/>
        </w:numPr>
        <w:rPr>
          <w:rFonts w:ascii="Arial" w:cs="Arial" w:eastAsia="Arial" w:hAnsi="Arial"/>
          <w:sz w:val="16"/>
          <w:szCs w:val="16"/>
          <w:color w:val="auto"/>
        </w:rPr>
      </w:pPr>
      <w:r>
        <w:rPr>
          <w:rFonts w:ascii="Arial" w:cs="Arial" w:eastAsia="Arial" w:hAnsi="Arial"/>
          <w:sz w:val="16"/>
          <w:szCs w:val="16"/>
          <w:color w:val="auto"/>
        </w:rPr>
        <w:t>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80" w:right="279" w:bottom="1440" w:gutter="0" w:footer="0" w:header="0"/>
        </w:sectPr>
      </w:pPr>
    </w:p>
    <w:bookmarkStart w:id="44" w:name="page45"/>
    <w:bookmarkEnd w:id="44"/>
    <w:p>
      <w:pPr>
        <w:ind w:left="460" w:right="40" w:firstLine="443"/>
        <w:spacing w:after="0" w:line="259" w:lineRule="auto"/>
        <w:tabs>
          <w:tab w:leader="none" w:pos="1205" w:val="left"/>
        </w:tabs>
        <w:numPr>
          <w:ilvl w:val="1"/>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request of the Required Lenders, while any Event of Default exists, the Borrower shall pay interest on the principal amount of all outstanding Obligations hereunder at a fluctuating interest rate per annum at all times equal to the Default Rate to the fullest extent permitted by applicable Laws.</w:t>
      </w:r>
    </w:p>
    <w:p>
      <w:pPr>
        <w:spacing w:after="0" w:line="59" w:lineRule="exact"/>
        <w:rPr>
          <w:rFonts w:ascii="Arial" w:cs="Arial" w:eastAsia="Arial" w:hAnsi="Arial"/>
          <w:sz w:val="18"/>
          <w:szCs w:val="18"/>
          <w:color w:val="auto"/>
        </w:rPr>
      </w:pPr>
    </w:p>
    <w:p>
      <w:pPr>
        <w:ind w:left="1200" w:hanging="297"/>
        <w:spacing w:after="0"/>
        <w:tabs>
          <w:tab w:leader="none" w:pos="12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 upon demand.</w:t>
      </w:r>
    </w:p>
    <w:p>
      <w:pPr>
        <w:spacing w:after="0" w:line="194" w:lineRule="exact"/>
        <w:rPr>
          <w:rFonts w:ascii="Arial" w:cs="Arial" w:eastAsia="Arial" w:hAnsi="Arial"/>
          <w:sz w:val="16"/>
          <w:szCs w:val="16"/>
          <w:color w:val="auto"/>
        </w:rPr>
      </w:pPr>
    </w:p>
    <w:p>
      <w:pPr>
        <w:ind w:firstLine="464"/>
        <w:spacing w:after="0" w:line="259"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26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4"/>
          <w:szCs w:val="14"/>
          <w:u w:val="single" w:color="auto"/>
          <w:color w:val="auto"/>
        </w:rPr>
        <w:t>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In addition to certain fees described in clauses (i) and (j) of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8" w:lineRule="auto"/>
        <w:tabs>
          <w:tab w:leader="none" w:pos="695"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Facility Fee</w:t>
      </w:r>
      <w:r>
        <w:rPr>
          <w:rFonts w:ascii="Arial" w:cs="Arial" w:eastAsia="Arial" w:hAnsi="Arial"/>
          <w:sz w:val="16"/>
          <w:szCs w:val="16"/>
          <w:color w:val="auto"/>
        </w:rPr>
        <w:t>. The Borrower shall pay to the Administrative Agent for the account of each Lender in accordance with its Applicable Percentage, a facility fee (the “</w:t>
      </w:r>
      <w:r>
        <w:rPr>
          <w:rFonts w:ascii="Arial" w:cs="Arial" w:eastAsia="Arial" w:hAnsi="Arial"/>
          <w:sz w:val="16"/>
          <w:szCs w:val="16"/>
          <w:u w:val="single" w:color="auto"/>
          <w:color w:val="auto"/>
        </w:rPr>
        <w:t>Facility Fee</w:t>
      </w:r>
      <w:r>
        <w:rPr>
          <w:rFonts w:ascii="Arial" w:cs="Arial" w:eastAsia="Arial" w:hAnsi="Arial"/>
          <w:sz w:val="16"/>
          <w:szCs w:val="16"/>
          <w:color w:val="auto"/>
        </w:rPr>
        <w:t xml:space="preserve">”) equal to the Applicable Rate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actual daily amount of the Aggregate Commitments (or, if the Aggregate Commitments have terminated, on the Outstanding Amount of all Committed Loans, Swing Line Loans and L/C Obligations), regardless of usage, subject to adjustment as provided in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The Facility Fee shall accrue at all times during the Availability Period (and thereafter so long as any Committed Loans, Swing Line Loans or L/C Obligations remain outstanding), including at any time during which one or more of the conditions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(and, if applicable, thereafter on demand). The Facility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19" w:lineRule="exact"/>
        <w:rPr>
          <w:rFonts w:ascii="Arial" w:cs="Arial" w:eastAsia="Arial" w:hAnsi="Arial"/>
          <w:sz w:val="16"/>
          <w:szCs w:val="16"/>
          <w:color w:val="auto"/>
        </w:rPr>
      </w:pPr>
    </w:p>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380" w:firstLine="443"/>
        <w:spacing w:after="0" w:line="332" w:lineRule="auto"/>
        <w:tabs>
          <w:tab w:leader="none" w:pos="1108"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Borrower shall pay to the Arrangers and the Administrative Agent for their own respective accounts fees in the amounts and at the times specified in the Fee Letters. Such fees shall be fully earned when paid and shall not be refundable for any reason whatsoever.</w:t>
      </w:r>
    </w:p>
    <w:p>
      <w:pPr>
        <w:spacing w:after="0" w:line="4" w:lineRule="exact"/>
        <w:rPr>
          <w:rFonts w:ascii="Arial" w:cs="Arial" w:eastAsia="Arial" w:hAnsi="Arial"/>
          <w:sz w:val="16"/>
          <w:szCs w:val="16"/>
          <w:color w:val="auto"/>
        </w:rPr>
      </w:pPr>
    </w:p>
    <w:p>
      <w:pPr>
        <w:ind w:left="460" w:right="700" w:firstLine="443"/>
        <w:spacing w:after="0" w:line="268" w:lineRule="auto"/>
        <w:tabs>
          <w:tab w:leader="none" w:pos="1157"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Borrower shall pay to the Lenders such fees as shall have been separately agreed upon in writing in the amounts and at the times so specified. Such fees shall be fully earned when paid and shall not be refundable for any reason whatsoever.</w:t>
      </w:r>
    </w:p>
    <w:p>
      <w:pPr>
        <w:spacing w:after="0" w:line="25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5"/>
          <w:szCs w:val="15"/>
          <w:u w:val="single" w:color="auto"/>
          <w:color w:val="auto"/>
        </w:rPr>
        <w:t>Computation of Interest and Fees; Retroactive Adjustments of Applicable Rate.</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Loan that is repaid on the same day on which it is made shall, subject to </w:t>
      </w:r>
      <w:r>
        <w:rPr>
          <w:rFonts w:ascii="Arial" w:cs="Arial" w:eastAsia="Arial" w:hAnsi="Arial"/>
          <w:sz w:val="16"/>
          <w:szCs w:val="16"/>
          <w:u w:val="single" w:color="auto"/>
          <w:color w:val="auto"/>
        </w:rPr>
        <w:t>Section 2.12(a)</w:t>
      </w:r>
      <w:r>
        <w:rPr>
          <w:rFonts w:ascii="Arial" w:cs="Arial" w:eastAsia="Arial" w:hAnsi="Arial"/>
          <w:sz w:val="16"/>
          <w:szCs w:val="16"/>
          <w:color w:val="auto"/>
        </w:rPr>
        <w:t>, bear interest for one day. Each determination by the Administrative Agent of an interest rate or fee hereunder shall be conclusive and binding for all purposes, absent manifest error.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45" w:name="page46"/>
    <w:bookmarkEnd w:id="45"/>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2.11</w:t>
      </w:r>
      <w:r>
        <w:rPr>
          <w:sz w:val="20"/>
          <w:szCs w:val="20"/>
          <w:color w:val="auto"/>
        </w:rPr>
        <w:tab/>
      </w:r>
      <w:r>
        <w:rPr>
          <w:rFonts w:ascii="Arial" w:cs="Arial" w:eastAsia="Arial" w:hAnsi="Arial"/>
          <w:sz w:val="15"/>
          <w:szCs w:val="15"/>
          <w:u w:val="single" w:color="auto"/>
          <w:color w:val="auto"/>
        </w:rPr>
        <w:t>Evidence of Debt.</w:t>
      </w:r>
    </w:p>
    <w:p>
      <w:pPr>
        <w:spacing w:after="0" w:line="90" w:lineRule="exact"/>
        <w:rPr>
          <w:sz w:val="20"/>
          <w:szCs w:val="20"/>
          <w:color w:val="auto"/>
        </w:rPr>
      </w:pPr>
    </w:p>
    <w:p>
      <w:pPr>
        <w:ind w:right="20" w:firstLine="464"/>
        <w:spacing w:after="0" w:line="288" w:lineRule="auto"/>
        <w:tabs>
          <w:tab w:leader="none" w:pos="69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the Borrower made through the Administrative Agent, the Borrower shall execute and deliver to such Lender (through the Administrative Agent) a Note, which shall evidence such Lender’s Loans to the Borrower in addition to such accounts or records. Each Lender may attach schedules to a Note and endorse thereon the date, Type (if applicable), amount and maturity of its Loans and payments with respect thereto.</w:t>
      </w:r>
    </w:p>
    <w:p>
      <w:pPr>
        <w:spacing w:after="0" w:line="119" w:lineRule="exact"/>
        <w:rPr>
          <w:rFonts w:ascii="Arial" w:cs="Arial" w:eastAsia="Arial" w:hAnsi="Arial"/>
          <w:sz w:val="16"/>
          <w:szCs w:val="16"/>
          <w:color w:val="auto"/>
        </w:rPr>
      </w:pPr>
    </w:p>
    <w:p>
      <w:pPr>
        <w:jc w:val="both"/>
        <w:ind w:right="180" w:firstLine="464"/>
        <w:spacing w:after="0" w:line="298" w:lineRule="auto"/>
        <w:tabs>
          <w:tab w:leader="none" w:pos="705"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addition to the accounts and records referred to in clause (a),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Payments Generally; Administrative Agent’s Clawback.</w:t>
      </w:r>
    </w:p>
    <w:p>
      <w:pPr>
        <w:spacing w:after="0" w:line="90" w:lineRule="exact"/>
        <w:rPr>
          <w:sz w:val="20"/>
          <w:szCs w:val="20"/>
          <w:color w:val="auto"/>
        </w:rPr>
      </w:pPr>
    </w:p>
    <w:p>
      <w:pPr>
        <w:ind w:right="20" w:firstLine="464"/>
        <w:spacing w:after="0" w:line="288" w:lineRule="auto"/>
        <w:tabs>
          <w:tab w:leader="none" w:pos="695"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Except as otherwise specifically provided in </w:t>
      </w:r>
      <w:r>
        <w:rPr>
          <w:rFonts w:ascii="Arial" w:cs="Arial" w:eastAsia="Arial" w:hAnsi="Arial"/>
          <w:sz w:val="16"/>
          <w:szCs w:val="16"/>
          <w:u w:val="single" w:color="auto"/>
          <w:color w:val="auto"/>
        </w:rPr>
        <w:t>Section 3.01</w:t>
      </w:r>
      <w:r>
        <w:rPr>
          <w:rFonts w:ascii="Arial" w:cs="Arial" w:eastAsia="Arial" w:hAnsi="Arial"/>
          <w:sz w:val="16"/>
          <w:szCs w:val="16"/>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Subject to the definition of “Interest Period”,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19" w:lineRule="exact"/>
        <w:rPr>
          <w:rFonts w:ascii="Arial" w:cs="Arial" w:eastAsia="Arial" w:hAnsi="Arial"/>
          <w:sz w:val="16"/>
          <w:szCs w:val="16"/>
          <w:color w:val="auto"/>
        </w:rPr>
      </w:pPr>
    </w:p>
    <w:p>
      <w:pPr>
        <w:ind w:firstLine="464"/>
        <w:spacing w:after="0" w:line="294" w:lineRule="auto"/>
        <w:tabs>
          <w:tab w:leader="none" w:pos="705"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notice from a Lender prior to the proposed date of any Committed Borrowing of Eurodollar Rate Loans (or, in the case of any Committed Borrowing of Base Rate Loans, prior to 12:00 noon on the date of such Committed Borrowing) that such Lender will not make available to the Administrative Agent such Lender’s share of such Committed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Committed Borrowing of Base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46" w:name="page47"/>
    <w:bookmarkEnd w:id="4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in reliance upon such assumption, make available to the Borrower a corresponding amount. In such event, if a Lender has not in fact made its share of the applicable Committed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Committed Borrowing to the Administrative Agent, then the amount so paid shall constitute such Lender’s Committed Loan included in such Committed Borrowing. Any payment by the Borrower shall be without prejudice to any claim the Borrower may have against a Lender that shall have failed to make such payment to the Administrative Agent.</w:t>
      </w:r>
    </w:p>
    <w:p>
      <w:pPr>
        <w:spacing w:after="0" w:line="127" w:lineRule="exact"/>
        <w:rPr>
          <w:sz w:val="20"/>
          <w:szCs w:val="20"/>
          <w:color w:val="auto"/>
        </w:rPr>
      </w:pPr>
    </w:p>
    <w:p>
      <w:pPr>
        <w:ind w:right="40" w:firstLine="464"/>
        <w:spacing w:after="0" w:line="289" w:lineRule="auto"/>
        <w:tabs>
          <w:tab w:leader="none" w:pos="715"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Payments by Borrower; Presumptions by Administrative Agent</w:t>
      </w:r>
      <w:r>
        <w:rPr>
          <w:rFonts w:ascii="Arial" w:cs="Arial" w:eastAsia="Arial" w:hAnsi="Arial"/>
          <w:sz w:val="16"/>
          <w:szCs w:val="16"/>
          <w:color w:val="auto"/>
        </w:rPr>
        <w:t>.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Lenders or the L/C Issuer, as the case may be, the amount due. In such event, if the Borrower has not in fact made such payment, then each of the Lenders or the L/C Issuer, as the case may be, severally agrees to repay to the Administrative Agent forthwith on demand the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 notice of the Administrative Agent to any Lender or the Borrower with respect to any amount owing under this clause (b) shall be conclusive, absent manifest error.</w:t>
      </w:r>
    </w:p>
    <w:p>
      <w:pPr>
        <w:spacing w:after="0" w:line="132" w:lineRule="exact"/>
        <w:rPr>
          <w:sz w:val="20"/>
          <w:szCs w:val="20"/>
          <w:color w:val="auto"/>
        </w:rPr>
      </w:pPr>
    </w:p>
    <w:p>
      <w:pPr>
        <w:ind w:right="200" w:firstLine="464"/>
        <w:spacing w:after="0" w:line="298" w:lineRule="auto"/>
        <w:tabs>
          <w:tab w:leader="none" w:pos="69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Failure to Satisfy Conditions Precedent</w:t>
      </w:r>
      <w:r>
        <w:rPr>
          <w:rFonts w:ascii="Arial" w:cs="Arial" w:eastAsia="Arial" w:hAnsi="Arial"/>
          <w:sz w:val="16"/>
          <w:szCs w:val="16"/>
          <w:color w:val="auto"/>
        </w:rPr>
        <w:t xml:space="preserve">. If any Lender makes available to the Administrative Agent funds for any Loan to be made by such Lender to the Borrower as provided in the foregoing provisions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such funds are not made available to the Borrower by the Administrative Agent because the conditions to the applicable Credit Extension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are not satisfied or waived in accordance with the terms hereof, the Administrative Agent shall return such funds (in like funds as received from such Lender) to such Lender, without interest.</w:t>
      </w:r>
    </w:p>
    <w:p>
      <w:pPr>
        <w:spacing w:after="0" w:line="112" w:lineRule="exact"/>
        <w:rPr>
          <w:rFonts w:ascii="Arial" w:cs="Arial" w:eastAsia="Arial" w:hAnsi="Arial"/>
          <w:sz w:val="16"/>
          <w:szCs w:val="16"/>
          <w:color w:val="auto"/>
        </w:rPr>
      </w:pPr>
    </w:p>
    <w:p>
      <w:pPr>
        <w:ind w:right="100" w:firstLine="464"/>
        <w:spacing w:after="0" w:line="294" w:lineRule="auto"/>
        <w:tabs>
          <w:tab w:leader="none" w:pos="70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Obligations of Lenders Several</w:t>
      </w:r>
      <w:r>
        <w:rPr>
          <w:rFonts w:ascii="Arial" w:cs="Arial" w:eastAsia="Arial" w:hAnsi="Arial"/>
          <w:sz w:val="16"/>
          <w:szCs w:val="16"/>
          <w:color w:val="auto"/>
        </w:rPr>
        <w:t xml:space="preserve">. The obligations of the Lenders hereunder to make Committed Loans, to fund participations in Letters of Credit and Swing Line Loans and to make payments pursuant to </w:t>
      </w:r>
      <w:r>
        <w:rPr>
          <w:rFonts w:ascii="Arial" w:cs="Arial" w:eastAsia="Arial" w:hAnsi="Arial"/>
          <w:sz w:val="16"/>
          <w:szCs w:val="16"/>
          <w:u w:val="single" w:color="auto"/>
          <w:color w:val="auto"/>
        </w:rPr>
        <w:t>Section 10.04(c)</w:t>
      </w:r>
      <w:r>
        <w:rPr>
          <w:rFonts w:ascii="Arial" w:cs="Arial" w:eastAsia="Arial" w:hAnsi="Arial"/>
          <w:sz w:val="16"/>
          <w:szCs w:val="16"/>
          <w:color w:val="auto"/>
        </w:rPr>
        <w:t xml:space="preserve"> are several and not joint. The failure of any Lender to make any Committed Loan, to fund any such participation or to make any payment under </w:t>
      </w:r>
      <w:r>
        <w:rPr>
          <w:rFonts w:ascii="Arial" w:cs="Arial" w:eastAsia="Arial" w:hAnsi="Arial"/>
          <w:sz w:val="16"/>
          <w:szCs w:val="16"/>
          <w:u w:val="single" w:color="auto"/>
          <w:color w:val="auto"/>
        </w:rPr>
        <w:t>Section 10.04(c)</w:t>
      </w:r>
      <w:r>
        <w:rPr>
          <w:rFonts w:ascii="Arial" w:cs="Arial" w:eastAsia="Arial" w:hAnsi="Arial"/>
          <w:sz w:val="16"/>
          <w:szCs w:val="16"/>
          <w:color w:val="auto"/>
        </w:rPr>
        <w:t xml:space="preserve"> on any date required hereunder shall not relieve any other Lender of its corresponding obligation to do so on such date, and, except as provided in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no Lender shall be responsible for the failure of any other Lender to so make its Committed Loan, to purchase its participation or to make its payment under </w:t>
      </w:r>
      <w:r>
        <w:rPr>
          <w:rFonts w:ascii="Arial" w:cs="Arial" w:eastAsia="Arial" w:hAnsi="Arial"/>
          <w:sz w:val="16"/>
          <w:szCs w:val="16"/>
          <w:u w:val="single" w:color="auto"/>
          <w:color w:val="auto"/>
        </w:rPr>
        <w:t>Section 10.04(c)</w:t>
      </w:r>
      <w:r>
        <w:rPr>
          <w:rFonts w:ascii="Arial" w:cs="Arial" w:eastAsia="Arial" w:hAnsi="Arial"/>
          <w:sz w:val="16"/>
          <w:szCs w:val="16"/>
          <w:color w:val="auto"/>
        </w:rPr>
        <w: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47" w:name="page48"/>
    <w:bookmarkEnd w:id="47"/>
    <w:p>
      <w:pPr>
        <w:ind w:right="500" w:firstLine="464"/>
        <w:spacing w:after="0" w:line="332" w:lineRule="auto"/>
        <w:tabs>
          <w:tab w:leader="none" w:pos="695"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Funding Source</w:t>
      </w:r>
      <w:r>
        <w:rPr>
          <w:rFonts w:ascii="Arial" w:cs="Arial" w:eastAsia="Arial" w:hAnsi="Arial"/>
          <w:sz w:val="16"/>
          <w:szCs w:val="16"/>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20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5"/>
          <w:szCs w:val="15"/>
          <w:u w:val="single" w:color="auto"/>
          <w:color w:val="auto"/>
        </w:rPr>
        <w:t>Sharing of Payments by Lenders.</w:t>
      </w:r>
    </w:p>
    <w:p>
      <w:pPr>
        <w:spacing w:after="0" w:line="90"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If any Lender shall, by exercising any right of setoff or counterclaim or otherwise, obtain payment in respect of any principal of or interest on any of the Committed Loans made by it, or the participations in L/C Obligations or in Swing Line Loans held by it (excluding any amounts applied by the Swing Line Lender to outstanding Swing Line Loans) resulting in such Lender’s receiving payment of a proportion of the aggregate amount of such Committed Loans or participations and accrued interest thereon greater than its pro rata share thereof as provided herein, then the Lender receiving such greater proportion shall</w:t>
      </w:r>
    </w:p>
    <w:p>
      <w:pPr>
        <w:spacing w:after="0" w:line="3" w:lineRule="exact"/>
        <w:rPr>
          <w:sz w:val="20"/>
          <w:szCs w:val="20"/>
          <w:color w:val="auto"/>
        </w:rPr>
      </w:pPr>
    </w:p>
    <w:p>
      <w:pPr>
        <w:jc w:val="both"/>
        <w:ind w:right="200" w:firstLine="8"/>
        <w:spacing w:after="0" w:line="254" w:lineRule="auto"/>
        <w:tabs>
          <w:tab w:leader="none" w:pos="2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notify the Administrative Agent of such fact, and (b) purchase (for cash at face value) participations in the Committed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Committed Loans and other amounts owing them;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62" w:lineRule="exact"/>
        <w:rPr>
          <w:rFonts w:ascii="Arial" w:cs="Arial" w:eastAsia="Arial" w:hAnsi="Arial"/>
          <w:sz w:val="18"/>
          <w:szCs w:val="18"/>
          <w:color w:val="auto"/>
        </w:rPr>
      </w:pPr>
    </w:p>
    <w:p>
      <w:pPr>
        <w:ind w:left="460" w:right="700" w:firstLine="443"/>
        <w:spacing w:after="0" w:line="332" w:lineRule="auto"/>
        <w:tabs>
          <w:tab w:leader="none" w:pos="1108" w:val="left"/>
        </w:tabs>
        <w:numPr>
          <w:ilvl w:val="1"/>
          <w:numId w:val="48"/>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4" w:lineRule="exact"/>
        <w:rPr>
          <w:rFonts w:ascii="Arial" w:cs="Arial" w:eastAsia="Arial" w:hAnsi="Arial"/>
          <w:sz w:val="16"/>
          <w:szCs w:val="16"/>
          <w:color w:val="auto"/>
        </w:rPr>
      </w:pPr>
    </w:p>
    <w:p>
      <w:pPr>
        <w:ind w:left="460" w:right="140" w:firstLine="443"/>
        <w:spacing w:after="0" w:line="294" w:lineRule="auto"/>
        <w:tabs>
          <w:tab w:leader="none" w:pos="1157"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the provisions of this Section shall not be construed to apply to (x) any payment made by or on behalf of the Borrower pursuant to and in accordance with the express terms of this Agreement (including the application of funds arising from the existence of a Defaulting Lender), (y) the application of Cash Collateral provided for in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or (z) any payment obtained by a Lender as consideration for the assignment of or sale of a participation in any of its Committed Loans or subparticipations in L/C Obligations or Swing Line Loans to any assignee or participant, other than to the Borrower or any Subsidiary thereof (as to which the provisions of this Section shall apply).</w:t>
      </w:r>
    </w:p>
    <w:p>
      <w:pPr>
        <w:spacing w:after="0" w:line="1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26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u w:val="single" w:color="auto"/>
          <w:color w:val="auto"/>
        </w:rPr>
        <w:t>Extension of Maturity Date.</w:t>
      </w:r>
    </w:p>
    <w:p>
      <w:pPr>
        <w:spacing w:after="0" w:line="90" w:lineRule="exact"/>
        <w:rPr>
          <w:sz w:val="20"/>
          <w:szCs w:val="20"/>
          <w:color w:val="auto"/>
        </w:rPr>
      </w:pPr>
    </w:p>
    <w:p>
      <w:pPr>
        <w:ind w:firstLine="464"/>
        <w:spacing w:after="0" w:line="256"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Requests for Extension</w:t>
      </w:r>
      <w:r>
        <w:rPr>
          <w:rFonts w:ascii="Arial" w:cs="Arial" w:eastAsia="Arial" w:hAnsi="Arial"/>
          <w:sz w:val="18"/>
          <w:szCs w:val="18"/>
          <w:color w:val="auto"/>
        </w:rPr>
        <w:t>. The Borrower may, by notice to the Administrative Agent (who shall promptly notify the Lenders) not more than 60 days and not less than 45 days prior to any annual anniversary date following the Closing Date (the “</w:t>
      </w:r>
      <w:r>
        <w:rPr>
          <w:rFonts w:ascii="Arial" w:cs="Arial" w:eastAsia="Arial" w:hAnsi="Arial"/>
          <w:sz w:val="18"/>
          <w:szCs w:val="18"/>
          <w:u w:val="single" w:color="auto"/>
          <w:color w:val="auto"/>
        </w:rPr>
        <w:t>Applicable Anniversary Date</w:t>
      </w:r>
      <w:r>
        <w:rPr>
          <w:rFonts w:ascii="Arial" w:cs="Arial" w:eastAsia="Arial" w:hAnsi="Arial"/>
          <w:sz w:val="18"/>
          <w:szCs w:val="18"/>
          <w:color w:val="auto"/>
        </w:rPr>
        <w:t>”), request that each Lender extend such Lender’s Maturity Date for an additional year from the Maturity Date then in effect (each such date, an “</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may request no more than two such extensions during the term of this Agreement.</w:t>
      </w:r>
    </w:p>
    <w:p>
      <w:pPr>
        <w:spacing w:after="0" w:line="143" w:lineRule="exact"/>
        <w:rPr>
          <w:rFonts w:ascii="Arial" w:cs="Arial" w:eastAsia="Arial" w:hAnsi="Arial"/>
          <w:sz w:val="18"/>
          <w:szCs w:val="18"/>
          <w:color w:val="auto"/>
        </w:rPr>
      </w:pPr>
    </w:p>
    <w:p>
      <w:pPr>
        <w:jc w:val="both"/>
        <w:ind w:right="80" w:firstLine="464"/>
        <w:spacing w:after="0" w:line="256" w:lineRule="auto"/>
        <w:tabs>
          <w:tab w:leader="none" w:pos="70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Lender Elections to Extend</w:t>
      </w:r>
      <w:r>
        <w:rPr>
          <w:rFonts w:ascii="Arial" w:cs="Arial" w:eastAsia="Arial" w:hAnsi="Arial"/>
          <w:sz w:val="18"/>
          <w:szCs w:val="18"/>
          <w:color w:val="auto"/>
        </w:rPr>
        <w:t>. Each Lender, acting in its sole and individual discretion, shall, by notice to the Administrative Agent given not more than 30 days prior to the Applicable Anniversary Date and not less than the date (the “</w:t>
      </w:r>
      <w:r>
        <w:rPr>
          <w:rFonts w:ascii="Arial" w:cs="Arial" w:eastAsia="Arial" w:hAnsi="Arial"/>
          <w:sz w:val="18"/>
          <w:szCs w:val="18"/>
          <w:u w:val="single" w:color="auto"/>
          <w:color w:val="auto"/>
        </w:rPr>
        <w:t>Notice Date</w:t>
      </w:r>
      <w:r>
        <w:rPr>
          <w:rFonts w:ascii="Arial" w:cs="Arial" w:eastAsia="Arial" w:hAnsi="Arial"/>
          <w:sz w:val="18"/>
          <w:szCs w:val="18"/>
          <w:color w:val="auto"/>
        </w:rPr>
        <w:t>”) that is 15 days prior to the Applicable Anniversary Date, advise the Administrative Agent whether or not such Lender agrees to such extension (and each Lender that determines not to so extend its Maturity Date (a “</w:t>
      </w:r>
      <w:r>
        <w:rPr>
          <w:rFonts w:ascii="Arial" w:cs="Arial" w:eastAsia="Arial" w:hAnsi="Arial"/>
          <w:sz w:val="18"/>
          <w:szCs w:val="18"/>
          <w:u w:val="single" w:color="auto"/>
          <w:color w:val="auto"/>
        </w:rPr>
        <w:t>Non-Extending Lender</w:t>
      </w:r>
      <w:r>
        <w:rPr>
          <w:rFonts w:ascii="Arial" w:cs="Arial" w:eastAsia="Arial" w:hAnsi="Arial"/>
          <w:sz w:val="18"/>
          <w:szCs w:val="18"/>
          <w:color w:val="auto"/>
        </w:rPr>
        <w:t>”) shall</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20"/>
          </w:cols>
          <w:pgMar w:left="240" w:top="280" w:right="339" w:bottom="1440" w:gutter="0" w:footer="0" w:header="0"/>
        </w:sectPr>
      </w:pPr>
    </w:p>
    <w:bookmarkStart w:id="48" w:name="page49"/>
    <w:bookmarkEnd w:id="48"/>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notify the Administrative Agent of such fact promptly after such determination (but in any event no later than the Notice Date) and any Lender that does not so advise the Administrative Agent on or before the Notice Date shall be deemed to be a Non-Extending Lender. The election of any Lender to agree to such extension shall not obligate any other Lender to so agree.</w:t>
      </w:r>
    </w:p>
    <w:p>
      <w:pPr>
        <w:spacing w:after="0" w:line="140" w:lineRule="exact"/>
        <w:rPr>
          <w:sz w:val="20"/>
          <w:szCs w:val="20"/>
          <w:color w:val="auto"/>
        </w:rPr>
      </w:pPr>
    </w:p>
    <w:p>
      <w:pPr>
        <w:ind w:right="180" w:firstLine="464"/>
        <w:spacing w:after="0" w:line="332" w:lineRule="auto"/>
        <w:tabs>
          <w:tab w:leader="none" w:pos="695"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Notification by Administrative Agent</w:t>
      </w:r>
      <w:r>
        <w:rPr>
          <w:rFonts w:ascii="Arial" w:cs="Arial" w:eastAsia="Arial" w:hAnsi="Arial"/>
          <w:sz w:val="16"/>
          <w:szCs w:val="16"/>
          <w:color w:val="auto"/>
        </w:rPr>
        <w:t>. The Administrative Agent shall notify the Borrower of each Lender’s determination under this Section no later than the date 15 days prior to the Applicable Anniversary Date (or, if such date is not a Business Day, on the next preceding Business Day).</w:t>
      </w:r>
    </w:p>
    <w:p>
      <w:pPr>
        <w:spacing w:after="0" w:line="85" w:lineRule="exact"/>
        <w:rPr>
          <w:rFonts w:ascii="Arial" w:cs="Arial" w:eastAsia="Arial" w:hAnsi="Arial"/>
          <w:sz w:val="16"/>
          <w:szCs w:val="16"/>
          <w:color w:val="auto"/>
        </w:rPr>
      </w:pPr>
    </w:p>
    <w:p>
      <w:pPr>
        <w:ind w:right="180" w:firstLine="464"/>
        <w:spacing w:after="0" w:line="294" w:lineRule="auto"/>
        <w:tabs>
          <w:tab w:leader="none" w:pos="705"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Additional Commitment Lenders</w:t>
      </w:r>
      <w:r>
        <w:rPr>
          <w:rFonts w:ascii="Arial" w:cs="Arial" w:eastAsia="Arial" w:hAnsi="Arial"/>
          <w:sz w:val="16"/>
          <w:szCs w:val="16"/>
          <w:color w:val="auto"/>
        </w:rPr>
        <w:t>. The Borrower shall have the right at any time to replace each Non-Extending Lender with, and add as a “Lender” under this Agreement in place thereof, one or more Eligible Assignees (each, an “</w:t>
      </w:r>
      <w:r>
        <w:rPr>
          <w:rFonts w:ascii="Arial" w:cs="Arial" w:eastAsia="Arial" w:hAnsi="Arial"/>
          <w:sz w:val="16"/>
          <w:szCs w:val="16"/>
          <w:u w:val="single" w:color="auto"/>
          <w:color w:val="auto"/>
        </w:rPr>
        <w:t>Additional Commitment Lender</w:t>
      </w:r>
      <w:r>
        <w:rPr>
          <w:rFonts w:ascii="Arial" w:cs="Arial" w:eastAsia="Arial" w:hAnsi="Arial"/>
          <w:sz w:val="16"/>
          <w:szCs w:val="16"/>
          <w:color w:val="auto"/>
        </w:rPr>
        <w:t xml:space="preserve">”) as provided in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of such Additional Commitment Lenders shall enter into an Assignment and Assumption pursuant to which such Additional Commitment Lender shall, effective no later than the Existing Maturity Date, undertake a Commitment (and, if any such Additional Commitment Lender is already a Lender, its Commitment shall be in addition to such Lender’s Commitment hereunder on such date).</w:t>
      </w:r>
    </w:p>
    <w:p>
      <w:pPr>
        <w:spacing w:after="0" w:line="115" w:lineRule="exact"/>
        <w:rPr>
          <w:rFonts w:ascii="Arial" w:cs="Arial" w:eastAsia="Arial" w:hAnsi="Arial"/>
          <w:sz w:val="16"/>
          <w:szCs w:val="16"/>
          <w:color w:val="auto"/>
        </w:rPr>
      </w:pPr>
    </w:p>
    <w:p>
      <w:pPr>
        <w:ind w:right="60" w:firstLine="464"/>
        <w:spacing w:after="0" w:line="291" w:lineRule="auto"/>
        <w:tabs>
          <w:tab w:leader="none" w:pos="695"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Minimum Extension Requirement</w:t>
      </w:r>
      <w:r>
        <w:rPr>
          <w:rFonts w:ascii="Arial" w:cs="Arial" w:eastAsia="Arial" w:hAnsi="Arial"/>
          <w:sz w:val="16"/>
          <w:szCs w:val="16"/>
          <w:color w:val="auto"/>
        </w:rPr>
        <w:t>. If (and only if) the total of the Commitments of the Lenders that have agreed so to extend their Maturity Date (each, an “</w:t>
      </w:r>
      <w:r>
        <w:rPr>
          <w:rFonts w:ascii="Arial" w:cs="Arial" w:eastAsia="Arial" w:hAnsi="Arial"/>
          <w:sz w:val="16"/>
          <w:szCs w:val="16"/>
          <w:u w:val="single" w:color="auto"/>
          <w:color w:val="auto"/>
        </w:rPr>
        <w:t>Extending Lender</w:t>
      </w:r>
      <w:r>
        <w:rPr>
          <w:rFonts w:ascii="Arial" w:cs="Arial" w:eastAsia="Arial" w:hAnsi="Arial"/>
          <w:sz w:val="16"/>
          <w:szCs w:val="16"/>
          <w:color w:val="auto"/>
        </w:rPr>
        <w:t>”) and the additional Commitments of the Additional Commitment Lenders shall be more than 50% of the aggregate amount of the Commitments in effect immediately prior to the Applicable Anniversary Date, then, effective as of the Applicable Anniversary Date, the Maturity Date of each Extending Lender and of each Additional Commitment Lender shall be extended to the date falling one year after the most recent Existing Maturity Date (except that, if such date is not a Business Day, such Maturity Date as so extended shall be the next preceding Business Day) and each Additional Commitment Lender shall thereupon become a “Lender” for all purposes of this Agreement.</w:t>
      </w:r>
    </w:p>
    <w:p>
      <w:pPr>
        <w:spacing w:after="0" w:line="120" w:lineRule="exact"/>
        <w:rPr>
          <w:rFonts w:ascii="Arial" w:cs="Arial" w:eastAsia="Arial" w:hAnsi="Arial"/>
          <w:sz w:val="16"/>
          <w:szCs w:val="16"/>
          <w:color w:val="auto"/>
        </w:rPr>
      </w:pPr>
    </w:p>
    <w:p>
      <w:pPr>
        <w:ind w:firstLine="464"/>
        <w:spacing w:after="0" w:line="301" w:lineRule="auto"/>
        <w:tabs>
          <w:tab w:leader="none" w:pos="676" w:val="left"/>
        </w:tabs>
        <w:numPr>
          <w:ilvl w:val="1"/>
          <w:numId w:val="50"/>
        </w:numPr>
        <w:rPr>
          <w:rFonts w:ascii="Arial" w:cs="Arial" w:eastAsia="Arial" w:hAnsi="Arial"/>
          <w:sz w:val="15"/>
          <w:szCs w:val="15"/>
          <w:color w:val="auto"/>
        </w:rPr>
      </w:pPr>
      <w:r>
        <w:rPr>
          <w:rFonts w:ascii="Arial" w:cs="Arial" w:eastAsia="Arial" w:hAnsi="Arial"/>
          <w:sz w:val="15"/>
          <w:szCs w:val="15"/>
          <w:u w:val="single" w:color="auto"/>
          <w:color w:val="auto"/>
        </w:rPr>
        <w:t>Conditions to Effectiveness of Extensions</w:t>
      </w:r>
      <w:r>
        <w:rPr>
          <w:rFonts w:ascii="Arial" w:cs="Arial" w:eastAsia="Arial" w:hAnsi="Arial"/>
          <w:sz w:val="15"/>
          <w:szCs w:val="15"/>
          <w:color w:val="auto"/>
        </w:rPr>
        <w:t xml:space="preserve">. As a condition precedent to such extension, the Borrower shall deliver to the Administrative Agent a certificate of the Borrower dated as of the Applicable Anniversary Date (in sufficient copies for each Extending Lender and each Additional Commitment Lender) signed by a Responsible Officer of the Borrower (i) certifying and attaching the resolutions adopted by the Borrower approving or consenting to such extension and (ii) certifying that, before and after giving effect to such extension, (A) the representations and warranties contained in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and the other Loan Documents are true and correct on and as of the Applicable Anniversary Date, except in each case to the extent that such representations and warranties specifically refer to an earlier date, in which case they are true and correct as of such earlier date, and except that for purposes of this </w:t>
      </w:r>
      <w:r>
        <w:rPr>
          <w:rFonts w:ascii="Arial" w:cs="Arial" w:eastAsia="Arial" w:hAnsi="Arial"/>
          <w:sz w:val="15"/>
          <w:szCs w:val="15"/>
          <w:u w:val="single" w:color="auto"/>
          <w:color w:val="auto"/>
        </w:rPr>
        <w:t>Section 2.14</w:t>
      </w:r>
      <w:r>
        <w:rPr>
          <w:rFonts w:ascii="Arial" w:cs="Arial" w:eastAsia="Arial" w:hAnsi="Arial"/>
          <w:sz w:val="15"/>
          <w:szCs w:val="15"/>
          <w:color w:val="auto"/>
        </w:rPr>
        <w:t xml:space="preserve">, the representations and warranties contained in clauses (a) and (b) of </w:t>
      </w:r>
      <w:r>
        <w:rPr>
          <w:rFonts w:ascii="Arial" w:cs="Arial" w:eastAsia="Arial" w:hAnsi="Arial"/>
          <w:sz w:val="15"/>
          <w:szCs w:val="15"/>
          <w:u w:val="single" w:color="auto"/>
          <w:color w:val="auto"/>
        </w:rPr>
        <w:t>Section 5.05</w:t>
      </w:r>
      <w:r>
        <w:rPr>
          <w:rFonts w:ascii="Arial" w:cs="Arial" w:eastAsia="Arial" w:hAnsi="Arial"/>
          <w:sz w:val="15"/>
          <w:szCs w:val="15"/>
          <w:color w:val="auto"/>
        </w:rPr>
        <w:t xml:space="preserve"> shall be deemed to refer to the most recent statements furnished pursuant to clause</w:t>
      </w:r>
    </w:p>
    <w:p>
      <w:pPr>
        <w:spacing w:after="0" w:line="4" w:lineRule="exact"/>
        <w:rPr>
          <w:rFonts w:ascii="Arial" w:cs="Arial" w:eastAsia="Arial" w:hAnsi="Arial"/>
          <w:sz w:val="15"/>
          <w:szCs w:val="15"/>
          <w:color w:val="auto"/>
        </w:rPr>
      </w:pPr>
    </w:p>
    <w:p>
      <w:pPr>
        <w:ind w:firstLine="8"/>
        <w:spacing w:after="0" w:line="302" w:lineRule="auto"/>
        <w:tabs>
          <w:tab w:leader="none" w:pos="239"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and (B) no Default exists. In addition, on the Existing Maturity Date applicable to any Non-Extending Lender, the Borrowers shall prepay any Committed Loans outstanding on such date (and pay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to the extent necessary to keep outstanding Committed Loans ratable with any revised Applicable Percentages of the respective Lenders effective as of such date.</w:t>
      </w:r>
    </w:p>
    <w:p>
      <w:pPr>
        <w:spacing w:after="0" w:line="109" w:lineRule="exact"/>
        <w:rPr>
          <w:rFonts w:ascii="Arial" w:cs="Arial" w:eastAsia="Arial" w:hAnsi="Arial"/>
          <w:sz w:val="16"/>
          <w:szCs w:val="16"/>
          <w:color w:val="auto"/>
        </w:rPr>
      </w:pPr>
    </w:p>
    <w:p>
      <w:pPr>
        <w:ind w:left="720" w:hanging="256"/>
        <w:spacing w:after="0"/>
        <w:tabs>
          <w:tab w:leader="none" w:pos="72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10.01</w:t>
      </w:r>
      <w:r>
        <w:rPr>
          <w:rFonts w:ascii="Arial" w:cs="Arial" w:eastAsia="Arial" w:hAnsi="Arial"/>
          <w:sz w:val="18"/>
          <w:szCs w:val="18"/>
          <w:color w:val="auto"/>
        </w:rPr>
        <w:t xml:space="preserve"> to the contrary.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49" w:name="page50"/>
    <w:bookmarkEnd w:id="49"/>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2.15</w:t>
      </w:r>
      <w:r>
        <w:rPr>
          <w:sz w:val="20"/>
          <w:szCs w:val="20"/>
          <w:color w:val="auto"/>
        </w:rPr>
        <w:tab/>
      </w:r>
      <w:r>
        <w:rPr>
          <w:rFonts w:ascii="Arial" w:cs="Arial" w:eastAsia="Arial" w:hAnsi="Arial"/>
          <w:sz w:val="15"/>
          <w:szCs w:val="15"/>
          <w:u w:val="single" w:color="auto"/>
          <w:color w:val="auto"/>
        </w:rPr>
        <w:t>Increase in Commitments.</w:t>
      </w:r>
    </w:p>
    <w:p>
      <w:pPr>
        <w:spacing w:after="0" w:line="90" w:lineRule="exact"/>
        <w:rPr>
          <w:sz w:val="20"/>
          <w:szCs w:val="20"/>
          <w:color w:val="auto"/>
        </w:rPr>
      </w:pPr>
    </w:p>
    <w:p>
      <w:pPr>
        <w:ind w:firstLine="464"/>
        <w:spacing w:after="0" w:line="254"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Request for Increase</w:t>
      </w:r>
      <w:r>
        <w:rPr>
          <w:rFonts w:ascii="Arial" w:cs="Arial" w:eastAsia="Arial" w:hAnsi="Arial"/>
          <w:sz w:val="18"/>
          <w:szCs w:val="18"/>
          <w:color w:val="auto"/>
        </w:rPr>
        <w:t xml:space="preserve">. Provided there exists no Default, upon notice to the Administrative Agent (which shall promptly notify the Lenders), the Borrower may from time to time, request an increase in the Aggregate Commitments by an amount (for all such requests) not exceeding $250,000,000;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request for an increase shall be in a minimum amount of $50,000,000. At the time of sending such notice, the Borrower (in consultation with the Administrative Agent) shall specify the time period within which each Lender is requested to respond (which shall in no event be less than ten Business Days from the date of delivery of such notice to the Lenders). No consent of any Lender (other than Lenders participating in the increase) shall be required for any increase in Commitments under this Section 2.15.</w:t>
      </w:r>
    </w:p>
    <w:p>
      <w:pPr>
        <w:spacing w:after="0" w:line="144" w:lineRule="exact"/>
        <w:rPr>
          <w:rFonts w:ascii="Arial" w:cs="Arial" w:eastAsia="Arial" w:hAnsi="Arial"/>
          <w:sz w:val="18"/>
          <w:szCs w:val="18"/>
          <w:color w:val="auto"/>
        </w:rPr>
      </w:pPr>
    </w:p>
    <w:p>
      <w:pPr>
        <w:ind w:right="640" w:firstLine="464"/>
        <w:spacing w:after="0" w:line="306" w:lineRule="auto"/>
        <w:tabs>
          <w:tab w:leader="none" w:pos="705"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Lender Elections to Increase</w:t>
      </w:r>
      <w:r>
        <w:rPr>
          <w:rFonts w:ascii="Arial" w:cs="Arial" w:eastAsia="Arial" w:hAnsi="Arial"/>
          <w:sz w:val="16"/>
          <w:szCs w:val="16"/>
          <w:color w:val="auto"/>
        </w:rPr>
        <w:t>. Each Lender shall notify the Administrative Agent within such time period whether or not it agrees to increase its Commitment and, if so, whether by an amount equal to, greater than, or less than its Applicable Percentage of such requested increase. Any Lender not responding within such time period shall be deemed to have declined to increase its Commitment.</w:t>
      </w:r>
    </w:p>
    <w:p>
      <w:pPr>
        <w:spacing w:after="0" w:line="106" w:lineRule="exact"/>
        <w:rPr>
          <w:rFonts w:ascii="Arial" w:cs="Arial" w:eastAsia="Arial" w:hAnsi="Arial"/>
          <w:sz w:val="16"/>
          <w:szCs w:val="16"/>
          <w:color w:val="auto"/>
        </w:rPr>
      </w:pPr>
    </w:p>
    <w:p>
      <w:pPr>
        <w:ind w:right="220" w:firstLine="464"/>
        <w:spacing w:after="0" w:line="298" w:lineRule="auto"/>
        <w:tabs>
          <w:tab w:leader="none" w:pos="695"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Notification by Administrative Agent; Additional Lenders</w:t>
      </w:r>
      <w:r>
        <w:rPr>
          <w:rFonts w:ascii="Arial" w:cs="Arial" w:eastAsia="Arial" w:hAnsi="Arial"/>
          <w:sz w:val="16"/>
          <w:szCs w:val="16"/>
          <w:color w:val="auto"/>
        </w:rPr>
        <w:t>. The Administrative Agent shall notify the Borrower and each Lender of the Lenders’ responses to each request made hereunder. To achieve the full amount of a requested increase and subject to the approval of the Administrative Agent, the L/C Issuer and the Swing Line Lender (which approvals shall not be unreasonably withheld), the Borrower may also invite additional Eligible Assignees to become Lenders pursuant to a joinder agreement in form and substance reasonably satisfactory to the Administrative Agent and its counsel.</w:t>
      </w:r>
    </w:p>
    <w:p>
      <w:pPr>
        <w:spacing w:after="0" w:line="112" w:lineRule="exact"/>
        <w:rPr>
          <w:rFonts w:ascii="Arial" w:cs="Arial" w:eastAsia="Arial" w:hAnsi="Arial"/>
          <w:sz w:val="16"/>
          <w:szCs w:val="16"/>
          <w:color w:val="auto"/>
        </w:rPr>
      </w:pPr>
    </w:p>
    <w:p>
      <w:pPr>
        <w:ind w:right="320" w:firstLine="464"/>
        <w:spacing w:after="0" w:line="306" w:lineRule="auto"/>
        <w:tabs>
          <w:tab w:leader="none" w:pos="705"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Effective Date and Allocations</w:t>
      </w:r>
      <w:r>
        <w:rPr>
          <w:rFonts w:ascii="Arial" w:cs="Arial" w:eastAsia="Arial" w:hAnsi="Arial"/>
          <w:sz w:val="16"/>
          <w:szCs w:val="16"/>
          <w:color w:val="auto"/>
        </w:rPr>
        <w:t>. If the Aggregate Commitments are increased in accordance with this Section, the Administrative Agent and the Borrower shall determine the effective date (the “</w:t>
      </w:r>
      <w:r>
        <w:rPr>
          <w:rFonts w:ascii="Arial" w:cs="Arial" w:eastAsia="Arial" w:hAnsi="Arial"/>
          <w:sz w:val="16"/>
          <w:szCs w:val="16"/>
          <w:u w:val="single" w:color="auto"/>
          <w:color w:val="auto"/>
        </w:rPr>
        <w:t>Increase Effective Date</w:t>
      </w:r>
      <w:r>
        <w:rPr>
          <w:rFonts w:ascii="Arial" w:cs="Arial" w:eastAsia="Arial" w:hAnsi="Arial"/>
          <w:sz w:val="16"/>
          <w:szCs w:val="16"/>
          <w:color w:val="auto"/>
        </w:rPr>
        <w:t>”) and the final allocation of such increase. The Administrative Agent shall promptly notify the Borrower and the Lenders of the final allocation of such increase and the Increase Effective Date.</w:t>
      </w:r>
    </w:p>
    <w:p>
      <w:pPr>
        <w:spacing w:after="0" w:line="106" w:lineRule="exact"/>
        <w:rPr>
          <w:rFonts w:ascii="Arial" w:cs="Arial" w:eastAsia="Arial" w:hAnsi="Arial"/>
          <w:sz w:val="16"/>
          <w:szCs w:val="16"/>
          <w:color w:val="auto"/>
        </w:rPr>
      </w:pPr>
    </w:p>
    <w:p>
      <w:pPr>
        <w:ind w:left="700" w:hanging="236"/>
        <w:spacing w:after="0"/>
        <w:tabs>
          <w:tab w:leader="none" w:pos="70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Conditions to Effectiveness of Increase</w:t>
      </w:r>
      <w:r>
        <w:rPr>
          <w:rFonts w:ascii="Arial" w:cs="Arial" w:eastAsia="Arial" w:hAnsi="Arial"/>
          <w:sz w:val="16"/>
          <w:szCs w:val="16"/>
          <w:color w:val="auto"/>
        </w:rPr>
        <w:t>. As a condition precedent to such increase, and in addition to the other requirements set forth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2.15</w:t>
      </w:r>
      <w:r>
        <w:rPr>
          <w:rFonts w:ascii="Arial" w:cs="Arial" w:eastAsia="Arial" w:hAnsi="Arial"/>
          <w:sz w:val="18"/>
          <w:szCs w:val="18"/>
          <w:color w:val="auto"/>
        </w:rPr>
        <w:t>, the following conditions precedent shall be satisfied:</w:t>
      </w:r>
    </w:p>
    <w:p>
      <w:pPr>
        <w:spacing w:after="0" w:line="84" w:lineRule="exact"/>
        <w:rPr>
          <w:sz w:val="20"/>
          <w:szCs w:val="20"/>
          <w:color w:val="auto"/>
        </w:rPr>
      </w:pPr>
    </w:p>
    <w:p>
      <w:pPr>
        <w:ind w:left="1120" w:hanging="217"/>
        <w:spacing w:after="0"/>
        <w:tabs>
          <w:tab w:leader="none" w:pos="11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Aggregate Commitments shall not exceed $750,000,000 without the consent of the Required Lenders;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on the Increase Effective Date;</w:t>
      </w:r>
    </w:p>
    <w:p>
      <w:pPr>
        <w:spacing w:after="0" w:line="90" w:lineRule="exact"/>
        <w:rPr>
          <w:rFonts w:ascii="Arial" w:cs="Arial" w:eastAsia="Arial" w:hAnsi="Arial"/>
          <w:sz w:val="18"/>
          <w:szCs w:val="18"/>
          <w:color w:val="auto"/>
        </w:rPr>
      </w:pPr>
    </w:p>
    <w:p>
      <w:pPr>
        <w:ind w:left="460" w:right="60" w:firstLine="443"/>
        <w:spacing w:after="0" w:line="259" w:lineRule="auto"/>
        <w:tabs>
          <w:tab w:leader="none" w:pos="12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the other Loan Documents shall be true and correct on and as of the Increase Effective Date, except to the extent that such representations and warranties specifically refer to an earlier date, in which case they shall be true and correct as of such earlier date;</w:t>
      </w:r>
    </w:p>
    <w:p>
      <w:pPr>
        <w:spacing w:after="0" w:line="59" w:lineRule="exact"/>
        <w:rPr>
          <w:rFonts w:ascii="Arial" w:cs="Arial" w:eastAsia="Arial" w:hAnsi="Arial"/>
          <w:sz w:val="18"/>
          <w:szCs w:val="18"/>
          <w:color w:val="auto"/>
        </w:rPr>
      </w:pPr>
    </w:p>
    <w:p>
      <w:pPr>
        <w:ind w:left="460" w:right="40" w:firstLine="443"/>
        <w:spacing w:after="0" w:line="298" w:lineRule="auto"/>
        <w:tabs>
          <w:tab w:leader="none" w:pos="1196"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Administrative Agent shall have received (A) additional Commitments in a corresponding amount of such requested increase from either existing Lenders and/or one or more other institutions that qualify as Eligible Assignees (it being understood and agreed that no existing Lender shall be required to provide an additional Commitment) and (B) documentation from each institution providing an additional Commitment evidencing its additional Commitment and its obligations under this Agreement in form and substance acceptable to the Administrative Agent;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50" w:name="page51"/>
    <w:bookmarkEnd w:id="50"/>
    <w:p>
      <w:pPr>
        <w:ind w:left="460" w:firstLine="443"/>
        <w:spacing w:after="0" w:line="306" w:lineRule="auto"/>
        <w:tabs>
          <w:tab w:leader="none" w:pos="1147" w:val="left"/>
        </w:tabs>
        <w:numPr>
          <w:ilvl w:val="1"/>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Administrative Agent shall have received a certificate from the Borrower as well as all documents (including resolutions of the board of directors of the Borrower) it may reasonably request relating to the corporate or other necessary authority for such increase in the Aggregate Commitments, and any other matters relevant thereto, all in form and substance reasonably satisfactory to the Administrative Agent; and</w:t>
      </w:r>
    </w:p>
    <w:p>
      <w:pPr>
        <w:spacing w:after="0" w:line="25" w:lineRule="exact"/>
        <w:rPr>
          <w:rFonts w:ascii="Arial" w:cs="Arial" w:eastAsia="Arial" w:hAnsi="Arial"/>
          <w:sz w:val="16"/>
          <w:szCs w:val="16"/>
          <w:color w:val="auto"/>
        </w:rPr>
      </w:pPr>
    </w:p>
    <w:p>
      <w:pPr>
        <w:ind w:left="460" w:right="280" w:firstLine="443"/>
        <w:spacing w:after="0" w:line="256" w:lineRule="auto"/>
        <w:tabs>
          <w:tab w:leader="none" w:pos="1196"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if any Loans are outstanding at the time of the increase in the Aggregate Commitments, the Borrower shall, if applicable, prepay one or more existing Committed Loans (such prepayment to be subject to </w:t>
      </w:r>
      <w:r>
        <w:rPr>
          <w:rFonts w:ascii="Arial" w:cs="Arial" w:eastAsia="Arial" w:hAnsi="Arial"/>
          <w:sz w:val="18"/>
          <w:szCs w:val="18"/>
          <w:u w:val="single" w:color="auto"/>
          <w:color w:val="auto"/>
        </w:rPr>
        <w:t>Section 3.05</w:t>
      </w:r>
      <w:r>
        <w:rPr>
          <w:rFonts w:ascii="Arial" w:cs="Arial" w:eastAsia="Arial" w:hAnsi="Arial"/>
          <w:sz w:val="18"/>
          <w:szCs w:val="18"/>
          <w:color w:val="auto"/>
        </w:rPr>
        <w:t>) in an amount necessary such that after giving effect to the increase in the Aggregate Commitments, each Lender will hold its pro rata share (based on its Applicable Percentage of the increased Aggregate Commitments) of outstanding Loans.</w:t>
      </w:r>
    </w:p>
    <w:p>
      <w:pPr>
        <w:spacing w:after="0" w:line="143" w:lineRule="exact"/>
        <w:rPr>
          <w:rFonts w:ascii="Arial" w:cs="Arial" w:eastAsia="Arial" w:hAnsi="Arial"/>
          <w:sz w:val="18"/>
          <w:szCs w:val="18"/>
          <w:color w:val="auto"/>
        </w:rPr>
      </w:pPr>
    </w:p>
    <w:p>
      <w:pPr>
        <w:ind w:left="680" w:hanging="216"/>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10.01</w:t>
      </w:r>
      <w:r>
        <w:rPr>
          <w:rFonts w:ascii="Arial" w:cs="Arial" w:eastAsia="Arial" w:hAnsi="Arial"/>
          <w:sz w:val="18"/>
          <w:szCs w:val="18"/>
          <w:color w:val="auto"/>
        </w:rPr>
        <w:t xml:space="preserve"> to the contrary.</w:t>
      </w:r>
    </w:p>
    <w:p>
      <w:pPr>
        <w:spacing w:after="0" w:line="29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5"/>
          <w:szCs w:val="15"/>
          <w:u w:val="single" w:color="auto"/>
          <w:color w:val="auto"/>
        </w:rPr>
        <w:t>Cash Collateral.</w:t>
      </w:r>
    </w:p>
    <w:p>
      <w:pPr>
        <w:spacing w:after="0" w:line="90" w:lineRule="exact"/>
        <w:rPr>
          <w:sz w:val="20"/>
          <w:szCs w:val="20"/>
          <w:color w:val="auto"/>
        </w:rPr>
      </w:pPr>
    </w:p>
    <w:p>
      <w:pPr>
        <w:ind w:right="120" w:firstLine="464"/>
        <w:spacing w:after="0" w:line="291" w:lineRule="auto"/>
        <w:tabs>
          <w:tab w:leader="none" w:pos="695"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Certain Credit Support Events</w:t>
      </w:r>
      <w:r>
        <w:rPr>
          <w:rFonts w:ascii="Arial" w:cs="Arial" w:eastAsia="Arial" w:hAnsi="Arial"/>
          <w:sz w:val="16"/>
          <w:szCs w:val="16"/>
          <w:color w:val="auto"/>
        </w:rPr>
        <w:t xml:space="preserve">. If (i) the L/C Issuer has honored any full or partial drawing request under any Letter of Credit and such drawing has resulted in an L/C Borrowing, (ii) as of the Letter of Credit Expiration Date, any L/C Obligation for any reason remains outstanding, (iii) the Borrower shall be required to provide Cash Collateral pursuant to </w:t>
      </w:r>
      <w:r>
        <w:rPr>
          <w:rFonts w:ascii="Arial" w:cs="Arial" w:eastAsia="Arial" w:hAnsi="Arial"/>
          <w:sz w:val="16"/>
          <w:szCs w:val="16"/>
          <w:u w:val="single" w:color="auto"/>
          <w:color w:val="auto"/>
        </w:rPr>
        <w:t>Section 8.02(c)</w:t>
      </w:r>
      <w:r>
        <w:rPr>
          <w:rFonts w:ascii="Arial" w:cs="Arial" w:eastAsia="Arial" w:hAnsi="Arial"/>
          <w:sz w:val="16"/>
          <w:szCs w:val="16"/>
          <w:color w:val="auto"/>
        </w:rPr>
        <w:t xml:space="preserve">, or (iv) there shall exist a Defaulting Lender and there is Fronting Exposure, the Borrower shall immediately (in the case of clause (ii) or (iii) above), or within three Business Days (in all other cases) following any request by the Administrative Agent or the L/C Issuer, provide Cash Collateral in an amount not less than the applicable Minimum Collateral Amount (determined in the case of Cash Collateral provided pursuant to clause (iv) above, after giving effect to </w:t>
      </w:r>
      <w:r>
        <w:rPr>
          <w:rFonts w:ascii="Arial" w:cs="Arial" w:eastAsia="Arial" w:hAnsi="Arial"/>
          <w:sz w:val="16"/>
          <w:szCs w:val="16"/>
          <w:u w:val="single" w:color="auto"/>
          <w:color w:val="auto"/>
        </w:rPr>
        <w:t>Section 2.17(a)(iv)</w:t>
      </w:r>
      <w:r>
        <w:rPr>
          <w:rFonts w:ascii="Arial" w:cs="Arial" w:eastAsia="Arial" w:hAnsi="Arial"/>
          <w:sz w:val="16"/>
          <w:szCs w:val="16"/>
          <w:color w:val="auto"/>
        </w:rPr>
        <w:t xml:space="preserve"> and any Cash Collateral provided by the Defaulting Lender).</w:t>
      </w:r>
    </w:p>
    <w:p>
      <w:pPr>
        <w:spacing w:after="0" w:line="120" w:lineRule="exact"/>
        <w:rPr>
          <w:rFonts w:ascii="Arial" w:cs="Arial" w:eastAsia="Arial" w:hAnsi="Arial"/>
          <w:sz w:val="16"/>
          <w:szCs w:val="16"/>
          <w:color w:val="auto"/>
        </w:rPr>
      </w:pPr>
    </w:p>
    <w:p>
      <w:pPr>
        <w:ind w:right="100" w:firstLine="464"/>
        <w:spacing w:after="0" w:line="286" w:lineRule="auto"/>
        <w:tabs>
          <w:tab w:leader="none" w:pos="705"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xml:space="preserve">. (i) The Borrower shall grant (and shall subject to the control of) the Administrative Agent, for the benefit of the Administrative Agent, the L/C Issuer and the Lenders, and shall agree to maintain, and (ii) to the extent provided by any Defaulting Lender, such Defaulting Lender, hereby grants (and subjects to the control of) the Administrative Agent for the benefit of the Administrative Agent, the L/C Issuer and the Lenders, and agrees to maintain, in each case,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6"/>
          <w:szCs w:val="16"/>
          <w:u w:val="single" w:color="auto"/>
          <w:color w:val="auto"/>
        </w:rPr>
        <w:t>Section 2.16(c)</w:t>
      </w:r>
      <w:r>
        <w:rPr>
          <w:rFonts w:ascii="Arial" w:cs="Arial" w:eastAsia="Arial" w:hAnsi="Arial"/>
          <w:sz w:val="16"/>
          <w:szCs w:val="16"/>
          <w:color w:val="auto"/>
        </w:rPr>
        <w:t>. If at any time the Administrative Agent determines that Cash Collateral is subject to any right or claim of any Person other than the Administrative Agent or the L/C Issuer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Borrower shall pay on demand therefor from time to time all customary account opening, activity and other administrative fees and charges in connection with the maintenance and disbursement of Cash Collateral.</w:t>
      </w:r>
    </w:p>
    <w:p>
      <w:pPr>
        <w:spacing w:after="0" w:line="127" w:lineRule="exact"/>
        <w:rPr>
          <w:rFonts w:ascii="Arial" w:cs="Arial" w:eastAsia="Arial" w:hAnsi="Arial"/>
          <w:sz w:val="16"/>
          <w:szCs w:val="16"/>
          <w:color w:val="auto"/>
        </w:rPr>
      </w:pPr>
    </w:p>
    <w:p>
      <w:pPr>
        <w:ind w:right="40" w:firstLine="464"/>
        <w:spacing w:after="0" w:line="332" w:lineRule="auto"/>
        <w:tabs>
          <w:tab w:leader="none" w:pos="695"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Notwithstanding anything to the contrary contained in this Agreement, Cash Collateral provided under any of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2.03</w:t>
      </w:r>
      <w:r>
        <w:rPr>
          <w:rFonts w:ascii="Arial" w:cs="Arial" w:eastAsia="Arial" w:hAnsi="Arial"/>
          <w:sz w:val="16"/>
          <w:szCs w:val="16"/>
          <w:color w:val="auto"/>
        </w:rPr>
        <w:t xml:space="preserve">, </w:t>
      </w:r>
      <w:r>
        <w:rPr>
          <w:rFonts w:ascii="Arial" w:cs="Arial" w:eastAsia="Arial" w:hAnsi="Arial"/>
          <w:sz w:val="16"/>
          <w:szCs w:val="16"/>
          <w:u w:val="single" w:color="auto"/>
          <w:color w:val="auto"/>
        </w:rPr>
        <w:t>2.05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8.02</w:t>
      </w:r>
      <w:r>
        <w:rPr>
          <w:rFonts w:ascii="Arial" w:cs="Arial" w:eastAsia="Arial" w:hAnsi="Arial"/>
          <w:sz w:val="16"/>
          <w:szCs w:val="16"/>
          <w:color w:val="auto"/>
        </w:rPr>
        <w:t xml:space="preserve"> in respect of Letters of Credit shall be held and applied in satisfaction of the specific L/C Obligations, obligations to</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51" w:name="page52"/>
    <w:bookmarkEnd w:id="51"/>
    <w:p>
      <w:pPr>
        <w:ind w:right="1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85" w:lineRule="exact"/>
        <w:rPr>
          <w:sz w:val="20"/>
          <w:szCs w:val="20"/>
          <w:color w:val="auto"/>
        </w:rPr>
      </w:pPr>
    </w:p>
    <w:p>
      <w:pPr>
        <w:ind w:right="140" w:firstLine="464"/>
        <w:spacing w:after="0" w:line="290" w:lineRule="auto"/>
        <w:tabs>
          <w:tab w:leader="none" w:pos="70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6"/>
          <w:szCs w:val="16"/>
          <w:u w:val="single" w:color="auto"/>
          <w:color w:val="auto"/>
        </w:rPr>
        <w:t>Section 10.06(b)(vi)</w:t>
      </w:r>
      <w:r>
        <w:rPr>
          <w:rFonts w:ascii="Arial" w:cs="Arial" w:eastAsia="Arial" w:hAnsi="Arial"/>
          <w:sz w:val="16"/>
          <w:szCs w:val="16"/>
          <w:color w:val="auto"/>
        </w:rPr>
        <w:t xml:space="preserve">) or (ii) the determination by the Administrative Agent and the L/C Issuer that there exists excess Cash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 may agree that Cash Collateral shall not be released but instead held to support future anticipated Fronting Exposure or other obligations.</w:t>
      </w:r>
    </w:p>
    <w:p>
      <w:pPr>
        <w:spacing w:after="0" w:line="24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u w:val="single" w:color="auto"/>
          <w:color w:val="auto"/>
        </w:rPr>
        <w:t>Defaulting Lenders.</w:t>
      </w:r>
    </w:p>
    <w:p>
      <w:pPr>
        <w:spacing w:after="0" w:line="90" w:lineRule="exact"/>
        <w:rPr>
          <w:sz w:val="20"/>
          <w:szCs w:val="20"/>
          <w:color w:val="auto"/>
        </w:rPr>
      </w:pPr>
    </w:p>
    <w:p>
      <w:pPr>
        <w:ind w:right="100" w:firstLine="464"/>
        <w:spacing w:after="0" w:line="268" w:lineRule="auto"/>
        <w:tabs>
          <w:tab w:leader="none" w:pos="695"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50" w:lineRule="exact"/>
        <w:rPr>
          <w:rFonts w:ascii="Arial" w:cs="Arial" w:eastAsia="Arial" w:hAnsi="Arial"/>
          <w:sz w:val="18"/>
          <w:szCs w:val="18"/>
          <w:color w:val="auto"/>
        </w:rPr>
      </w:pPr>
    </w:p>
    <w:p>
      <w:pPr>
        <w:ind w:left="460" w:right="520" w:firstLine="443"/>
        <w:spacing w:after="0" w:line="268" w:lineRule="auto"/>
        <w:tabs>
          <w:tab w:leader="none" w:pos="1108"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Waivers and Amendment</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firstLine="443"/>
        <w:spacing w:after="0" w:line="285" w:lineRule="auto"/>
        <w:tabs>
          <w:tab w:leader="none" w:pos="1156"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 received by the Administrative Agent for the account of such Defaulting Lender (whether voluntary or mandatory, at maturity,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or received by the Administrative Agent from a Defaulting Lender pursuant to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the payment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of any amounts owing by such Defaulting Lender to the L/C Issuer or Swing Line Lender hereunder;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Cash Collateralize the L/C Issuer’s Fronting Exposure with respect to such Defaulting Lender in accordance with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if so determined by the Administrative Agent and the Borrower, to be held in a deposit account and released pro rata in order to (x) satisfy such Defaulting Lender’s potential future funding obligations with respect to Committed Loans under this Agreement and (y) Cash Collateralize the L/C Issuer’s future Fronting Exposure with respect to such Defaulting Lender with respect to future Letters of Credit issued under this Agreement, in accordance with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the payment of any amounts owing to the Lenders, the L/C Issuer or Swing Line Lender as a result of any judgment of a court of competent jurisdiction obtained by any Lender, the L/C Issuer or the Swing Line Lender against such Defaulting Lender as a result of such Defaulting Lender’s breach of its obligations under this Agreement;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Arial" w:cs="Arial" w:eastAsia="Arial" w:hAnsi="Arial"/>
          <w:sz w:val="16"/>
          <w:szCs w:val="16"/>
          <w:u w:val="single" w:color="auto"/>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if (x) such payment is a payment of the principal amount of any Loans or L/C</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280" w:right="299" w:bottom="1440" w:gutter="0" w:footer="0" w:header="0"/>
        </w:sectPr>
      </w:pPr>
    </w:p>
    <w:bookmarkStart w:id="52" w:name="page53"/>
    <w:bookmarkEnd w:id="52"/>
    <w:p>
      <w:pPr>
        <w:ind w:right="1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were satisfied or waived, such payment shall be applied solely to the pay the Loans of, and L/C Obligations owed to, all Non-Defaulting Lenders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prior to being applied to the payment of any Loans of, or L/C Obligations owed to, such Defaulting Lender until such time as all Committed Loans and funded and unfunded participations in L/C Obligations and Swing Line Loans are held by the Lenders pro rata in accordance with the Commitments hereunder without giving effect to </w:t>
      </w:r>
      <w:r>
        <w:rPr>
          <w:rFonts w:ascii="Arial" w:cs="Arial" w:eastAsia="Arial" w:hAnsi="Arial"/>
          <w:sz w:val="18"/>
          <w:szCs w:val="18"/>
          <w:u w:val="single" w:color="auto"/>
          <w:color w:val="auto"/>
        </w:rPr>
        <w:t>Section 2.17(a)(iv)</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2.17(a)(ii)</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64" w:lineRule="exact"/>
        <w:rPr>
          <w:sz w:val="20"/>
          <w:szCs w:val="20"/>
          <w:color w:val="auto"/>
        </w:rPr>
      </w:pPr>
    </w:p>
    <w:p>
      <w:pPr>
        <w:ind w:left="740" w:hanging="297"/>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40" w:right="80" w:firstLine="389"/>
        <w:spacing w:after="0" w:line="286" w:lineRule="auto"/>
        <w:tabs>
          <w:tab w:leader="none" w:pos="1725" w:val="left"/>
        </w:tabs>
        <w:numPr>
          <w:ilvl w:val="2"/>
          <w:numId w:val="59"/>
        </w:numPr>
        <w:rPr>
          <w:rFonts w:ascii="Arial" w:cs="Arial" w:eastAsia="Arial" w:hAnsi="Arial"/>
          <w:sz w:val="16"/>
          <w:szCs w:val="16"/>
          <w:color w:val="auto"/>
        </w:rPr>
      </w:pPr>
      <w:r>
        <w:rPr>
          <w:rFonts w:ascii="Arial" w:cs="Arial" w:eastAsia="Arial" w:hAnsi="Arial"/>
          <w:sz w:val="16"/>
          <w:szCs w:val="16"/>
          <w:color w:val="auto"/>
        </w:rPr>
        <w:t xml:space="preserve">Each Defaulting Lender shall be entitled to receive fees payable under </w:t>
      </w:r>
      <w:r>
        <w:rPr>
          <w:rFonts w:ascii="Arial" w:cs="Arial" w:eastAsia="Arial" w:hAnsi="Arial"/>
          <w:sz w:val="16"/>
          <w:szCs w:val="16"/>
          <w:u w:val="single" w:color="auto"/>
          <w:color w:val="auto"/>
        </w:rPr>
        <w:t>Sections 2.09(a)</w:t>
      </w:r>
      <w:r>
        <w:rPr>
          <w:rFonts w:ascii="Arial" w:cs="Arial" w:eastAsia="Arial" w:hAnsi="Arial"/>
          <w:sz w:val="16"/>
          <w:szCs w:val="16"/>
          <w:color w:val="auto"/>
        </w:rPr>
        <w:t xml:space="preserve"> for any period during which that Lender is a Defaulting Lender only to extent allocable to the sum of (1) the outstanding principal amount of the Committed Loans funded by it, and</w:t>
      </w:r>
    </w:p>
    <w:p>
      <w:pPr>
        <w:ind w:left="1280" w:hanging="248"/>
        <w:spacing w:after="0"/>
        <w:tabs>
          <w:tab w:leader="none" w:pos="1280"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its Applicable Percentage of the stated amount of Letters of Credit for which it has provided Cash Collateral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w:t>
      </w:r>
    </w:p>
    <w:p>
      <w:pPr>
        <w:spacing w:after="0" w:line="106" w:lineRule="exact"/>
        <w:rPr>
          <w:rFonts w:ascii="Arial" w:cs="Arial" w:eastAsia="Arial" w:hAnsi="Arial"/>
          <w:sz w:val="16"/>
          <w:szCs w:val="16"/>
          <w:color w:val="auto"/>
        </w:rPr>
      </w:pPr>
    </w:p>
    <w:p>
      <w:pPr>
        <w:ind w:left="1040" w:right="220" w:firstLine="389"/>
        <w:spacing w:after="0" w:line="259" w:lineRule="auto"/>
        <w:tabs>
          <w:tab w:leader="none" w:pos="1715" w:val="left"/>
        </w:tabs>
        <w:numPr>
          <w:ilvl w:val="2"/>
          <w:numId w:val="60"/>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1040" w:right="100" w:firstLine="389"/>
        <w:spacing w:after="0" w:line="291" w:lineRule="auto"/>
        <w:tabs>
          <w:tab w:leader="none" w:pos="1715" w:val="left"/>
        </w:tabs>
        <w:numPr>
          <w:ilvl w:val="2"/>
          <w:numId w:val="60"/>
        </w:numPr>
        <w:rPr>
          <w:rFonts w:ascii="Arial" w:cs="Arial" w:eastAsia="Arial" w:hAnsi="Arial"/>
          <w:sz w:val="16"/>
          <w:szCs w:val="16"/>
          <w:color w:val="auto"/>
        </w:rPr>
      </w:pPr>
      <w:r>
        <w:rPr>
          <w:rFonts w:ascii="Arial" w:cs="Arial" w:eastAsia="Arial" w:hAnsi="Arial"/>
          <w:sz w:val="16"/>
          <w:szCs w:val="16"/>
          <w:color w:val="auto"/>
        </w:rPr>
        <w:t xml:space="preserve">With respect to any fee payable under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or any Letter of Credit Fee not required to be paid to any Defaulting Lender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the Borrower shall (x) pay to each Non-Defaulting Lender that portion of any such fee otherwise payable to such Defaulting Lender with respect to such Defaulting Lender’s participation in L/C Obligations or Swing Line Loans that has been reallocated to such Non-Defaulting Lender pursuant to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below, (y) pay to the L/C Issuer and Swing Line Lender, as applicable, the amount of any such fee otherwise payable to such Defaulting Lender to the extent allocable to such L/C Issuer’s or Swing Line Lender’s Fronting Exposure to such Defaulting Lender, and (z) not be required to pay the remaining amount of any such fee.</w:t>
      </w:r>
    </w:p>
    <w:p>
      <w:pPr>
        <w:spacing w:after="0" w:line="39" w:lineRule="exact"/>
        <w:rPr>
          <w:rFonts w:ascii="Arial" w:cs="Arial" w:eastAsia="Arial" w:hAnsi="Arial"/>
          <w:sz w:val="16"/>
          <w:szCs w:val="16"/>
          <w:color w:val="auto"/>
        </w:rPr>
      </w:pPr>
    </w:p>
    <w:p>
      <w:pPr>
        <w:ind w:firstLine="443"/>
        <w:spacing w:after="0" w:line="288" w:lineRule="auto"/>
        <w:tabs>
          <w:tab w:leader="none" w:pos="735"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Reallocation of Applicable Percentages to Reduce Fronting Exposure</w:t>
      </w:r>
      <w:r>
        <w:rPr>
          <w:rFonts w:ascii="Arial" w:cs="Arial" w:eastAsia="Arial" w:hAnsi="Arial"/>
          <w:sz w:val="16"/>
          <w:szCs w:val="16"/>
          <w:color w:val="auto"/>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(x)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are satisfied at the time of such reallocation, or are subsequently satisfied, in which event such reallocation shall occur when such conditions are satisfied (and, unless the Borrower shall have otherwise notified the Administrative Agent at such time, the Borrower shall be deemed to have represented and warranted that such conditions are satisfied at such time), and (y) such reallocation does not cause the aggregate Revolving Credit Exposure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the Borrower or a Non-Defaulting Lender as a result of such Non-Defaulting Lender’s increased exposure following such reallocation.</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40"/>
          </w:cols>
          <w:pgMar w:left="700" w:top="280" w:right="259" w:bottom="1440" w:gutter="0" w:footer="0" w:header="0"/>
        </w:sectPr>
      </w:pPr>
    </w:p>
    <w:bookmarkStart w:id="53" w:name="page54"/>
    <w:bookmarkEnd w:id="53"/>
    <w:p>
      <w:pPr>
        <w:jc w:val="both"/>
        <w:ind w:left="460" w:right="60" w:firstLine="443"/>
        <w:spacing w:after="0" w:line="256" w:lineRule="auto"/>
        <w:tabs>
          <w:tab w:leader="none" w:pos="1147"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 Collateral, Repayment of Swing Line Loans</w:t>
      </w:r>
      <w:r>
        <w:rPr>
          <w:rFonts w:ascii="Arial" w:cs="Arial" w:eastAsia="Arial" w:hAnsi="Arial"/>
          <w:sz w:val="18"/>
          <w:szCs w:val="18"/>
          <w:color w:val="auto"/>
        </w:rPr>
        <w:t xml:space="preserve">. If the reallocation described in clause (a)(iv) above cannot, or can only partially, be effected, the Borrower shall, without prejudice to any right or remedy available to it hereunder or under applicable Law, (x) first, prepay Swing Line Loans in any amount equal to the Swing Line Lenders’ Fronting Exposure and (y) second, Cash Collateralize the L/C Issuers’ Fronting Exposure in accordance with the procedures set forth in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right="60" w:firstLine="464"/>
        <w:spacing w:after="0" w:line="288" w:lineRule="auto"/>
        <w:tabs>
          <w:tab w:leader="none" w:pos="70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If the Borrower, the Administrative Agent, Swing 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by the Lenders in accordance with their Applicable Percentages (without giving effect to </w:t>
      </w:r>
      <w:r>
        <w:rPr>
          <w:rFonts w:ascii="Arial" w:cs="Arial" w:eastAsia="Arial" w:hAnsi="Arial"/>
          <w:sz w:val="16"/>
          <w:szCs w:val="16"/>
          <w:u w:val="single" w:color="auto"/>
          <w:color w:val="auto"/>
        </w:rPr>
        <w:t>Section 2.17(a)(iv)</w:t>
      </w:r>
      <w:r>
        <w:rPr>
          <w:rFonts w:ascii="Arial" w:cs="Arial" w:eastAsia="Arial" w:hAnsi="Arial"/>
          <w:sz w:val="16"/>
          <w:szCs w:val="16"/>
          <w:color w:val="auto"/>
        </w:rPr>
        <w:t xml:space="preserve">), whereupon such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no adjustments will be made retroactively with respect to fees accrued or payments made by or on behalf of the Borrower while that Lender was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TAXES, YIELD PROTECTION AND ILLEGALITY</w:t>
      </w:r>
    </w:p>
    <w:p>
      <w:pPr>
        <w:spacing w:after="0" w:line="2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4"/>
          <w:szCs w:val="14"/>
          <w:u w:val="single" w:color="auto"/>
          <w:color w:val="auto"/>
        </w:rPr>
        <w:t>Taxes.</w:t>
      </w:r>
    </w:p>
    <w:p>
      <w:pPr>
        <w:spacing w:after="0" w:line="90" w:lineRule="exact"/>
        <w:rPr>
          <w:sz w:val="20"/>
          <w:szCs w:val="20"/>
          <w:color w:val="auto"/>
        </w:rPr>
      </w:pPr>
    </w:p>
    <w:p>
      <w:pPr>
        <w:ind w:right="100" w:firstLine="464"/>
        <w:spacing w:after="0" w:line="294" w:lineRule="auto"/>
        <w:tabs>
          <w:tab w:leader="none" w:pos="695"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Payments Free of Taxes; Obligation to Withhold; Payments on Account of Taxes</w:t>
      </w:r>
      <w:r>
        <w:rPr>
          <w:rFonts w:ascii="Arial" w:cs="Arial" w:eastAsia="Arial" w:hAnsi="Arial"/>
          <w:sz w:val="16"/>
          <w:szCs w:val="16"/>
          <w:color w:val="auto"/>
        </w:rPr>
        <w:t xml:space="preserve">. (i) Any and all payments by or on account of any obligation of the Borrower under any Loan Document shall be made without deduction or withholding for any Taxes, except as required by applicable Laws. If any applicable Laws (as determined in the good faith discretion of the Administrative Agent or the Borrower, as applicable) require the deduction or withholding of any Tax from any such payment by the Administrative Agent or the Borrower, then the Administrative Agent or the Borrower shall be entitled to make such deduction or withholding, upon the basis of the information and documentation to be delivered pursuant to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below.</w:t>
      </w:r>
    </w:p>
    <w:p>
      <w:pPr>
        <w:spacing w:after="0" w:line="34" w:lineRule="exact"/>
        <w:rPr>
          <w:rFonts w:ascii="Arial" w:cs="Arial" w:eastAsia="Arial" w:hAnsi="Arial"/>
          <w:sz w:val="16"/>
          <w:szCs w:val="16"/>
          <w:color w:val="auto"/>
        </w:rPr>
      </w:pPr>
    </w:p>
    <w:p>
      <w:pPr>
        <w:ind w:left="460" w:right="60" w:firstLine="443"/>
        <w:spacing w:after="0" w:line="284" w:lineRule="auto"/>
        <w:tabs>
          <w:tab w:leader="none" w:pos="1157"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If the Borrower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below,</w:t>
      </w:r>
    </w:p>
    <w:p>
      <w:pPr>
        <w:spacing w:after="0" w:line="1" w:lineRule="exact"/>
        <w:rPr>
          <w:rFonts w:ascii="Arial" w:cs="Arial" w:eastAsia="Arial" w:hAnsi="Arial"/>
          <w:sz w:val="16"/>
          <w:szCs w:val="16"/>
          <w:color w:val="auto"/>
        </w:rPr>
      </w:pPr>
    </w:p>
    <w:p>
      <w:pPr>
        <w:ind w:left="46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(B) the Administrative Agent shall timely pay the full amount withheld or deducted to the relevant Governmental Authority in accordance with the Code, and (C) to the extent that the withholding or deduction is made on account of Indemnified Taxes, the sum payable by the Borrower shall be increased as necessary so that after any required withholding or the making of all required deductions (including deductions applicable to additional sums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applicable Recipient receives an amount equal to the sum it would have received had no such withholding or deduction of Indemnified Taxes been made.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54" w:name="page55"/>
    <w:bookmarkEnd w:id="54"/>
    <w:p>
      <w:pPr>
        <w:ind w:left="-80" w:firstLine="464"/>
        <w:spacing w:after="0" w:line="332" w:lineRule="auto"/>
        <w:tabs>
          <w:tab w:leader="none" w:pos="625"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of Other Taxes by the Borrower</w:t>
      </w:r>
      <w:r>
        <w:rPr>
          <w:rFonts w:ascii="Arial" w:cs="Arial" w:eastAsia="Arial" w:hAnsi="Arial"/>
          <w:sz w:val="16"/>
          <w:szCs w:val="16"/>
          <w:color w:val="auto"/>
        </w:rPr>
        <w:t xml:space="preserve">. Without limiting the provisions of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above, the Borrower shall timely pay to the relevant Governmental Authority in accordance with applicable law, or at the option of the Administrative Agent timely reimburse it for the payment of, any Other Taxes.</w:t>
      </w:r>
    </w:p>
    <w:p>
      <w:pPr>
        <w:spacing w:after="0" w:line="85" w:lineRule="exact"/>
        <w:rPr>
          <w:rFonts w:ascii="Arial" w:cs="Arial" w:eastAsia="Arial" w:hAnsi="Arial"/>
          <w:sz w:val="16"/>
          <w:szCs w:val="16"/>
          <w:color w:val="auto"/>
        </w:rPr>
      </w:pPr>
    </w:p>
    <w:p>
      <w:pPr>
        <w:ind w:left="-80" w:right="40" w:firstLine="464"/>
        <w:spacing w:after="0" w:line="287" w:lineRule="auto"/>
        <w:tabs>
          <w:tab w:leader="none" w:pos="615"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Tax Indemnifications</w:t>
      </w:r>
      <w:r>
        <w:rPr>
          <w:rFonts w:ascii="Arial" w:cs="Arial" w:eastAsia="Arial" w:hAnsi="Arial"/>
          <w:sz w:val="16"/>
          <w:szCs w:val="16"/>
          <w:color w:val="auto"/>
        </w:rPr>
        <w:t xml:space="preserve">. (i) The Borrower shall, and does hereby indemnify each Recipient, and shall make payment in respect thereof within 10 days after demand therefor, for the full amount of any Indemnified Taxes (including Indemnified Taxes imposed or asserted on or attributable to amounts payable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payable or paid by such Recipient or required to be withheld or deducted from a payment to such Recipient, and any penalties, interest and reasonable expenses arising therefrom or with respect thereto, other than penalties, interest or reasonable expenses arising from the gross negligence or willful misconduct on the part of the Recipient as determined by a court of competent jurisdiction by final and nonappealable judgment, whether or not such Indemnified Taxes were correctly or legally imposed or asserted by the relevant Governmental Authority. A certificate as to the amount of such payment or liability delivered to the Borrower by a Lender or the L/C Issuer (with a copy to the Administrative Agent), or by the Administrative Agent on its own behalf or on behalf of a Lender or the L/C Issuer, shall be conclusive absent manifest error. The Borrower shall, and does hereby indemnify the Administrative Agent, and shall make payment in respect thereof within 10 days after demand therefor, for any amount which a Lender or the L/C Issuer for any reason fails to pay indefeasibly to the Administrative Agent as required pursuant to </w:t>
      </w:r>
      <w:r>
        <w:rPr>
          <w:rFonts w:ascii="Arial" w:cs="Arial" w:eastAsia="Arial" w:hAnsi="Arial"/>
          <w:sz w:val="16"/>
          <w:szCs w:val="16"/>
          <w:u w:val="single" w:color="auto"/>
          <w:color w:val="auto"/>
        </w:rPr>
        <w:t>Section 3.01(c)(ii)</w:t>
      </w:r>
      <w:r>
        <w:rPr>
          <w:rFonts w:ascii="Arial" w:cs="Arial" w:eastAsia="Arial" w:hAnsi="Arial"/>
          <w:sz w:val="16"/>
          <w:szCs w:val="16"/>
          <w:color w:val="auto"/>
        </w:rPr>
        <w:t xml:space="preserve"> below.</w:t>
      </w:r>
    </w:p>
    <w:p>
      <w:pPr>
        <w:spacing w:after="0" w:line="41" w:lineRule="exact"/>
        <w:rPr>
          <w:rFonts w:ascii="Arial" w:cs="Arial" w:eastAsia="Arial" w:hAnsi="Arial"/>
          <w:sz w:val="16"/>
          <w:szCs w:val="16"/>
          <w:color w:val="auto"/>
        </w:rPr>
      </w:pPr>
    </w:p>
    <w:p>
      <w:pPr>
        <w:ind w:left="380" w:right="40" w:firstLine="443"/>
        <w:spacing w:after="0" w:line="284" w:lineRule="auto"/>
        <w:tabs>
          <w:tab w:leader="none" w:pos="1077" w:val="left"/>
        </w:tabs>
        <w:numPr>
          <w:ilvl w:val="1"/>
          <w:numId w:val="65"/>
        </w:numPr>
        <w:rPr>
          <w:rFonts w:ascii="Arial" w:cs="Arial" w:eastAsia="Arial" w:hAnsi="Arial"/>
          <w:sz w:val="16"/>
          <w:szCs w:val="16"/>
          <w:color w:val="auto"/>
        </w:rPr>
      </w:pPr>
      <w:r>
        <w:rPr>
          <w:rFonts w:ascii="Arial" w:cs="Arial" w:eastAsia="Arial" w:hAnsi="Arial"/>
          <w:sz w:val="16"/>
          <w:szCs w:val="16"/>
          <w:color w:val="auto"/>
        </w:rPr>
        <w:t>Each Lender and the L/C Issuer shall, and does hereby, severally indemnify, and shall make payment in respect thereof within 10 days after demand therefor, (x) the Administrative Agent against any Indemnified Taxes attributable to such Lender or the L/C Issuer (but only to the extent that the Borrower has not already indemnified the Administrative Agent for such Indemnified Taxes and without limiting the obligation of the Borrower to do so),</w:t>
      </w:r>
    </w:p>
    <w:p>
      <w:pPr>
        <w:spacing w:after="0" w:line="1" w:lineRule="exact"/>
        <w:rPr>
          <w:rFonts w:ascii="Arial" w:cs="Arial" w:eastAsia="Arial" w:hAnsi="Arial"/>
          <w:sz w:val="16"/>
          <w:szCs w:val="16"/>
          <w:color w:val="auto"/>
        </w:rPr>
      </w:pPr>
    </w:p>
    <w:p>
      <w:pPr>
        <w:ind w:left="380" w:right="240" w:firstLine="4"/>
        <w:spacing w:after="0" w:line="287" w:lineRule="auto"/>
        <w:tabs>
          <w:tab w:leader="none" w:pos="629"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the Administrative Agent and the Borrower, as applicable, against any Taxes attributable to such Lender’s failure to comply with the provisions of </w:t>
      </w:r>
      <w:r>
        <w:rPr>
          <w:rFonts w:ascii="Arial" w:cs="Arial" w:eastAsia="Arial" w:hAnsi="Arial"/>
          <w:sz w:val="16"/>
          <w:szCs w:val="16"/>
          <w:u w:val="single" w:color="auto"/>
          <w:color w:val="auto"/>
        </w:rPr>
        <w:t>Section 10.06(d)</w:t>
      </w:r>
      <w:r>
        <w:rPr>
          <w:rFonts w:ascii="Arial" w:cs="Arial" w:eastAsia="Arial" w:hAnsi="Arial"/>
          <w:sz w:val="16"/>
          <w:szCs w:val="16"/>
          <w:color w:val="auto"/>
        </w:rPr>
        <w:t xml:space="preserve"> relating to the maintenance of a Participant Register and (z) the Administrative Agent and the Borrower, as applicable, against any Excluded Taxes attributable to such Lender or the L/C Issuer, in each case, that are payable or paid by the Administrative Agent or the Borrower in connection with any Loan Document, and any penalties, interest and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Arial" w:cs="Arial" w:eastAsia="Arial" w:hAnsi="Arial"/>
          <w:sz w:val="16"/>
          <w:szCs w:val="16"/>
          <w:u w:val="single" w:color="auto"/>
          <w:color w:val="auto"/>
        </w:rPr>
        <w:t>clause (ii)</w:t>
      </w:r>
      <w:r>
        <w:rPr>
          <w:rFonts w:ascii="Arial" w:cs="Arial" w:eastAsia="Arial" w:hAnsi="Arial"/>
          <w:sz w:val="16"/>
          <w:szCs w:val="16"/>
          <w:color w:val="auto"/>
        </w:rPr>
        <w:t>.</w:t>
      </w:r>
    </w:p>
    <w:p>
      <w:pPr>
        <w:spacing w:after="0" w:line="124" w:lineRule="exact"/>
        <w:rPr>
          <w:rFonts w:ascii="Arial" w:cs="Arial" w:eastAsia="Arial" w:hAnsi="Arial"/>
          <w:sz w:val="16"/>
          <w:szCs w:val="16"/>
          <w:color w:val="auto"/>
        </w:rPr>
      </w:pPr>
    </w:p>
    <w:p>
      <w:pPr>
        <w:ind w:left="-80" w:right="40" w:firstLine="464"/>
        <w:spacing w:after="0" w:line="255" w:lineRule="auto"/>
        <w:tabs>
          <w:tab w:leader="none" w:pos="62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Upon request by the Borrower or the Administrative Agent, as the case may be, after any payment of Taxes by the Borrower or by the Administrative Agent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60"/>
          </w:cols>
          <w:pgMar w:left="320" w:top="280" w:right="319" w:bottom="1440" w:gutter="0" w:footer="0" w:header="0"/>
        </w:sectPr>
      </w:pPr>
    </w:p>
    <w:bookmarkStart w:id="55" w:name="page56"/>
    <w:bookmarkEnd w:id="55"/>
    <w:p>
      <w:pPr>
        <w:ind w:left="-20" w:right="80" w:firstLine="464"/>
        <w:spacing w:after="0" w:line="287" w:lineRule="auto"/>
        <w:tabs>
          <w:tab w:leader="none" w:pos="675"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Status of Lenders; Tax Documentation</w:t>
      </w:r>
      <w:r>
        <w:rPr>
          <w:rFonts w:ascii="Arial" w:cs="Arial" w:eastAsia="Arial" w:hAnsi="Arial"/>
          <w:sz w:val="16"/>
          <w:szCs w:val="16"/>
          <w:color w:val="auto"/>
        </w:rPr>
        <w:t xml:space="preserve">.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Section 3.01(e)(ii)(A)</w:t>
      </w:r>
      <w:r>
        <w:rPr>
          <w:rFonts w:ascii="Arial" w:cs="Arial" w:eastAsia="Arial" w:hAnsi="Arial"/>
          <w:sz w:val="16"/>
          <w:szCs w:val="16"/>
          <w:color w:val="auto"/>
        </w:rPr>
        <w:t xml:space="preserve">, </w:t>
      </w:r>
      <w:r>
        <w:rPr>
          <w:rFonts w:ascii="Arial" w:cs="Arial" w:eastAsia="Arial" w:hAnsi="Arial"/>
          <w:sz w:val="16"/>
          <w:szCs w:val="16"/>
          <w:u w:val="single" w:color="auto"/>
          <w:color w:val="auto"/>
        </w:rPr>
        <w:t>(ii)(B)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(ii)(D)</w:t>
      </w:r>
      <w:r>
        <w:rPr>
          <w:rFonts w:ascii="Arial" w:cs="Arial" w:eastAsia="Arial" w:hAnsi="Arial"/>
          <w:sz w:val="16"/>
          <w:szCs w:val="16"/>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41" w:lineRule="exact"/>
        <w:rPr>
          <w:rFonts w:ascii="Arial" w:cs="Arial" w:eastAsia="Arial" w:hAnsi="Arial"/>
          <w:sz w:val="16"/>
          <w:szCs w:val="16"/>
          <w:color w:val="auto"/>
        </w:rPr>
      </w:pPr>
    </w:p>
    <w:p>
      <w:pPr>
        <w:ind w:left="1580" w:hanging="259"/>
        <w:spacing w:after="0"/>
        <w:tabs>
          <w:tab w:leader="none" w:pos="15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the Borrower is a U.S. Person,</w:t>
      </w:r>
    </w:p>
    <w:p>
      <w:pPr>
        <w:spacing w:after="0" w:line="90" w:lineRule="exact"/>
        <w:rPr>
          <w:rFonts w:ascii="Arial" w:cs="Arial" w:eastAsia="Arial" w:hAnsi="Arial"/>
          <w:sz w:val="18"/>
          <w:szCs w:val="18"/>
          <w:color w:val="auto"/>
        </w:rPr>
      </w:pPr>
    </w:p>
    <w:p>
      <w:pPr>
        <w:ind w:left="1480" w:firstLine="389"/>
        <w:spacing w:after="0" w:line="306" w:lineRule="auto"/>
        <w:tabs>
          <w:tab w:leader="none" w:pos="2165" w:val="left"/>
        </w:tabs>
        <w:numPr>
          <w:ilvl w:val="2"/>
          <w:numId w:val="68"/>
        </w:numPr>
        <w:rPr>
          <w:rFonts w:ascii="Arial" w:cs="Arial" w:eastAsia="Arial" w:hAnsi="Arial"/>
          <w:sz w:val="16"/>
          <w:szCs w:val="16"/>
          <w:color w:val="auto"/>
        </w:rPr>
      </w:pPr>
      <w:r>
        <w:rPr>
          <w:rFonts w:ascii="Arial" w:cs="Arial" w:eastAsia="Arial" w:hAnsi="Arial"/>
          <w:sz w:val="16"/>
          <w:szCs w:val="16"/>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25" w:lineRule="exact"/>
        <w:rPr>
          <w:rFonts w:ascii="Arial" w:cs="Arial" w:eastAsia="Arial" w:hAnsi="Arial"/>
          <w:sz w:val="16"/>
          <w:szCs w:val="16"/>
          <w:color w:val="auto"/>
        </w:rPr>
      </w:pPr>
    </w:p>
    <w:p>
      <w:pPr>
        <w:ind w:left="1480" w:right="80" w:firstLine="389"/>
        <w:spacing w:after="0" w:line="256" w:lineRule="auto"/>
        <w:tabs>
          <w:tab w:leader="none" w:pos="2155" w:val="left"/>
        </w:tabs>
        <w:numPr>
          <w:ilvl w:val="2"/>
          <w:numId w:val="68"/>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62" w:lineRule="exact"/>
        <w:rPr>
          <w:rFonts w:ascii="Arial" w:cs="Arial" w:eastAsia="Arial" w:hAnsi="Arial"/>
          <w:sz w:val="18"/>
          <w:szCs w:val="18"/>
          <w:color w:val="auto"/>
        </w:rPr>
      </w:pPr>
    </w:p>
    <w:p>
      <w:pPr>
        <w:ind w:left="1920" w:right="80" w:firstLine="387"/>
        <w:spacing w:after="0" w:line="294" w:lineRule="auto"/>
        <w:tabs>
          <w:tab w:leader="none" w:pos="2518" w:val="left"/>
        </w:tabs>
        <w:numPr>
          <w:ilvl w:val="3"/>
          <w:numId w:val="68"/>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 (x) with respect to payments of interest under any Loan Document, executed originals of IRS Form W-8BEN establishing an exemption from, or reduction of, U.S. federal withholding Tax pursuant to the “interest” article of such tax treaty and (y) with respect to any other applicable payments under any Loan Document, IRS Form W-8BEN establishing an exemption from, or reduction of, U.S. federal withholding Tax pursuant to the “business profits” or “other income” article of such tax treaty;</w:t>
      </w:r>
    </w:p>
    <w:p>
      <w:pPr>
        <w:spacing w:after="0" w:line="3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(II) executed originals of Internal Revenue Service Form W-8ECI,</w:t>
      </w:r>
    </w:p>
    <w:p>
      <w:pPr>
        <w:spacing w:after="0" w:line="90" w:lineRule="exact"/>
        <w:rPr>
          <w:sz w:val="20"/>
          <w:szCs w:val="20"/>
          <w:color w:val="auto"/>
        </w:rPr>
      </w:pPr>
    </w:p>
    <w:p>
      <w:pPr>
        <w:jc w:val="both"/>
        <w:ind w:left="1920" w:right="340" w:firstLine="387"/>
        <w:spacing w:after="0" w:line="306" w:lineRule="auto"/>
        <w:tabs>
          <w:tab w:leader="none" w:pos="2635"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6"/>
          <w:szCs w:val="16"/>
          <w:u w:val="single" w:color="auto"/>
          <w:color w:val="auto"/>
        </w:rPr>
        <w:t>Exhibit 3.01(a)</w:t>
      </w:r>
      <w:r>
        <w:rPr>
          <w:rFonts w:ascii="Arial" w:cs="Arial" w:eastAsia="Arial" w:hAnsi="Arial"/>
          <w:sz w:val="16"/>
          <w:szCs w:val="16"/>
          <w:color w:val="auto"/>
        </w:rPr>
        <w:t xml:space="preserve"> to the effect that such Foreign Lender is not a “bank” within the meaning of Section 881(c)(3)(A) of the Code, a “10 percent shareholder” of the Borrower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60" w:top="280" w:right="259" w:bottom="1440" w:gutter="0" w:footer="0" w:header="0"/>
        </w:sectPr>
      </w:pPr>
    </w:p>
    <w:bookmarkStart w:id="56" w:name="page57"/>
    <w:bookmarkEnd w:id="56"/>
    <w:p>
      <w:pPr>
        <w:ind w:left="1940"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executed originals of IRS Form W-8BEN; or</w:t>
      </w:r>
    </w:p>
    <w:p>
      <w:pPr>
        <w:spacing w:after="0" w:line="51" w:lineRule="exact"/>
        <w:rPr>
          <w:sz w:val="20"/>
          <w:szCs w:val="20"/>
          <w:color w:val="auto"/>
        </w:rPr>
      </w:pPr>
    </w:p>
    <w:p>
      <w:pPr>
        <w:ind w:left="1940" w:right="80" w:firstLine="379"/>
        <w:spacing w:after="0" w:line="254" w:lineRule="auto"/>
        <w:rPr>
          <w:sz w:val="20"/>
          <w:szCs w:val="20"/>
          <w:color w:val="auto"/>
        </w:rPr>
      </w:pPr>
      <w:r>
        <w:rPr>
          <w:rFonts w:ascii="Arial" w:cs="Arial" w:eastAsia="Arial" w:hAnsi="Arial"/>
          <w:sz w:val="18"/>
          <w:szCs w:val="18"/>
          <w:color w:val="auto"/>
        </w:rPr>
        <w:t xml:space="preserve">(IV) to the extent a Foreign Lender is not the beneficial owner, executed originals of IRS Form W-8IMY, accompanied by IRS Form W-8ECI, IRS Form W-8BEN, a U.S. Tax Compliance Certificate substantially in the form of </w:t>
      </w:r>
      <w:r>
        <w:rPr>
          <w:rFonts w:ascii="Arial" w:cs="Arial" w:eastAsia="Arial" w:hAnsi="Arial"/>
          <w:sz w:val="18"/>
          <w:szCs w:val="18"/>
          <w:u w:val="single" w:color="auto"/>
          <w:color w:val="auto"/>
        </w:rPr>
        <w:t>Exhibit 3.01(b)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3.01(c)</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3.01(d)</w:t>
      </w:r>
      <w:r>
        <w:rPr>
          <w:rFonts w:ascii="Arial" w:cs="Arial" w:eastAsia="Arial" w:hAnsi="Arial"/>
          <w:sz w:val="18"/>
          <w:szCs w:val="18"/>
          <w:color w:val="auto"/>
        </w:rPr>
        <w:t xml:space="preserve"> on behalf of each such direct and indirect partner;</w:t>
      </w:r>
    </w:p>
    <w:p>
      <w:pPr>
        <w:spacing w:after="0" w:line="63" w:lineRule="exact"/>
        <w:rPr>
          <w:sz w:val="20"/>
          <w:szCs w:val="20"/>
          <w:color w:val="auto"/>
        </w:rPr>
      </w:pPr>
    </w:p>
    <w:p>
      <w:pPr>
        <w:ind w:left="1500" w:right="100" w:firstLine="389"/>
        <w:spacing w:after="0" w:line="291" w:lineRule="auto"/>
        <w:tabs>
          <w:tab w:leader="none" w:pos="2175"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39" w:lineRule="exact"/>
        <w:rPr>
          <w:rFonts w:ascii="Arial" w:cs="Arial" w:eastAsia="Arial" w:hAnsi="Arial"/>
          <w:sz w:val="16"/>
          <w:szCs w:val="16"/>
          <w:color w:val="auto"/>
        </w:rPr>
      </w:pPr>
    </w:p>
    <w:p>
      <w:pPr>
        <w:ind w:left="1500" w:right="20" w:firstLine="389"/>
        <w:spacing w:after="0" w:line="288" w:lineRule="auto"/>
        <w:tabs>
          <w:tab w:leader="none" w:pos="2185"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2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Each Lender agrees that if any form or certification it previously delivered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85" w:lineRule="exact"/>
        <w:rPr>
          <w:sz w:val="20"/>
          <w:szCs w:val="20"/>
          <w:color w:val="auto"/>
        </w:rPr>
      </w:pPr>
    </w:p>
    <w:p>
      <w:pPr>
        <w:ind w:firstLine="464"/>
        <w:spacing w:after="0" w:line="268" w:lineRule="auto"/>
        <w:tabs>
          <w:tab w:leader="none" w:pos="67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Unless required by applicable Laws, at no time shall the Administrative Agent have any obligation to file for or otherwise pursue on behalf of a Lender or the L/C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57" w:name="page58"/>
    <w:bookmarkEnd w:id="57"/>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Issuer, or have any obligation to pay to any Lender or the L/C Issuer, any refund of Taxes withheld or deducted from funds paid for the account of such Lender or the L/C Issuer, as the case may be. If any Recipient determines, in its sole discretion exercised in good faith, that it has received a refund of any Taxes as to which it has been indemnified by the Borrower or with respect to which the Borrower has paid additional amounts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it shall pay to the Borrower an amount equal to such refund (but only to the extent of indemnity payments made, or additional amounts paid, by the Borrower under this</w:t>
      </w:r>
    </w:p>
    <w:p>
      <w:pPr>
        <w:spacing w:after="0" w:line="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Recipient, agrees to repay the amount paid over to the Borrower (plus any penalties, interest or other charges imposed by the relevant Governmental Authority, other than any penalties, interest, or other charges attributable to the gross negligence or willful misconduct on the part of the Recipient as determined by a court of competent jurisdiction by final and nonappealable judgment) to the Recipient in the event the Recipient is required to repay such refund to such Governmental Authority. Notwithstanding anything to the contrary in this subsection, in no event will the applicable Recipient be required to pay any amount to the Borrower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Borrower or any other Person.</w:t>
      </w:r>
    </w:p>
    <w:p>
      <w:pPr>
        <w:spacing w:after="0" w:line="124" w:lineRule="exact"/>
        <w:rPr>
          <w:sz w:val="20"/>
          <w:szCs w:val="20"/>
          <w:color w:val="auto"/>
        </w:rPr>
      </w:pPr>
    </w:p>
    <w:p>
      <w:pPr>
        <w:ind w:firstLine="464"/>
        <w:spacing w:after="0" w:line="259" w:lineRule="auto"/>
        <w:tabs>
          <w:tab w:leader="none" w:pos="705"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survive the resignation or replacement of the Administrative Agent or any assignment of rights by, or the replacement of, a Lender or the L/C Issuer, the termination of the Commitments and the repayment, satisfaction or discharge of all other Obligations.</w:t>
      </w:r>
    </w:p>
    <w:p>
      <w:pPr>
        <w:spacing w:after="0" w:line="26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6"/>
          <w:szCs w:val="16"/>
          <w:u w:val="single" w:color="auto"/>
          <w:color w:val="auto"/>
        </w:rPr>
        <w:t>Illegality.</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any Lender determines that any Law has made it unlawful, or that any Governmental Authority has asserted that it is unlawful, for any Lender or its applicable Lending Office to make, maintain or fund Committed Loans whose interest is determined by reference to the Eurodollar Rate,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make or continue Eurodollar Rate Loans or to convert Base Rate Committed Loans to Eurodollar Rate Loans shall be suspended and (ii) if such notice asserts the illegality of such Lender making or maintaining Base Rate Committed Loans the interest rate on which is determined by reference to the Eurodollar Rate component of the Base Rate, the interest rate on which Base Rate Committed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such Eurodollar Rate Loans of such Lender to Base Rate Committed Loans (the interest rate on which Base Rate Committed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58" w:name="page59"/>
    <w:bookmarkEnd w:id="58"/>
    <w:p>
      <w:pPr>
        <w:jc w:val="both"/>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6"/>
          <w:szCs w:val="16"/>
          <w:u w:val="single" w:color="auto"/>
          <w:color w:val="auto"/>
        </w:rPr>
        <w:t>Inability to Determine Rates.</w:t>
      </w:r>
    </w:p>
    <w:p>
      <w:pPr>
        <w:spacing w:after="0" w:line="90"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If the Required Lenders determine that for any reason in connection with any request for a Eurodollar Rate Loan or a conversion to or continuation thereof that (a) Dollar deposits are not being offered to banks in the London interbank eurodollar market for the applicable amount and Interest Period of such Eurodollar Rate Loan, (b) adequate and reasonable means do not exist for determining the Eurodollar Base Rate for any requested Interest Period with respect to a proposed Eurodollar Rate Loan or in connection with an existing or proposed Base Rate Commited Loan, or (c) the Eurodollar Base Rate for any requested Interest Period with respect to a proposed Eurodollar Rate Loan does not adequately and fairly reflect the cost to such Lenders of funding such Eurodollar Rate Loan, the Administrative Agent will promptly so notify the Borrower and each Lender. Thereafter, (x) the obligation of the Lenders to make or maintain Eurodollar Rate Loans shall be suspended and (y) in the event of a determination described in the preceding sentence with respect to the Eurodollar Rate component of the Base Rate, the utilization of the Eurodollar Rate component in determining the Base Rate shall be suspended, in each case, until the Administrative Agent revokes such notice. Upon receipt of such notice, the Borrower may revoke any pending request for a Borrowing of, conversion to or continuation of Eurodollar Rate Loans or, failing that, will be deemed to have converted such request into a request for a Committed Borrowing of Base Rate Loans in the amount specified therein.</w:t>
      </w:r>
    </w:p>
    <w:p>
      <w:pPr>
        <w:spacing w:after="0" w:line="2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5"/>
          <w:szCs w:val="15"/>
          <w:u w:val="single" w:color="auto"/>
          <w:color w:val="auto"/>
        </w:rPr>
        <w:t>Increased Costs; Reserves on Eurodollar Rate Loans.</w:t>
      </w:r>
    </w:p>
    <w:p>
      <w:pPr>
        <w:spacing w:after="0" w:line="90" w:lineRule="exact"/>
        <w:rPr>
          <w:sz w:val="20"/>
          <w:szCs w:val="20"/>
          <w:color w:val="auto"/>
        </w:rPr>
      </w:pPr>
    </w:p>
    <w:p>
      <w:pPr>
        <w:ind w:left="700" w:hanging="23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08" w:val="left"/>
        </w:tabs>
        <w:numPr>
          <w:ilvl w:val="1"/>
          <w:numId w:val="73"/>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Eurodollar Rate) or the L/C Issuer;</w:t>
      </w:r>
    </w:p>
    <w:p>
      <w:pPr>
        <w:spacing w:after="0" w:line="59" w:lineRule="exact"/>
        <w:rPr>
          <w:rFonts w:ascii="Arial" w:cs="Arial" w:eastAsia="Arial" w:hAnsi="Arial"/>
          <w:sz w:val="18"/>
          <w:szCs w:val="18"/>
          <w:color w:val="auto"/>
        </w:rPr>
      </w:pPr>
    </w:p>
    <w:p>
      <w:pPr>
        <w:ind w:left="460" w:right="120" w:firstLine="443"/>
        <w:spacing w:after="0" w:line="357" w:lineRule="auto"/>
        <w:tabs>
          <w:tab w:leader="none" w:pos="1157" w:val="left"/>
        </w:tabs>
        <w:numPr>
          <w:ilvl w:val="1"/>
          <w:numId w:val="73"/>
        </w:numPr>
        <w:rPr>
          <w:rFonts w:ascii="Arial" w:cs="Arial" w:eastAsia="Arial" w:hAnsi="Arial"/>
          <w:sz w:val="15"/>
          <w:szCs w:val="15"/>
          <w:color w:val="auto"/>
        </w:rPr>
      </w:pPr>
      <w:r>
        <w:rPr>
          <w:rFonts w:ascii="Arial" w:cs="Arial" w:eastAsia="Arial" w:hAnsi="Arial"/>
          <w:sz w:val="15"/>
          <w:szCs w:val="15"/>
          <w:color w:val="auto"/>
        </w:rPr>
        <w:t>subject any Recipient to any Taxes (other than (A) Indemnified Taxes and (B) the imposition of, or any change in the rate of, any Excluded Tax) on its loans, loan principal, letters of credit, commitments, or other obligations, or its deposits, reserves, other liabilities or capital attributable thereto; or</w:t>
      </w:r>
    </w:p>
    <w:p>
      <w:pPr>
        <w:ind w:left="460" w:right="560" w:firstLine="443"/>
        <w:spacing w:after="0" w:line="268" w:lineRule="auto"/>
        <w:tabs>
          <w:tab w:leader="none" w:pos="1205" w:val="left"/>
        </w:tabs>
        <w:numPr>
          <w:ilvl w:val="1"/>
          <w:numId w:val="73"/>
        </w:numPr>
        <w:rPr>
          <w:rFonts w:ascii="Arial" w:cs="Arial" w:eastAsia="Arial" w:hAnsi="Arial"/>
          <w:sz w:val="18"/>
          <w:szCs w:val="18"/>
          <w:color w:val="auto"/>
        </w:rPr>
      </w:pPr>
      <w:r>
        <w:rPr>
          <w:rFonts w:ascii="Arial" w:cs="Arial" w:eastAsia="Arial" w:hAnsi="Arial"/>
          <w:sz w:val="18"/>
          <w:szCs w:val="18"/>
          <w:color w:val="auto"/>
        </w:rPr>
        <w:t>impose on any Lender or the L/C Issuer or the London interbank market any other condition, cost or expense affecting this Agreement or Eurodollar Rate Loans made by such Lender or any Letter of Credit or participation therein;</w:t>
      </w:r>
    </w:p>
    <w:p>
      <w:pPr>
        <w:spacing w:after="0" w:line="13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and the result of any of the foregoing shall be to increase the cost to such Lender of making or maintaining any Eurodollar Rate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80" w:right="259" w:bottom="1440" w:gutter="0" w:footer="0" w:header="0"/>
        </w:sectPr>
      </w:pPr>
    </w:p>
    <w:bookmarkStart w:id="59" w:name="page60"/>
    <w:bookmarkEnd w:id="59"/>
    <w:p>
      <w:pPr>
        <w:ind w:right="60" w:firstLine="464"/>
        <w:spacing w:after="0" w:line="288" w:lineRule="auto"/>
        <w:tabs>
          <w:tab w:leader="none" w:pos="705"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 Requirements</w:t>
      </w:r>
      <w:r>
        <w:rPr>
          <w:rFonts w:ascii="Arial" w:cs="Arial" w:eastAsia="Arial" w:hAnsi="Arial"/>
          <w:sz w:val="16"/>
          <w:szCs w:val="16"/>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would have achieved but for such Change in Law (taking into consideration such Lender’s or the L/C Issuer’s policies and the policies of such Lender’s or the L/C Issuer’s holding company with respect to capital adequacy and liquidity), then from time to time the Borrower will pay to such Lender or the L/C Issuer, as the case may be, such additional amount or amounts as will compensate such Lender or the L/C Issuer or such Lender’s or the L/C Issuer’s holding company for any such reduction suffered.</w:t>
      </w:r>
    </w:p>
    <w:p>
      <w:pPr>
        <w:spacing w:after="0" w:line="119" w:lineRule="exact"/>
        <w:rPr>
          <w:rFonts w:ascii="Arial" w:cs="Arial" w:eastAsia="Arial" w:hAnsi="Arial"/>
          <w:sz w:val="16"/>
          <w:szCs w:val="16"/>
          <w:color w:val="auto"/>
        </w:rPr>
      </w:pPr>
    </w:p>
    <w:p>
      <w:pPr>
        <w:jc w:val="both"/>
        <w:ind w:right="20" w:firstLine="464"/>
        <w:spacing w:after="0" w:line="256" w:lineRule="auto"/>
        <w:tabs>
          <w:tab w:leader="none" w:pos="69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A certificate of a Lender or the L/C Issuer setting forth the amount or amounts necessary to compensate such Lender or the L/C Issuer or its holding company, as the case may be, as specified in clause (a) or (b) of this Section and delivered to the Borrower shall be conclusive absent manifest error. The Borrower shall pay such Lender or the L/C Issuer, as the case may be, the amount shown as due on any such certificate within 10 days after receipt thereof.</w:t>
      </w:r>
    </w:p>
    <w:p>
      <w:pPr>
        <w:spacing w:after="0" w:line="143" w:lineRule="exact"/>
        <w:rPr>
          <w:rFonts w:ascii="Arial" w:cs="Arial" w:eastAsia="Arial" w:hAnsi="Arial"/>
          <w:sz w:val="18"/>
          <w:szCs w:val="18"/>
          <w:color w:val="auto"/>
        </w:rPr>
      </w:pPr>
    </w:p>
    <w:p>
      <w:pPr>
        <w:ind w:right="40" w:firstLine="464"/>
        <w:spacing w:after="0" w:line="291" w:lineRule="auto"/>
        <w:tabs>
          <w:tab w:leader="none" w:pos="705"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or the L/C Issuer pursuant to the foregoing provisions of this Section for any increased costs incurred or reductions suffered more than six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24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3.05</w:t>
      </w:r>
      <w:r>
        <w:rPr>
          <w:sz w:val="20"/>
          <w:szCs w:val="20"/>
          <w:color w:val="auto"/>
        </w:rPr>
        <w:tab/>
      </w:r>
      <w:r>
        <w:rPr>
          <w:rFonts w:ascii="Arial" w:cs="Arial" w:eastAsia="Arial" w:hAnsi="Arial"/>
          <w:sz w:val="15"/>
          <w:szCs w:val="15"/>
          <w:u w:val="single" w:color="auto"/>
          <w:color w:val="auto"/>
        </w:rPr>
        <w:t>Compensation for Losses.</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Upon demand of any Lender (with a copy to the Administrative Agent) from time to time, the Borrower shall promptly compensate such Lender for and hold such Lender harmless from any loss, cost or expense (but not loss of anticipated profits or margin) incurred by it as a result of:</w:t>
      </w:r>
    </w:p>
    <w:p>
      <w:pPr>
        <w:spacing w:after="0" w:line="85" w:lineRule="exact"/>
        <w:rPr>
          <w:sz w:val="20"/>
          <w:szCs w:val="20"/>
          <w:color w:val="auto"/>
        </w:rPr>
      </w:pPr>
    </w:p>
    <w:p>
      <w:pPr>
        <w:ind w:firstLine="464"/>
        <w:spacing w:after="0" w:line="268"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31" w:lineRule="exact"/>
        <w:rPr>
          <w:rFonts w:ascii="Arial" w:cs="Arial" w:eastAsia="Arial" w:hAnsi="Arial"/>
          <w:sz w:val="18"/>
          <w:szCs w:val="18"/>
          <w:color w:val="auto"/>
        </w:rPr>
      </w:pPr>
    </w:p>
    <w:p>
      <w:pPr>
        <w:ind w:right="200" w:firstLine="464"/>
        <w:spacing w:after="0" w:line="268" w:lineRule="auto"/>
        <w:tabs>
          <w:tab w:leader="none" w:pos="7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31" w:lineRule="exact"/>
        <w:rPr>
          <w:rFonts w:ascii="Arial" w:cs="Arial" w:eastAsia="Arial" w:hAnsi="Arial"/>
          <w:sz w:val="18"/>
          <w:szCs w:val="18"/>
          <w:color w:val="auto"/>
        </w:rPr>
      </w:pPr>
    </w:p>
    <w:p>
      <w:pPr>
        <w:ind w:right="600" w:firstLine="464"/>
        <w:spacing w:after="0" w:line="268"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any assignment of a Eurodollar Rate Loan on a day other than the last day of the Interest Period therefor as a result of a request by the Borrower pursuant to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60" w:name="page61"/>
    <w:bookmarkEnd w:id="60"/>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4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For purposes of calculating amounts payable by the Borrower to the Lenders under this </w:t>
      </w:r>
      <w:r>
        <w:rPr>
          <w:rFonts w:ascii="Arial" w:cs="Arial" w:eastAsia="Arial" w:hAnsi="Arial"/>
          <w:sz w:val="18"/>
          <w:szCs w:val="18"/>
          <w:u w:val="single" w:color="auto"/>
          <w:color w:val="auto"/>
        </w:rPr>
        <w:t>Section 3.05</w:t>
      </w:r>
      <w:r>
        <w:rPr>
          <w:rFonts w:ascii="Arial" w:cs="Arial" w:eastAsia="Arial" w:hAnsi="Arial"/>
          <w:sz w:val="18"/>
          <w:szCs w:val="18"/>
          <w:color w:val="auto"/>
        </w:rPr>
        <w:t>, each Lender shall be deemed to have funded each Eurodollar Rate Loan made by it at the Eurodollar Rate used in determining the Eurodollar Rate for such Loan by a matching deposit or other borrowing in the London interbank eurodollar market for a comparable amount and for a comparable period, whether or not such Eurodollar Rate Loan was in fact so funded. A certificate of a Lender setting forth the amount or amounts necessary to compensate such Lender as specified in this Section and delivered to the Borrower shall be conclusive absent manifest error.</w:t>
      </w:r>
    </w:p>
    <w:p>
      <w:pPr>
        <w:spacing w:after="0" w:line="26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3.06</w:t>
      </w:r>
      <w:r>
        <w:rPr>
          <w:sz w:val="20"/>
          <w:szCs w:val="20"/>
          <w:color w:val="auto"/>
        </w:rPr>
        <w:tab/>
      </w:r>
      <w:r>
        <w:rPr>
          <w:rFonts w:ascii="Arial" w:cs="Arial" w:eastAsia="Arial" w:hAnsi="Arial"/>
          <w:sz w:val="16"/>
          <w:szCs w:val="16"/>
          <w:u w:val="single" w:color="auto"/>
          <w:color w:val="auto"/>
        </w:rPr>
        <w:t>Mitigation Obligations; Replacement of Lenders.</w:t>
      </w:r>
    </w:p>
    <w:p>
      <w:pPr>
        <w:spacing w:after="0" w:line="90" w:lineRule="exact"/>
        <w:rPr>
          <w:sz w:val="20"/>
          <w:szCs w:val="20"/>
          <w:color w:val="auto"/>
        </w:rPr>
      </w:pPr>
    </w:p>
    <w:p>
      <w:pPr>
        <w:ind w:firstLine="464"/>
        <w:spacing w:after="0" w:line="286" w:lineRule="auto"/>
        <w:tabs>
          <w:tab w:leader="none" w:pos="695"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or the Borrower is required to pay any Indemnified Taxes or additional amounts to any Lender, the L/C Issuer or any Governmental Authority for the account of any Lender or the L/C Issuer pursuant to</w:t>
      </w:r>
    </w:p>
    <w:p>
      <w:pPr>
        <w:ind w:right="20"/>
        <w:spacing w:after="0" w:line="288" w:lineRule="auto"/>
        <w:rPr>
          <w:rFonts w:ascii="Arial" w:cs="Arial" w:eastAsia="Arial" w:hAnsi="Arial"/>
          <w:sz w:val="16"/>
          <w:szCs w:val="16"/>
          <w:color w:val="auto"/>
        </w:rPr>
      </w:pP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if any Lender gives a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then at the request of the Borrower,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amounts payable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as the case may be, in the future, or eliminate the need for the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as applicable, and (ii) in each case, would not subject such Lender or the L/C Issuer, as the case may be, to any unreimbursed cost or expense and would not otherwise be disadvantageous to such Lender or the L/C Issuer, as the case may be. The Borrower hereby agrees to pay all reasonable costs and expenses incurred by any Lender or the L/C Issuer in connection with any such designation or assignment.</w:t>
      </w:r>
    </w:p>
    <w:p>
      <w:pPr>
        <w:spacing w:after="0" w:line="122" w:lineRule="exact"/>
        <w:rPr>
          <w:rFonts w:ascii="Arial" w:cs="Arial" w:eastAsia="Arial" w:hAnsi="Arial"/>
          <w:sz w:val="16"/>
          <w:szCs w:val="16"/>
          <w:color w:val="auto"/>
        </w:rPr>
      </w:pPr>
    </w:p>
    <w:p>
      <w:pPr>
        <w:jc w:val="both"/>
        <w:ind w:right="420" w:firstLine="464"/>
        <w:spacing w:after="0" w:line="256" w:lineRule="auto"/>
        <w:tabs>
          <w:tab w:leader="none" w:pos="705"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in each case, such Lender has declined or is unable to designate a different lending office in accordance with </w:t>
      </w:r>
      <w:r>
        <w:rPr>
          <w:rFonts w:ascii="Arial" w:cs="Arial" w:eastAsia="Arial" w:hAnsi="Arial"/>
          <w:sz w:val="18"/>
          <w:szCs w:val="18"/>
          <w:u w:val="single" w:color="auto"/>
          <w:color w:val="auto"/>
        </w:rPr>
        <w:t>Section 3.06(a)</w:t>
      </w:r>
      <w:r>
        <w:rPr>
          <w:rFonts w:ascii="Arial" w:cs="Arial" w:eastAsia="Arial" w:hAnsi="Arial"/>
          <w:sz w:val="18"/>
          <w:szCs w:val="18"/>
          <w:color w:val="auto"/>
        </w:rPr>
        <w:t xml:space="preserve">, the Borrower may replace such Lender in accordance with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26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3.07</w:t>
      </w:r>
      <w:r>
        <w:rPr>
          <w:sz w:val="20"/>
          <w:szCs w:val="20"/>
          <w:color w:val="auto"/>
        </w:rPr>
        <w:tab/>
      </w:r>
      <w:r>
        <w:rPr>
          <w:rFonts w:ascii="Arial" w:cs="Arial" w:eastAsia="Arial" w:hAnsi="Arial"/>
          <w:sz w:val="16"/>
          <w:szCs w:val="16"/>
          <w:u w:val="single" w:color="auto"/>
          <w:color w:val="auto"/>
        </w:rPr>
        <w:t>Survival.</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 xml:space="preserve">All of the Borrower’s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survive termination of the Aggregate Commitments, repayment of all other Obligations hereunder and resignation of the Administrative Agent.</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CONDITIONS PRECEDENT</w:t>
      </w:r>
    </w:p>
    <w:p>
      <w:pPr>
        <w:spacing w:after="0" w:line="2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6"/>
          <w:szCs w:val="16"/>
          <w:u w:val="single" w:color="auto"/>
          <w:color w:val="auto"/>
        </w:rPr>
        <w:t>Conditions to Effectiveness.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shall be effective upon satisfaction of the following conditions precedent:</w:t>
      </w:r>
    </w:p>
    <w:p>
      <w:pPr>
        <w:spacing w:after="0" w:line="90" w:lineRule="exact"/>
        <w:rPr>
          <w:sz w:val="20"/>
          <w:szCs w:val="20"/>
          <w:color w:val="auto"/>
        </w:rPr>
      </w:pPr>
    </w:p>
    <w:p>
      <w:pPr>
        <w:ind w:left="460" w:right="20" w:firstLine="443"/>
        <w:spacing w:after="0" w:line="268" w:lineRule="auto"/>
        <w:tabs>
          <w:tab w:leader="none" w:pos="1137"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Receipt by the Administrative Agent of executed counterparts of this Agreement and the other Loan Documents, each properly executed by a Responsible Officer of the Borrower and, in the case of this Agreement, by each Lender.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80" w:right="279" w:bottom="1440" w:gutter="0" w:footer="0" w:header="0"/>
        </w:sectPr>
      </w:pPr>
    </w:p>
    <w:bookmarkStart w:id="61" w:name="page62"/>
    <w:bookmarkEnd w:id="61"/>
    <w:p>
      <w:pPr>
        <w:ind w:left="460" w:right="1080" w:firstLine="443"/>
        <w:spacing w:after="0" w:line="332" w:lineRule="auto"/>
        <w:tabs>
          <w:tab w:leader="none" w:pos="1147"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Opinions of Counsel</w:t>
      </w:r>
      <w:r>
        <w:rPr>
          <w:rFonts w:ascii="Arial" w:cs="Arial" w:eastAsia="Arial" w:hAnsi="Arial"/>
          <w:sz w:val="16"/>
          <w:szCs w:val="16"/>
          <w:color w:val="auto"/>
        </w:rPr>
        <w:t>. Receipt by the Administrative Agent of favorable opinions of legal counsel to the Borrower, addressed to the Administrative Agent and each Lender, dated as of the Closing Date, and in form and substance satisfactory to the Administrative Agent.</w:t>
      </w:r>
    </w:p>
    <w:p>
      <w:pPr>
        <w:spacing w:after="0" w:line="4" w:lineRule="exact"/>
        <w:rPr>
          <w:rFonts w:ascii="Arial" w:cs="Arial" w:eastAsia="Arial" w:hAnsi="Arial"/>
          <w:sz w:val="16"/>
          <w:szCs w:val="16"/>
          <w:color w:val="auto"/>
        </w:rPr>
      </w:pPr>
    </w:p>
    <w:p>
      <w:pPr>
        <w:ind w:left="460" w:right="140" w:firstLine="443"/>
        <w:spacing w:after="0" w:line="268" w:lineRule="auto"/>
        <w:tabs>
          <w:tab w:leader="none" w:pos="1137"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There shall not have occurred since November 3, 2012 any event or condition that has had or could be reasonably expected, either individually or in the aggregate, to have a Material Adverse Effect.</w:t>
      </w:r>
    </w:p>
    <w:p>
      <w:pPr>
        <w:spacing w:after="0" w:line="50" w:lineRule="exact"/>
        <w:rPr>
          <w:rFonts w:ascii="Arial" w:cs="Arial" w:eastAsia="Arial" w:hAnsi="Arial"/>
          <w:sz w:val="18"/>
          <w:szCs w:val="18"/>
          <w:color w:val="auto"/>
        </w:rPr>
      </w:pPr>
    </w:p>
    <w:p>
      <w:pPr>
        <w:ind w:left="460" w:right="500" w:firstLine="443"/>
        <w:spacing w:after="0" w:line="268" w:lineRule="auto"/>
        <w:tabs>
          <w:tab w:leader="none" w:pos="1147"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Organization Documents, Resolutions, Etc.</w:t>
      </w:r>
      <w:r>
        <w:rPr>
          <w:rFonts w:ascii="Arial" w:cs="Arial" w:eastAsia="Arial" w:hAnsi="Arial"/>
          <w:sz w:val="18"/>
          <w:szCs w:val="18"/>
          <w:color w:val="auto"/>
        </w:rPr>
        <w:t xml:space="preserve"> Receipt by the Administrative Agent of the following, in form and substance satisfactory to the Administrative Agent:</w:t>
      </w:r>
    </w:p>
    <w:p>
      <w:pPr>
        <w:spacing w:after="0" w:line="50" w:lineRule="exact"/>
        <w:rPr>
          <w:rFonts w:ascii="Arial" w:cs="Arial" w:eastAsia="Arial" w:hAnsi="Arial"/>
          <w:sz w:val="18"/>
          <w:szCs w:val="18"/>
          <w:color w:val="auto"/>
        </w:rPr>
      </w:pPr>
    </w:p>
    <w:p>
      <w:pPr>
        <w:ind w:left="920" w:right="700" w:firstLine="421"/>
        <w:spacing w:after="0" w:line="259" w:lineRule="auto"/>
        <w:tabs>
          <w:tab w:leader="none" w:pos="1549" w:val="left"/>
        </w:tabs>
        <w:numPr>
          <w:ilvl w:val="1"/>
          <w:numId w:val="78"/>
        </w:numPr>
        <w:rPr>
          <w:rFonts w:ascii="Arial" w:cs="Arial" w:eastAsia="Arial" w:hAnsi="Arial"/>
          <w:sz w:val="18"/>
          <w:szCs w:val="18"/>
          <w:color w:val="auto"/>
        </w:rPr>
      </w:pPr>
      <w:r>
        <w:rPr>
          <w:rFonts w:ascii="Arial" w:cs="Arial" w:eastAsia="Arial" w:hAnsi="Arial"/>
          <w:sz w:val="18"/>
          <w:szCs w:val="18"/>
          <w:color w:val="auto"/>
        </w:rPr>
        <w:t>copies of the certificate of incorporation of the Borrower certified to be true and complete as of a recent date by the appropriate Governmental Authority of the state of its incorporation and the bylaws of the Borrower certified by a secretary or assistant secretary of the Borrower to be true and correct as of the Closing Date;</w:t>
      </w:r>
    </w:p>
    <w:p>
      <w:pPr>
        <w:spacing w:after="0" w:line="59" w:lineRule="exact"/>
        <w:rPr>
          <w:rFonts w:ascii="Arial" w:cs="Arial" w:eastAsia="Arial" w:hAnsi="Arial"/>
          <w:sz w:val="18"/>
          <w:szCs w:val="18"/>
          <w:color w:val="auto"/>
        </w:rPr>
      </w:pPr>
    </w:p>
    <w:p>
      <w:pPr>
        <w:ind w:left="920" w:right="80" w:firstLine="421"/>
        <w:spacing w:after="0" w:line="306" w:lineRule="auto"/>
        <w:tabs>
          <w:tab w:leader="none" w:pos="1598" w:val="left"/>
        </w:tabs>
        <w:numPr>
          <w:ilvl w:val="1"/>
          <w:numId w:val="78"/>
        </w:numPr>
        <w:rPr>
          <w:rFonts w:ascii="Arial" w:cs="Arial" w:eastAsia="Arial" w:hAnsi="Arial"/>
          <w:sz w:val="16"/>
          <w:szCs w:val="16"/>
          <w:color w:val="auto"/>
        </w:rPr>
      </w:pPr>
      <w:r>
        <w:rPr>
          <w:rFonts w:ascii="Arial" w:cs="Arial" w:eastAsia="Arial" w:hAnsi="Arial"/>
          <w:sz w:val="16"/>
          <w:szCs w:val="16"/>
          <w:color w:val="auto"/>
        </w:rPr>
        <w:t>such certificates of resolutions or other action, incumbency certificates and/or other certificates of Responsible Officers of the Borrower as the Administrative Agent may require evidencing the identity, authority and capacity of each Responsible Officer thereof authorized to act as a Responsible Officer in connection with this Agreement and the other Loan Documents to which the Borrower is a party; and</w:t>
      </w:r>
    </w:p>
    <w:p>
      <w:pPr>
        <w:spacing w:after="0" w:line="25" w:lineRule="exact"/>
        <w:rPr>
          <w:rFonts w:ascii="Arial" w:cs="Arial" w:eastAsia="Arial" w:hAnsi="Arial"/>
          <w:sz w:val="16"/>
          <w:szCs w:val="16"/>
          <w:color w:val="auto"/>
        </w:rPr>
      </w:pPr>
    </w:p>
    <w:p>
      <w:pPr>
        <w:ind w:left="920" w:right="120" w:firstLine="421"/>
        <w:spacing w:after="0" w:line="332" w:lineRule="auto"/>
        <w:tabs>
          <w:tab w:leader="none" w:pos="1647" w:val="left"/>
        </w:tabs>
        <w:numPr>
          <w:ilvl w:val="1"/>
          <w:numId w:val="78"/>
        </w:numPr>
        <w:rPr>
          <w:rFonts w:ascii="Arial" w:cs="Arial" w:eastAsia="Arial" w:hAnsi="Arial"/>
          <w:sz w:val="16"/>
          <w:szCs w:val="16"/>
          <w:color w:val="auto"/>
        </w:rPr>
      </w:pPr>
      <w:r>
        <w:rPr>
          <w:rFonts w:ascii="Arial" w:cs="Arial" w:eastAsia="Arial" w:hAnsi="Arial"/>
          <w:sz w:val="16"/>
          <w:szCs w:val="16"/>
          <w:color w:val="auto"/>
        </w:rPr>
        <w:t>such documents and certifications as the Administrative Agent may reasonably require to evidence that the Borrower is duly organized or formed, and is validly existing, in good standing and qualified to engage in business in its state of organization or formation.</w:t>
      </w:r>
    </w:p>
    <w:p>
      <w:pPr>
        <w:spacing w:after="0" w:line="4" w:lineRule="exact"/>
        <w:rPr>
          <w:rFonts w:ascii="Arial" w:cs="Arial" w:eastAsia="Arial" w:hAnsi="Arial"/>
          <w:sz w:val="16"/>
          <w:szCs w:val="16"/>
          <w:color w:val="auto"/>
        </w:rPr>
      </w:pPr>
    </w:p>
    <w:p>
      <w:pPr>
        <w:jc w:val="both"/>
        <w:ind w:left="460" w:right="60" w:firstLine="443"/>
        <w:spacing w:after="0" w:line="332" w:lineRule="auto"/>
        <w:tabs>
          <w:tab w:leader="none" w:pos="1137"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Officer’s Closing Certificate</w:t>
      </w:r>
      <w:r>
        <w:rPr>
          <w:rFonts w:ascii="Arial" w:cs="Arial" w:eastAsia="Arial" w:hAnsi="Arial"/>
          <w:sz w:val="16"/>
          <w:szCs w:val="16"/>
          <w:color w:val="auto"/>
        </w:rPr>
        <w:t xml:space="preserve">. Receipt by the Administrative Agent of a certificate signed by a Responsible Officer of the Borrower certifying that the conditions specified in </w:t>
      </w:r>
      <w:r>
        <w:rPr>
          <w:rFonts w:ascii="Arial" w:cs="Arial" w:eastAsia="Arial" w:hAnsi="Arial"/>
          <w:sz w:val="16"/>
          <w:szCs w:val="16"/>
          <w:u w:val="single" w:color="auto"/>
          <w:color w:val="auto"/>
        </w:rPr>
        <w:t>Section 4.01(c)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Sections 4.02(a)</w:t>
      </w:r>
      <w:r>
        <w:rPr>
          <w:rFonts w:ascii="Arial" w:cs="Arial" w:eastAsia="Arial" w:hAnsi="Arial"/>
          <w:sz w:val="16"/>
          <w:szCs w:val="16"/>
          <w:color w:val="auto"/>
        </w:rPr>
        <w:t xml:space="preserve"> (but without giving effect to the parenthetical therein) and </w:t>
      </w:r>
      <w:r>
        <w:rPr>
          <w:rFonts w:ascii="Arial" w:cs="Arial" w:eastAsia="Arial" w:hAnsi="Arial"/>
          <w:sz w:val="16"/>
          <w:szCs w:val="16"/>
          <w:u w:val="single" w:color="auto"/>
          <w:color w:val="auto"/>
        </w:rPr>
        <w:t>Section 4.02(b)</w:t>
      </w:r>
      <w:r>
        <w:rPr>
          <w:rFonts w:ascii="Arial" w:cs="Arial" w:eastAsia="Arial" w:hAnsi="Arial"/>
          <w:sz w:val="16"/>
          <w:szCs w:val="16"/>
          <w:color w:val="auto"/>
        </w:rPr>
        <w:t xml:space="preserve"> have been satisfied.</w:t>
      </w:r>
    </w:p>
    <w:p>
      <w:pPr>
        <w:spacing w:after="0" w:line="4" w:lineRule="exact"/>
        <w:rPr>
          <w:rFonts w:ascii="Arial" w:cs="Arial" w:eastAsia="Arial" w:hAnsi="Arial"/>
          <w:sz w:val="16"/>
          <w:szCs w:val="16"/>
          <w:color w:val="auto"/>
        </w:rPr>
      </w:pPr>
    </w:p>
    <w:p>
      <w:pPr>
        <w:ind w:left="460" w:right="360" w:firstLine="443"/>
        <w:spacing w:after="0" w:line="332" w:lineRule="auto"/>
        <w:tabs>
          <w:tab w:leader="none" w:pos="1117"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Termination of Existing Credit Agreement</w:t>
      </w:r>
      <w:r>
        <w:rPr>
          <w:rFonts w:ascii="Arial" w:cs="Arial" w:eastAsia="Arial" w:hAnsi="Arial"/>
          <w:sz w:val="16"/>
          <w:szCs w:val="16"/>
          <w:color w:val="auto"/>
        </w:rPr>
        <w:t>. Receipt by the Administrative Agent of evidence that the Existing Credit Agreement concurrently with the Closing Date is being terminated and all obligations under the Existing Credit Agreement concurrently with the Closing Date are paid in full.</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Fees</w:t>
      </w:r>
      <w:r>
        <w:rPr>
          <w:rFonts w:ascii="Arial" w:cs="Arial" w:eastAsia="Arial" w:hAnsi="Arial"/>
          <w:sz w:val="16"/>
          <w:szCs w:val="16"/>
          <w:color w:val="auto"/>
        </w:rPr>
        <w:t>. Receipt by the Administrative Agent, the Arrangers and the Lenders of any fees required to be paid on or before the Closing Date.</w:t>
      </w:r>
    </w:p>
    <w:p>
      <w:pPr>
        <w:spacing w:after="0" w:line="113" w:lineRule="exact"/>
        <w:rPr>
          <w:rFonts w:ascii="Arial" w:cs="Arial" w:eastAsia="Arial" w:hAnsi="Arial"/>
          <w:sz w:val="16"/>
          <w:szCs w:val="16"/>
          <w:color w:val="auto"/>
        </w:rPr>
      </w:pPr>
    </w:p>
    <w:p>
      <w:pPr>
        <w:ind w:left="460" w:right="180" w:firstLine="443"/>
        <w:spacing w:after="0" w:line="294" w:lineRule="auto"/>
        <w:tabs>
          <w:tab w:leader="none" w:pos="1147"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Attorney Costs</w:t>
      </w:r>
      <w:r>
        <w:rPr>
          <w:rFonts w:ascii="Arial" w:cs="Arial" w:eastAsia="Arial" w:hAnsi="Arial"/>
          <w:sz w:val="16"/>
          <w:szCs w:val="16"/>
          <w:color w:val="auto"/>
        </w:rPr>
        <w:t>. Unless waived by the Administrative Agent, the Borrower shall have paid all reasonable fees, charges and disbursements of counsel to the Administrative Agent (directly to such counsel if requested by the Administrative Agent) to the extent invoiced prior to or on the Closing Date, plus such additional amounts of such fees, charges and disbursements as shall constitute its reasonable estimate of such fees, charges and disbursements incurred or to be incurred by it through the closing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estimate shall not thereafter preclude a final settling of accounts between the Borrower and the Administrative Agent).</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Without limiting the generality of the provisions of the last paragraph of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for purposes of determining compliance with the conditions specified in this </w:t>
      </w:r>
      <w:r>
        <w:rPr>
          <w:rFonts w:ascii="Arial" w:cs="Arial" w:eastAsia="Arial" w:hAnsi="Arial"/>
          <w:sz w:val="18"/>
          <w:szCs w:val="18"/>
          <w:u w:val="single" w:color="auto"/>
          <w:color w:val="auto"/>
        </w:rPr>
        <w:t>Section 4.01</w:t>
      </w:r>
      <w:r>
        <w:rPr>
          <w:rFonts w:ascii="Arial" w:cs="Arial" w:eastAsia="Arial" w:hAnsi="Arial"/>
          <w:sz w:val="18"/>
          <w:szCs w:val="18"/>
          <w:color w:val="auto"/>
        </w:rPr>
        <w:t>, each Lender that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62" w:name="page63"/>
    <w:bookmarkEnd w:id="62"/>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26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6"/>
          <w:szCs w:val="16"/>
          <w:u w:val="single" w:color="auto"/>
          <w:color w:val="auto"/>
        </w:rPr>
        <w:t>Conditions to all Credit Extensions.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obligation of each Lender to honor any Request for Credit Extension (other than a Committed Loan Notice requesting only a conversion of Committed Loans to the other Type, or a continuation of Eurodollar Rate Loans) is subject to the following conditions precedent:</w:t>
      </w:r>
    </w:p>
    <w:p>
      <w:pPr>
        <w:spacing w:after="0" w:line="132" w:lineRule="exact"/>
        <w:rPr>
          <w:sz w:val="20"/>
          <w:szCs w:val="20"/>
          <w:color w:val="auto"/>
        </w:rPr>
      </w:pPr>
    </w:p>
    <w:p>
      <w:pPr>
        <w:ind w:right="20" w:firstLine="464"/>
        <w:spacing w:after="0" w:line="294" w:lineRule="auto"/>
        <w:tabs>
          <w:tab w:leader="none" w:pos="695"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Borrower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Sections 5.05(b), 5.06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5.07</w:t>
      </w:r>
      <w:r>
        <w:rPr>
          <w:rFonts w:ascii="Arial" w:cs="Arial" w:eastAsia="Arial" w:hAnsi="Arial"/>
          <w:sz w:val="16"/>
          <w:szCs w:val="16"/>
          <w:color w:val="auto"/>
        </w:rPr>
        <w:t xml:space="preserve">) and in each other Loan Document or in any document furnished at any time under or in connection herewith or therewith, shall be true and correct on and as of the date of the Credit Extension requested thereby, except (i) to the extent that such representations and warranties specifically refer to an earlier date, in which case they shall be true and correct as of such earlier date and (ii) that for purposes of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Section 5.05(a)</w:t>
      </w:r>
      <w:r>
        <w:rPr>
          <w:rFonts w:ascii="Arial" w:cs="Arial" w:eastAsia="Arial" w:hAnsi="Arial"/>
          <w:sz w:val="16"/>
          <w:szCs w:val="16"/>
          <w:color w:val="auto"/>
        </w:rPr>
        <w:t xml:space="preserve"> shall be deemed to refer to the most recent statements furnished pursuant to clause (a) of </w:t>
      </w:r>
      <w:r>
        <w:rPr>
          <w:rFonts w:ascii="Arial" w:cs="Arial" w:eastAsia="Arial" w:hAnsi="Arial"/>
          <w:sz w:val="16"/>
          <w:szCs w:val="16"/>
          <w:u w:val="single" w:color="auto"/>
          <w:color w:val="auto"/>
        </w:rPr>
        <w:t>Section 6.01</w:t>
      </w:r>
      <w:r>
        <w:rPr>
          <w:rFonts w:ascii="Arial" w:cs="Arial" w:eastAsia="Arial" w:hAnsi="Arial"/>
          <w:sz w:val="16"/>
          <w:szCs w:val="16"/>
          <w:color w:val="auto"/>
        </w:rPr>
        <w:t>.</w:t>
      </w:r>
    </w:p>
    <w:p>
      <w:pPr>
        <w:spacing w:after="0" w:line="115" w:lineRule="exact"/>
        <w:rPr>
          <w:rFonts w:ascii="Arial" w:cs="Arial" w:eastAsia="Arial" w:hAnsi="Arial"/>
          <w:sz w:val="16"/>
          <w:szCs w:val="16"/>
          <w:color w:val="auto"/>
        </w:rPr>
      </w:pPr>
    </w:p>
    <w:p>
      <w:pPr>
        <w:ind w:left="720" w:hanging="256"/>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the application of the proceeds thereof.</w:t>
      </w:r>
    </w:p>
    <w:p>
      <w:pPr>
        <w:spacing w:after="0" w:line="171" w:lineRule="exact"/>
        <w:rPr>
          <w:rFonts w:ascii="Arial" w:cs="Arial" w:eastAsia="Arial" w:hAnsi="Arial"/>
          <w:sz w:val="18"/>
          <w:szCs w:val="18"/>
          <w:color w:val="auto"/>
        </w:rPr>
      </w:pPr>
    </w:p>
    <w:p>
      <w:pPr>
        <w:ind w:right="80" w:firstLine="464"/>
        <w:spacing w:after="0" w:line="268" w:lineRule="auto"/>
        <w:tabs>
          <w:tab w:leader="none" w:pos="6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Administrative Agent and, if applicable, the L/C Issuer or the Swing Line Lender shall have received a Request for Credit Extension in accordance with the requirements hereof.</w:t>
      </w:r>
    </w:p>
    <w:p>
      <w:pPr>
        <w:spacing w:after="0" w:line="132" w:lineRule="exact"/>
        <w:rPr>
          <w:sz w:val="20"/>
          <w:szCs w:val="20"/>
          <w:color w:val="auto"/>
        </w:rPr>
      </w:pPr>
    </w:p>
    <w:p>
      <w:pPr>
        <w:ind w:right="720" w:firstLine="456"/>
        <w:spacing w:after="0" w:line="306" w:lineRule="auto"/>
        <w:rPr>
          <w:sz w:val="20"/>
          <w:szCs w:val="20"/>
          <w:color w:val="auto"/>
        </w:rPr>
      </w:pPr>
      <w:r>
        <w:rPr>
          <w:rFonts w:ascii="Arial" w:cs="Arial" w:eastAsia="Arial" w:hAnsi="Arial"/>
          <w:sz w:val="16"/>
          <w:szCs w:val="16"/>
          <w:color w:val="auto"/>
        </w:rPr>
        <w:t xml:space="preserve">Each Request for Credit Extension (other than a Committed Loan Notice requesting only a conversion of Committed Loans to the other Type or a continuation of Eurodollar Rate Loans) submitted by the Borrower shall be deemed to be a representation and warranty that the conditions specified in </w:t>
      </w:r>
      <w:r>
        <w:rPr>
          <w:rFonts w:ascii="Arial" w:cs="Arial" w:eastAsia="Arial" w:hAnsi="Arial"/>
          <w:sz w:val="16"/>
          <w:szCs w:val="16"/>
          <w:u w:val="single" w:color="auto"/>
          <w:color w:val="auto"/>
        </w:rPr>
        <w:t>Sections 4.02(a)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have been satisfied on and as of the date of the applicable Credit Extension.</w:t>
      </w:r>
    </w:p>
    <w:p>
      <w:pPr>
        <w:spacing w:after="0" w:line="26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V.</w:t>
      </w:r>
    </w:p>
    <w:p>
      <w:pPr>
        <w:spacing w:after="0" w:line="17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REPRESENTATIONS AND WARRANTIES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represents and warrants to the Administrative Agent and the Lenders that:</w:t>
      </w:r>
    </w:p>
    <w:p>
      <w:pPr>
        <w:spacing w:after="0" w:line="29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5.01</w:t>
      </w:r>
      <w:r>
        <w:rPr>
          <w:sz w:val="20"/>
          <w:szCs w:val="20"/>
          <w:color w:val="auto"/>
        </w:rPr>
        <w:tab/>
      </w:r>
      <w:r>
        <w:rPr>
          <w:rFonts w:ascii="Arial" w:cs="Arial" w:eastAsia="Arial" w:hAnsi="Arial"/>
          <w:sz w:val="16"/>
          <w:szCs w:val="16"/>
          <w:u w:val="single" w:color="auto"/>
          <w:color w:val="auto"/>
        </w:rPr>
        <w:t>Existence, Qualification and Power.</w:t>
      </w:r>
    </w:p>
    <w:p>
      <w:pPr>
        <w:spacing w:after="0" w:line="90"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The Borrower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in which it is currently engaged and (ii) execute, deliver and perform its obligations under the Loan Documents to which it is a party, and</w:t>
      </w:r>
    </w:p>
    <w:p>
      <w:pPr>
        <w:spacing w:after="0" w:line="1" w:lineRule="exact"/>
        <w:rPr>
          <w:sz w:val="20"/>
          <w:szCs w:val="20"/>
          <w:color w:val="auto"/>
        </w:rPr>
      </w:pPr>
    </w:p>
    <w:p>
      <w:pPr>
        <w:jc w:val="both"/>
        <w:ind w:right="140" w:firstLine="8"/>
        <w:spacing w:after="0" w:line="255" w:lineRule="auto"/>
        <w:tabs>
          <w:tab w:leader="none" w:pos="239" w:val="left"/>
        </w:tabs>
        <w:numPr>
          <w:ilvl w:val="0"/>
          <w:numId w:val="80"/>
        </w:numPr>
        <w:rPr>
          <w:rFonts w:ascii="Arial" w:cs="Arial" w:eastAsia="Arial" w:hAnsi="Arial"/>
          <w:sz w:val="18"/>
          <w:szCs w:val="18"/>
          <w:color w:val="auto"/>
        </w:rPr>
      </w:pPr>
      <w:r>
        <w:rPr>
          <w:rFonts w:ascii="Arial" w:cs="Arial" w:eastAsia="Arial" w:hAnsi="Arial"/>
          <w:sz w:val="18"/>
          <w:szCs w:val="18"/>
          <w:color w:val="auto"/>
        </w:rPr>
        <w:t>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would not reasonably be expected to have a Material Adverse Effect.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63" w:name="page64"/>
    <w:bookmarkEnd w:id="63"/>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5.02</w:t>
      </w:r>
      <w:r>
        <w:rPr>
          <w:sz w:val="20"/>
          <w:szCs w:val="20"/>
          <w:color w:val="auto"/>
        </w:rPr>
        <w:tab/>
      </w:r>
      <w:r>
        <w:rPr>
          <w:rFonts w:ascii="Arial" w:cs="Arial" w:eastAsia="Arial" w:hAnsi="Arial"/>
          <w:sz w:val="16"/>
          <w:szCs w:val="16"/>
          <w:u w:val="single" w:color="auto"/>
          <w:color w:val="auto"/>
        </w:rPr>
        <w:t>Authorization; No Contravention.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execution, delivery and performance by the Borrower of each Loan Document, have been duly authorized by all necessary corporate or other organizational action, and do not and will not (a) contravene the terms of any of the Borrower’s Organization Documents; (b) conflict with or result in any breach or contravention of, or the creation of any Lien under, or require any payment to be made under (i) any material Contractual Obligation to which the Borrower is a party or affecting the Borrower or the properties of the Borrower or any of its Subsidiaries or (ii) any order, injunction, writ or decree of any Governmental Authority or any arbitral award to which such Person or its property is subject; or (c) violate any Law.</w:t>
      </w:r>
    </w:p>
    <w:p>
      <w:pPr>
        <w:spacing w:after="0" w:line="23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5.03</w:t>
      </w:r>
      <w:r>
        <w:rPr>
          <w:sz w:val="20"/>
          <w:szCs w:val="20"/>
          <w:color w:val="auto"/>
        </w:rPr>
        <w:tab/>
      </w:r>
      <w:r>
        <w:rPr>
          <w:rFonts w:ascii="Arial" w:cs="Arial" w:eastAsia="Arial" w:hAnsi="Arial"/>
          <w:sz w:val="16"/>
          <w:szCs w:val="16"/>
          <w:u w:val="single" w:color="auto"/>
          <w:color w:val="auto"/>
        </w:rPr>
        <w:t>Governmental Authorization; Other Consents.</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No approval, consent, exemption, authorization, or other action by, or notice to, or filing with, any Governmental Authority or any other Person is necessary or required in connection with the execution, delivery or performance by, or enforcement against, the Borrower of this Agreement or any other Loan Document.</w:t>
      </w:r>
    </w:p>
    <w:p>
      <w:pPr>
        <w:spacing w:after="0" w:line="26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5.04</w:t>
      </w:r>
      <w:r>
        <w:rPr>
          <w:sz w:val="20"/>
          <w:szCs w:val="20"/>
          <w:color w:val="auto"/>
        </w:rPr>
        <w:tab/>
      </w:r>
      <w:r>
        <w:rPr>
          <w:rFonts w:ascii="Arial" w:cs="Arial" w:eastAsia="Arial" w:hAnsi="Arial"/>
          <w:sz w:val="16"/>
          <w:szCs w:val="16"/>
          <w:u w:val="single" w:color="auto"/>
          <w:color w:val="auto"/>
        </w:rPr>
        <w:t>Binding Effect.</w:t>
      </w:r>
    </w:p>
    <w:p>
      <w:pPr>
        <w:spacing w:after="0" w:line="90"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This Agreement has been, and each other Loan Document, when delivered hereunder, will have been, duly executed and delivered by the Borrower. This Agreement constitutes, and each other Loan Document when so delivered will constitute, a valid and binding obligation of the Borrower, enforceable against the Borrower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21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5.05</w:t>
      </w:r>
      <w:r>
        <w:rPr>
          <w:sz w:val="20"/>
          <w:szCs w:val="20"/>
          <w:color w:val="auto"/>
        </w:rPr>
        <w:tab/>
      </w:r>
      <w:r>
        <w:rPr>
          <w:rFonts w:ascii="Arial" w:cs="Arial" w:eastAsia="Arial" w:hAnsi="Arial"/>
          <w:sz w:val="16"/>
          <w:szCs w:val="16"/>
          <w:u w:val="single" w:color="auto"/>
          <w:color w:val="auto"/>
        </w:rPr>
        <w:t>Financial Statements; No Material Adverse Effect.</w:t>
      </w:r>
    </w:p>
    <w:p>
      <w:pPr>
        <w:spacing w:after="0" w:line="90" w:lineRule="exact"/>
        <w:rPr>
          <w:sz w:val="20"/>
          <w:szCs w:val="20"/>
          <w:color w:val="auto"/>
        </w:rPr>
      </w:pPr>
    </w:p>
    <w:p>
      <w:pPr>
        <w:ind w:right="260" w:firstLine="464"/>
        <w:spacing w:after="0" w:line="294" w:lineRule="auto"/>
        <w:tabs>
          <w:tab w:leader="none" w:pos="695"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Audited Financial Statements (i) were prepared in accordance with GAAP, consistently applied throughout the period covered thereby, except as otherwise expressly noted therein; (ii) fairly present the financial condition of the Borrower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Borrower and its Subsidiaries as of the date thereof, including liabilities for taxes, material commitments and Indebtedness.</w:t>
      </w:r>
    </w:p>
    <w:p>
      <w:pPr>
        <w:spacing w:after="0" w:line="115" w:lineRule="exact"/>
        <w:rPr>
          <w:rFonts w:ascii="Arial" w:cs="Arial" w:eastAsia="Arial" w:hAnsi="Arial"/>
          <w:sz w:val="16"/>
          <w:szCs w:val="16"/>
          <w:color w:val="auto"/>
        </w:rPr>
      </w:pPr>
    </w:p>
    <w:p>
      <w:pPr>
        <w:ind w:right="400" w:firstLine="464"/>
        <w:spacing w:after="0" w:line="268" w:lineRule="auto"/>
        <w:tabs>
          <w:tab w:leader="none" w:pos="705" w:val="left"/>
        </w:tabs>
        <w:numPr>
          <w:ilvl w:val="0"/>
          <w:numId w:val="81"/>
        </w:numPr>
        <w:rPr>
          <w:rFonts w:ascii="Arial" w:cs="Arial" w:eastAsia="Arial" w:hAnsi="Arial"/>
          <w:sz w:val="18"/>
          <w:szCs w:val="18"/>
          <w:color w:val="auto"/>
        </w:rPr>
      </w:pPr>
      <w:r>
        <w:rPr>
          <w:rFonts w:ascii="Arial" w:cs="Arial" w:eastAsia="Arial" w:hAnsi="Arial"/>
          <w:sz w:val="18"/>
          <w:szCs w:val="18"/>
          <w:color w:val="auto"/>
        </w:rPr>
        <w:t>Since the date of the Audited Financial Statements, there has been no event or circumstance, either individually or in the aggregate, that has had or would reasonably be expected to have a Material Adverse Effect.</w:t>
      </w:r>
    </w:p>
    <w:p>
      <w:pPr>
        <w:spacing w:after="0" w:line="25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5.06</w:t>
      </w:r>
      <w:r>
        <w:rPr>
          <w:sz w:val="20"/>
          <w:szCs w:val="20"/>
          <w:color w:val="auto"/>
        </w:rPr>
        <w:tab/>
      </w:r>
      <w:r>
        <w:rPr>
          <w:rFonts w:ascii="Arial" w:cs="Arial" w:eastAsia="Arial" w:hAnsi="Arial"/>
          <w:sz w:val="16"/>
          <w:szCs w:val="16"/>
          <w:u w:val="single" w:color="auto"/>
          <w:color w:val="auto"/>
        </w:rPr>
        <w:t>Litigation.</w:t>
      </w:r>
    </w:p>
    <w:p>
      <w:pPr>
        <w:spacing w:after="0" w:line="9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There are no actions, suits, proceedings, claims or disputes pending or, to the knowledge of the Borrower, threatened or contemplated, at law, in equity, in arbitration or before any Governmental Authority, by or against the Borrower or any of its Subsidiaries or against any of their properties or revenues that</w:t>
      </w:r>
    </w:p>
    <w:p>
      <w:pPr>
        <w:ind w:right="140" w:firstLine="8"/>
        <w:spacing w:after="0" w:line="261" w:lineRule="auto"/>
        <w:tabs>
          <w:tab w:leader="none" w:pos="239" w:val="left"/>
        </w:tabs>
        <w:numPr>
          <w:ilvl w:val="0"/>
          <w:numId w:val="82"/>
        </w:numPr>
        <w:rPr>
          <w:rFonts w:ascii="Arial" w:cs="Arial" w:eastAsia="Arial" w:hAnsi="Arial"/>
          <w:sz w:val="18"/>
          <w:szCs w:val="18"/>
          <w:color w:val="auto"/>
        </w:rPr>
      </w:pPr>
      <w:r>
        <w:rPr>
          <w:rFonts w:ascii="Arial" w:cs="Arial" w:eastAsia="Arial" w:hAnsi="Arial"/>
          <w:sz w:val="18"/>
          <w:szCs w:val="18"/>
          <w:color w:val="auto"/>
        </w:rPr>
        <w:t>purport to affect or pertain to this Agreement or any other Loan Document, or any of the transactions contemplated hereby, or (b) either individually or in the aggregate would reasonably be expected to have a Material Adverse Effect.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64" w:name="page65"/>
    <w:bookmarkEnd w:id="64"/>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5.07</w:t>
      </w:r>
      <w:r>
        <w:rPr>
          <w:sz w:val="20"/>
          <w:szCs w:val="20"/>
          <w:color w:val="auto"/>
        </w:rPr>
        <w:tab/>
      </w:r>
      <w:r>
        <w:rPr>
          <w:rFonts w:ascii="Arial" w:cs="Arial" w:eastAsia="Arial" w:hAnsi="Arial"/>
          <w:sz w:val="16"/>
          <w:szCs w:val="16"/>
          <w:u w:val="single" w:color="auto"/>
          <w:color w:val="auto"/>
        </w:rPr>
        <w:t>No Default.</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Neither the Borrower nor any Subsidiary thereof is in default under or with respect to any Contractual Obligation that would,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26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5.08</w:t>
      </w:r>
      <w:r>
        <w:rPr>
          <w:sz w:val="20"/>
          <w:szCs w:val="20"/>
          <w:color w:val="auto"/>
        </w:rPr>
        <w:tab/>
      </w:r>
      <w:r>
        <w:rPr>
          <w:rFonts w:ascii="Arial" w:cs="Arial" w:eastAsia="Arial" w:hAnsi="Arial"/>
          <w:sz w:val="16"/>
          <w:szCs w:val="16"/>
          <w:u w:val="single" w:color="auto"/>
          <w:color w:val="auto"/>
        </w:rPr>
        <w:t>Ownership of Property; Liens.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 xml:space="preserve">The Borrower and each of its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 The property of the Borrower and its Subsidiaries is subject to no Liens, other than Liens permitted by </w:t>
      </w:r>
      <w:r>
        <w:rPr>
          <w:rFonts w:ascii="Arial" w:cs="Arial" w:eastAsia="Arial" w:hAnsi="Arial"/>
          <w:sz w:val="16"/>
          <w:szCs w:val="16"/>
          <w:u w:val="single" w:color="auto"/>
          <w:color w:val="auto"/>
        </w:rPr>
        <w:t>Section 7.01</w:t>
      </w:r>
      <w:r>
        <w:rPr>
          <w:rFonts w:ascii="Arial" w:cs="Arial" w:eastAsia="Arial" w:hAnsi="Arial"/>
          <w:sz w:val="16"/>
          <w:szCs w:val="16"/>
          <w:color w:val="auto"/>
        </w:rPr>
        <w:t>.</w:t>
      </w:r>
    </w:p>
    <w:p>
      <w:pPr>
        <w:spacing w:after="0" w:line="22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5.09</w:t>
      </w:r>
      <w:r>
        <w:rPr>
          <w:sz w:val="20"/>
          <w:szCs w:val="20"/>
          <w:color w:val="auto"/>
        </w:rPr>
        <w:tab/>
      </w:r>
      <w:r>
        <w:rPr>
          <w:rFonts w:ascii="Arial" w:cs="Arial" w:eastAsia="Arial" w:hAnsi="Arial"/>
          <w:sz w:val="16"/>
          <w:szCs w:val="16"/>
          <w:u w:val="single" w:color="auto"/>
          <w:color w:val="auto"/>
        </w:rPr>
        <w:t>Environmental Compliance.</w:t>
      </w:r>
    </w:p>
    <w:p>
      <w:pPr>
        <w:spacing w:after="0" w:line="90" w:lineRule="exact"/>
        <w:rPr>
          <w:sz w:val="20"/>
          <w:szCs w:val="20"/>
          <w:color w:val="auto"/>
        </w:rPr>
      </w:pPr>
    </w:p>
    <w:p>
      <w:pPr>
        <w:ind w:right="20" w:firstLine="464"/>
        <w:spacing w:after="0" w:line="259" w:lineRule="auto"/>
        <w:tabs>
          <w:tab w:leader="none" w:pos="6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There exists no claim alleging potential liability or responsibility for violation of any Environmental Law on the Borrower’s or any of its Subsidiary’s respective businesses, operations and properties and (b) there exists no violation of any Environmental Law, in each case to the extent such liability, responsibility or violation would, individually or in the aggregate, reasonably be expected to have a Material Adverse Effect.</w:t>
      </w:r>
    </w:p>
    <w:p>
      <w:pPr>
        <w:spacing w:after="0" w:line="26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5"/>
          <w:szCs w:val="15"/>
          <w:u w:val="single" w:color="auto"/>
          <w:color w:val="auto"/>
        </w:rPr>
        <w:t>Insurance.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properties of the Borrower and its Subsidiaries are insured with insurance companies not Affiliates of the Borrower (and, to the Borrower’s knowledge, such insurance companies are financially sound and reputable), in such amounts, with such deductibles and covering such risks as are customarily carried by companies engaged in similar businesses and owning similar properties in localities where the Borrower or the applicable Subsidiary operates.</w:t>
      </w:r>
    </w:p>
    <w:p>
      <w:pPr>
        <w:spacing w:after="0" w:line="22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4"/>
          <w:szCs w:val="14"/>
          <w:u w:val="single" w:color="auto"/>
          <w:color w:val="auto"/>
        </w:rPr>
        <w:t>Taxes.</w:t>
      </w:r>
    </w:p>
    <w:p>
      <w:pPr>
        <w:spacing w:after="0" w:line="90"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The Borrower and its Subsidiaries have (a) filed all federal, state and other material tax returns and reports required to be filed, and (b) paid all federal, state and other material taxes, assessments, fees and other governmental charges levied or imposed upon them or their properties, income or assets otherwise due and payable, except those which are (i) being contested in good faith by appropriate proceedings diligently conducted and for which adequate reserves have been provided in accordance with GAAP or (ii) would not reasonably be expected to have a Material Adverse Effect. There is no proposed written tax assessment against the Borrower or any Subsidiary that has been delivered to the Borrower or such Subsidiary that would, if made, have a Material Adverse Effect.</w:t>
      </w:r>
    </w:p>
    <w:p>
      <w:pPr>
        <w:spacing w:after="0" w:line="22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u w:val="single" w:color="auto"/>
          <w:color w:val="auto"/>
        </w:rPr>
        <w:t>ERISA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would not reasonably be expected to have a Material Adverse Effect:</w:t>
      </w:r>
    </w:p>
    <w:p>
      <w:pPr>
        <w:spacing w:after="0" w:line="171" w:lineRule="exact"/>
        <w:rPr>
          <w:sz w:val="20"/>
          <w:szCs w:val="20"/>
          <w:color w:val="auto"/>
        </w:rPr>
      </w:pPr>
    </w:p>
    <w:p>
      <w:pPr>
        <w:jc w:val="both"/>
        <w:ind w:right="20" w:firstLine="464"/>
        <w:spacing w:after="0" w:line="256"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or opinion letter from the Internal Revenue Service to the effect that the form of such Plan is qualified under Section 401(a) of the Code and the trust related thereto has been determined by the Internal Revenue Service to be exempt from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65" w:name="page66"/>
    <w:bookmarkEnd w:id="65"/>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income tax under Section 501(a) of the Code or an application for such a letter is currently being processed by the Service. To the best knowledge of the Borrower, nothing has occurred that would prevent, or cause the loss of, such tax-qualified status.</w:t>
      </w:r>
    </w:p>
    <w:p>
      <w:pPr>
        <w:spacing w:after="0" w:line="132" w:lineRule="exact"/>
        <w:rPr>
          <w:sz w:val="20"/>
          <w:szCs w:val="20"/>
          <w:color w:val="auto"/>
        </w:rPr>
      </w:pPr>
    </w:p>
    <w:p>
      <w:pPr>
        <w:ind w:right="100" w:firstLine="464"/>
        <w:spacing w:after="0" w:line="332" w:lineRule="auto"/>
        <w:tabs>
          <w:tab w:leader="none" w:pos="705"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There are no pending or, to the best knowledge of the Borrower, threatened claims, actions or lawsuits, or action by any Governmental Authority, with respect to any Plan. There has been no prohibited transaction or violation of the fiduciary responsibility rules with respect to any Plan.</w:t>
      </w:r>
    </w:p>
    <w:p>
      <w:pPr>
        <w:spacing w:after="0" w:line="85" w:lineRule="exact"/>
        <w:rPr>
          <w:rFonts w:ascii="Arial" w:cs="Arial" w:eastAsia="Arial" w:hAnsi="Arial"/>
          <w:sz w:val="16"/>
          <w:szCs w:val="16"/>
          <w:color w:val="auto"/>
        </w:rPr>
      </w:pPr>
    </w:p>
    <w:p>
      <w:pPr>
        <w:ind w:firstLine="464"/>
        <w:spacing w:after="0" w:line="286" w:lineRule="auto"/>
        <w:tabs>
          <w:tab w:leader="none" w:pos="695" w:val="left"/>
        </w:tabs>
        <w:numPr>
          <w:ilvl w:val="0"/>
          <w:numId w:val="85"/>
        </w:numPr>
        <w:rPr>
          <w:rFonts w:ascii="Arial" w:cs="Arial" w:eastAsia="Arial" w:hAnsi="Arial"/>
          <w:sz w:val="16"/>
          <w:szCs w:val="16"/>
          <w:color w:val="auto"/>
        </w:rPr>
      </w:pPr>
      <w:r>
        <w:rPr>
          <w:rFonts w:ascii="Arial" w:cs="Arial" w:eastAsia="Arial" w:hAnsi="Arial"/>
          <w:sz w:val="16"/>
          <w:szCs w:val="16"/>
          <w:color w:val="auto"/>
        </w:rPr>
        <w:t>(i) No ERISA Event has occurred and neither the Borrower nor any ERISA Affiliate is aware of any fact, event or circumstance that could reasonably be expected to constitute or result in an ERISA Event with respect to any Pension Plan; (ii) the Borrower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sixty percent (60%) or higher and neither the Borrower nor any ERISA Affiliate knows of any facts or circumstances that could reasonably be expected to cause the funding target attainment percentage for any such plan to drop below sixty percent (60%) as of the most recent valuation date; (iv) neither the Borrower nor any ERISA Affiliate has incurred any liability to the PBGC other than for the payment of premiums, and there are no premium payments which have become due that are unpaid; (v) neither the Borrower nor any ERISA Affiliate has engaged in a transaction that is reasonably likely to be subject to Section 4069 or Section 4212(c) of ERISA; and (vi) no Pension Plan has been terminated by the plan administrator thereof nor by the PBGC, and no event or circumstance has occurred or exists that could reasonably be expected to cause the PGBC to institute proceedings under Title IV of ERISA to terminate any Pension Plan.</w:t>
      </w:r>
    </w:p>
    <w:p>
      <w:pPr>
        <w:spacing w:after="0" w:line="24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5"/>
          <w:szCs w:val="15"/>
          <w:u w:val="single" w:color="auto"/>
          <w:color w:val="auto"/>
        </w:rPr>
        <w:t>Subsidiaries.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is a complete and accurate list of each Material Subsidiary of the Borrower, together with jurisdiction of organization, as of the date of this Agreement.</w:t>
      </w:r>
    </w:p>
    <w:p>
      <w:pPr>
        <w:spacing w:after="0" w:line="25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6"/>
          <w:szCs w:val="16"/>
          <w:u w:val="single" w:color="auto"/>
          <w:color w:val="auto"/>
        </w:rPr>
        <w:t>Margin Regulations; Investment Company Act.</w:t>
      </w:r>
    </w:p>
    <w:p>
      <w:pPr>
        <w:spacing w:after="0" w:line="90" w:lineRule="exact"/>
        <w:rPr>
          <w:sz w:val="20"/>
          <w:szCs w:val="20"/>
          <w:color w:val="auto"/>
        </w:rPr>
      </w:pPr>
    </w:p>
    <w:p>
      <w:pPr>
        <w:ind w:right="60" w:firstLine="464"/>
        <w:spacing w:after="0" w:line="259" w:lineRule="auto"/>
        <w:tabs>
          <w:tab w:leader="none" w:pos="6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Borrower is not engaged and does not intend to engage, principally or as one of its important activities, in the business of purchasing or carrying margin stock (within the meaning of Regulation U issued by the FRB) in violation of Regulation U, or extending credit for the purpose of purchasing or carrying margin stock.</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None of the Borrower or any Subsidiary is or is required to be registered as an “investment company” under the Investment Company Act of 1940.</w:t>
      </w:r>
    </w:p>
    <w:p>
      <w:pPr>
        <w:spacing w:after="0" w:line="3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16"/>
          <w:szCs w:val="16"/>
          <w:u w:val="single" w:color="auto"/>
          <w:color w:val="auto"/>
        </w:rPr>
        <w:t>Disclosure.</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 xml:space="preserve">No report, financial statement, certificate or other information furnished (whether in writing or orally) by or on behalf of the Borrower to the Administrative Agent or any Lender in connection with the transactions contemplated hereby and the negotiation of this Agreement or delivered hereunder or under any other Loan Document (in each case, as modified or supplemented by other information so furnished) contains, as of the date of such report, financial statement, certificate or other information, any material misstatement of fact or omits to state any material fact necessary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projected financial information, the Borrower represents only that such information was prepared in good faith based upon assumptions believed to be reasonable at the time.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280" w:right="279" w:bottom="1440" w:gutter="0" w:footer="0" w:header="0"/>
        </w:sectPr>
      </w:pPr>
    </w:p>
    <w:bookmarkStart w:id="66" w:name="page67"/>
    <w:bookmarkEnd w:id="66"/>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5.16</w:t>
      </w:r>
      <w:r>
        <w:rPr>
          <w:sz w:val="20"/>
          <w:szCs w:val="20"/>
          <w:color w:val="auto"/>
        </w:rPr>
        <w:tab/>
      </w:r>
      <w:r>
        <w:rPr>
          <w:rFonts w:ascii="Arial" w:cs="Arial" w:eastAsia="Arial" w:hAnsi="Arial"/>
          <w:sz w:val="16"/>
          <w:szCs w:val="16"/>
          <w:u w:val="single" w:color="auto"/>
          <w:color w:val="auto"/>
        </w:rPr>
        <w:t>Compliance with Laws.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Borrower and each of its Subsidiaries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would not reasonably be expected to have a Material Adverse Effect.</w:t>
      </w:r>
    </w:p>
    <w:p>
      <w:pPr>
        <w:spacing w:after="0" w:line="26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5.17</w:t>
      </w:r>
      <w:r>
        <w:rPr>
          <w:sz w:val="20"/>
          <w:szCs w:val="20"/>
          <w:color w:val="auto"/>
        </w:rPr>
        <w:tab/>
      </w:r>
      <w:r>
        <w:rPr>
          <w:rFonts w:ascii="Arial" w:cs="Arial" w:eastAsia="Arial" w:hAnsi="Arial"/>
          <w:sz w:val="16"/>
          <w:szCs w:val="16"/>
          <w:u w:val="single" w:color="auto"/>
          <w:color w:val="auto"/>
        </w:rPr>
        <w:t>Taxpayer Identification Number.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true and correct U.S. taxpayer identification number of the Borrower is set forth on </w:t>
      </w:r>
      <w:r>
        <w:rPr>
          <w:rFonts w:ascii="Arial" w:cs="Arial" w:eastAsia="Arial" w:hAnsi="Arial"/>
          <w:sz w:val="18"/>
          <w:szCs w:val="18"/>
          <w:u w:val="single" w:color="auto"/>
          <w:color w:val="auto"/>
        </w:rPr>
        <w:t>Schedule 5.17</w:t>
      </w:r>
      <w:r>
        <w:rPr>
          <w:rFonts w:ascii="Arial" w:cs="Arial" w:eastAsia="Arial" w:hAnsi="Arial"/>
          <w:sz w:val="18"/>
          <w:szCs w:val="18"/>
          <w:color w:val="auto"/>
        </w:rPr>
        <w:t>.</w:t>
      </w:r>
    </w:p>
    <w:p>
      <w:pPr>
        <w:spacing w:after="0" w:line="29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5.18</w:t>
      </w:r>
      <w:r>
        <w:rPr>
          <w:sz w:val="20"/>
          <w:szCs w:val="20"/>
          <w:color w:val="auto"/>
        </w:rPr>
        <w:tab/>
      </w:r>
      <w:r>
        <w:rPr>
          <w:rFonts w:ascii="Arial" w:cs="Arial" w:eastAsia="Arial" w:hAnsi="Arial"/>
          <w:sz w:val="16"/>
          <w:szCs w:val="16"/>
          <w:u w:val="single" w:color="auto"/>
          <w:color w:val="auto"/>
        </w:rPr>
        <w:t>Intellectual Property; Licenses, Etc.</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Unless failure to do so would not reasonably be expected to result in a Material Adverse Effect, (a) the Borrower and its Subsidiaries own, or possess the right to use, all of the trademarks, service marks, trade names, copyrights, patents, patent rights, franchises, licenses and other intellectual property rights that are reasonably necessary for the operation of their respective businesses as currently engaged, without conflict with the rights of any other Person and (b) no slogan or other advertising device, product, process, method, substance, part or other material now employed, or now contemplated to be employed, by the Borrower or any Subsidiary infringes upon any rights held by any other Person. No claim or litigation regarding any of the foregoing is pending or, to the Borrower’s knowledge, threatened which either individually, or in the aggregate, would reasonably be expected to have a Material Adverse Effect.</w:t>
      </w:r>
    </w:p>
    <w:p>
      <w:pPr>
        <w:spacing w:after="0" w:line="24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5.19</w:t>
      </w:r>
      <w:r>
        <w:rPr>
          <w:sz w:val="20"/>
          <w:szCs w:val="20"/>
          <w:color w:val="auto"/>
        </w:rPr>
        <w:tab/>
      </w:r>
      <w:r>
        <w:rPr>
          <w:rFonts w:ascii="Arial" w:cs="Arial" w:eastAsia="Arial" w:hAnsi="Arial"/>
          <w:sz w:val="16"/>
          <w:szCs w:val="16"/>
          <w:u w:val="single" w:color="auto"/>
          <w:color w:val="auto"/>
        </w:rPr>
        <w:t>OFAC.</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Neither the Borrower nor any Subsidiary (i) is currently the subject of any Sanctions, or (ii) is located, organized or residing in any Designated Jurisdiction. No Loan, nor the proceeds from any Loan, has been used by the Borrower, directly or indirectly, to lend, contribute, provide or has been otherwise made available to fund any activity or business in any Designated Jurisdiction or, to the knowledge of the Borrower, to fund any activity or business of any Person located, organized or residing in any Designated Jurisdiction or who is the subject of any Sanctions, or, to the knowledge of the Borrower, in any other manner that will result in any violation by any Person (including any Lender, any Arranger, the Administrative Agent, the L/C Issuer or the Swing Line Lender) of Sanctions.</w:t>
      </w:r>
    </w:p>
    <w:p>
      <w:pPr>
        <w:spacing w:after="0" w:line="22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5.20</w:t>
      </w:r>
      <w:r>
        <w:rPr>
          <w:sz w:val="20"/>
          <w:szCs w:val="20"/>
          <w:color w:val="auto"/>
        </w:rPr>
        <w:tab/>
      </w:r>
      <w:r>
        <w:rPr>
          <w:rFonts w:ascii="Arial" w:cs="Arial" w:eastAsia="Arial" w:hAnsi="Arial"/>
          <w:sz w:val="16"/>
          <w:szCs w:val="16"/>
          <w:u w:val="single" w:color="auto"/>
          <w:color w:val="auto"/>
        </w:rPr>
        <w:t>Anti-Terrorism Laws.</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 xml:space="preserve">Neither the Borrower nor any of its Subsidiaries is in violation of (a) any of the foreign assets control regulations of the United States Treasury Department (31 CFR, Subtitle B, Chapter V, as amended) or any enabling legislation or executive order relating thereto or (b) the Patriot Act (as defined in </w:t>
      </w:r>
      <w:r>
        <w:rPr>
          <w:rFonts w:ascii="Arial" w:cs="Arial" w:eastAsia="Arial" w:hAnsi="Arial"/>
          <w:sz w:val="16"/>
          <w:szCs w:val="16"/>
          <w:u w:val="single" w:color="auto"/>
          <w:color w:val="auto"/>
        </w:rPr>
        <w:t>Section 10.18</w:t>
      </w:r>
      <w:r>
        <w:rPr>
          <w:rFonts w:ascii="Arial" w:cs="Arial" w:eastAsia="Arial" w:hAnsi="Arial"/>
          <w:sz w:val="16"/>
          <w:szCs w:val="16"/>
          <w:color w:val="auto"/>
        </w:rPr>
        <w:t>)), in each case, where such violation, either individually or in the aggregate would reasonably be expected to result in a Material Adverse Effect.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80" w:right="25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AFFIRMATIVE COVENANTS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So long as any Lender shall have any Commitment hereunder, any Loan or other Obligation hereunder shall remain unpaid or unsatisfied, or any Letter of Credit shall remain outstanding, the Borrower shall, and shall (except in the case of the covenants set forth in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6.03</w:t>
      </w:r>
      <w:r>
        <w:rPr>
          <w:rFonts w:ascii="Arial" w:cs="Arial" w:eastAsia="Arial" w:hAnsi="Arial"/>
          <w:sz w:val="18"/>
          <w:szCs w:val="18"/>
          <w:color w:val="auto"/>
        </w:rPr>
        <w:t>) cause each Subsidiary to:</w:t>
      </w:r>
    </w:p>
    <w:p>
      <w:pPr>
        <w:spacing w:after="0" w:line="26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6.01</w:t>
      </w:r>
      <w:r>
        <w:rPr>
          <w:sz w:val="20"/>
          <w:szCs w:val="20"/>
          <w:color w:val="auto"/>
        </w:rPr>
        <w:tab/>
      </w:r>
      <w:r>
        <w:rPr>
          <w:rFonts w:ascii="Arial" w:cs="Arial" w:eastAsia="Arial" w:hAnsi="Arial"/>
          <w:sz w:val="15"/>
          <w:szCs w:val="15"/>
          <w:u w:val="single" w:color="auto"/>
          <w:color w:val="auto"/>
        </w:rPr>
        <w:t>Financial Statements.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Deliver to the Administrative Agent (for delivery to each Lender), in form and detail satisfactory to the Administrative Agent:</w:t>
      </w:r>
    </w:p>
    <w:p>
      <w:pPr>
        <w:spacing w:after="0" w:line="171" w:lineRule="exact"/>
        <w:rPr>
          <w:sz w:val="20"/>
          <w:szCs w:val="20"/>
          <w:color w:val="auto"/>
        </w:rPr>
      </w:pPr>
    </w:p>
    <w:p>
      <w:pPr>
        <w:ind w:right="60" w:firstLine="464"/>
        <w:spacing w:after="0" w:line="291" w:lineRule="auto"/>
        <w:tabs>
          <w:tab w:leader="none" w:pos="695" w:val="left"/>
        </w:tabs>
        <w:numPr>
          <w:ilvl w:val="0"/>
          <w:numId w:val="87"/>
        </w:numPr>
        <w:rPr>
          <w:rFonts w:ascii="Arial" w:cs="Arial" w:eastAsia="Arial" w:hAnsi="Arial"/>
          <w:sz w:val="16"/>
          <w:szCs w:val="16"/>
          <w:color w:val="auto"/>
        </w:rPr>
      </w:pPr>
      <w:r>
        <w:rPr>
          <w:rFonts w:ascii="Arial" w:cs="Arial" w:eastAsia="Arial" w:hAnsi="Arial"/>
          <w:sz w:val="16"/>
          <w:szCs w:val="16"/>
          <w:color w:val="auto"/>
        </w:rPr>
        <w:t>as soon as available, but in any event within 90 days after the end of each fiscal year of the Borrower, a consolidated balance sheet of the Borrower and its Subsidiaries as at the end of such fiscal year, and the related consolidated statements of income or operations,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and</w:t>
      </w:r>
    </w:p>
    <w:p>
      <w:pPr>
        <w:spacing w:after="0" w:line="120" w:lineRule="exact"/>
        <w:rPr>
          <w:rFonts w:ascii="Arial" w:cs="Arial" w:eastAsia="Arial" w:hAnsi="Arial"/>
          <w:sz w:val="16"/>
          <w:szCs w:val="16"/>
          <w:color w:val="auto"/>
        </w:rPr>
      </w:pPr>
    </w:p>
    <w:p>
      <w:pPr>
        <w:ind w:firstLine="464"/>
        <w:spacing w:after="0" w:line="290" w:lineRule="auto"/>
        <w:tabs>
          <w:tab w:leader="none" w:pos="705" w:val="left"/>
        </w:tabs>
        <w:numPr>
          <w:ilvl w:val="0"/>
          <w:numId w:val="87"/>
        </w:numPr>
        <w:rPr>
          <w:rFonts w:ascii="Arial" w:cs="Arial" w:eastAsia="Arial" w:hAnsi="Arial"/>
          <w:sz w:val="16"/>
          <w:szCs w:val="16"/>
          <w:color w:val="auto"/>
        </w:rPr>
      </w:pPr>
      <w:r>
        <w:rPr>
          <w:rFonts w:ascii="Arial" w:cs="Arial" w:eastAsia="Arial" w:hAnsi="Arial"/>
          <w:sz w:val="16"/>
          <w:szCs w:val="16"/>
          <w:color w:val="auto"/>
        </w:rPr>
        <w:t>as soon as available, but in any event within 45 days after the end of each of the first three fiscal quarters of each fiscal year of the Borrower, a consolidated balance sheet of the Borrower and its Subsidiaries as at the end of such fiscal quarter, the related consolidated statements of income or operations for such fiscal quarter and for the portion of the Borrower’s fiscal year then ended, and the related consolidated statement of cash flows for the portion of the Borrower’s fiscal year then ended, in each case setting forth in comparative form, as applicable, the figures for the corresponding fiscal quarter of the previous fiscal year and the corresponding portion of the previous fiscal year, all in reasonable detail, certified by the chief executive officer, chief financial officer, treasurer or controller of the Borrower as fairly presenting the financial condition, results of operations, shareholders’ equity and cash flows of the Borrower and its Subsidiaries in accordance with GAAP, subject only to normal year-end audit adjustments and the absence of footnotes.</w:t>
      </w:r>
    </w:p>
    <w:p>
      <w:pPr>
        <w:spacing w:after="0" w:line="11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 xml:space="preserve">As to any information contained in materials furnished pursuant to </w:t>
      </w:r>
      <w:r>
        <w:rPr>
          <w:rFonts w:ascii="Arial" w:cs="Arial" w:eastAsia="Arial" w:hAnsi="Arial"/>
          <w:sz w:val="18"/>
          <w:szCs w:val="18"/>
          <w:u w:val="single" w:color="auto"/>
          <w:color w:val="auto"/>
        </w:rPr>
        <w:t>Section 6.02(b)</w:t>
      </w:r>
      <w:r>
        <w:rPr>
          <w:rFonts w:ascii="Arial" w:cs="Arial" w:eastAsia="Arial" w:hAnsi="Arial"/>
          <w:sz w:val="18"/>
          <w:szCs w:val="18"/>
          <w:color w:val="auto"/>
        </w:rPr>
        <w:t>, the Borrower shall not be separately required to furnish such information under clause (a) or (b) above.</w:t>
      </w:r>
    </w:p>
    <w:p>
      <w:pPr>
        <w:spacing w:after="0" w:line="25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6.02</w:t>
      </w:r>
      <w:r>
        <w:rPr>
          <w:sz w:val="20"/>
          <w:szCs w:val="20"/>
          <w:color w:val="auto"/>
        </w:rPr>
        <w:tab/>
      </w:r>
      <w:r>
        <w:rPr>
          <w:rFonts w:ascii="Arial" w:cs="Arial" w:eastAsia="Arial" w:hAnsi="Arial"/>
          <w:sz w:val="16"/>
          <w:szCs w:val="16"/>
          <w:u w:val="single" w:color="auto"/>
          <w:color w:val="auto"/>
        </w:rPr>
        <w:t>Certificates; Other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Deliver to the Administrative Agent and each Lender, in form and detail satisfactory to the Administrative Agent:</w:t>
      </w:r>
    </w:p>
    <w:p>
      <w:pPr>
        <w:spacing w:after="0" w:line="171" w:lineRule="exact"/>
        <w:rPr>
          <w:sz w:val="20"/>
          <w:szCs w:val="20"/>
          <w:color w:val="auto"/>
        </w:rPr>
      </w:pPr>
    </w:p>
    <w:p>
      <w:pPr>
        <w:ind w:right="40" w:firstLine="464"/>
        <w:spacing w:after="0" w:line="268"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 duly completed Compliance Certificate signed by the chief executive officer, chief financial officer, treasurer or controller of the Borrower;</w:t>
      </w:r>
    </w:p>
    <w:p>
      <w:pPr>
        <w:spacing w:after="0" w:line="131" w:lineRule="exact"/>
        <w:rPr>
          <w:rFonts w:ascii="Arial" w:cs="Arial" w:eastAsia="Arial" w:hAnsi="Arial"/>
          <w:sz w:val="18"/>
          <w:szCs w:val="18"/>
          <w:color w:val="auto"/>
        </w:rPr>
      </w:pPr>
    </w:p>
    <w:p>
      <w:pPr>
        <w:ind w:right="120" w:firstLine="464"/>
        <w:spacing w:after="0" w:line="256"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promptly after the same are available, copies of each annual report, proxy or financial statement or other report or communication sent to the stockholders of the Borrower, and copies of all annual, regular, periodic and special reports and registration statements which the Borrower may file or be required to file with the SEC under Section 13 or 15(d) of the Securities Exchange Act of 1934, and not otherwise required to be delivered to the Administrative Agent and each Lender pursuant hereto;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80" w:right="259" w:bottom="1440" w:gutter="0" w:footer="0" w:header="0"/>
        </w:sectPr>
      </w:pPr>
    </w:p>
    <w:bookmarkStart w:id="68" w:name="page69"/>
    <w:bookmarkEnd w:id="68"/>
    <w:p>
      <w:pPr>
        <w:ind w:right="240" w:firstLine="464"/>
        <w:spacing w:after="0" w:line="259" w:lineRule="auto"/>
        <w:tabs>
          <w:tab w:leader="none" w:pos="695"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promptly after the furnishing thereof, copies of any statement or report furnished to any holder of debt securities of the Borrower or any of its Subsidiaries pursuant to the terms of any indenture, loan or credit or similar agreement and not otherwise required to be furnished to the Administrative Agent and each Lender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or any other clause of this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right="120" w:firstLine="464"/>
        <w:spacing w:after="0" w:line="306" w:lineRule="auto"/>
        <w:tabs>
          <w:tab w:leader="none" w:pos="705" w:val="left"/>
        </w:tabs>
        <w:numPr>
          <w:ilvl w:val="0"/>
          <w:numId w:val="89"/>
        </w:numPr>
        <w:rPr>
          <w:rFonts w:ascii="Arial" w:cs="Arial" w:eastAsia="Arial" w:hAnsi="Arial"/>
          <w:sz w:val="16"/>
          <w:szCs w:val="16"/>
          <w:color w:val="auto"/>
        </w:rPr>
      </w:pPr>
      <w:r>
        <w:rPr>
          <w:rFonts w:ascii="Arial" w:cs="Arial" w:eastAsia="Arial" w:hAnsi="Arial"/>
          <w:sz w:val="16"/>
          <w:szCs w:val="16"/>
          <w:color w:val="auto"/>
        </w:rPr>
        <w:t>promptly, and in any event within five Business Days after receipt thereof by the Borrower or any of its Subsidiaries, copies of each notice or other correspondence received from the SEC (or comparable agency in any applicable non-U.S. jurisdiction) concerning any investigation or possible investigation or other inquiry by such agency regarding financial or other operational results of the Borrower or any of its Subsidiaries; and</w:t>
      </w:r>
    </w:p>
    <w:p>
      <w:pPr>
        <w:spacing w:after="0" w:line="106" w:lineRule="exact"/>
        <w:rPr>
          <w:rFonts w:ascii="Arial" w:cs="Arial" w:eastAsia="Arial" w:hAnsi="Arial"/>
          <w:sz w:val="16"/>
          <w:szCs w:val="16"/>
          <w:color w:val="auto"/>
        </w:rPr>
      </w:pPr>
    </w:p>
    <w:p>
      <w:pPr>
        <w:ind w:right="280" w:firstLine="464"/>
        <w:spacing w:after="0" w:line="332" w:lineRule="auto"/>
        <w:tabs>
          <w:tab w:leader="none" w:pos="695" w:val="left"/>
        </w:tabs>
        <w:numPr>
          <w:ilvl w:val="0"/>
          <w:numId w:val="89"/>
        </w:numPr>
        <w:rPr>
          <w:rFonts w:ascii="Arial" w:cs="Arial" w:eastAsia="Arial" w:hAnsi="Arial"/>
          <w:sz w:val="16"/>
          <w:szCs w:val="16"/>
          <w:color w:val="auto"/>
        </w:rPr>
      </w:pPr>
      <w:r>
        <w:rPr>
          <w:rFonts w:ascii="Arial" w:cs="Arial" w:eastAsia="Arial" w:hAnsi="Arial"/>
          <w:sz w:val="16"/>
          <w:szCs w:val="16"/>
          <w:color w:val="auto"/>
        </w:rPr>
        <w:t>promptly, such additional information regarding the business, financial or corporate affairs of the Borrower or any of its Subsidiaries, or compliance with the terms of the Loan Documents, as the Administrative Agent or any Lender may from time to time reasonably request.</w:t>
      </w:r>
    </w:p>
    <w:p>
      <w:pPr>
        <w:spacing w:after="0" w:line="8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6"/>
          <w:szCs w:val="16"/>
          <w:u w:val="single" w:color="auto"/>
          <w:color w:val="auto"/>
        </w:rPr>
        <w:t>Schedule 10.02</w:t>
      </w:r>
      <w:r>
        <w:rPr>
          <w:rFonts w:ascii="Arial" w:cs="Arial" w:eastAsia="Arial" w:hAnsi="Arial"/>
          <w:sz w:val="16"/>
          <w:szCs w:val="16"/>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deliver paper copies of such documents to the Administrative Agent or any Lender that requests the Borrower to deliver such paper copies until a written request to cease delivering paper copies is given by the Administrative Agent or such Lender and (ii) the Borrower shall notify the Administrative Agent (by facsimile or electronic mail) of the posting of any such documents and provide to the Administrative Agent by electronic mail electronic versions (</w:t>
      </w:r>
      <w:r>
        <w:rPr>
          <w:rFonts w:ascii="Arial" w:cs="Arial" w:eastAsia="Arial" w:hAnsi="Arial"/>
          <w:sz w:val="16"/>
          <w:szCs w:val="16"/>
          <w:u w:val="single" w:color="auto"/>
          <w:color w:val="auto"/>
        </w:rPr>
        <w:t>i.e.</w:t>
      </w:r>
      <w:r>
        <w:rPr>
          <w:rFonts w:ascii="Arial" w:cs="Arial" w:eastAsia="Arial" w:hAnsi="Arial"/>
          <w:sz w:val="16"/>
          <w:szCs w:val="16"/>
          <w:color w:val="auto"/>
        </w:rPr>
        <w:t>, soft copies) of such documents.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Borrower hereby acknowledges that (a) the Administrative Agent and/or the Arrangers may, but shall not be obligated to, make available to the Lenders and the L/C Issuer materials and/or information provided by or on behalf of the Borrower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IntraLinks, Debt Domain, Syndtrak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u w:val="single" w:color="auto"/>
          <w:color w:val="auto"/>
        </w:rPr>
        <w:t>Public</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w:t>
      </w:r>
      <w:r>
        <w:rPr>
          <w:rFonts w:ascii="Arial" w:cs="Arial" w:eastAsia="Arial" w:hAnsi="Arial"/>
          <w:sz w:val="16"/>
          <w:szCs w:val="16"/>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Arrangers, the L/C Issuer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such Borrower Materials constitute Information, they shall be treated as set forth in </w:t>
      </w:r>
      <w:r>
        <w:rPr>
          <w:rFonts w:ascii="Arial" w:cs="Arial" w:eastAsia="Arial" w:hAnsi="Arial"/>
          <w:sz w:val="16"/>
          <w:szCs w:val="16"/>
          <w:u w:val="single" w:color="auto"/>
          <w:color w:val="auto"/>
        </w:rPr>
        <w:t>Section 10.07</w:t>
      </w:r>
      <w:r>
        <w:rPr>
          <w:rFonts w:ascii="Arial" w:cs="Arial" w:eastAsia="Arial" w:hAnsi="Arial"/>
          <w:sz w:val="16"/>
          <w:szCs w:val="16"/>
          <w:color w:val="auto"/>
        </w:rPr>
        <w:t>); (y) all Borrower Materials marked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280" w:right="279" w:bottom="1440" w:gutter="0" w:footer="0" w:header="0"/>
        </w:sectPr>
      </w:pPr>
    </w:p>
    <w:bookmarkStart w:id="69" w:name="page70"/>
    <w:bookmarkEnd w:id="69"/>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 Notwithstanding the foregoing, the Borrower shall not be under any obligation to mark any Borrower Materials “PUBLIC.”</w:t>
      </w:r>
    </w:p>
    <w:p>
      <w:pPr>
        <w:spacing w:after="0" w:line="26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6.03</w:t>
      </w:r>
      <w:r>
        <w:rPr>
          <w:sz w:val="20"/>
          <w:szCs w:val="20"/>
          <w:color w:val="auto"/>
        </w:rPr>
        <w:tab/>
      </w:r>
      <w:r>
        <w:rPr>
          <w:rFonts w:ascii="Arial" w:cs="Arial" w:eastAsia="Arial" w:hAnsi="Arial"/>
          <w:sz w:val="16"/>
          <w:szCs w:val="16"/>
          <w:u w:val="single" w:color="auto"/>
          <w:color w:val="auto"/>
        </w:rPr>
        <w:t>Notices.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Promptly notify the Administrative Agent (for delivery to each Lender):</w:t>
      </w:r>
    </w:p>
    <w:p>
      <w:pPr>
        <w:spacing w:after="0" w:line="171" w:lineRule="exact"/>
        <w:rPr>
          <w:sz w:val="20"/>
          <w:szCs w:val="20"/>
          <w:color w:val="auto"/>
        </w:rPr>
      </w:pPr>
    </w:p>
    <w:p>
      <w:pPr>
        <w:ind w:left="700" w:hanging="236"/>
        <w:spacing w:after="0"/>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of the occurrence of any Default of which a Responsible Officer has knowledge;</w:t>
      </w:r>
    </w:p>
    <w:p>
      <w:pPr>
        <w:spacing w:after="0" w:line="171" w:lineRule="exact"/>
        <w:rPr>
          <w:rFonts w:ascii="Arial" w:cs="Arial" w:eastAsia="Arial" w:hAnsi="Arial"/>
          <w:sz w:val="18"/>
          <w:szCs w:val="18"/>
          <w:color w:val="auto"/>
        </w:rPr>
      </w:pPr>
    </w:p>
    <w:p>
      <w:pPr>
        <w:ind w:right="180" w:firstLine="464"/>
        <w:spacing w:after="0" w:line="294" w:lineRule="auto"/>
        <w:tabs>
          <w:tab w:leader="none" w:pos="705" w:val="left"/>
        </w:tabs>
        <w:numPr>
          <w:ilvl w:val="0"/>
          <w:numId w:val="90"/>
        </w:numPr>
        <w:rPr>
          <w:rFonts w:ascii="Arial" w:cs="Arial" w:eastAsia="Arial" w:hAnsi="Arial"/>
          <w:sz w:val="16"/>
          <w:szCs w:val="16"/>
          <w:color w:val="auto"/>
        </w:rPr>
      </w:pPr>
      <w:r>
        <w:rPr>
          <w:rFonts w:ascii="Arial" w:cs="Arial" w:eastAsia="Arial" w:hAnsi="Arial"/>
          <w:sz w:val="16"/>
          <w:szCs w:val="16"/>
          <w:color w:val="auto"/>
        </w:rPr>
        <w:t>of any matter that has resulted or would reasonably be expected to result in a Material Adverse Effect, including (to the extent any of the following in this clause (b) has resulted or would reasonably be expected to result in a Material Adverse Effect) (i) breach or non-performance of, or any default under, a Contractual Obligation of the Borrower or any Subsidiary; (ii) any dispute, litigation, investigation, proceeding or suspension between the Borrower or any Subsidiary and any Governmental Authority; (iii) the commencement of, or any material development in, any litigation or proceeding affecting the Borrower or any Subsidiary, including pursuant to any applicable Environmental Laws; or (iv) the occurrence of any ERISA Event;</w:t>
      </w:r>
    </w:p>
    <w:p>
      <w:pPr>
        <w:spacing w:after="0" w:line="115" w:lineRule="exact"/>
        <w:rPr>
          <w:rFonts w:ascii="Arial" w:cs="Arial" w:eastAsia="Arial" w:hAnsi="Arial"/>
          <w:sz w:val="16"/>
          <w:szCs w:val="16"/>
          <w:color w:val="auto"/>
        </w:rPr>
      </w:pPr>
    </w:p>
    <w:p>
      <w:pPr>
        <w:ind w:left="700" w:hanging="236"/>
        <w:spacing w:after="0"/>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ind w:right="300" w:firstLine="464"/>
        <w:spacing w:after="0" w:line="268" w:lineRule="auto"/>
        <w:tabs>
          <w:tab w:leader="none" w:pos="705"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of any material change in accounting policies or financial reporting practices by the Borrower or any Subsidiary, including any determination by the Borrower referred to in </w:t>
      </w:r>
      <w:r>
        <w:rPr>
          <w:rFonts w:ascii="Arial" w:cs="Arial" w:eastAsia="Arial" w:hAnsi="Arial"/>
          <w:sz w:val="18"/>
          <w:szCs w:val="18"/>
          <w:u w:val="single" w:color="auto"/>
          <w:color w:val="auto"/>
        </w:rPr>
        <w:t>Section 2.10(b)</w:t>
      </w:r>
      <w:r>
        <w:rPr>
          <w:rFonts w:ascii="Arial" w:cs="Arial" w:eastAsia="Arial" w:hAnsi="Arial"/>
          <w:sz w:val="18"/>
          <w:szCs w:val="18"/>
          <w:color w:val="auto"/>
        </w:rPr>
        <w:t>; and</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of any announcement by Moody’s or S&amp;P of any change in a Debt Rating.</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Each notice pursuant to this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6.03(e)</w:t>
      </w:r>
      <w:r>
        <w:rPr>
          <w:rFonts w:ascii="Arial" w:cs="Arial" w:eastAsia="Arial" w:hAnsi="Arial"/>
          <w:sz w:val="16"/>
          <w:szCs w:val="16"/>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shall describe with particularity any and all provisions of this Agreement and any other Loan Document that have been breached.</w:t>
      </w:r>
    </w:p>
    <w:p>
      <w:pPr>
        <w:spacing w:after="0" w:line="22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6.04</w:t>
      </w:r>
      <w:r>
        <w:rPr>
          <w:sz w:val="20"/>
          <w:szCs w:val="20"/>
          <w:color w:val="auto"/>
        </w:rPr>
        <w:tab/>
      </w:r>
      <w:r>
        <w:rPr>
          <w:rFonts w:ascii="Arial" w:cs="Arial" w:eastAsia="Arial" w:hAnsi="Arial"/>
          <w:sz w:val="16"/>
          <w:szCs w:val="16"/>
          <w:u w:val="single" w:color="auto"/>
          <w:color w:val="auto"/>
        </w:rPr>
        <w:t>Payment of Obligations.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Pay and discharge as the same shall become due and payable, (a) all tax liabilities, assessments and governmental charges or levies upon it or its properties or assets; and (b) all lawful claims which, if unpaid, would by law become a Lien upon its property (other than Liens permitted by </w:t>
      </w:r>
      <w:r>
        <w:rPr>
          <w:rFonts w:ascii="Arial" w:cs="Arial" w:eastAsia="Arial" w:hAnsi="Arial"/>
          <w:sz w:val="18"/>
          <w:szCs w:val="18"/>
          <w:u w:val="single" w:color="auto"/>
          <w:color w:val="auto"/>
        </w:rPr>
        <w:t>Section 7.01(c)</w:t>
      </w:r>
      <w:r>
        <w:rPr>
          <w:rFonts w:ascii="Arial" w:cs="Arial" w:eastAsia="Arial" w:hAnsi="Arial"/>
          <w:sz w:val="18"/>
          <w:szCs w:val="18"/>
          <w:color w:val="auto"/>
        </w:rPr>
        <w:t>), except in each case (i) to the extent that the same are being contested in good faith by appropriate proceedings diligently conducted and adequate reserves in accordance with GAAP are being maintained by the Borrower or such Subsidiary, or (ii) where any failure to do so could not reasonably be expected to result in a Material Adverse Effect.</w:t>
      </w:r>
    </w:p>
    <w:p>
      <w:pPr>
        <w:spacing w:after="0" w:line="26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6.05</w:t>
      </w:r>
      <w:r>
        <w:rPr>
          <w:sz w:val="20"/>
          <w:szCs w:val="20"/>
          <w:color w:val="auto"/>
        </w:rPr>
        <w:tab/>
      </w:r>
      <w:r>
        <w:rPr>
          <w:rFonts w:ascii="Arial" w:cs="Arial" w:eastAsia="Arial" w:hAnsi="Arial"/>
          <w:sz w:val="15"/>
          <w:szCs w:val="15"/>
          <w:u w:val="single" w:color="auto"/>
          <w:color w:val="auto"/>
        </w:rPr>
        <w:t>Preservation of Existence, Etc.</w:t>
      </w:r>
    </w:p>
    <w:p>
      <w:pPr>
        <w:spacing w:after="0" w:line="90" w:lineRule="exact"/>
        <w:rPr>
          <w:sz w:val="20"/>
          <w:szCs w:val="20"/>
          <w:color w:val="auto"/>
        </w:rPr>
      </w:pPr>
    </w:p>
    <w:p>
      <w:pPr>
        <w:ind w:right="160" w:firstLine="464"/>
        <w:spacing w:after="0" w:line="259" w:lineRule="auto"/>
        <w:tabs>
          <w:tab w:leader="none" w:pos="695"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Preserve, renew and maintain in full force and effect its legal existence and good standing under the Laws of the jurisdiction of its organization except in a transaction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and except in the case of Subsidiaries (other than Material Subsidiaries) where the failure to do so would not, individually or in the aggregate, reasonably be expected to have a Material Adverse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70" w:name="page71"/>
    <w:bookmarkEnd w:id="70"/>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 (b) take all reasonable action to maintain all rights, privileges, permits, licenses and franchises necessary or desirable in the normal conduct of its business, except to the extent that failure to do so would not reasonably be expected to have a Material Adverse Effect; and (c) preserve or renew all of its registered copyrights, patents, trademarks, trade names and service marks, the non-preservation of which would have or be reasonably expected to have a Material Adverse Effect.</w:t>
      </w:r>
    </w:p>
    <w:p>
      <w:pPr>
        <w:spacing w:after="0" w:line="26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6.06</w:t>
      </w:r>
      <w:r>
        <w:rPr>
          <w:sz w:val="20"/>
          <w:szCs w:val="20"/>
          <w:color w:val="auto"/>
        </w:rPr>
        <w:tab/>
      </w:r>
      <w:r>
        <w:rPr>
          <w:rFonts w:ascii="Arial" w:cs="Arial" w:eastAsia="Arial" w:hAnsi="Arial"/>
          <w:sz w:val="15"/>
          <w:szCs w:val="15"/>
          <w:u w:val="single" w:color="auto"/>
          <w:color w:val="auto"/>
        </w:rPr>
        <w:t>Maintenance of Properties.</w:t>
      </w:r>
    </w:p>
    <w:p>
      <w:pPr>
        <w:spacing w:after="0" w:line="90" w:lineRule="exact"/>
        <w:rPr>
          <w:sz w:val="20"/>
          <w:szCs w:val="20"/>
          <w:color w:val="auto"/>
        </w:rPr>
      </w:pPr>
    </w:p>
    <w:p>
      <w:pPr>
        <w:ind w:right="600" w:firstLine="464"/>
        <w:spacing w:after="0" w:line="305" w:lineRule="auto"/>
        <w:tabs>
          <w:tab w:leader="none" w:pos="695" w:val="left"/>
        </w:tabs>
        <w:numPr>
          <w:ilvl w:val="1"/>
          <w:numId w:val="92"/>
        </w:numPr>
        <w:rPr>
          <w:rFonts w:ascii="Arial" w:cs="Arial" w:eastAsia="Arial" w:hAnsi="Arial"/>
          <w:sz w:val="15"/>
          <w:szCs w:val="15"/>
          <w:color w:val="auto"/>
        </w:rPr>
      </w:pPr>
      <w:r>
        <w:rPr>
          <w:rFonts w:ascii="Arial" w:cs="Arial" w:eastAsia="Arial" w:hAnsi="Arial"/>
          <w:sz w:val="15"/>
          <w:szCs w:val="15"/>
          <w:color w:val="auto"/>
        </w:rPr>
        <w:t>Maintain, preserve and protect all of its material properties and equipment necessary in the operation of its business in good working order and condition, ordinary wear and tear excepted; (b) make all necessary repairs thereto and renewals and replacements thereof except, in each of clause (a) and</w:t>
      </w:r>
    </w:p>
    <w:p>
      <w:pPr>
        <w:ind w:firstLine="8"/>
        <w:spacing w:after="0" w:line="261" w:lineRule="auto"/>
        <w:tabs>
          <w:tab w:leader="none" w:pos="249" w:val="left"/>
        </w:tabs>
        <w:numPr>
          <w:ilvl w:val="0"/>
          <w:numId w:val="93"/>
        </w:numPr>
        <w:rPr>
          <w:rFonts w:ascii="Arial" w:cs="Arial" w:eastAsia="Arial" w:hAnsi="Arial"/>
          <w:sz w:val="18"/>
          <w:szCs w:val="18"/>
          <w:color w:val="auto"/>
        </w:rPr>
      </w:pPr>
      <w:r>
        <w:rPr>
          <w:rFonts w:ascii="Arial" w:cs="Arial" w:eastAsia="Arial" w:hAnsi="Arial"/>
          <w:sz w:val="18"/>
          <w:szCs w:val="18"/>
          <w:color w:val="auto"/>
        </w:rPr>
        <w:t>above, where the failure to do so would not reasonably be expected to have a Material Adverse Effect and (c) use the reasonable standard of care typical in the industry in the operation and maintenance of its facilities.</w:t>
      </w:r>
    </w:p>
    <w:p>
      <w:pPr>
        <w:spacing w:after="0" w:line="25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6.07</w:t>
      </w:r>
      <w:r>
        <w:rPr>
          <w:sz w:val="20"/>
          <w:szCs w:val="20"/>
          <w:color w:val="auto"/>
        </w:rPr>
        <w:tab/>
      </w:r>
      <w:r>
        <w:rPr>
          <w:rFonts w:ascii="Arial" w:cs="Arial" w:eastAsia="Arial" w:hAnsi="Arial"/>
          <w:sz w:val="15"/>
          <w:szCs w:val="15"/>
          <w:u w:val="single" w:color="auto"/>
          <w:color w:val="auto"/>
        </w:rPr>
        <w:t>Maintenance of Insurance.</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Maintain insurance with insurance companies (and, to the Borrower’s knowledge, with such insurance companies that are financially sound and reputable) with respect to its properties and business against loss or damage of the kinds customarily insured against by Persons engaged in the same or similar business, of such types and in such amounts as are customarily carried under similar circumstances by such other Persons.</w:t>
      </w:r>
    </w:p>
    <w:p>
      <w:pPr>
        <w:spacing w:after="0" w:line="22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6.08</w:t>
      </w:r>
      <w:r>
        <w:rPr>
          <w:sz w:val="20"/>
          <w:szCs w:val="20"/>
          <w:color w:val="auto"/>
        </w:rPr>
        <w:tab/>
      </w:r>
      <w:r>
        <w:rPr>
          <w:rFonts w:ascii="Arial" w:cs="Arial" w:eastAsia="Arial" w:hAnsi="Arial"/>
          <w:sz w:val="16"/>
          <w:szCs w:val="16"/>
          <w:u w:val="single" w:color="auto"/>
          <w:color w:val="auto"/>
        </w:rPr>
        <w:t>Compliance with Laws.</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Comply in all respects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would not reasonably be expected to have a Material Adverse Effect.</w:t>
      </w:r>
    </w:p>
    <w:p>
      <w:pPr>
        <w:spacing w:after="0" w:line="22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6.09</w:t>
      </w:r>
      <w:r>
        <w:rPr>
          <w:sz w:val="20"/>
          <w:szCs w:val="20"/>
          <w:color w:val="auto"/>
        </w:rPr>
        <w:tab/>
      </w:r>
      <w:r>
        <w:rPr>
          <w:rFonts w:ascii="Arial" w:cs="Arial" w:eastAsia="Arial" w:hAnsi="Arial"/>
          <w:sz w:val="15"/>
          <w:szCs w:val="15"/>
          <w:u w:val="single" w:color="auto"/>
          <w:color w:val="auto"/>
        </w:rPr>
        <w:t>Books and Records.</w:t>
      </w:r>
    </w:p>
    <w:p>
      <w:pPr>
        <w:spacing w:after="0" w:line="90" w:lineRule="exact"/>
        <w:rPr>
          <w:sz w:val="20"/>
          <w:szCs w:val="20"/>
          <w:color w:val="auto"/>
        </w:rPr>
      </w:pPr>
    </w:p>
    <w:p>
      <w:pPr>
        <w:ind w:right="100" w:firstLine="464"/>
        <w:spacing w:after="0" w:line="256" w:lineRule="auto"/>
        <w:tabs>
          <w:tab w:leader="none" w:pos="695"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Maintain proper books of record and account, in which full, true and correct entries in conformity with GAAP consistently applied shall be made of all financial transactions and matters involving the assets and business of the Borrower and its Subsidiaries and (b) maintain such books of record and account in material conformity with all applicable requirements of any Governmental Authority having regulatory jurisdiction over the Borrower or any Subsidiary, as the case may be.</w:t>
      </w:r>
    </w:p>
    <w:p>
      <w:pPr>
        <w:spacing w:after="0" w:line="26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6"/>
          <w:szCs w:val="16"/>
          <w:u w:val="single" w:color="auto"/>
          <w:color w:val="auto"/>
        </w:rPr>
        <w:t>Inspection Rights.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Permit representatives and independent contractors of the Administrative Agent to visit and inspect any of its properties, to examine its corporate, financial and operating records, and make copies thereof or abstracts therefrom, and to discuss its affairs, finances and accounts with its directors, officers, and independent public accountants, at such reasonable times during normal business hours and as often as may be reasonably desired, upon reasonable advance notice to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unless an Event of Default shall have occurred and be continuing, the Administrative Agent shall not (whether at its own request or at the request of a Lender) exercise such rights more than one time in any calendar year,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when an Event of Default exists the Administrative Agent or any Lender (or any of their respective representatives or independent contractors) may do any of the foregoing at the expense of the Borrower at any time during normal business hours and without advance notice.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80" w:right="259" w:bottom="1440" w:gutter="0" w:footer="0" w:header="0"/>
        </w:sectPr>
      </w:pPr>
    </w:p>
    <w:bookmarkStart w:id="71" w:name="page72"/>
    <w:bookmarkEnd w:id="71"/>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6.11</w:t>
      </w:r>
      <w:r>
        <w:rPr>
          <w:sz w:val="20"/>
          <w:szCs w:val="20"/>
          <w:color w:val="auto"/>
        </w:rPr>
        <w:tab/>
      </w:r>
      <w:r>
        <w:rPr>
          <w:rFonts w:ascii="Arial" w:cs="Arial" w:eastAsia="Arial" w:hAnsi="Arial"/>
          <w:sz w:val="15"/>
          <w:szCs w:val="15"/>
          <w:u w:val="single" w:color="auto"/>
          <w:color w:val="auto"/>
        </w:rPr>
        <w:t>Use of Proceeds.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Use the proceeds of the Credit Extensions (a) to repay existing indebtedness and (b) for stock repurchases, acquisitions, capital expenditures, working capital and other lawful corporate purposes.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NEGATIVE COVENANTS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So long as any Lender shall have any Commitment hereunder, any Loan or other Obligation hereunder shall remain unpaid or unsatisfied, or any Letter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Credit shall remain outstanding:</w:t>
      </w:r>
    </w:p>
    <w:p>
      <w:pPr>
        <w:spacing w:after="0" w:line="28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7.01</w:t>
      </w:r>
      <w:r>
        <w:rPr>
          <w:sz w:val="20"/>
          <w:szCs w:val="20"/>
          <w:color w:val="auto"/>
        </w:rPr>
        <w:tab/>
      </w:r>
      <w:r>
        <w:rPr>
          <w:rFonts w:ascii="Arial" w:cs="Arial" w:eastAsia="Arial" w:hAnsi="Arial"/>
          <w:sz w:val="15"/>
          <w:szCs w:val="15"/>
          <w:u w:val="single" w:color="auto"/>
          <w:color w:val="auto"/>
        </w:rPr>
        <w:t>Liens.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Borrower shall not, nor shall it permit any Subsidiary to, directly or indirectly, create, incur, assume or suffer to exist any Lien upon any of its property, assets or revenues, whether now owned or hereafter acquired, other than the following:</w:t>
      </w:r>
    </w:p>
    <w:p>
      <w:pPr>
        <w:spacing w:after="0" w:line="51" w:lineRule="exact"/>
        <w:rPr>
          <w:sz w:val="20"/>
          <w:szCs w:val="20"/>
          <w:color w:val="auto"/>
        </w:rPr>
      </w:pPr>
    </w:p>
    <w:p>
      <w:pPr>
        <w:ind w:left="460" w:firstLine="443"/>
        <w:spacing w:after="0" w:line="259" w:lineRule="auto"/>
        <w:tabs>
          <w:tab w:leader="none" w:pos="1137"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Liens pursuant to any Loan Document and Liens existing on the Closing Date as set forth on </w:t>
      </w:r>
      <w:r>
        <w:rPr>
          <w:rFonts w:ascii="Arial" w:cs="Arial" w:eastAsia="Arial" w:hAnsi="Arial"/>
          <w:sz w:val="18"/>
          <w:szCs w:val="18"/>
          <w:u w:val="single" w:color="auto"/>
          <w:color w:val="auto"/>
        </w:rPr>
        <w:t>Schedule 7.01</w:t>
      </w:r>
      <w:r>
        <w:rPr>
          <w:rFonts w:ascii="Arial" w:cs="Arial" w:eastAsia="Arial" w:hAnsi="Arial"/>
          <w:sz w:val="18"/>
          <w:szCs w:val="18"/>
          <w:color w:val="auto"/>
        </w:rPr>
        <w:t xml:space="preserve"> and any renewals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property covered thereby is not changed, (ii) the amount secured or benefited thereby is not increased and (iii) the direct or any contingent obligor with respect thereto is not changed.</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Liens for taxes not yet due or which are being contested in good faith and by appropriate proceedings diligently conducted, if adequate reserves with respect thereto are maintained on the books of the applicable Person in accordance with GAAP;</w:t>
      </w:r>
    </w:p>
    <w:p>
      <w:pPr>
        <w:spacing w:after="0" w:line="50" w:lineRule="exact"/>
        <w:rPr>
          <w:rFonts w:ascii="Arial" w:cs="Arial" w:eastAsia="Arial" w:hAnsi="Arial"/>
          <w:sz w:val="18"/>
          <w:szCs w:val="18"/>
          <w:color w:val="auto"/>
        </w:rPr>
      </w:pPr>
    </w:p>
    <w:p>
      <w:pPr>
        <w:ind w:left="460" w:right="280" w:firstLine="443"/>
        <w:spacing w:after="0" w:line="259" w:lineRule="auto"/>
        <w:tabs>
          <w:tab w:leader="none" w:pos="1137" w:val="left"/>
        </w:tabs>
        <w:numPr>
          <w:ilvl w:val="0"/>
          <w:numId w:val="95"/>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w:t>
      </w:r>
    </w:p>
    <w:p>
      <w:pPr>
        <w:spacing w:after="0" w:line="59"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pledges or deposits in the ordinary course of business in connection with workers’ compensation, unemployment insurance and other social security legislation, other than any Lien imposed by ERISA;</w:t>
      </w:r>
    </w:p>
    <w:p>
      <w:pPr>
        <w:spacing w:after="0" w:line="50" w:lineRule="exact"/>
        <w:rPr>
          <w:rFonts w:ascii="Arial" w:cs="Arial" w:eastAsia="Arial" w:hAnsi="Arial"/>
          <w:sz w:val="18"/>
          <w:szCs w:val="18"/>
          <w:color w:val="auto"/>
        </w:rPr>
      </w:pPr>
    </w:p>
    <w:p>
      <w:pPr>
        <w:ind w:left="460" w:firstLine="443"/>
        <w:spacing w:after="0" w:line="259" w:lineRule="auto"/>
        <w:tabs>
          <w:tab w:leader="none" w:pos="1137"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and leases (other than Indebtedness), statutory obligations, surety and appeal bonds, performance bonds and other obligations of a like nature incurred in the ordinary course of business, including deposits securing reimbursement obligations under commercial letters of credit that do not constitute Indebtedness;</w:t>
      </w:r>
    </w:p>
    <w:p>
      <w:pPr>
        <w:spacing w:after="0" w:line="59" w:lineRule="exact"/>
        <w:rPr>
          <w:rFonts w:ascii="Arial" w:cs="Arial" w:eastAsia="Arial" w:hAnsi="Arial"/>
          <w:sz w:val="18"/>
          <w:szCs w:val="18"/>
          <w:color w:val="auto"/>
        </w:rPr>
      </w:pPr>
    </w:p>
    <w:p>
      <w:pPr>
        <w:ind w:left="460" w:right="160" w:firstLine="443"/>
        <w:spacing w:after="0" w:line="259" w:lineRule="auto"/>
        <w:tabs>
          <w:tab w:leader="none" w:pos="1117"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59"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Liens securing judgments for the payment of money not constituting an Event of Default under </w:t>
      </w:r>
      <w:r>
        <w:rPr>
          <w:rFonts w:ascii="Arial" w:cs="Arial" w:eastAsia="Arial" w:hAnsi="Arial"/>
          <w:sz w:val="18"/>
          <w:szCs w:val="18"/>
          <w:u w:val="single" w:color="auto"/>
          <w:color w:val="auto"/>
        </w:rPr>
        <w:t>Section 8.01(h)</w:t>
      </w:r>
      <w:r>
        <w:rPr>
          <w:rFonts w:ascii="Arial" w:cs="Arial" w:eastAsia="Arial" w:hAnsi="Arial"/>
          <w:sz w:val="18"/>
          <w:szCs w:val="18"/>
          <w:color w:val="auto"/>
        </w:rPr>
        <w:t xml:space="preserve"> or securing appeal or other surety bonds related to such judgments;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0" w:right="239" w:bottom="1440" w:gutter="0" w:footer="0" w:header="0"/>
        </w:sectPr>
      </w:pPr>
    </w:p>
    <w:bookmarkStart w:id="72" w:name="page73"/>
    <w:bookmarkEnd w:id="72"/>
    <w:p>
      <w:pPr>
        <w:ind w:left="1160" w:hanging="257"/>
        <w:spacing w:after="0"/>
        <w:tabs>
          <w:tab w:leader="none" w:pos="1160" w:val="left"/>
        </w:tabs>
        <w:numPr>
          <w:ilvl w:val="1"/>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precautionary UCC filings in respect of operating leases;</w:t>
      </w:r>
    </w:p>
    <w:p>
      <w:pPr>
        <w:spacing w:after="0" w:line="90" w:lineRule="exact"/>
        <w:rPr>
          <w:rFonts w:ascii="Arial" w:cs="Arial" w:eastAsia="Arial" w:hAnsi="Arial"/>
          <w:sz w:val="18"/>
          <w:szCs w:val="18"/>
          <w:color w:val="auto"/>
        </w:rPr>
      </w:pPr>
    </w:p>
    <w:p>
      <w:pPr>
        <w:ind w:left="460" w:firstLine="443"/>
        <w:spacing w:after="0" w:line="268" w:lineRule="auto"/>
        <w:tabs>
          <w:tab w:leader="none" w:pos="1108" w:val="left"/>
        </w:tabs>
        <w:numPr>
          <w:ilvl w:val="1"/>
          <w:numId w:val="96"/>
        </w:numPr>
        <w:rPr>
          <w:rFonts w:ascii="Arial" w:cs="Arial" w:eastAsia="Arial" w:hAnsi="Arial"/>
          <w:sz w:val="18"/>
          <w:szCs w:val="18"/>
          <w:color w:val="auto"/>
        </w:rPr>
      </w:pPr>
      <w:r>
        <w:rPr>
          <w:rFonts w:ascii="Arial" w:cs="Arial" w:eastAsia="Arial" w:hAnsi="Arial"/>
          <w:sz w:val="18"/>
          <w:szCs w:val="18"/>
          <w:color w:val="auto"/>
        </w:rPr>
        <w:t>leases, licenses, subleases or sublicenses granted to others in the ordinary course of business which do not (i) interfere in any material respect with the business of the Borrower or the Borrower and its Subsidiaries taken as a whole or (ii) secure any Indebtedness;</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Liens securing Swap Contracts permitted under </w:t>
      </w:r>
      <w:r>
        <w:rPr>
          <w:rFonts w:ascii="Arial" w:cs="Arial" w:eastAsia="Arial" w:hAnsi="Arial"/>
          <w:sz w:val="18"/>
          <w:szCs w:val="18"/>
          <w:u w:val="single" w:color="auto"/>
          <w:color w:val="auto"/>
        </w:rPr>
        <w:t>Section 7.02(e)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1"/>
          <w:numId w:val="96"/>
        </w:numPr>
        <w:rPr>
          <w:rFonts w:ascii="Arial" w:cs="Arial" w:eastAsia="Arial" w:hAnsi="Arial"/>
          <w:sz w:val="18"/>
          <w:szCs w:val="18"/>
          <w:color w:val="auto"/>
        </w:rPr>
      </w:pPr>
      <w:r>
        <w:rPr>
          <w:rFonts w:ascii="Arial" w:cs="Arial" w:eastAsia="Arial" w:hAnsi="Arial"/>
          <w:sz w:val="18"/>
          <w:szCs w:val="18"/>
          <w:color w:val="auto"/>
        </w:rPr>
        <w:t>Liens in favor of a lessor under any lease entered into by the Borrower or any Subsidiary in the ordinary course of business but only with respect to the assets so leased;</w:t>
      </w:r>
    </w:p>
    <w:p>
      <w:pPr>
        <w:spacing w:after="0" w:line="50" w:lineRule="exact"/>
        <w:rPr>
          <w:rFonts w:ascii="Arial" w:cs="Arial" w:eastAsia="Arial" w:hAnsi="Arial"/>
          <w:sz w:val="18"/>
          <w:szCs w:val="18"/>
          <w:color w:val="auto"/>
        </w:rPr>
      </w:pPr>
    </w:p>
    <w:p>
      <w:pPr>
        <w:ind w:left="460" w:right="20" w:firstLine="443"/>
        <w:spacing w:after="0" w:line="259" w:lineRule="auto"/>
        <w:tabs>
          <w:tab w:leader="none" w:pos="1108"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7.02(f)</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do not at any time encumber any property other than the property financed by such Indebtedness and (ii) the Indebtedness secured thereby does not exceed the cost or fair market value, whichever is lower, of the property being acquired on the date of acquisition;</w:t>
      </w:r>
    </w:p>
    <w:p>
      <w:pPr>
        <w:spacing w:after="0" w:line="59" w:lineRule="exact"/>
        <w:rPr>
          <w:rFonts w:ascii="Arial" w:cs="Arial" w:eastAsia="Arial" w:hAnsi="Arial"/>
          <w:sz w:val="18"/>
          <w:szCs w:val="18"/>
          <w:color w:val="auto"/>
        </w:rPr>
      </w:pPr>
    </w:p>
    <w:p>
      <w:pPr>
        <w:ind w:left="1200" w:hanging="297"/>
        <w:spacing w:after="0"/>
        <w:tabs>
          <w:tab w:leader="none" w:pos="1200" w:val="left"/>
        </w:tabs>
        <w:numPr>
          <w:ilvl w:val="1"/>
          <w:numId w:val="96"/>
        </w:numPr>
        <w:rPr>
          <w:rFonts w:ascii="Arial" w:cs="Arial" w:eastAsia="Arial" w:hAnsi="Arial"/>
          <w:sz w:val="16"/>
          <w:szCs w:val="16"/>
          <w:color w:val="auto"/>
        </w:rPr>
      </w:pPr>
      <w:r>
        <w:rPr>
          <w:rFonts w:ascii="Arial" w:cs="Arial" w:eastAsia="Arial" w:hAnsi="Arial"/>
          <w:sz w:val="16"/>
          <w:szCs w:val="16"/>
          <w:color w:val="auto"/>
        </w:rPr>
        <w:t>Liens on assets of any entity acquired by the Borrower or any of its Subsidiaries in a transaction permitted under this Agreement; provided that</w:t>
      </w:r>
    </w:p>
    <w:p>
      <w:pPr>
        <w:spacing w:after="0" w:line="38" w:lineRule="exact"/>
        <w:rPr>
          <w:rFonts w:ascii="Arial" w:cs="Arial" w:eastAsia="Arial" w:hAnsi="Arial"/>
          <w:sz w:val="16"/>
          <w:szCs w:val="16"/>
          <w:color w:val="auto"/>
        </w:rPr>
      </w:pPr>
    </w:p>
    <w:p>
      <w:pPr>
        <w:ind w:left="460" w:right="100" w:firstLine="4"/>
        <w:spacing w:after="0" w:line="261" w:lineRule="auto"/>
        <w:tabs>
          <w:tab w:leader="none" w:pos="67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such Liens are in existence on the date of such acquisition and not created in anticipation thereof and (ii) such Liens are released within 180 days of the consummation of such acquisition; and</w:t>
      </w:r>
    </w:p>
    <w:p>
      <w:pPr>
        <w:spacing w:after="0" w:line="56" w:lineRule="exact"/>
        <w:rPr>
          <w:rFonts w:ascii="Arial" w:cs="Arial" w:eastAsia="Arial" w:hAnsi="Arial"/>
          <w:sz w:val="18"/>
          <w:szCs w:val="18"/>
          <w:color w:val="auto"/>
        </w:rPr>
      </w:pPr>
    </w:p>
    <w:p>
      <w:pPr>
        <w:ind w:left="460" w:right="20" w:firstLine="443"/>
        <w:spacing w:after="0" w:line="268" w:lineRule="auto"/>
        <w:tabs>
          <w:tab w:leader="none" w:pos="1147"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Liens securing Indebtedness of the Borrower and its Subsidiaries (in addition to </w:t>
      </w:r>
      <w:r>
        <w:rPr>
          <w:rFonts w:ascii="Arial" w:cs="Arial" w:eastAsia="Arial" w:hAnsi="Arial"/>
          <w:sz w:val="18"/>
          <w:szCs w:val="18"/>
          <w:u w:val="single" w:color="auto"/>
          <w:color w:val="auto"/>
        </w:rPr>
        <w:t>Sections 7.01(l)</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(m)</w:t>
      </w:r>
      <w:r>
        <w:rPr>
          <w:rFonts w:ascii="Arial" w:cs="Arial" w:eastAsia="Arial" w:hAnsi="Arial"/>
          <w:sz w:val="18"/>
          <w:szCs w:val="18"/>
          <w:color w:val="auto"/>
        </w:rPr>
        <w:t xml:space="preserve"> above) in an aggregate principal amount not to exceed, at any one time, the greater of (i) $250,000,000 or (ii) 5% of Consolidated Tangible Assets.</w:t>
      </w:r>
    </w:p>
    <w:p>
      <w:pPr>
        <w:spacing w:after="0" w:line="25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7.02</w:t>
      </w:r>
      <w:r>
        <w:rPr>
          <w:sz w:val="20"/>
          <w:szCs w:val="20"/>
          <w:color w:val="auto"/>
        </w:rPr>
        <w:tab/>
      </w:r>
      <w:r>
        <w:rPr>
          <w:rFonts w:ascii="Arial" w:cs="Arial" w:eastAsia="Arial" w:hAnsi="Arial"/>
          <w:sz w:val="15"/>
          <w:szCs w:val="15"/>
          <w:u w:val="single" w:color="auto"/>
          <w:color w:val="auto"/>
        </w:rPr>
        <w:t>Indebtedness.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will not permit its Subsidiaries to, directly or indirectly, create, assume or incur any Indebtedness except for the following:</w:t>
      </w:r>
    </w:p>
    <w:p>
      <w:pPr>
        <w:spacing w:after="0" w:line="90" w:lineRule="exact"/>
        <w:rPr>
          <w:sz w:val="20"/>
          <w:szCs w:val="20"/>
          <w:color w:val="auto"/>
        </w:rPr>
      </w:pPr>
    </w:p>
    <w:p>
      <w:pPr>
        <w:ind w:left="1140" w:hanging="237"/>
        <w:spacing w:after="0"/>
        <w:tabs>
          <w:tab w:leader="none" w:pos="11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Indebtedness created under the Loan Documents;</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Indebtedness existing on the Closing Date as set forth on </w:t>
      </w:r>
      <w:r>
        <w:rPr>
          <w:rFonts w:ascii="Arial" w:cs="Arial" w:eastAsia="Arial" w:hAnsi="Arial"/>
          <w:sz w:val="18"/>
          <w:szCs w:val="18"/>
          <w:u w:val="single" w:color="auto"/>
          <w:color w:val="auto"/>
        </w:rPr>
        <w:t>Schedule 7.02</w:t>
      </w:r>
      <w:r>
        <w:rPr>
          <w:rFonts w:ascii="Arial" w:cs="Arial" w:eastAsia="Arial" w:hAnsi="Arial"/>
          <w:sz w:val="18"/>
          <w:szCs w:val="18"/>
          <w:color w:val="auto"/>
        </w:rPr>
        <w:t xml:space="preserve"> and extensions, renewals and replacements of any such Indebtedness in a principal amount not in excess of that outstanding as of the date hereof plus amounts equal to a reasonable premium or other reasonable amounts paid and fees and expenses reasonably incurred in connection with such financing;</w:t>
      </w:r>
    </w:p>
    <w:p>
      <w:pPr>
        <w:spacing w:after="0" w:line="59" w:lineRule="exact"/>
        <w:rPr>
          <w:rFonts w:ascii="Arial" w:cs="Arial" w:eastAsia="Arial" w:hAnsi="Arial"/>
          <w:sz w:val="18"/>
          <w:szCs w:val="18"/>
          <w:color w:val="auto"/>
        </w:rPr>
      </w:pPr>
    </w:p>
    <w:p>
      <w:pPr>
        <w:ind w:left="1140" w:hanging="237"/>
        <w:spacing w:after="0"/>
        <w:tabs>
          <w:tab w:leader="none" w:pos="11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Indebtedness of any Subsidiary to the Borrower or any other Subsidiary;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guarantees by any Subsidiary of Indebtedness of any other Subsidiary permitted hereunder;</w:t>
      </w:r>
    </w:p>
    <w:p>
      <w:pPr>
        <w:spacing w:after="0" w:line="90" w:lineRule="exact"/>
        <w:rPr>
          <w:rFonts w:ascii="Arial" w:cs="Arial" w:eastAsia="Arial" w:hAnsi="Arial"/>
          <w:sz w:val="18"/>
          <w:szCs w:val="18"/>
          <w:color w:val="auto"/>
        </w:rPr>
      </w:pPr>
    </w:p>
    <w:p>
      <w:pPr>
        <w:ind w:left="460" w:right="80" w:firstLine="443"/>
        <w:spacing w:after="0" w:line="256" w:lineRule="auto"/>
        <w:tabs>
          <w:tab w:leader="none" w:pos="1137"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obligations (contingent or otherwise) of any Subsidiary existing or arising under any Swap Contract;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obligations are (or were) entered into by such Subsidiary in the ordinary course of business for the purpose of directly mitigating risks associated with liabilities, commitments, investments, assets, or property held or reasonably anticipated by such Subsidiary, or changes in the value of securities issued by such Subsidiary, and not for purposes of speculation or taking a “market view”;</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80" w:right="259" w:bottom="1440" w:gutter="0" w:footer="0" w:header="0"/>
        </w:sectPr>
      </w:pPr>
    </w:p>
    <w:bookmarkStart w:id="73" w:name="page74"/>
    <w:bookmarkEnd w:id="73"/>
    <w:p>
      <w:pPr>
        <w:ind w:left="460" w:right="120" w:firstLine="443"/>
        <w:spacing w:after="0" w:line="268" w:lineRule="auto"/>
        <w:tabs>
          <w:tab w:leader="none" w:pos="1117"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in respect of capital leases, Synthetic Lease Obligations and purchase money obligations for fixed or capital assets in an aggregate amount not to exceed, at any one time, $150,000,000; and</w:t>
      </w:r>
    </w:p>
    <w:p>
      <w:pPr>
        <w:spacing w:after="0" w:line="50"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99"/>
        </w:numPr>
        <w:rPr>
          <w:rFonts w:ascii="Arial" w:cs="Arial" w:eastAsia="Arial" w:hAnsi="Arial"/>
          <w:sz w:val="18"/>
          <w:szCs w:val="18"/>
          <w:color w:val="auto"/>
        </w:rPr>
      </w:pPr>
      <w:r>
        <w:rPr>
          <w:rFonts w:ascii="Arial" w:cs="Arial" w:eastAsia="Arial" w:hAnsi="Arial"/>
          <w:sz w:val="18"/>
          <w:szCs w:val="18"/>
          <w:color w:val="auto"/>
        </w:rPr>
        <w:t>other Indebtedness in an aggregate principal amount not to exceed, at any one time outstanding, the greater of (i) $150,000,000 or (ii) 5% of Consolidated Tangible Assets.</w:t>
      </w:r>
    </w:p>
    <w:p>
      <w:pPr>
        <w:spacing w:after="0" w:line="25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7.03</w:t>
      </w:r>
      <w:r>
        <w:rPr>
          <w:sz w:val="20"/>
          <w:szCs w:val="20"/>
          <w:color w:val="auto"/>
        </w:rPr>
        <w:tab/>
      </w:r>
      <w:r>
        <w:rPr>
          <w:rFonts w:ascii="Arial" w:cs="Arial" w:eastAsia="Arial" w:hAnsi="Arial"/>
          <w:sz w:val="15"/>
          <w:szCs w:val="15"/>
          <w:u w:val="single" w:color="auto"/>
          <w:color w:val="auto"/>
        </w:rPr>
        <w:t>Fundamental Changes.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Borrower shall not, nor shall it permit any Subsidiary to, directly or indirectly, merge, dissolve, liquidate or consolidate with or into another Person, except that, so long as no Default exists or would result therefrom:</w:t>
      </w:r>
    </w:p>
    <w:p>
      <w:pPr>
        <w:spacing w:after="0" w:line="51" w:lineRule="exact"/>
        <w:rPr>
          <w:sz w:val="20"/>
          <w:szCs w:val="20"/>
          <w:color w:val="auto"/>
        </w:rPr>
      </w:pPr>
    </w:p>
    <w:p>
      <w:pPr>
        <w:ind w:left="1140" w:hanging="237"/>
        <w:spacing w:after="0"/>
        <w:tabs>
          <w:tab w:leader="none" w:pos="11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the Borrower may merge with another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is the continuing or surviving Person; and</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Subsidiary may merge, consolidate, liquidate or dissolve if such merger, consolidation, liquidation or dissolution does not cause or is not reasonably expected to cause a Material Adverse Effect.</w:t>
      </w:r>
    </w:p>
    <w:p>
      <w:pPr>
        <w:spacing w:after="0" w:line="25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7.04</w:t>
      </w:r>
      <w:r>
        <w:rPr>
          <w:sz w:val="20"/>
          <w:szCs w:val="20"/>
          <w:color w:val="auto"/>
        </w:rPr>
        <w:tab/>
      </w:r>
      <w:r>
        <w:rPr>
          <w:rFonts w:ascii="Arial" w:cs="Arial" w:eastAsia="Arial" w:hAnsi="Arial"/>
          <w:sz w:val="16"/>
          <w:szCs w:val="16"/>
          <w:u w:val="single" w:color="auto"/>
          <w:color w:val="auto"/>
        </w:rPr>
        <w:t>Dispositions.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Borrower shall not, nor shall it permit any Subsidiary to, directly or indirectly, make any Disposition or enter into any agreement to make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Disposition, except:</w:t>
      </w:r>
    </w:p>
    <w:p>
      <w:pPr>
        <w:spacing w:after="0" w:line="84" w:lineRule="exact"/>
        <w:rPr>
          <w:sz w:val="20"/>
          <w:szCs w:val="20"/>
          <w:color w:val="auto"/>
        </w:rPr>
      </w:pPr>
    </w:p>
    <w:p>
      <w:pPr>
        <w:ind w:left="1140" w:hanging="237"/>
        <w:spacing w:after="0"/>
        <w:tabs>
          <w:tab w:leader="none" w:pos="11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Dispositions of obsolete or worn out property, whether now owned or hereafter acquired, in the ordinary course of business;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Dispositions of inventory in the ordinary course of business;</w:t>
      </w:r>
    </w:p>
    <w:p>
      <w:pPr>
        <w:spacing w:after="0" w:line="90" w:lineRule="exact"/>
        <w:rPr>
          <w:rFonts w:ascii="Arial" w:cs="Arial" w:eastAsia="Arial" w:hAnsi="Arial"/>
          <w:sz w:val="18"/>
          <w:szCs w:val="18"/>
          <w:color w:val="auto"/>
        </w:rPr>
      </w:pPr>
    </w:p>
    <w:p>
      <w:pPr>
        <w:ind w:left="460" w:right="540" w:firstLine="443"/>
        <w:spacing w:after="0" w:line="332" w:lineRule="auto"/>
        <w:tabs>
          <w:tab w:leader="none" w:pos="113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Dispositions of property from the Borrower to a Subsidiary or from a Subsidiary to the Borrower or another Subsidiary; and</w:t>
      </w:r>
    </w:p>
    <w:p>
      <w:pPr>
        <w:spacing w:after="0" w:line="90" w:lineRule="exact"/>
        <w:rPr>
          <w:rFonts w:ascii="Arial" w:cs="Arial" w:eastAsia="Arial" w:hAnsi="Arial"/>
          <w:sz w:val="18"/>
          <w:szCs w:val="18"/>
          <w:color w:val="auto"/>
        </w:rPr>
      </w:pPr>
    </w:p>
    <w:p>
      <w:pPr>
        <w:ind w:left="460" w:firstLine="443"/>
        <w:spacing w:after="0" w:line="255" w:lineRule="auto"/>
        <w:tabs>
          <w:tab w:leader="none" w:pos="113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Dispositions by the Borrower and its Subsidiaries not otherwise permitted under this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at the time of such Disposition, no Default shall exist or would result from such Disposition, (ii) such Disposition shall be for fair market value and (iii) the aggregate book value of all property disposed of in reliance on this clause (e) shall not exceed 30% of the consolidated total assets of the Borrower and its Subsidiaries, as determined in accordance with GAAP (measured as of the applicable date of the financial information most recently delivered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40"/>
          </w:cols>
          <w:pgMar w:left="240" w:top="280" w:right="319" w:bottom="1440" w:gutter="0" w:footer="0" w:header="0"/>
        </w:sectPr>
      </w:pPr>
    </w:p>
    <w:bookmarkStart w:id="74" w:name="page75"/>
    <w:bookmarkEnd w:id="74"/>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7.05</w:t>
      </w:r>
      <w:r>
        <w:rPr>
          <w:sz w:val="20"/>
          <w:szCs w:val="20"/>
          <w:color w:val="auto"/>
        </w:rPr>
        <w:tab/>
      </w:r>
      <w:r>
        <w:rPr>
          <w:rFonts w:ascii="Arial" w:cs="Arial" w:eastAsia="Arial" w:hAnsi="Arial"/>
          <w:sz w:val="15"/>
          <w:szCs w:val="15"/>
          <w:u w:val="single" w:color="auto"/>
          <w:color w:val="auto"/>
        </w:rPr>
        <w:t>Change in Nature of Business.</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Borrower shall not, nor shall it permit any Subsidiary to, directly or indirectly, engage in any material line of business substantially different from those lines of business conducted by the Borrower and its Subsidiaries on the date hereof or any business substantially related or incidental thereto.</w:t>
      </w:r>
    </w:p>
    <w:p>
      <w:pPr>
        <w:spacing w:after="0" w:line="20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7.06</w:t>
      </w:r>
      <w:r>
        <w:rPr>
          <w:sz w:val="20"/>
          <w:szCs w:val="20"/>
          <w:color w:val="auto"/>
        </w:rPr>
        <w:tab/>
      </w:r>
      <w:r>
        <w:rPr>
          <w:rFonts w:ascii="Arial" w:cs="Arial" w:eastAsia="Arial" w:hAnsi="Arial"/>
          <w:sz w:val="16"/>
          <w:szCs w:val="16"/>
          <w:u w:val="single" w:color="auto"/>
          <w:color w:val="auto"/>
        </w:rPr>
        <w:t>Transactions with Affiliates.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Borrower shall not, nor shall it permit any Subsidiary to, directly or indirectly, enter into any transaction of any kind with any Affiliate of the Borrower, whether or not in the ordinary course of business, other than on fair and reasonable terms substantially as favorable to the Borrower or such Subsidiary as would be obtainable by the Borrower or such Subsidiary at the time in a comparable arm’s length transaction with a Person other than an Affiliate, except for:</w:t>
      </w:r>
    </w:p>
    <w:p>
      <w:pPr>
        <w:spacing w:after="0" w:line="107" w:lineRule="exact"/>
        <w:rPr>
          <w:sz w:val="20"/>
          <w:szCs w:val="20"/>
          <w:color w:val="auto"/>
        </w:rPr>
      </w:pPr>
    </w:p>
    <w:p>
      <w:pPr>
        <w:ind w:right="340" w:firstLine="464"/>
        <w:spacing w:after="0" w:line="332" w:lineRule="auto"/>
        <w:tabs>
          <w:tab w:leader="none" w:pos="69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payment of fees, expenses and compensation to officers and directors of the Borrower or any of its Subsidiaries and customary indemnification agreements with officers and directors of the Borrower or any of its Subsidiaries entered into by the Borrower or any of its Subsidiaries;</w:t>
      </w:r>
    </w:p>
    <w:p>
      <w:pPr>
        <w:spacing w:after="0" w:line="85" w:lineRule="exact"/>
        <w:rPr>
          <w:rFonts w:ascii="Arial" w:cs="Arial" w:eastAsia="Arial" w:hAnsi="Arial"/>
          <w:sz w:val="16"/>
          <w:szCs w:val="16"/>
          <w:color w:val="auto"/>
        </w:rPr>
      </w:pPr>
    </w:p>
    <w:p>
      <w:pPr>
        <w:ind w:right="520" w:firstLine="464"/>
        <w:spacing w:after="0" w:line="268" w:lineRule="auto"/>
        <w:tabs>
          <w:tab w:leader="none" w:pos="70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transactions between the Borrower and one or more of its Wholly Owned Subsidiaries or among one or more Wholly Owned Subsidiaries of the Borrower;</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dividends and distributions to shareholders and equityholders;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transactions otherwise expressly permitted by this Agreement.</w:t>
      </w:r>
    </w:p>
    <w:p>
      <w:pPr>
        <w:spacing w:after="0" w:line="29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7.07</w:t>
      </w:r>
      <w:r>
        <w:rPr>
          <w:sz w:val="20"/>
          <w:szCs w:val="20"/>
          <w:color w:val="auto"/>
        </w:rPr>
        <w:tab/>
      </w:r>
      <w:r>
        <w:rPr>
          <w:rFonts w:ascii="Arial" w:cs="Arial" w:eastAsia="Arial" w:hAnsi="Arial"/>
          <w:sz w:val="15"/>
          <w:szCs w:val="15"/>
          <w:u w:val="single" w:color="auto"/>
          <w:color w:val="auto"/>
        </w:rPr>
        <w:t>Burdensome Agreements.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Borrower shall not, nor shall it permit any Subsidiary to, directly or indirectly, enter into, or permit to exist, any Contractual Obligation that</w:t>
      </w:r>
    </w:p>
    <w:p>
      <w:pPr>
        <w:spacing w:after="0" w:line="38" w:lineRule="exact"/>
        <w:rPr>
          <w:sz w:val="20"/>
          <w:szCs w:val="20"/>
          <w:color w:val="auto"/>
        </w:rPr>
      </w:pPr>
    </w:p>
    <w:p>
      <w:pPr>
        <w:jc w:val="both"/>
        <w:ind w:right="60" w:firstLine="8"/>
        <w:spacing w:after="0" w:line="281" w:lineRule="auto"/>
        <w:tabs>
          <w:tab w:leader="none" w:pos="239" w:val="left"/>
        </w:tabs>
        <w:numPr>
          <w:ilvl w:val="0"/>
          <w:numId w:val="103"/>
        </w:numPr>
        <w:rPr>
          <w:rFonts w:ascii="Arial" w:cs="Arial" w:eastAsia="Arial" w:hAnsi="Arial"/>
          <w:sz w:val="16"/>
          <w:szCs w:val="16"/>
          <w:color w:val="auto"/>
        </w:rPr>
      </w:pPr>
      <w:r>
        <w:rPr>
          <w:rFonts w:ascii="Arial" w:cs="Arial" w:eastAsia="Arial" w:hAnsi="Arial"/>
          <w:sz w:val="16"/>
          <w:szCs w:val="16"/>
          <w:color w:val="auto"/>
        </w:rPr>
        <w:t>encumbers or restricts the ability of (i) any Subsidiary to pay any Indebtedness or other obligation owed to the Borrower, (ii) any Subsidiary to make loans or advances to the Borrower, (iii) any Subsidiary to transfer any of its property to the Borrower, (iv) any Subsidiary to make dividends or distributions to its parent, or (v) the Borrower or any Subsidiary to pledge its property pursuant to the Loan Documents or any renewals, refinancings, exchanges, refundings or extension thereof, (b) requires the grant of any security for any obligation if such property is given as security for the Obligations, except (in respect of any of the matters referred to in clauses (a) or (b) above) pursuant to (A) this Agreement and the other Loan Documents, (B) any document or instrument governing Indebtedness</w:t>
      </w:r>
    </w:p>
    <w:p>
      <w:pPr>
        <w:spacing w:after="0" w:line="3" w:lineRule="exact"/>
        <w:rPr>
          <w:rFonts w:ascii="Arial" w:cs="Arial" w:eastAsia="Arial" w:hAnsi="Arial"/>
          <w:sz w:val="16"/>
          <w:szCs w:val="16"/>
          <w:color w:val="auto"/>
        </w:rPr>
      </w:pPr>
    </w:p>
    <w:p>
      <w:pPr>
        <w:ind w:right="6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(1) incurred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or (2) otherwise permitted under this Agreement, (C) customary restrictions and conditions contained in any agreement relating to the sale of any property permitted under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pending the consummation of such sale or (D) customary restrictions in organization documents of any Subsidiary that is not Wholly Owned, or (c) encumbers or restricts the ability of the Borrower to remain an obligor under the Loan Documents or any renewals, refinancings, exchanges, refundings or extension thereof.</w:t>
      </w:r>
    </w:p>
    <w:p>
      <w:pPr>
        <w:spacing w:after="0" w:line="26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7.08</w:t>
      </w:r>
      <w:r>
        <w:rPr>
          <w:sz w:val="20"/>
          <w:szCs w:val="20"/>
          <w:color w:val="auto"/>
        </w:rPr>
        <w:tab/>
      </w:r>
      <w:r>
        <w:rPr>
          <w:rFonts w:ascii="Arial" w:cs="Arial" w:eastAsia="Arial" w:hAnsi="Arial"/>
          <w:sz w:val="15"/>
          <w:szCs w:val="15"/>
          <w:u w:val="single" w:color="auto"/>
          <w:color w:val="auto"/>
        </w:rPr>
        <w:t>Use of Proceeds.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The Borrower shall not, nor shall it permit any Subsidiary to, directly or indirectly, use the proceeds of any Credit Extension, whether directly or indirectly, except in accordance with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and in no event shall any Credit Extension, whether immediately, incidentally or ultimately, be used to purchase or carry margin stock (within the meaning of Regulation U of the FRB) or to extend credit to others for the purpose of purchasing or carrying margin stock or to refund indebtedness originally incurred for such, in each case, to the extent such action would violate Regulation U.</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280" w:right="299" w:bottom="1440" w:gutter="0" w:footer="0" w:header="0"/>
        </w:sectPr>
      </w:pPr>
    </w:p>
    <w:bookmarkStart w:id="75" w:name="page76"/>
    <w:bookmarkEnd w:id="75"/>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7.09</w:t>
      </w:r>
      <w:r>
        <w:rPr>
          <w:sz w:val="20"/>
          <w:szCs w:val="20"/>
          <w:color w:val="auto"/>
        </w:rPr>
        <w:tab/>
      </w:r>
      <w:r>
        <w:rPr>
          <w:rFonts w:ascii="Arial" w:cs="Arial" w:eastAsia="Arial" w:hAnsi="Arial"/>
          <w:sz w:val="15"/>
          <w:szCs w:val="15"/>
          <w:u w:val="single" w:color="auto"/>
          <w:color w:val="auto"/>
        </w:rPr>
        <w:t>Organization Documents; Fiscal Year; Legal Name, State of Formation and Form of Entity.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shall not, nor shall it permit any Subsidiary to, directly or indirectly:</w:t>
      </w:r>
    </w:p>
    <w:p>
      <w:pPr>
        <w:spacing w:after="0" w:line="90" w:lineRule="exact"/>
        <w:rPr>
          <w:sz w:val="20"/>
          <w:szCs w:val="20"/>
          <w:color w:val="auto"/>
        </w:rPr>
      </w:pPr>
    </w:p>
    <w:p>
      <w:pPr>
        <w:ind w:left="1140" w:hanging="237"/>
        <w:spacing w:after="0"/>
        <w:tabs>
          <w:tab w:leader="none" w:pos="11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Amend, modify or change its Organization Documents in a manner materially adverse to the Lenders.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Change its fiscal year.</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Without providing thirty days prior written notice to the Administrative Agent, change its name, state of formation or form of organization.</w:t>
      </w:r>
    </w:p>
    <w:p>
      <w:pPr>
        <w:spacing w:after="0" w:line="3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5"/>
          <w:szCs w:val="15"/>
          <w:u w:val="single" w:color="auto"/>
          <w:color w:val="auto"/>
        </w:rPr>
        <w:t>Financial Covenant.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Borrower shall not permit the Consolidated Leverage Ratio, as at the end of any fiscal quarter of the Borrower, to be greater than 3.0 to 1.0.</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EVENTS OF DEFAULT AND REMEDIES</w:t>
      </w:r>
    </w:p>
    <w:p>
      <w:pPr>
        <w:spacing w:after="0" w:line="2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8.01</w:t>
      </w:r>
      <w:r>
        <w:rPr>
          <w:sz w:val="20"/>
          <w:szCs w:val="20"/>
          <w:color w:val="auto"/>
        </w:rPr>
        <w:tab/>
      </w:r>
      <w:r>
        <w:rPr>
          <w:rFonts w:ascii="Arial" w:cs="Arial" w:eastAsia="Arial" w:hAnsi="Arial"/>
          <w:sz w:val="16"/>
          <w:szCs w:val="16"/>
          <w:u w:val="single" w:color="auto"/>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 following shall constitute an Event of Default:</w:t>
      </w:r>
    </w:p>
    <w:p>
      <w:pPr>
        <w:spacing w:after="0" w:line="90" w:lineRule="exact"/>
        <w:rPr>
          <w:sz w:val="20"/>
          <w:szCs w:val="20"/>
          <w:color w:val="auto"/>
        </w:rPr>
      </w:pPr>
    </w:p>
    <w:p>
      <w:pPr>
        <w:ind w:left="1140" w:hanging="237"/>
        <w:spacing w:after="0"/>
        <w:tabs>
          <w:tab w:leader="none" w:pos="1140"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Non-Payment</w:t>
      </w:r>
      <w:r>
        <w:rPr>
          <w:rFonts w:ascii="Arial" w:cs="Arial" w:eastAsia="Arial" w:hAnsi="Arial"/>
          <w:sz w:val="16"/>
          <w:szCs w:val="16"/>
          <w:color w:val="auto"/>
        </w:rPr>
        <w:t>. The Borrower fails to pay (i) when and as required to be paid herein any amount of principal of any Loan or any L/C Obligation,</w:t>
      </w:r>
    </w:p>
    <w:p>
      <w:pPr>
        <w:spacing w:after="0" w:line="38" w:lineRule="exact"/>
        <w:rPr>
          <w:rFonts w:ascii="Arial" w:cs="Arial" w:eastAsia="Arial" w:hAnsi="Arial"/>
          <w:sz w:val="16"/>
          <w:szCs w:val="16"/>
          <w:color w:val="auto"/>
        </w:rPr>
      </w:pPr>
    </w:p>
    <w:p>
      <w:pPr>
        <w:ind w:left="460" w:right="40" w:firstLine="4"/>
        <w:spacing w:after="0" w:line="261" w:lineRule="auto"/>
        <w:tabs>
          <w:tab w:leader="none" w:pos="71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within five days after the same becomes due, any interest on any Loan or on any L/C Obligation, or any fee due hereunder, or (iii) within five days after the same becomes due, any other amount payable hereunder or under any other Loan Document; or</w:t>
      </w:r>
    </w:p>
    <w:p>
      <w:pPr>
        <w:spacing w:after="0" w:line="56" w:lineRule="exact"/>
        <w:rPr>
          <w:rFonts w:ascii="Arial" w:cs="Arial" w:eastAsia="Arial" w:hAnsi="Arial"/>
          <w:sz w:val="18"/>
          <w:szCs w:val="18"/>
          <w:color w:val="auto"/>
        </w:rPr>
      </w:pPr>
    </w:p>
    <w:p>
      <w:pPr>
        <w:ind w:left="460" w:right="20" w:firstLine="443"/>
        <w:spacing w:after="0" w:line="268" w:lineRule="auto"/>
        <w:tabs>
          <w:tab w:leader="none" w:pos="1147"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Specific Covenants</w:t>
      </w:r>
      <w:r>
        <w:rPr>
          <w:rFonts w:ascii="Arial" w:cs="Arial" w:eastAsia="Arial" w:hAnsi="Arial"/>
          <w:sz w:val="18"/>
          <w:szCs w:val="18"/>
          <w:color w:val="auto"/>
        </w:rPr>
        <w:t xml:space="preserve">. The Borrower fails to perform or observe any term, covenant or agreement contained in any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6.03</w:t>
      </w:r>
      <w:r>
        <w:rPr>
          <w:rFonts w:ascii="Arial" w:cs="Arial" w:eastAsia="Arial" w:hAnsi="Arial"/>
          <w:sz w:val="18"/>
          <w:szCs w:val="18"/>
          <w:color w:val="auto"/>
        </w:rPr>
        <w:t xml:space="preserve">, </w:t>
      </w:r>
      <w:r>
        <w:rPr>
          <w:rFonts w:ascii="Arial" w:cs="Arial" w:eastAsia="Arial" w:hAnsi="Arial"/>
          <w:sz w:val="18"/>
          <w:szCs w:val="18"/>
          <w:u w:val="single" w:color="auto"/>
          <w:color w:val="auto"/>
        </w:rPr>
        <w:t>6.05</w:t>
      </w:r>
      <w:r>
        <w:rPr>
          <w:rFonts w:ascii="Arial" w:cs="Arial" w:eastAsia="Arial" w:hAnsi="Arial"/>
          <w:sz w:val="18"/>
          <w:szCs w:val="18"/>
          <w:color w:val="auto"/>
        </w:rPr>
        <w:t xml:space="preserve">, </w:t>
      </w:r>
      <w:r>
        <w:rPr>
          <w:rFonts w:ascii="Arial" w:cs="Arial" w:eastAsia="Arial" w:hAnsi="Arial"/>
          <w:sz w:val="18"/>
          <w:szCs w:val="18"/>
          <w:u w:val="single" w:color="auto"/>
          <w:color w:val="auto"/>
        </w:rPr>
        <w:t>6.10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w:t>
      </w:r>
      <w:r>
        <w:rPr>
          <w:rFonts w:ascii="Arial" w:cs="Arial" w:eastAsia="Arial" w:hAnsi="Arial"/>
          <w:sz w:val="18"/>
          <w:szCs w:val="18"/>
          <w:color w:val="auto"/>
        </w:rPr>
        <w:t>; or</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37"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The Borrower fails to perform or observe any other covenant or agreement (not specified in clause (a) or (b) above) contained in any Loan Document on its part to be performed or observed and such failure continues for 30 days; or</w:t>
      </w:r>
    </w:p>
    <w:p>
      <w:pPr>
        <w:spacing w:after="0" w:line="50" w:lineRule="exact"/>
        <w:rPr>
          <w:rFonts w:ascii="Arial" w:cs="Arial" w:eastAsia="Arial" w:hAnsi="Arial"/>
          <w:sz w:val="18"/>
          <w:szCs w:val="18"/>
          <w:color w:val="auto"/>
        </w:rPr>
      </w:pPr>
    </w:p>
    <w:p>
      <w:pPr>
        <w:jc w:val="both"/>
        <w:ind w:left="460" w:firstLine="443"/>
        <w:spacing w:after="0" w:line="259" w:lineRule="auto"/>
        <w:tabs>
          <w:tab w:leader="none" w:pos="1147"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or warranty made or deemed made by or on behalf of the Borrower herein, in any other Loan Document, or in any document delivered in connection herewith or therewith shall be incorrect or misleading in any material respect when made or deemed made; or</w:t>
      </w:r>
    </w:p>
    <w:p>
      <w:pPr>
        <w:spacing w:after="0" w:line="59" w:lineRule="exact"/>
        <w:rPr>
          <w:rFonts w:ascii="Arial" w:cs="Arial" w:eastAsia="Arial" w:hAnsi="Arial"/>
          <w:sz w:val="18"/>
          <w:szCs w:val="18"/>
          <w:color w:val="auto"/>
        </w:rPr>
      </w:pPr>
    </w:p>
    <w:p>
      <w:pPr>
        <w:ind w:left="1140" w:hanging="237"/>
        <w:spacing w:after="0"/>
        <w:tabs>
          <w:tab w:leader="none" w:pos="1140"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(i) The Borrower or any Subsidiary (A) fails to make any payment when due (whether by scheduled maturity, required</w:t>
      </w:r>
    </w:p>
    <w:p>
      <w:pPr>
        <w:spacing w:after="0" w:line="38" w:lineRule="exact"/>
        <w:rPr>
          <w:rFonts w:ascii="Arial" w:cs="Arial" w:eastAsia="Arial" w:hAnsi="Arial"/>
          <w:sz w:val="16"/>
          <w:szCs w:val="16"/>
          <w:color w:val="auto"/>
        </w:rPr>
      </w:pPr>
    </w:p>
    <w:p>
      <w:pPr>
        <w:jc w:val="both"/>
        <w:ind w:left="460" w:right="180"/>
        <w:spacing w:after="0" w:line="302" w:lineRule="auto"/>
        <w:rPr>
          <w:rFonts w:ascii="Arial" w:cs="Arial" w:eastAsia="Arial" w:hAnsi="Arial"/>
          <w:sz w:val="16"/>
          <w:szCs w:val="16"/>
          <w:color w:val="auto"/>
        </w:rPr>
      </w:pPr>
      <w:r>
        <w:rPr>
          <w:rFonts w:ascii="Arial" w:cs="Arial" w:eastAsia="Arial" w:hAnsi="Arial"/>
          <w:sz w:val="16"/>
          <w:szCs w:val="16"/>
          <w:color w:val="auto"/>
        </w:rPr>
        <w:t>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80" w:right="239" w:bottom="1440" w:gutter="0" w:footer="0" w:header="0"/>
        </w:sectPr>
      </w:pPr>
    </w:p>
    <w:bookmarkStart w:id="76" w:name="page77"/>
    <w:bookmarkEnd w:id="76"/>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observe or perform any other agreement or condition relating to any such Indebtedness or Guarantee having an aggregate principal amount (including undrawn committed or available amounts and including amounts owing to all creditors under any combined or syndicated credit arrangement) of more than the Threshold Amount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the Borrower or any Subsidiary is the Defaulting Party (as defined in such Swap Contract) or (B) any Credit Event Upon Merger Termination Event or any Additional Termination Event (in each case as so defined under such Swap Contract) as to which the Borrower or any Subsidiary is an Affected Party (as so defined) and, in either event, the Swap Termination Value owed by the Borrower or such Subsidiary as a result thereof is greater than the Threshold Amount; or</w:t>
      </w:r>
    </w:p>
    <w:p>
      <w:pPr>
        <w:spacing w:after="0" w:line="43" w:lineRule="exact"/>
        <w:rPr>
          <w:sz w:val="20"/>
          <w:szCs w:val="20"/>
          <w:color w:val="auto"/>
        </w:rPr>
      </w:pPr>
    </w:p>
    <w:p>
      <w:pPr>
        <w:ind w:right="40" w:firstLine="443"/>
        <w:spacing w:after="0" w:line="253" w:lineRule="auto"/>
        <w:tabs>
          <w:tab w:leader="none" w:pos="657"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Insolvency Proceedings, Etc</w:t>
      </w:r>
      <w:r>
        <w:rPr>
          <w:rFonts w:ascii="Arial" w:cs="Arial" w:eastAsia="Arial" w:hAnsi="Arial"/>
          <w:sz w:val="18"/>
          <w:szCs w:val="18"/>
          <w:color w:val="auto"/>
        </w:rPr>
        <w:t>. The Borrower or any of its Material Subsidiaries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66" w:lineRule="exact"/>
        <w:rPr>
          <w:rFonts w:ascii="Arial" w:cs="Arial" w:eastAsia="Arial" w:hAnsi="Arial"/>
          <w:sz w:val="18"/>
          <w:szCs w:val="18"/>
          <w:color w:val="auto"/>
        </w:rPr>
      </w:pPr>
    </w:p>
    <w:p>
      <w:pPr>
        <w:ind w:firstLine="443"/>
        <w:spacing w:after="0" w:line="259" w:lineRule="auto"/>
        <w:tabs>
          <w:tab w:leader="none" w:pos="687"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Inability to Pay Debts; Attachment</w:t>
      </w:r>
      <w:r>
        <w:rPr>
          <w:rFonts w:ascii="Arial" w:cs="Arial" w:eastAsia="Arial" w:hAnsi="Arial"/>
          <w:sz w:val="18"/>
          <w:szCs w:val="18"/>
          <w:color w:val="auto"/>
        </w:rPr>
        <w:t>. (i) The Borrower or any Material Subsidiary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30 days after its issue or levy; or</w:t>
      </w:r>
    </w:p>
    <w:p>
      <w:pPr>
        <w:spacing w:after="0" w:line="59" w:lineRule="exact"/>
        <w:rPr>
          <w:rFonts w:ascii="Arial" w:cs="Arial" w:eastAsia="Arial" w:hAnsi="Arial"/>
          <w:sz w:val="18"/>
          <w:szCs w:val="18"/>
          <w:color w:val="auto"/>
        </w:rPr>
      </w:pPr>
    </w:p>
    <w:p>
      <w:pPr>
        <w:ind w:right="120" w:firstLine="443"/>
        <w:spacing w:after="0" w:line="298" w:lineRule="auto"/>
        <w:tabs>
          <w:tab w:leader="none" w:pos="687"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Judgments</w:t>
      </w:r>
      <w:r>
        <w:rPr>
          <w:rFonts w:ascii="Arial" w:cs="Arial" w:eastAsia="Arial" w:hAnsi="Arial"/>
          <w:sz w:val="16"/>
          <w:szCs w:val="16"/>
          <w:color w:val="auto"/>
        </w:rPr>
        <w:t>. There is entered against the Borrower or any Subsidiary (i) one or more final judgments or orders for the payment of money in an aggregate amount (as to all such judgments or orders) exceeding the Threshold Amount (to the extent not covered by independent third-party insurance as to which the insurer does not dispute coverage) and there is a period of 30 consecutive days during which such judgment is not satisfied or discharged or a stay of enforcement of such judgment, by reason of a pending appeal or otherwise, is not in effect; or</w:t>
      </w:r>
    </w:p>
    <w:p>
      <w:pPr>
        <w:spacing w:after="0" w:line="31" w:lineRule="exact"/>
        <w:rPr>
          <w:rFonts w:ascii="Arial" w:cs="Arial" w:eastAsia="Arial" w:hAnsi="Arial"/>
          <w:sz w:val="16"/>
          <w:szCs w:val="16"/>
          <w:color w:val="auto"/>
        </w:rPr>
      </w:pPr>
    </w:p>
    <w:p>
      <w:pPr>
        <w:ind w:firstLine="443"/>
        <w:spacing w:after="0" w:line="298" w:lineRule="auto"/>
        <w:tabs>
          <w:tab w:leader="none" w:pos="648"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(i) An ERISA Event occurs with respect to a Pension Plan which has resulted or would reasonably be expected to result in liability of the Borrower under Title IV of ERISA to the Pension Plan or the PBGC in an aggregate amount in excess of the Threshold Amount,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60"/>
          </w:cols>
          <w:pgMar w:left="700" w:top="280" w:right="239" w:bottom="1440" w:gutter="0" w:footer="0" w:header="0"/>
        </w:sectPr>
      </w:pPr>
    </w:p>
    <w:bookmarkStart w:id="77" w:name="page78"/>
    <w:bookmarkEnd w:id="77"/>
    <w:p>
      <w:pPr>
        <w:ind w:left="460" w:firstLine="443"/>
        <w:spacing w:after="0" w:line="298" w:lineRule="auto"/>
        <w:tabs>
          <w:tab w:leader="none" w:pos="1108"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Invalidity of Loan Documents</w:t>
      </w:r>
      <w:r>
        <w:rPr>
          <w:rFonts w:ascii="Arial" w:cs="Arial" w:eastAsia="Arial" w:hAnsi="Arial"/>
          <w:sz w:val="16"/>
          <w:szCs w:val="16"/>
          <w:color w:val="auto"/>
        </w:rPr>
        <w:t>. Any material provision of any Loan Document, at any time after its execution and delivery and for any reason other than as expressly permitted hereunder or thereunder or satisfaction in full of all the Obligations, ceases to be in full force and effect; or the Borrower or any other Person contests in any manner the validity or enforceability of any Loan Document; or the Borrower denies that it has any or further liability or obligation under any Loan Document, or purports to revoke, terminate or rescind any Loan Document; or</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w:t>
      </w:r>
    </w:p>
    <w:p>
      <w:pPr>
        <w:spacing w:after="0" w:line="29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8.02</w:t>
      </w:r>
      <w:r>
        <w:rPr>
          <w:sz w:val="20"/>
          <w:szCs w:val="20"/>
          <w:color w:val="auto"/>
        </w:rPr>
        <w:tab/>
      </w:r>
      <w:r>
        <w:rPr>
          <w:rFonts w:ascii="Arial" w:cs="Arial" w:eastAsia="Arial" w:hAnsi="Arial"/>
          <w:sz w:val="16"/>
          <w:szCs w:val="16"/>
          <w:u w:val="single" w:color="auto"/>
          <w:color w:val="auto"/>
        </w:rPr>
        <w:t>Remedies Upon Event of Default.</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any Event of Default occurs and is continuing, the Administrative Agent shall, at the request of, or may, with the consent of, the Required Lenders, take any or all of the following actions:</w:t>
      </w:r>
    </w:p>
    <w:p>
      <w:pPr>
        <w:spacing w:after="0" w:line="51" w:lineRule="exact"/>
        <w:rPr>
          <w:sz w:val="20"/>
          <w:szCs w:val="20"/>
          <w:color w:val="auto"/>
        </w:rPr>
      </w:pPr>
    </w:p>
    <w:p>
      <w:pPr>
        <w:ind w:left="460" w:right="100" w:firstLine="443"/>
        <w:spacing w:after="0" w:line="268" w:lineRule="auto"/>
        <w:tabs>
          <w:tab w:leader="none" w:pos="113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declare the Commitment of each Lender and any obligation of the L/C Issuer to make L/C Credit Extensions to be terminated, whereupon such Commitments and obligation shall be terminated;</w:t>
      </w:r>
    </w:p>
    <w:p>
      <w:pPr>
        <w:spacing w:after="0" w:line="50"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59" w:lineRule="exact"/>
        <w:rPr>
          <w:rFonts w:ascii="Arial" w:cs="Arial" w:eastAsia="Arial" w:hAnsi="Arial"/>
          <w:sz w:val="18"/>
          <w:szCs w:val="18"/>
          <w:color w:val="auto"/>
        </w:rPr>
      </w:pPr>
    </w:p>
    <w:p>
      <w:pPr>
        <w:ind w:left="1140" w:hanging="237"/>
        <w:spacing w:after="0"/>
        <w:tabs>
          <w:tab w:leader="none" w:pos="11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require that the Borrower Cash Collateralize the L/C Obligations (in an amount equal to the Minimum Collateral Amount with respect thereto);</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40" w:firstLine="443"/>
        <w:spacing w:after="0" w:line="268"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exercise on behalf of itself, the Lenders and the L/C Issuer all rights and remedies available to it, the Lenders and the L/C Issuer under the Loan Documents;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upon the occurrence of an actual or deemed entry of an order for relief with respect to the Borrower under Debtor Relief Laws,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presentment, demand, protest or other notice of any kind, all of which are hereby expressly waived by the Borrower, and without further act of the Administrative Agent or any Lender.</w:t>
      </w:r>
    </w:p>
    <w:p>
      <w:pPr>
        <w:spacing w:after="0" w:line="23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8.03</w:t>
      </w:r>
      <w:r>
        <w:rPr>
          <w:sz w:val="20"/>
          <w:szCs w:val="20"/>
          <w:color w:val="auto"/>
        </w:rPr>
        <w:tab/>
      </w:r>
      <w:r>
        <w:rPr>
          <w:rFonts w:ascii="Arial" w:cs="Arial" w:eastAsia="Arial" w:hAnsi="Arial"/>
          <w:sz w:val="16"/>
          <w:szCs w:val="16"/>
          <w:u w:val="single" w:color="auto"/>
          <w:color w:val="auto"/>
        </w:rPr>
        <w:t>Application of Funds.</w:t>
      </w:r>
    </w:p>
    <w:p>
      <w:pPr>
        <w:spacing w:after="0" w:line="90"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 xml:space="preserve">After the exercise of remedies provided for in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18"/>
          <w:szCs w:val="18"/>
          <w:u w:val="single" w:color="auto"/>
          <w:color w:val="auto"/>
        </w:rPr>
        <w:t>Section 8.02</w:t>
      </w:r>
      <w:r>
        <w:rPr>
          <w:rFonts w:ascii="Arial" w:cs="Arial" w:eastAsia="Arial" w:hAnsi="Arial"/>
          <w:sz w:val="18"/>
          <w:szCs w:val="18"/>
          <w:color w:val="auto"/>
        </w:rPr>
        <w:t>), any amounts received on account of the Obligations shall be applied by the Administrative Agent in the following order:</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payable to the Administrative Agent in its capacity as such;</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00"/>
          </w:cols>
          <w:pgMar w:left="240" w:top="280" w:right="359" w:bottom="1440" w:gutter="0" w:footer="0" w:header="0"/>
        </w:sectPr>
      </w:pPr>
    </w:p>
    <w:bookmarkStart w:id="78" w:name="page79"/>
    <w:bookmarkEnd w:id="78"/>
    <w:p>
      <w:pPr>
        <w:jc w:val="both"/>
        <w:ind w:right="140" w:firstLine="456"/>
        <w:spacing w:after="0" w:line="306"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w:t>
      </w:r>
      <w:r>
        <w:rPr>
          <w:rFonts w:ascii="Arial" w:cs="Arial" w:eastAsia="Arial" w:hAnsi="Arial"/>
          <w:sz w:val="16"/>
          <w:szCs w:val="16"/>
          <w:color w:val="auto"/>
        </w:rPr>
        <w:t xml:space="preserve">,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ratably among them in proportion to the respective amounts described in this clause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payable to them;</w:t>
      </w:r>
    </w:p>
    <w:p>
      <w:pPr>
        <w:spacing w:after="0" w:line="10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payment of that portion of the Obligations constituting accrued and unpaid Letter of Credit Fees and interest on the Loans, L/C Borrowings and other Obligations, ratably among the Lenders and the L/C Issuer in proportion to the respective amounts described in this clause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payable to them;</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unpaid principal of the Loans and L/C Borrowings, ratably among the Lenders and the L/C Issuer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to the Administrative Agent for the account of the L/C Issuer and the Lenders, to Cash Collateralize that portion of L/C Obligations comprised of the aggregate undrawn amount of Letters of Credit;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xml:space="preserve"> the balance, if any, after all of the Obligations have been indefeasibly paid in full, to the Borrower or as otherwise required by Law.</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amounts used to Cash Collateralize the aggregate undrawn amount of Letters of Credit pursuant to clause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ADMINISTRATIVE AGENT</w:t>
      </w:r>
    </w:p>
    <w:p>
      <w:pPr>
        <w:spacing w:after="0" w:line="2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9.01</w:t>
      </w:r>
      <w:r>
        <w:rPr>
          <w:sz w:val="20"/>
          <w:szCs w:val="20"/>
          <w:color w:val="auto"/>
        </w:rPr>
        <w:tab/>
      </w:r>
      <w:r>
        <w:rPr>
          <w:rFonts w:ascii="Arial" w:cs="Arial" w:eastAsia="Arial" w:hAnsi="Arial"/>
          <w:sz w:val="16"/>
          <w:szCs w:val="16"/>
          <w:u w:val="single" w:color="auto"/>
          <w:color w:val="auto"/>
        </w:rPr>
        <w:t>Appointment and Authority.</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Each of the Lenders and the L/C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the Borrower shall not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4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9.02</w:t>
      </w:r>
      <w:r>
        <w:rPr>
          <w:sz w:val="20"/>
          <w:szCs w:val="20"/>
          <w:color w:val="auto"/>
        </w:rPr>
        <w:tab/>
      </w:r>
      <w:r>
        <w:rPr>
          <w:rFonts w:ascii="Arial" w:cs="Arial" w:eastAsia="Arial" w:hAnsi="Arial"/>
          <w:sz w:val="15"/>
          <w:szCs w:val="15"/>
          <w:u w:val="single" w:color="auto"/>
          <w:color w:val="auto"/>
        </w:rPr>
        <w:t>Rights as a Lender.</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80" w:right="259" w:bottom="1440" w:gutter="0" w:footer="0" w:header="0"/>
        </w:sectPr>
      </w:pPr>
    </w:p>
    <w:bookmarkStart w:id="79" w:name="page80"/>
    <w:bookmarkEnd w:id="79"/>
    <w:p>
      <w:pPr>
        <w:jc w:val="both"/>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26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9.03</w:t>
      </w:r>
      <w:r>
        <w:rPr>
          <w:sz w:val="20"/>
          <w:szCs w:val="20"/>
          <w:color w:val="auto"/>
        </w:rPr>
        <w:tab/>
      </w:r>
      <w:r>
        <w:rPr>
          <w:rFonts w:ascii="Arial" w:cs="Arial" w:eastAsia="Arial" w:hAnsi="Arial"/>
          <w:sz w:val="16"/>
          <w:szCs w:val="16"/>
          <w:u w:val="single" w:color="auto"/>
          <w:color w:val="auto"/>
        </w:rPr>
        <w:t>Exculpatory Provisions.</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4" w:lineRule="exact"/>
        <w:rPr>
          <w:sz w:val="20"/>
          <w:szCs w:val="20"/>
          <w:color w:val="auto"/>
        </w:rPr>
      </w:pPr>
    </w:p>
    <w:p>
      <w:pPr>
        <w:ind w:left="1140" w:hanging="237"/>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90" w:lineRule="exact"/>
        <w:rPr>
          <w:rFonts w:ascii="Arial" w:cs="Arial" w:eastAsia="Arial" w:hAnsi="Arial"/>
          <w:sz w:val="18"/>
          <w:szCs w:val="18"/>
          <w:color w:val="auto"/>
        </w:rPr>
      </w:pPr>
    </w:p>
    <w:p>
      <w:pPr>
        <w:ind w:left="460" w:firstLine="443"/>
        <w:spacing w:after="0" w:line="290" w:lineRule="auto"/>
        <w:tabs>
          <w:tab w:leader="none" w:pos="114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shall not have any duty to take any discretionary action or exercise any discretionary powers, except discretionary rights and powers expressly contemplated hereby or by the other Loan Documents or the other documents executed or delivered in connection therewith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affect a forfeiture, modification or termination of property of a Defaulting Lender in violation of any Debtor Relief Law; and</w:t>
      </w:r>
    </w:p>
    <w:p>
      <w:pPr>
        <w:spacing w:after="0" w:line="37" w:lineRule="exact"/>
        <w:rPr>
          <w:rFonts w:ascii="Arial" w:cs="Arial" w:eastAsia="Arial" w:hAnsi="Arial"/>
          <w:sz w:val="16"/>
          <w:szCs w:val="16"/>
          <w:color w:val="auto"/>
        </w:rPr>
      </w:pPr>
    </w:p>
    <w:p>
      <w:pPr>
        <w:ind w:left="460" w:right="40" w:firstLine="443"/>
        <w:spacing w:after="0" w:line="259" w:lineRule="auto"/>
        <w:tabs>
          <w:tab w:leader="none" w:pos="113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any of the Borrower or any of its Affiliates that is communicated to or obtained by the Person serving as the Administrative Agent or any of its Affiliates in any capacity.</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The Administrative Agent shall not be liable to any Lender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6"/>
          <w:szCs w:val="16"/>
          <w:u w:val="single" w:color="auto"/>
          <w:color w:val="auto"/>
        </w:rPr>
        <w:t>Sections 10.01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8.02</w:t>
      </w:r>
      <w:r>
        <w:rPr>
          <w:rFonts w:ascii="Arial" w:cs="Arial" w:eastAsia="Arial" w:hAnsi="Arial"/>
          <w:sz w:val="16"/>
          <w:szCs w:val="16"/>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a Lender or the L/C Issuer.</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herein, other than to confirm receipt of items expressly required to be delivered to the Administrative Agent.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80" w:right="259" w:bottom="1440" w:gutter="0" w:footer="0" w:header="0"/>
        </w:sectPr>
      </w:pPr>
    </w:p>
    <w:bookmarkStart w:id="80" w:name="page81"/>
    <w:bookmarkEnd w:id="80"/>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9.04</w:t>
      </w:r>
      <w:r>
        <w:rPr>
          <w:sz w:val="20"/>
          <w:szCs w:val="20"/>
          <w:color w:val="auto"/>
        </w:rPr>
        <w:tab/>
      </w:r>
      <w:r>
        <w:rPr>
          <w:rFonts w:ascii="Arial" w:cs="Arial" w:eastAsia="Arial" w:hAnsi="Arial"/>
          <w:sz w:val="16"/>
          <w:szCs w:val="16"/>
          <w:u w:val="single" w:color="auto"/>
          <w:color w:val="auto"/>
        </w:rPr>
        <w:t>Reliance by Administrative Agent.</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24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9.05</w:t>
      </w:r>
      <w:r>
        <w:rPr>
          <w:sz w:val="20"/>
          <w:szCs w:val="20"/>
          <w:color w:val="auto"/>
        </w:rPr>
        <w:tab/>
      </w:r>
      <w:r>
        <w:rPr>
          <w:rFonts w:ascii="Arial" w:cs="Arial" w:eastAsia="Arial" w:hAnsi="Arial"/>
          <w:sz w:val="16"/>
          <w:szCs w:val="16"/>
          <w:u w:val="single" w:color="auto"/>
          <w:color w:val="auto"/>
        </w:rPr>
        <w:t>Delegation of Duties.</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Administrative Agent may perform any and all of its duties and exercise its rights and powers hereunder or under any other Loan Document or the other documents executed or delivered in connection therewith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24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9.06</w:t>
      </w:r>
      <w:r>
        <w:rPr>
          <w:sz w:val="20"/>
          <w:szCs w:val="20"/>
          <w:color w:val="auto"/>
        </w:rPr>
        <w:tab/>
      </w:r>
      <w:r>
        <w:rPr>
          <w:rFonts w:ascii="Arial" w:cs="Arial" w:eastAsia="Arial" w:hAnsi="Arial"/>
          <w:sz w:val="16"/>
          <w:szCs w:val="16"/>
          <w:u w:val="single" w:color="auto"/>
          <w:color w:val="auto"/>
        </w:rPr>
        <w:t>Resignation of Administrative Agent.</w:t>
      </w:r>
    </w:p>
    <w:p>
      <w:pPr>
        <w:spacing w:after="0" w:line="90" w:lineRule="exact"/>
        <w:rPr>
          <w:sz w:val="20"/>
          <w:szCs w:val="20"/>
          <w:color w:val="auto"/>
        </w:rPr>
      </w:pPr>
    </w:p>
    <w:p>
      <w:pPr>
        <w:ind w:firstLine="464"/>
        <w:spacing w:after="0" w:line="288" w:lineRule="auto"/>
        <w:tabs>
          <w:tab w:leader="none" w:pos="69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Administrative Agent may at any time give notice of its resignation to the Lenders, the L/C Issuer and the Borrower. Upon receipt of any such notice of resignation, the Required Lenders shall have the right (with the consent of the Borrower not to be unreasonably withheld), to appoint a successor, which shall be a bank with an office in the United States, or an Affiliate of any such bank with an office in the United States. If no such successor shall have been appointed by the Required Lenders and shall have accepted such appointment within thirty (30) days after the retiring Administrative Agent gives notice of its resignation (or such earlier day as shall be agreed by the Required Lenders and the Borrower) (the “</w:t>
      </w:r>
      <w:r>
        <w:rPr>
          <w:rFonts w:ascii="Arial" w:cs="Arial" w:eastAsia="Arial" w:hAnsi="Arial"/>
          <w:sz w:val="16"/>
          <w:szCs w:val="16"/>
          <w:u w:val="single" w:color="auto"/>
          <w:color w:val="auto"/>
        </w:rPr>
        <w:t>Resignation Effective Date</w:t>
      </w:r>
      <w:r>
        <w:rPr>
          <w:rFonts w:ascii="Arial" w:cs="Arial" w:eastAsia="Arial" w:hAnsi="Arial"/>
          <w:sz w:val="16"/>
          <w:szCs w:val="16"/>
          <w:color w:val="auto"/>
        </w:rPr>
        <w:t>”), then the retiring Administrative Agent may (but shall not be obligated to) on behalf of the Lenders and the L/C Issuer, appoint a successor Administrative Agent meeting the qualifications set forth above (with the consent of the Borrower not to be unreasonably withheld); provided that if the Administrative Agent shall notify the Borrower and the Lenders that no qualifying Person has accepted such appointment, then, whether or not a successor has been appointed, such resignation shall become effective in accordance with such notice on the Resignation Effective Date.</w:t>
      </w:r>
    </w:p>
    <w:p>
      <w:pPr>
        <w:spacing w:after="0" w:line="119" w:lineRule="exact"/>
        <w:rPr>
          <w:rFonts w:ascii="Arial" w:cs="Arial" w:eastAsia="Arial" w:hAnsi="Arial"/>
          <w:sz w:val="16"/>
          <w:szCs w:val="16"/>
          <w:color w:val="auto"/>
        </w:rPr>
      </w:pPr>
    </w:p>
    <w:p>
      <w:pPr>
        <w:ind w:right="140" w:firstLine="464"/>
        <w:spacing w:after="0" w:line="332" w:lineRule="auto"/>
        <w:tabs>
          <w:tab w:leader="none" w:pos="70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the Administrative Agent and,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280" w:right="279" w:bottom="1440" w:gutter="0" w:footer="0" w:header="0"/>
        </w:sectPr>
      </w:pPr>
    </w:p>
    <w:bookmarkStart w:id="81" w:name="page82"/>
    <w:bookmarkEnd w:id="81"/>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consultation with the Borrower, appoint a successor. If no such successor shall have been appointed by the Required Lenders and shall have accepted such appointment within thirty (30) days (or such earlier day as shall be agreed by the Required Lenders and the Borrower) (the “</w:t>
      </w:r>
      <w:r>
        <w:rPr>
          <w:rFonts w:ascii="Arial" w:cs="Arial" w:eastAsia="Arial" w:hAnsi="Arial"/>
          <w:sz w:val="16"/>
          <w:szCs w:val="16"/>
          <w:u w:val="single" w:color="auto"/>
          <w:color w:val="auto"/>
        </w:rPr>
        <w:t>Removal Effective Date</w:t>
      </w:r>
      <w:r>
        <w:rPr>
          <w:rFonts w:ascii="Arial" w:cs="Arial" w:eastAsia="Arial" w:hAnsi="Arial"/>
          <w:sz w:val="16"/>
          <w:szCs w:val="16"/>
          <w:color w:val="auto"/>
        </w:rPr>
        <w:t>”), then such removal shall nonetheless become effective in accordance with such notice on the Removal Effective Date.</w:t>
      </w:r>
    </w:p>
    <w:p>
      <w:pPr>
        <w:spacing w:after="0" w:line="107" w:lineRule="exact"/>
        <w:rPr>
          <w:sz w:val="20"/>
          <w:szCs w:val="20"/>
          <w:color w:val="auto"/>
        </w:rPr>
      </w:pPr>
    </w:p>
    <w:p>
      <w:pPr>
        <w:ind w:firstLine="464"/>
        <w:spacing w:after="0" w:line="286" w:lineRule="auto"/>
        <w:tabs>
          <w:tab w:leader="none" w:pos="69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6"/>
          <w:szCs w:val="16"/>
          <w:u w:val="single" w:color="auto"/>
          <w:color w:val="auto"/>
        </w:rPr>
        <w:t>Section 3.01(g)</w:t>
      </w:r>
      <w:r>
        <w:rPr>
          <w:rFonts w:ascii="Arial" w:cs="Arial" w:eastAsia="Arial" w:hAnsi="Arial"/>
          <w:sz w:val="16"/>
          <w:szCs w:val="16"/>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shall continue in effect for the benefit of such retiring or removed Administrative Agent, its sub-agents and their respective Related Parties in respect of any actions taken or omitted to be taken by any of them while the retiring Administrative Agent was acting as Administrative Agent.</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Any resignation by or removal of Bank of America as Administrative Agent pursuant to this Section shall also constitute its resignation or removal as L/C Issuer and Swing Line Lender.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appointment by the Borrower of a successor L/C Issuer or Swing Line Lender hereunder (which successor shall in all cases be a Lender other than a Defaulting Lender), (a) such successor shall succeed to and become vested with all of the rights, powers, privileges and duties of the retiring L/C Issuer or Swing Line Lender, as applicable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24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9.07</w:t>
      </w:r>
      <w:r>
        <w:rPr>
          <w:sz w:val="20"/>
          <w:szCs w:val="20"/>
          <w:color w:val="auto"/>
        </w:rPr>
        <w:tab/>
      </w:r>
      <w:r>
        <w:rPr>
          <w:rFonts w:ascii="Arial" w:cs="Arial" w:eastAsia="Arial" w:hAnsi="Arial"/>
          <w:sz w:val="16"/>
          <w:szCs w:val="16"/>
          <w:u w:val="single" w:color="auto"/>
          <w:color w:val="auto"/>
        </w:rPr>
        <w:t>Non-Reliance on Administrative Agent and Other Lenders.</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Each Lender and the L/C Issuer acknowledges that it has, independently and without reliance upon the Administrative Agent or any other Lender or any of their Related Parties and based on such documents and information as it has deemed appropriate, made its own credit analysis and decision to</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80" w:right="239" w:bottom="1440" w:gutter="0" w:footer="0" w:header="0"/>
        </w:sectPr>
      </w:pPr>
    </w:p>
    <w:bookmarkStart w:id="82" w:name="page83"/>
    <w:bookmarkEnd w:id="82"/>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26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9.08</w:t>
      </w:r>
      <w:r>
        <w:rPr>
          <w:sz w:val="20"/>
          <w:szCs w:val="20"/>
          <w:color w:val="auto"/>
        </w:rPr>
        <w:tab/>
      </w:r>
      <w:r>
        <w:rPr>
          <w:rFonts w:ascii="Arial" w:cs="Arial" w:eastAsia="Arial" w:hAnsi="Arial"/>
          <w:sz w:val="16"/>
          <w:szCs w:val="16"/>
          <w:u w:val="single" w:color="auto"/>
          <w:color w:val="auto"/>
        </w:rPr>
        <w:t>No Other Duties, Etc.</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Anything herein to the contrary notwithstanding, none of the bookrunners, arrangers, syndication agents, documentation agents or co-agents shall have any powers, duties or responsibilities under this Agreement or any of the other Loan Documents, except in its capacity, as applicable, as the Administrative Agent, a Lender or the L/C Issuer hereunder.</w:t>
      </w:r>
    </w:p>
    <w:p>
      <w:pPr>
        <w:spacing w:after="0" w:line="26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9.09</w:t>
      </w:r>
      <w:r>
        <w:rPr>
          <w:sz w:val="20"/>
          <w:szCs w:val="20"/>
          <w:color w:val="auto"/>
        </w:rPr>
        <w:tab/>
      </w:r>
      <w:r>
        <w:rPr>
          <w:rFonts w:ascii="Arial" w:cs="Arial" w:eastAsia="Arial" w:hAnsi="Arial"/>
          <w:sz w:val="16"/>
          <w:szCs w:val="16"/>
          <w:u w:val="single" w:color="auto"/>
          <w:color w:val="auto"/>
        </w:rPr>
        <w:t>Administrative Agent May File Proofs of Claim.</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case of the pendency of any proceeding under any Debtor Relief Law or any other judicial proceeding relative to the Borrower,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43" w:lineRule="exact"/>
        <w:rPr>
          <w:sz w:val="20"/>
          <w:szCs w:val="20"/>
          <w:color w:val="auto"/>
        </w:rPr>
      </w:pPr>
    </w:p>
    <w:p>
      <w:pPr>
        <w:jc w:val="both"/>
        <w:ind w:right="120" w:firstLine="464"/>
        <w:spacing w:after="0" w:line="294" w:lineRule="auto"/>
        <w:tabs>
          <w:tab w:leader="none" w:pos="69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Arial" w:cs="Arial" w:eastAsia="Arial" w:hAnsi="Arial"/>
          <w:sz w:val="16"/>
          <w:szCs w:val="16"/>
          <w:u w:val="single" w:color="auto"/>
          <w:color w:val="auto"/>
        </w:rPr>
        <w:t>Sections 2.03(i)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(j)</w:t>
      </w:r>
      <w:r>
        <w:rPr>
          <w:rFonts w:ascii="Arial" w:cs="Arial" w:eastAsia="Arial" w:hAnsi="Arial"/>
          <w:sz w:val="16"/>
          <w:szCs w:val="16"/>
          <w:color w:val="auto"/>
        </w:rPr>
        <w:t xml:space="preserve">, </w:t>
      </w:r>
      <w:r>
        <w:rPr>
          <w:rFonts w:ascii="Arial" w:cs="Arial" w:eastAsia="Arial" w:hAnsi="Arial"/>
          <w:sz w:val="16"/>
          <w:szCs w:val="16"/>
          <w:u w:val="single" w:color="auto"/>
          <w:color w:val="auto"/>
        </w:rPr>
        <w:t>2.09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10.04</w:t>
      </w:r>
      <w:r>
        <w:rPr>
          <w:rFonts w:ascii="Arial" w:cs="Arial" w:eastAsia="Arial" w:hAnsi="Arial"/>
          <w:sz w:val="16"/>
          <w:szCs w:val="16"/>
          <w:color w:val="auto"/>
        </w:rPr>
        <w:t>) allowed in such judicial proceeding; and</w:t>
      </w:r>
    </w:p>
    <w:p>
      <w:pPr>
        <w:spacing w:after="0" w:line="115" w:lineRule="exact"/>
        <w:rPr>
          <w:rFonts w:ascii="Arial" w:cs="Arial" w:eastAsia="Arial" w:hAnsi="Arial"/>
          <w:sz w:val="16"/>
          <w:szCs w:val="16"/>
          <w:color w:val="auto"/>
        </w:rPr>
      </w:pPr>
    </w:p>
    <w:p>
      <w:pPr>
        <w:ind w:left="720" w:hanging="256"/>
        <w:spacing w:after="0"/>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w:t>
      </w:r>
    </w:p>
    <w:p>
      <w:pPr>
        <w:spacing w:after="0" w:line="14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in any such proceeding.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80"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10.01</w:t>
      </w:r>
      <w:r>
        <w:rPr>
          <w:sz w:val="20"/>
          <w:szCs w:val="20"/>
          <w:color w:val="auto"/>
        </w:rPr>
        <w:tab/>
      </w:r>
      <w:r>
        <w:rPr>
          <w:rFonts w:ascii="Arial" w:cs="Arial" w:eastAsia="Arial" w:hAnsi="Arial"/>
          <w:sz w:val="15"/>
          <w:szCs w:val="15"/>
          <w:u w:val="single" w:color="auto"/>
          <w:color w:val="auto"/>
        </w:rPr>
        <w:t>Amendments, Etc.</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 xml:space="preserve">No amendment or waiver of any provision of this Agreement or any other Loan Document, and no consent to any departure by the Borrower therefrom, shall be effective unless in writing signed by the Required Lenders and the Borrower, as the case may be, and acknowledged by the Administrative Agent, and each such waiver or consent shall be effective only in the specific instance and for the specific purpose for which 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amendment, waiver or consent shall:</w:t>
      </w:r>
    </w:p>
    <w:p>
      <w:pPr>
        <w:spacing w:after="0" w:line="143" w:lineRule="exact"/>
        <w:rPr>
          <w:sz w:val="20"/>
          <w:szCs w:val="20"/>
          <w:color w:val="auto"/>
        </w:rPr>
      </w:pPr>
    </w:p>
    <w:p>
      <w:pPr>
        <w:jc w:val="both"/>
        <w:ind w:right="60" w:firstLine="464"/>
        <w:spacing w:after="0" w:line="306" w:lineRule="auto"/>
        <w:tabs>
          <w:tab w:leader="none" w:pos="69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(i) extend or increase the Commitment of any Lender (or reinstate any Commitment terminated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without the written consent of such Lender whose Commitment is being extended or increased (it being understood and agreed that a waiver of any condition precedent set forth in Section 4.02 or of any Default or a mandatory reduction in Commitments, if any, is not considered an extension or increase in Commitments of any Lender);</w:t>
      </w:r>
    </w:p>
    <w:p>
      <w:pPr>
        <w:spacing w:after="0" w:line="25" w:lineRule="exact"/>
        <w:rPr>
          <w:rFonts w:ascii="Arial" w:cs="Arial" w:eastAsia="Arial" w:hAnsi="Arial"/>
          <w:sz w:val="16"/>
          <w:szCs w:val="16"/>
          <w:color w:val="auto"/>
        </w:rPr>
      </w:pPr>
    </w:p>
    <w:p>
      <w:pPr>
        <w:ind w:left="460" w:right="180" w:firstLine="443"/>
        <w:spacing w:after="0" w:line="256" w:lineRule="auto"/>
        <w:tabs>
          <w:tab w:leader="none" w:pos="1157" w:val="left"/>
        </w:tabs>
        <w:numPr>
          <w:ilvl w:val="1"/>
          <w:numId w:val="114"/>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(excluding mandatory prepayments) of principal, interest, fees or other amounts due to the Lenders (or any of them) or any scheduled or mandatory reduction of the Aggregate Commitments hereunder or under any other Loan Document, if any</w:t>
      </w:r>
      <w:r>
        <w:rPr>
          <w:rFonts w:ascii="Arial" w:cs="Arial" w:eastAsia="Arial" w:hAnsi="Arial"/>
          <w:sz w:val="18"/>
          <w:szCs w:val="18"/>
          <w:b w:val="1"/>
          <w:bCs w:val="1"/>
          <w:color w:val="auto"/>
        </w:rPr>
        <w:t>,</w:t>
      </w:r>
      <w:r>
        <w:rPr>
          <w:rFonts w:ascii="Arial" w:cs="Arial" w:eastAsia="Arial" w:hAnsi="Arial"/>
          <w:sz w:val="18"/>
          <w:szCs w:val="18"/>
          <w:color w:val="auto"/>
        </w:rPr>
        <w:t xml:space="preserve"> without the written consent of each Lender entitled to receive such payment or whose Commitments are to be reduced;</w:t>
      </w:r>
    </w:p>
    <w:p>
      <w:pPr>
        <w:spacing w:after="0" w:line="62" w:lineRule="exact"/>
        <w:rPr>
          <w:rFonts w:ascii="Arial" w:cs="Arial" w:eastAsia="Arial" w:hAnsi="Arial"/>
          <w:sz w:val="18"/>
          <w:szCs w:val="18"/>
          <w:color w:val="auto"/>
        </w:rPr>
      </w:pPr>
    </w:p>
    <w:p>
      <w:pPr>
        <w:ind w:left="460" w:right="120" w:firstLine="443"/>
        <w:spacing w:after="0" w:line="298" w:lineRule="auto"/>
        <w:tabs>
          <w:tab w:leader="none" w:pos="1205" w:val="left"/>
        </w:tabs>
        <w:numPr>
          <w:ilvl w:val="1"/>
          <w:numId w:val="114"/>
        </w:numPr>
        <w:rPr>
          <w:rFonts w:ascii="Arial" w:cs="Arial" w:eastAsia="Arial" w:hAnsi="Arial"/>
          <w:sz w:val="16"/>
          <w:szCs w:val="16"/>
          <w:color w:val="auto"/>
        </w:rPr>
      </w:pPr>
      <w:r>
        <w:rPr>
          <w:rFonts w:ascii="Arial" w:cs="Arial" w:eastAsia="Arial" w:hAnsi="Arial"/>
          <w:sz w:val="16"/>
          <w:szCs w:val="16"/>
          <w:color w:val="auto"/>
        </w:rPr>
        <w:t xml:space="preserve">reduce the principal of, or the rate of interest specified herein on, any Loan or L/C Borrowing, or (subject to clause (iv) of the final proviso to this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any fees or other amounts payable hereunder or under any other Loan Document without the written consent of each Lender entitled to receive such payment of principal, interest, fees or other amounts;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only the consent of the Required Lenders shall be necessary to amend the definition of “Default Rate” or to waive any obligation of the Borrower to pay interest or Letter of Credit Fees at the Default Rate;</w:t>
      </w:r>
    </w:p>
    <w:p>
      <w:pPr>
        <w:spacing w:after="0" w:line="31" w:lineRule="exact"/>
        <w:rPr>
          <w:rFonts w:ascii="Arial" w:cs="Arial" w:eastAsia="Arial" w:hAnsi="Arial"/>
          <w:sz w:val="16"/>
          <w:szCs w:val="16"/>
          <w:color w:val="auto"/>
        </w:rPr>
      </w:pPr>
    </w:p>
    <w:p>
      <w:pPr>
        <w:ind w:left="460" w:firstLine="443"/>
        <w:spacing w:after="0" w:line="268" w:lineRule="auto"/>
        <w:tabs>
          <w:tab w:leader="none" w:pos="1196"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in a manner that would alter the pro rata sharing of payments required thereby without the written consent of each Lender;</w:t>
      </w:r>
    </w:p>
    <w:p>
      <w:pPr>
        <w:spacing w:after="0" w:line="50"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114"/>
        </w:numPr>
        <w:rPr>
          <w:rFonts w:ascii="Arial" w:cs="Arial" w:eastAsia="Arial" w:hAnsi="Arial"/>
          <w:sz w:val="18"/>
          <w:szCs w:val="18"/>
          <w:color w:val="auto"/>
        </w:rPr>
      </w:pPr>
      <w:r>
        <w:rPr>
          <w:rFonts w:ascii="Arial" w:cs="Arial" w:eastAsia="Arial" w:hAnsi="Arial"/>
          <w:sz w:val="18"/>
          <w:szCs w:val="18"/>
          <w:color w:val="auto"/>
        </w:rPr>
        <w:t>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59" w:lineRule="exact"/>
        <w:rPr>
          <w:rFonts w:ascii="Arial" w:cs="Arial" w:eastAsia="Arial" w:hAnsi="Arial"/>
          <w:sz w:val="18"/>
          <w:szCs w:val="18"/>
          <w:color w:val="auto"/>
        </w:rPr>
      </w:pPr>
    </w:p>
    <w:p>
      <w:pPr>
        <w:ind w:left="1200" w:hanging="297"/>
        <w:spacing w:after="0"/>
        <w:tabs>
          <w:tab w:leader="none" w:pos="12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change the definition of “Letter of Credit Expiration Date” to extend the date set forth therein; or</w:t>
      </w:r>
    </w:p>
    <w:p>
      <w:pPr>
        <w:spacing w:after="0" w:line="171" w:lineRule="exact"/>
        <w:rPr>
          <w:rFonts w:ascii="Arial" w:cs="Arial" w:eastAsia="Arial" w:hAnsi="Arial"/>
          <w:sz w:val="18"/>
          <w:szCs w:val="18"/>
          <w:color w:val="auto"/>
        </w:rPr>
      </w:pPr>
    </w:p>
    <w:p>
      <w:pPr>
        <w:ind w:right="120" w:firstLine="464"/>
        <w:spacing w:after="0" w:line="268" w:lineRule="auto"/>
        <w:tabs>
          <w:tab w:leader="none" w:pos="70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unless also signed by the L/C Issuer, affect the rights or duties of the L/C Issuer under this Agreement or any Issuer Document relating to any Letter of Credit issued or to be issued by it;</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unless also signed by the Swing Line Lender, affect the rights or duties of the Swing Line Lender under this Agreement; and</w:t>
      </w:r>
    </w:p>
    <w:p>
      <w:pPr>
        <w:spacing w:after="0" w:line="171" w:lineRule="exact"/>
        <w:rPr>
          <w:rFonts w:ascii="Arial" w:cs="Arial" w:eastAsia="Arial" w:hAnsi="Arial"/>
          <w:sz w:val="18"/>
          <w:szCs w:val="18"/>
          <w:color w:val="auto"/>
        </w:rPr>
      </w:pPr>
    </w:p>
    <w:p>
      <w:pPr>
        <w:ind w:right="680" w:firstLine="464"/>
        <w:spacing w:after="0" w:line="268" w:lineRule="auto"/>
        <w:tabs>
          <w:tab w:leader="none" w:pos="70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unless also signed by the Administrative Agent, affect the rights or duties of the Administrative Agent under this Agreement or any other Loan Document;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80" w:right="239" w:bottom="1440" w:gutter="0" w:footer="0" w:header="0"/>
        </w:sectPr>
      </w:pPr>
    </w:p>
    <w:bookmarkStart w:id="84" w:name="page85"/>
    <w:bookmarkEnd w:id="84"/>
    <w:p>
      <w:pPr>
        <w:ind w:right="20"/>
        <w:spacing w:after="0" w:line="287"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anything to the contrary herein, (i) the Fee Letters may be amended, or rights or privileges thereunder waived, in a writing executed only by the parties thereto, (ii)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 (iii)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and (iv) the Required Lenders shall determine whether or not to allow the Borrower to use cash collateral in the context of a bankruptcy or insolvency proceeding and such determination shall be binding on all of the Lenders.</w:t>
      </w:r>
    </w:p>
    <w:p>
      <w:pPr>
        <w:spacing w:after="0" w:line="24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10.02</w:t>
      </w:r>
      <w:r>
        <w:rPr>
          <w:sz w:val="20"/>
          <w:szCs w:val="20"/>
          <w:color w:val="auto"/>
        </w:rPr>
        <w:tab/>
      </w:r>
      <w:r>
        <w:rPr>
          <w:rFonts w:ascii="Arial" w:cs="Arial" w:eastAsia="Arial" w:hAnsi="Arial"/>
          <w:sz w:val="16"/>
          <w:szCs w:val="16"/>
          <w:u w:val="single" w:color="auto"/>
          <w:color w:val="auto"/>
        </w:rPr>
        <w:t>Notices; Effectiveness; Electronic Communication.</w:t>
      </w:r>
    </w:p>
    <w:p>
      <w:pPr>
        <w:spacing w:after="0" w:line="90" w:lineRule="exact"/>
        <w:rPr>
          <w:sz w:val="20"/>
          <w:szCs w:val="20"/>
          <w:color w:val="auto"/>
        </w:rPr>
      </w:pPr>
    </w:p>
    <w:p>
      <w:pPr>
        <w:ind w:right="20" w:firstLine="464"/>
        <w:spacing w:after="0" w:line="256" w:lineRule="auto"/>
        <w:tabs>
          <w:tab w:leader="none" w:pos="695"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clause (b)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62" w:lineRule="exact"/>
        <w:rPr>
          <w:rFonts w:ascii="Arial" w:cs="Arial" w:eastAsia="Arial" w:hAnsi="Arial"/>
          <w:sz w:val="18"/>
          <w:szCs w:val="18"/>
          <w:color w:val="auto"/>
        </w:rPr>
      </w:pPr>
    </w:p>
    <w:p>
      <w:pPr>
        <w:ind w:left="460" w:firstLine="443"/>
        <w:spacing w:after="0" w:line="268" w:lineRule="auto"/>
        <w:tabs>
          <w:tab w:leader="none" w:pos="1108"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if to the Borrower, the Administrative Agent, the L/C Issuer or the Swing Line Lender, to the address, facsimile number, electronic mail address or telephone number specified for such Person on </w:t>
      </w:r>
      <w:r>
        <w:rPr>
          <w:rFonts w:ascii="Arial" w:cs="Arial" w:eastAsia="Arial" w:hAnsi="Arial"/>
          <w:sz w:val="18"/>
          <w:szCs w:val="18"/>
          <w:u w:val="single" w:color="auto"/>
          <w:color w:val="auto"/>
        </w:rPr>
        <w:t>Schedule 10.02</w:t>
      </w:r>
      <w:r>
        <w:rPr>
          <w:rFonts w:ascii="Arial" w:cs="Arial" w:eastAsia="Arial" w:hAnsi="Arial"/>
          <w:sz w:val="18"/>
          <w:szCs w:val="18"/>
          <w:color w:val="auto"/>
        </w:rPr>
        <w:t>; and</w:t>
      </w:r>
    </w:p>
    <w:p>
      <w:pPr>
        <w:spacing w:after="0" w:line="50" w:lineRule="exact"/>
        <w:rPr>
          <w:rFonts w:ascii="Arial" w:cs="Arial" w:eastAsia="Arial" w:hAnsi="Arial"/>
          <w:sz w:val="18"/>
          <w:szCs w:val="18"/>
          <w:color w:val="auto"/>
        </w:rPr>
      </w:pPr>
    </w:p>
    <w:p>
      <w:pPr>
        <w:ind w:left="460" w:right="1000" w:firstLine="443"/>
        <w:spacing w:after="0" w:line="268" w:lineRule="auto"/>
        <w:tabs>
          <w:tab w:leader="none" w:pos="115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if to any other Lender, to the address, facsimile number, electronic mail address or telephone number specified in its Administrative Questionnaire.</w:t>
      </w:r>
    </w:p>
    <w:p>
      <w:pPr>
        <w:spacing w:after="0" w:line="132"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clause (b) below, shall be effective as provided in such clause (b).</w:t>
      </w:r>
    </w:p>
    <w:p>
      <w:pPr>
        <w:spacing w:after="0" w:line="113" w:lineRule="exact"/>
        <w:rPr>
          <w:sz w:val="20"/>
          <w:szCs w:val="20"/>
          <w:color w:val="auto"/>
        </w:rPr>
      </w:pPr>
    </w:p>
    <w:p>
      <w:pPr>
        <w:ind w:right="200" w:firstLine="464"/>
        <w:spacing w:after="0" w:line="291" w:lineRule="auto"/>
        <w:tabs>
          <w:tab w:leader="none" w:pos="705"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xml:space="preserve">. Notices and other communications to the Lenders and the L/C Issuer hereunder may be delivered or furnished by electronic communication (including e-mail and Internet or intranet websites)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or the L/C Issuer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if such Lender or the L/C Issuer, as applicable, has notified the Administrative Agent that it is incapable of receiving notices under such Article by electronic communication. The Administrative Agent, the L/C Issuer, the Swing Line Lender or the Borrower may each,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80" w:right="239" w:bottom="1440" w:gutter="0" w:footer="0" w:header="0"/>
        </w:sectPr>
      </w:pPr>
    </w:p>
    <w:bookmarkStart w:id="85" w:name="page86"/>
    <w:bookmarkEnd w:id="85"/>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w:t>
      </w:r>
    </w:p>
    <w:p>
      <w:pPr>
        <w:spacing w:after="0" w:line="120" w:lineRule="exact"/>
        <w:rPr>
          <w:sz w:val="20"/>
          <w:szCs w:val="20"/>
          <w:color w:val="auto"/>
        </w:rPr>
      </w:pPr>
    </w:p>
    <w:p>
      <w:pPr>
        <w:ind w:right="80" w:firstLine="464"/>
        <w:spacing w:after="0" w:line="286" w:lineRule="auto"/>
        <w:tabs>
          <w:tab w:leader="none" w:pos="695" w:val="left"/>
        </w:tabs>
        <w:numPr>
          <w:ilvl w:val="1"/>
          <w:numId w:val="117"/>
        </w:numPr>
        <w:rPr>
          <w:rFonts w:ascii="Arial" w:cs="Arial" w:eastAsia="Arial" w:hAnsi="Arial"/>
          <w:sz w:val="16"/>
          <w:szCs w:val="16"/>
          <w:color w:val="auto"/>
        </w:rPr>
      </w:pPr>
      <w:r>
        <w:rPr>
          <w:rFonts w:ascii="Arial" w:cs="Arial" w:eastAsia="Arial" w:hAnsi="Arial"/>
          <w:sz w:val="16"/>
          <w:szCs w:val="16"/>
          <w:u w:val="single" w:color="auto"/>
          <w:color w:val="auto"/>
        </w:rPr>
        <w:t>The Platform</w:t>
      </w:r>
      <w:r>
        <w:rPr>
          <w:rFonts w:ascii="Arial" w:cs="Arial" w:eastAsia="Arial" w:hAnsi="Arial"/>
          <w:sz w:val="16"/>
          <w:szCs w:val="16"/>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6"/>
          <w:szCs w:val="16"/>
          <w:u w:val="single" w:color="auto"/>
          <w:color w:val="auto"/>
        </w:rPr>
        <w:t>Agent Parties</w:t>
      </w:r>
      <w:r>
        <w:rPr>
          <w:rFonts w:ascii="Arial" w:cs="Arial" w:eastAsia="Arial" w:hAnsi="Arial"/>
          <w:sz w:val="16"/>
          <w:szCs w:val="16"/>
          <w:color w:val="auto"/>
        </w:rPr>
        <w:t xml:space="preserve">”) have any liability to the Borrower, any Lender, the L/C Issuer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Agent Party have any liability to the Borrower, any Lender, the L/C Issuer or any other Person for indirect, special, incidental, consequential or punitive damages (as opposed to direct or actual damages).</w:t>
      </w:r>
    </w:p>
    <w:p>
      <w:pPr>
        <w:spacing w:after="0" w:line="124" w:lineRule="exact"/>
        <w:rPr>
          <w:rFonts w:ascii="Arial" w:cs="Arial" w:eastAsia="Arial" w:hAnsi="Arial"/>
          <w:sz w:val="16"/>
          <w:szCs w:val="16"/>
          <w:color w:val="auto"/>
        </w:rPr>
      </w:pPr>
    </w:p>
    <w:p>
      <w:pPr>
        <w:ind w:right="200" w:firstLine="464"/>
        <w:spacing w:after="0" w:line="302" w:lineRule="auto"/>
        <w:tabs>
          <w:tab w:leader="none" w:pos="705" w:val="left"/>
        </w:tabs>
        <w:numPr>
          <w:ilvl w:val="1"/>
          <w:numId w:val="117"/>
        </w:numPr>
        <w:rPr>
          <w:rFonts w:ascii="Arial" w:cs="Arial" w:eastAsia="Arial" w:hAnsi="Arial"/>
          <w:sz w:val="15"/>
          <w:szCs w:val="15"/>
          <w:color w:val="auto"/>
        </w:rPr>
      </w:pPr>
      <w:r>
        <w:rPr>
          <w:rFonts w:ascii="Arial" w:cs="Arial" w:eastAsia="Arial" w:hAnsi="Arial"/>
          <w:sz w:val="15"/>
          <w:szCs w:val="15"/>
          <w:u w:val="single" w:color="auto"/>
          <w:color w:val="auto"/>
        </w:rPr>
        <w:t>Change of Address, Etc</w:t>
      </w:r>
      <w:r>
        <w:rPr>
          <w:rFonts w:ascii="Arial" w:cs="Arial" w:eastAsia="Arial" w:hAnsi="Arial"/>
          <w:sz w:val="15"/>
          <w:szCs w:val="15"/>
          <w:color w:val="auto"/>
        </w:rPr>
        <w:t>. The Borrower, the Administrative Agent, the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 the Administrative Agent, the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w:t>
      </w:r>
    </w:p>
    <w:p>
      <w:pPr>
        <w:spacing w:after="0" w:line="1" w:lineRule="exact"/>
        <w:rPr>
          <w:rFonts w:ascii="Arial" w:cs="Arial" w:eastAsia="Arial" w:hAnsi="Arial"/>
          <w:sz w:val="15"/>
          <w:szCs w:val="15"/>
          <w:color w:val="auto"/>
        </w:rPr>
      </w:pPr>
    </w:p>
    <w:p>
      <w:pPr>
        <w:ind w:right="100" w:firstLine="8"/>
        <w:spacing w:after="0" w:line="292" w:lineRule="auto"/>
        <w:tabs>
          <w:tab w:leader="none" w:pos="25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16" w:lineRule="exact"/>
        <w:rPr>
          <w:rFonts w:ascii="Arial" w:cs="Arial" w:eastAsia="Arial" w:hAnsi="Arial"/>
          <w:sz w:val="16"/>
          <w:szCs w:val="16"/>
          <w:color w:val="auto"/>
        </w:rPr>
      </w:pPr>
    </w:p>
    <w:p>
      <w:pPr>
        <w:ind w:right="100" w:firstLine="464"/>
        <w:spacing w:after="0" w:line="256" w:lineRule="auto"/>
        <w:tabs>
          <w:tab w:leader="none" w:pos="695"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L/C Issuer and Lenders</w:t>
      </w:r>
      <w:r>
        <w:rPr>
          <w:rFonts w:ascii="Arial" w:cs="Arial" w:eastAsia="Arial" w:hAnsi="Arial"/>
          <w:sz w:val="18"/>
          <w:szCs w:val="18"/>
          <w:color w:val="auto"/>
        </w:rPr>
        <w:t>. The Administrative Agent, the L/C Issuer and the Lenders shall be entitled to rely and act upon any notices (including telephonic or electronic Committed Loan Notices, Letter of Credit Applications and Swing Line Loan Notices) purportedly given by or on behalf of the Borrower even if (i) such notices were not made in a manner specified herein, were incomplete or were not preceded or followed by any other form of notice specified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80" w:right="239" w:bottom="1440" w:gutter="0" w:footer="0" w:header="0"/>
        </w:sectPr>
      </w:pPr>
    </w:p>
    <w:bookmarkStart w:id="86" w:name="page87"/>
    <w:bookmarkEnd w:id="86"/>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herein, or (ii) the terms thereof, as understood by the recipient, varied from any confirmation thereof. The Borrower shall indemnify the Administrative Agent, the L/C Issuer,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10.03</w:t>
      </w:r>
      <w:r>
        <w:rPr>
          <w:sz w:val="20"/>
          <w:szCs w:val="20"/>
          <w:color w:val="auto"/>
        </w:rPr>
        <w:tab/>
      </w:r>
      <w:r>
        <w:rPr>
          <w:rFonts w:ascii="Arial" w:cs="Arial" w:eastAsia="Arial" w:hAnsi="Arial"/>
          <w:sz w:val="15"/>
          <w:szCs w:val="15"/>
          <w:u w:val="single" w:color="auto"/>
          <w:color w:val="auto"/>
        </w:rPr>
        <w:t>No Waiver; Cumulative Remedies; Enforcement.</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43" w:lineRule="exact"/>
        <w:rPr>
          <w:sz w:val="20"/>
          <w:szCs w:val="20"/>
          <w:color w:val="auto"/>
        </w:rPr>
      </w:pPr>
    </w:p>
    <w:p>
      <w:pPr>
        <w:ind w:right="80" w:firstLine="456"/>
        <w:spacing w:after="0" w:line="301" w:lineRule="auto"/>
        <w:rPr>
          <w:sz w:val="20"/>
          <w:szCs w:val="20"/>
          <w:color w:val="auto"/>
        </w:rPr>
      </w:pPr>
      <w:r>
        <w:rPr>
          <w:rFonts w:ascii="Arial" w:cs="Arial" w:eastAsia="Arial" w:hAnsi="Arial"/>
          <w:sz w:val="15"/>
          <w:szCs w:val="15"/>
          <w:color w:val="auto"/>
        </w:rPr>
        <w:t xml:space="preserve">Notwithstanding anything to the contrary contained herein or in any other Loan Document, the authority to enforce rights and remedies hereunder and under the other Loan Documents against the Borrower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5"/>
          <w:szCs w:val="15"/>
          <w:u w:val="single" w:color="auto"/>
          <w:color w:val="auto"/>
        </w:rPr>
        <w:t>Section 8.02</w:t>
      </w:r>
      <w:r>
        <w:rPr>
          <w:rFonts w:ascii="Arial" w:cs="Arial" w:eastAsia="Arial" w:hAnsi="Arial"/>
          <w:sz w:val="15"/>
          <w:szCs w:val="15"/>
          <w:color w:val="auto"/>
        </w:rPr>
        <w:t xml:space="preserve"> for the benefit of all the Lenders and the L/C Issuer;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5"/>
          <w:szCs w:val="15"/>
          <w:u w:val="single" w:color="auto"/>
          <w:color w:val="auto"/>
        </w:rPr>
        <w:t>Section 10.08</w:t>
      </w:r>
      <w:r>
        <w:rPr>
          <w:rFonts w:ascii="Arial" w:cs="Arial" w:eastAsia="Arial" w:hAnsi="Arial"/>
          <w:sz w:val="15"/>
          <w:szCs w:val="15"/>
          <w:color w:val="auto"/>
        </w:rPr>
        <w:t xml:space="preserve"> (subject to the terms of </w:t>
      </w:r>
      <w:r>
        <w:rPr>
          <w:rFonts w:ascii="Arial" w:cs="Arial" w:eastAsia="Arial" w:hAnsi="Arial"/>
          <w:sz w:val="15"/>
          <w:szCs w:val="15"/>
          <w:u w:val="single" w:color="auto"/>
          <w:color w:val="auto"/>
        </w:rPr>
        <w:t>Section 2.13</w:t>
      </w:r>
      <w:r>
        <w:rPr>
          <w:rFonts w:ascii="Arial" w:cs="Arial" w:eastAsia="Arial" w:hAnsi="Arial"/>
          <w:sz w:val="15"/>
          <w:szCs w:val="15"/>
          <w:color w:val="auto"/>
        </w:rPr>
        <w:t xml:space="preserve">), or (d) any Lender from filing proofs of claim or appearing and filing pleadings on its own behalf during the pendency of a proceeding relative to the Borrower under any Debtor Relief Law;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if at any time there is no Person acting as Administrative Agent hereunder and under the other Loan Documents, then</w:t>
      </w:r>
    </w:p>
    <w:p>
      <w:pPr>
        <w:spacing w:after="0" w:line="4" w:lineRule="exact"/>
        <w:rPr>
          <w:sz w:val="20"/>
          <w:szCs w:val="20"/>
          <w:color w:val="auto"/>
        </w:rPr>
      </w:pPr>
    </w:p>
    <w:p>
      <w:pPr>
        <w:jc w:val="both"/>
        <w:ind w:right="100" w:firstLine="8"/>
        <w:spacing w:after="0" w:line="255" w:lineRule="auto"/>
        <w:tabs>
          <w:tab w:leader="none" w:pos="21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the Required Lenders shall have the rights otherwise ascribed to the Administrative Agent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(ii) in addition to the matters set forth in clauses (b), (c) and (d) of the preceding proviso and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2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10.04</w:t>
      </w:r>
      <w:r>
        <w:rPr>
          <w:sz w:val="20"/>
          <w:szCs w:val="20"/>
          <w:color w:val="auto"/>
        </w:rPr>
        <w:tab/>
      </w:r>
      <w:r>
        <w:rPr>
          <w:rFonts w:ascii="Arial" w:cs="Arial" w:eastAsia="Arial" w:hAnsi="Arial"/>
          <w:sz w:val="15"/>
          <w:szCs w:val="15"/>
          <w:u w:val="single" w:color="auto"/>
          <w:color w:val="auto"/>
        </w:rPr>
        <w:t>Expenses; Indemnity; Damage Waiver.</w:t>
      </w:r>
    </w:p>
    <w:p>
      <w:pPr>
        <w:spacing w:after="0" w:line="90" w:lineRule="exact"/>
        <w:rPr>
          <w:sz w:val="20"/>
          <w:szCs w:val="20"/>
          <w:color w:val="auto"/>
        </w:rPr>
      </w:pPr>
    </w:p>
    <w:p>
      <w:pPr>
        <w:ind w:right="20" w:firstLine="464"/>
        <w:spacing w:after="0" w:line="287" w:lineRule="auto"/>
        <w:tabs>
          <w:tab w:leader="none" w:pos="695"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The Borrower shall pay (i) all reasonable out-of-pocket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 in connection with the issuance, amendment, renewal or extension of any Letter of Credit or any demand for payment thereunder and (iii) after and during the continuation of an Event of Default, all out-of-pocket expenses incurred by the Administrative Agent, any Lender or the L/C Issuer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 (including, with respect to clause (iii), the reasonable fees, charges and disbursements of any counsel for the Administrative Agent, any Lender or the L/C Issuer).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80" w:right="239" w:bottom="1440" w:gutter="0" w:footer="0" w:header="0"/>
        </w:sectPr>
      </w:pPr>
    </w:p>
    <w:bookmarkStart w:id="87" w:name="page88"/>
    <w:bookmarkEnd w:id="87"/>
    <w:p>
      <w:pPr>
        <w:ind w:left="-8" w:firstLine="464"/>
        <w:spacing w:after="0" w:line="282" w:lineRule="auto"/>
        <w:tabs>
          <w:tab w:leader="none" w:pos="697" w:val="left"/>
        </w:tabs>
        <w:numPr>
          <w:ilvl w:val="1"/>
          <w:numId w:val="12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 by the Borrower</w:t>
      </w:r>
      <w:r>
        <w:rPr>
          <w:rFonts w:ascii="Arial" w:cs="Arial" w:eastAsia="Arial" w:hAnsi="Arial"/>
          <w:sz w:val="16"/>
          <w:szCs w:val="16"/>
          <w:color w:val="auto"/>
        </w:rPr>
        <w:t>. The Borrower shall indemnify the Administrative Agent (and any sub-agent thereof), each Lender and the L/C Issuer,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third party or by the Borrower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w:t>
      </w:r>
    </w:p>
    <w:p>
      <w:pPr>
        <w:spacing w:after="0" w:line="5" w:lineRule="exact"/>
        <w:rPr>
          <w:rFonts w:ascii="Arial" w:cs="Arial" w:eastAsia="Arial" w:hAnsi="Arial"/>
          <w:sz w:val="16"/>
          <w:szCs w:val="16"/>
          <w:color w:val="auto"/>
        </w:rPr>
      </w:pPr>
    </w:p>
    <w:p>
      <w:pPr>
        <w:ind w:left="-8" w:right="20" w:firstLine="8"/>
        <w:spacing w:after="0" w:line="287" w:lineRule="auto"/>
        <w:tabs>
          <w:tab w:leader="none" w:pos="24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are determined by a court of competent jurisdiction by final and nonappealable judgment to have resulted from the gross negligence or willful misconduct of such Indemnitee, (y) result from a claim brought by the Borrower against an Indemnitee for breach in bad faith of such Indemnitee’s obligations hereunder or under any other Loan Document, if the Borrower has obtained a final and nonappealable judgment in its favor on such claim as determined by a court of competent jurisdiction, or (z) arise out of, or in connection with, any investigation, litigation, proceeding or claim that does not involve an act or omission by the Borrower or any of its Affiliates and that is brought by an Indemnitee against any other Indemnitee (other than claims against any of Bank of America, JPMorgan Chase Bank, N.A., MLPFS or J.P. Morgan Securities LLC in fulfilling such party’s role as an agent or Arranger in respect of this Agreement). Without limiting the provisions of </w:t>
      </w:r>
      <w:r>
        <w:rPr>
          <w:rFonts w:ascii="Arial" w:cs="Arial" w:eastAsia="Arial" w:hAnsi="Arial"/>
          <w:sz w:val="16"/>
          <w:szCs w:val="16"/>
          <w:u w:val="single" w:color="auto"/>
          <w:color w:val="auto"/>
        </w:rPr>
        <w:t>Section 3.01(c)</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10.04(b)</w:t>
      </w:r>
      <w:r>
        <w:rPr>
          <w:rFonts w:ascii="Arial" w:cs="Arial" w:eastAsia="Arial" w:hAnsi="Arial"/>
          <w:sz w:val="16"/>
          <w:szCs w:val="16"/>
          <w:color w:val="auto"/>
        </w:rPr>
        <w:t xml:space="preserve"> shall not apply with respect to Taxes other than any Taxes that represent losses, claims, damages or liabilities arising from any non-Tax claim.</w:t>
      </w:r>
    </w:p>
    <w:p>
      <w:pPr>
        <w:spacing w:after="0" w:line="124" w:lineRule="exact"/>
        <w:rPr>
          <w:rFonts w:ascii="Arial" w:cs="Arial" w:eastAsia="Arial" w:hAnsi="Arial"/>
          <w:sz w:val="16"/>
          <w:szCs w:val="16"/>
          <w:color w:val="auto"/>
        </w:rPr>
      </w:pPr>
    </w:p>
    <w:p>
      <w:pPr>
        <w:ind w:left="-8" w:right="20" w:firstLine="464"/>
        <w:spacing w:after="0" w:line="287" w:lineRule="auto"/>
        <w:tabs>
          <w:tab w:leader="none" w:pos="687" w:val="left"/>
        </w:tabs>
        <w:numPr>
          <w:ilvl w:val="1"/>
          <w:numId w:val="122"/>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Borrower for any reason fails to indefeasibly pay any amount required under clause (a) or (b) of this Section to be paid by it to the Administrative Agent (or any sub-agent thereof), the L/C Issuer, the Swing Line Lender or 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Percentages (determined as of the time that the applicable unreimbursed expense or indemnity payment is sought);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unreimbursed expense or indemnified loss, claim, damage, liability or related expense, as the case may be, was incurred by or asserted against the Administrative Agent (or any such sub-agent), the Swing Line Lender or the L/C Issuer in its capacity as such, or against any Related Party of any of the foregoing acting for the Administrative Agent (or any such sub-agent), the Swing Line Lender or L/C Issuer in connection with such capacity. The obligations of the Lenders under this clause (c) are subject to the provisions of </w:t>
      </w:r>
      <w:r>
        <w:rPr>
          <w:rFonts w:ascii="Arial" w:cs="Arial" w:eastAsia="Arial" w:hAnsi="Arial"/>
          <w:sz w:val="16"/>
          <w:szCs w:val="16"/>
          <w:u w:val="single" w:color="auto"/>
          <w:color w:val="auto"/>
        </w:rPr>
        <w:t>Section 2.12(d)</w:t>
      </w:r>
      <w:r>
        <w:rPr>
          <w:rFonts w:ascii="Arial" w:cs="Arial" w:eastAsia="Arial" w:hAnsi="Arial"/>
          <w:sz w:val="16"/>
          <w:szCs w:val="16"/>
          <w:color w:val="auto"/>
        </w:rPr>
        <w:t>.</w:t>
      </w:r>
    </w:p>
    <w:p>
      <w:pPr>
        <w:spacing w:after="0" w:line="10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72"/>
          </w:cols>
          <w:pgMar w:left="248" w:top="280" w:right="279" w:bottom="1440" w:gutter="0" w:footer="0" w:header="0"/>
        </w:sectPr>
      </w:pPr>
    </w:p>
    <w:bookmarkStart w:id="88" w:name="page89"/>
    <w:bookmarkEnd w:id="88"/>
    <w:p>
      <w:pPr>
        <w:ind w:right="60" w:firstLine="464"/>
        <w:spacing w:after="0" w:line="289" w:lineRule="auto"/>
        <w:tabs>
          <w:tab w:leader="none" w:pos="705"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 of Consequential Damages, Etc</w:t>
      </w:r>
      <w:r>
        <w:rPr>
          <w:rFonts w:ascii="Arial" w:cs="Arial" w:eastAsia="Arial" w:hAnsi="Arial"/>
          <w:sz w:val="16"/>
          <w:szCs w:val="16"/>
          <w:color w:val="auto"/>
        </w:rPr>
        <w:t>. To the fullest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clause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18" w:lineRule="exact"/>
        <w:rPr>
          <w:rFonts w:ascii="Arial" w:cs="Arial" w:eastAsia="Arial" w:hAnsi="Arial"/>
          <w:sz w:val="16"/>
          <w:szCs w:val="16"/>
          <w:color w:val="auto"/>
        </w:rPr>
      </w:pPr>
    </w:p>
    <w:p>
      <w:pPr>
        <w:ind w:left="700" w:hanging="236"/>
        <w:spacing w:after="0"/>
        <w:tabs>
          <w:tab w:leader="none" w:pos="70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171" w:lineRule="exact"/>
        <w:rPr>
          <w:rFonts w:ascii="Arial" w:cs="Arial" w:eastAsia="Arial" w:hAnsi="Arial"/>
          <w:sz w:val="18"/>
          <w:szCs w:val="18"/>
          <w:color w:val="auto"/>
        </w:rPr>
      </w:pPr>
    </w:p>
    <w:p>
      <w:pPr>
        <w:ind w:right="40" w:firstLine="464"/>
        <w:spacing w:after="0" w:line="259" w:lineRule="auto"/>
        <w:tabs>
          <w:tab w:leader="none" w:pos="676"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agreements in this Section and the indemnity provisions of </w:t>
      </w:r>
      <w:r>
        <w:rPr>
          <w:rFonts w:ascii="Arial" w:cs="Arial" w:eastAsia="Arial" w:hAnsi="Arial"/>
          <w:sz w:val="18"/>
          <w:szCs w:val="18"/>
          <w:u w:val="single" w:color="auto"/>
          <w:color w:val="auto"/>
        </w:rPr>
        <w:t>Section 10.02(e)</w:t>
      </w:r>
      <w:r>
        <w:rPr>
          <w:rFonts w:ascii="Arial" w:cs="Arial" w:eastAsia="Arial" w:hAnsi="Arial"/>
          <w:sz w:val="18"/>
          <w:szCs w:val="18"/>
          <w:color w:val="auto"/>
        </w:rPr>
        <w:t xml:space="preserve"> shall survive the resignation of the Administrative Agent, the L/C Issuer and the Swing Line Lender, the replacement of any Lender, the termination of the Aggregate Commitments and the repayment, satisfaction or discharge of all the other Obligations.</w:t>
      </w:r>
    </w:p>
    <w:p>
      <w:pPr>
        <w:spacing w:after="0" w:line="26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10.05</w:t>
      </w:r>
      <w:r>
        <w:rPr>
          <w:sz w:val="20"/>
          <w:szCs w:val="20"/>
          <w:color w:val="auto"/>
        </w:rPr>
        <w:tab/>
      </w:r>
      <w:r>
        <w:rPr>
          <w:rFonts w:ascii="Arial" w:cs="Arial" w:eastAsia="Arial" w:hAnsi="Arial"/>
          <w:sz w:val="15"/>
          <w:szCs w:val="15"/>
          <w:u w:val="single" w:color="auto"/>
          <w:color w:val="auto"/>
        </w:rPr>
        <w:t>Payments Set Aside.</w:t>
      </w:r>
    </w:p>
    <w:p>
      <w:pPr>
        <w:spacing w:after="0" w:line="90"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To the extent that any payment by or on behalf of the Borrower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and to the extent permitted by applicable Law,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 under clause (b) of the preceding sentence shall survive the payment in full of the Obligations and the termination of this Agreement.</w:t>
      </w:r>
    </w:p>
    <w:p>
      <w:pPr>
        <w:spacing w:after="0" w:line="24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10.06</w:t>
      </w:r>
      <w:r>
        <w:rPr>
          <w:sz w:val="20"/>
          <w:szCs w:val="20"/>
          <w:color w:val="auto"/>
        </w:rPr>
        <w:tab/>
      </w:r>
      <w:r>
        <w:rPr>
          <w:rFonts w:ascii="Arial" w:cs="Arial" w:eastAsia="Arial" w:hAnsi="Arial"/>
          <w:sz w:val="15"/>
          <w:szCs w:val="15"/>
          <w:u w:val="single" w:color="auto"/>
          <w:color w:val="auto"/>
        </w:rPr>
        <w:t>Successors and Assigns.</w:t>
      </w:r>
    </w:p>
    <w:p>
      <w:pPr>
        <w:spacing w:after="0" w:line="90" w:lineRule="exact"/>
        <w:rPr>
          <w:sz w:val="20"/>
          <w:szCs w:val="20"/>
          <w:color w:val="auto"/>
        </w:rPr>
      </w:pPr>
    </w:p>
    <w:p>
      <w:pPr>
        <w:ind w:firstLine="464"/>
        <w:spacing w:after="0" w:line="294" w:lineRule="auto"/>
        <w:tabs>
          <w:tab w:leader="none" w:pos="695"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clause (b) of this Section, (ii) by way of participation in accordance with the provisions of clause (d) of this Section, or (iii) by way of pledge or assignment of a security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280" w:right="259" w:bottom="1440" w:gutter="0" w:footer="0" w:header="0"/>
        </w:sectPr>
      </w:pPr>
    </w:p>
    <w:bookmarkStart w:id="89" w:name="page90"/>
    <w:bookmarkEnd w:id="89"/>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subject to the restrictions of clause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clause (d) of this Section and, to the extent expressly contemplated hereby, the Related Parties of each of the Administrative Agent, the L/C Issuer and the Lenders) any legal or equitable right, remedy or claim under or by reason of this Agreement.</w:t>
      </w:r>
    </w:p>
    <w:p>
      <w:pPr>
        <w:spacing w:after="0" w:line="113" w:lineRule="exact"/>
        <w:rPr>
          <w:sz w:val="20"/>
          <w:szCs w:val="20"/>
          <w:color w:val="auto"/>
        </w:rPr>
      </w:pPr>
    </w:p>
    <w:p>
      <w:pPr>
        <w:ind w:firstLine="464"/>
        <w:spacing w:after="0" w:line="306" w:lineRule="auto"/>
        <w:tabs>
          <w:tab w:leader="none" w:pos="705"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Assignments by Lenders</w:t>
      </w:r>
      <w:r>
        <w:rPr>
          <w:rFonts w:ascii="Arial" w:cs="Arial" w:eastAsia="Arial" w:hAnsi="Arial"/>
          <w:sz w:val="16"/>
          <w:szCs w:val="16"/>
          <w:color w:val="auto"/>
        </w:rPr>
        <w:t xml:space="preserve">. Any Lender may at any time assign to one or more assignees all or a portion of its rights and obligations under this Agreement and the other Loan Documents (including all or a portion of its Commitment and the Loans (including for purposes of this clause (b), participations in L/C Obligations and in Swing Line Loans) at the time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assignment shall be subject to the following conditions:</w:t>
      </w:r>
    </w:p>
    <w:p>
      <w:pPr>
        <w:spacing w:after="0" w:line="25" w:lineRule="exact"/>
        <w:rPr>
          <w:rFonts w:ascii="Arial" w:cs="Arial" w:eastAsia="Arial" w:hAnsi="Arial"/>
          <w:sz w:val="16"/>
          <w:szCs w:val="16"/>
          <w:color w:val="auto"/>
        </w:rPr>
      </w:pPr>
    </w:p>
    <w:p>
      <w:pPr>
        <w:ind w:left="1120" w:hanging="217"/>
        <w:spacing w:after="0"/>
        <w:tabs>
          <w:tab w:leader="none" w:pos="1120"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140" w:firstLine="421"/>
        <w:spacing w:after="0" w:line="306" w:lineRule="auto"/>
        <w:tabs>
          <w:tab w:leader="none" w:pos="1627" w:val="left"/>
        </w:tabs>
        <w:numPr>
          <w:ilvl w:val="2"/>
          <w:numId w:val="125"/>
        </w:numPr>
        <w:rPr>
          <w:rFonts w:ascii="Arial" w:cs="Arial" w:eastAsia="Arial" w:hAnsi="Arial"/>
          <w:sz w:val="16"/>
          <w:szCs w:val="16"/>
          <w:color w:val="auto"/>
        </w:rPr>
      </w:pPr>
      <w:r>
        <w:rPr>
          <w:rFonts w:ascii="Arial" w:cs="Arial" w:eastAsia="Arial" w:hAnsi="Arial"/>
          <w:sz w:val="16"/>
          <w:szCs w:val="16"/>
          <w:color w:val="auto"/>
        </w:rPr>
        <w:t>in the case of an assignment of the entire remaining amount of the assigning Lender’s Commitment and the Loans at the time owing to it or contemporaneous assignments to related Approved Funds that equal at least the amount specified in paragraph (b)(i)(B) of this Section in the aggregate or in the case of an assignment to a Lender, an Affiliate of a Lender or an Approved Fund, no minimum amount need be assigned; and</w:t>
      </w:r>
    </w:p>
    <w:p>
      <w:pPr>
        <w:spacing w:after="0" w:line="25" w:lineRule="exact"/>
        <w:rPr>
          <w:rFonts w:ascii="Arial" w:cs="Arial" w:eastAsia="Arial" w:hAnsi="Arial"/>
          <w:sz w:val="16"/>
          <w:szCs w:val="16"/>
          <w:color w:val="auto"/>
        </w:rPr>
      </w:pPr>
    </w:p>
    <w:p>
      <w:pPr>
        <w:ind w:left="920" w:right="100" w:firstLine="421"/>
        <w:spacing w:after="0" w:line="291" w:lineRule="auto"/>
        <w:tabs>
          <w:tab w:leader="none" w:pos="1618" w:val="left"/>
        </w:tabs>
        <w:numPr>
          <w:ilvl w:val="2"/>
          <w:numId w:val="125"/>
        </w:numPr>
        <w:rPr>
          <w:rFonts w:ascii="Arial" w:cs="Arial" w:eastAsia="Arial" w:hAnsi="Arial"/>
          <w:sz w:val="16"/>
          <w:szCs w:val="16"/>
          <w:color w:val="auto"/>
        </w:rPr>
      </w:pPr>
      <w:r>
        <w:rPr>
          <w:rFonts w:ascii="Arial" w:cs="Arial" w:eastAsia="Arial" w:hAnsi="Arial"/>
          <w:sz w:val="16"/>
          <w:szCs w:val="16"/>
          <w:color w:val="auto"/>
        </w:rPr>
        <w:t>in any case not described in clause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w:t>
      </w:r>
    </w:p>
    <w:p>
      <w:pPr>
        <w:spacing w:after="0" w:line="39" w:lineRule="exact"/>
        <w:rPr>
          <w:rFonts w:ascii="Arial" w:cs="Arial" w:eastAsia="Arial" w:hAnsi="Arial"/>
          <w:sz w:val="16"/>
          <w:szCs w:val="16"/>
          <w:color w:val="auto"/>
        </w:rPr>
      </w:pPr>
    </w:p>
    <w:p>
      <w:pPr>
        <w:ind w:left="460" w:right="160" w:firstLine="443"/>
        <w:spacing w:after="0" w:line="259" w:lineRule="auto"/>
        <w:tabs>
          <w:tab w:leader="none" w:pos="1156"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Loans or the Commitment assigned, except that this clause (ii) shall not apply to the Swing Line Lender’s rights and obligations in respect of Swing Line Loans;</w:t>
      </w:r>
    </w:p>
    <w:p>
      <w:pPr>
        <w:spacing w:after="0" w:line="59" w:lineRule="exact"/>
        <w:rPr>
          <w:rFonts w:ascii="Arial" w:cs="Arial" w:eastAsia="Arial" w:hAnsi="Arial"/>
          <w:sz w:val="18"/>
          <w:szCs w:val="18"/>
          <w:color w:val="auto"/>
        </w:rPr>
      </w:pPr>
    </w:p>
    <w:p>
      <w:pPr>
        <w:ind w:left="1200" w:hanging="297"/>
        <w:spacing w:after="0"/>
        <w:tabs>
          <w:tab w:leader="none" w:pos="1200"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Required Consents</w:t>
      </w:r>
      <w:r>
        <w:rPr>
          <w:rFonts w:ascii="Arial" w:cs="Arial" w:eastAsia="Arial" w:hAnsi="Arial"/>
          <w:sz w:val="16"/>
          <w:szCs w:val="16"/>
          <w:color w:val="auto"/>
        </w:rPr>
        <w:t>. No consent shall be required for any assignment except to the extent required by clause (b)(i)(B) of this Section and, in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addition:</w:t>
      </w:r>
    </w:p>
    <w:p>
      <w:pPr>
        <w:spacing w:after="0" w:line="83" w:lineRule="exact"/>
        <w:rPr>
          <w:rFonts w:ascii="Arial" w:cs="Arial" w:eastAsia="Arial" w:hAnsi="Arial"/>
          <w:sz w:val="16"/>
          <w:szCs w:val="16"/>
          <w:color w:val="auto"/>
        </w:rPr>
      </w:pPr>
    </w:p>
    <w:p>
      <w:pPr>
        <w:ind w:left="920" w:firstLine="421"/>
        <w:spacing w:after="0" w:line="332" w:lineRule="auto"/>
        <w:tabs>
          <w:tab w:leader="none" w:pos="1627" w:val="left"/>
        </w:tabs>
        <w:numPr>
          <w:ilvl w:val="2"/>
          <w:numId w:val="125"/>
        </w:numPr>
        <w:rPr>
          <w:rFonts w:ascii="Arial" w:cs="Arial" w:eastAsia="Arial" w:hAnsi="Arial"/>
          <w:sz w:val="16"/>
          <w:szCs w:val="16"/>
          <w:color w:val="auto"/>
        </w:rPr>
      </w:pPr>
      <w:r>
        <w:rPr>
          <w:rFonts w:ascii="Arial" w:cs="Arial" w:eastAsia="Arial" w:hAnsi="Arial"/>
          <w:sz w:val="16"/>
          <w:szCs w:val="16"/>
          <w:color w:val="auto"/>
        </w:rPr>
        <w:t>the consent of the Borrower (such consent not to be unreasonably withheld or delayed) shall be required unless (1) an Event of Default has occurred and is continuing at the time of such assignment or (2) such assignment is to a Lender, an Affiliate of a Lender or an Approved Fund;</w:t>
      </w:r>
    </w:p>
    <w:p>
      <w:pPr>
        <w:spacing w:after="0" w:line="4" w:lineRule="exact"/>
        <w:rPr>
          <w:rFonts w:ascii="Arial" w:cs="Arial" w:eastAsia="Arial" w:hAnsi="Arial"/>
          <w:sz w:val="16"/>
          <w:szCs w:val="16"/>
          <w:color w:val="auto"/>
        </w:rPr>
      </w:pPr>
    </w:p>
    <w:p>
      <w:pPr>
        <w:ind w:left="920" w:right="80" w:firstLine="421"/>
        <w:spacing w:after="0" w:line="268" w:lineRule="auto"/>
        <w:tabs>
          <w:tab w:leader="none" w:pos="1618" w:val="left"/>
        </w:tabs>
        <w:numPr>
          <w:ilvl w:val="2"/>
          <w:numId w:val="125"/>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if such assignment is to a Person that is not a Lender, an Affiliate of such Lender or an Approved Fund with respect to such Lender;</w:t>
      </w:r>
    </w:p>
    <w:p>
      <w:pPr>
        <w:spacing w:after="0" w:line="50" w:lineRule="exact"/>
        <w:rPr>
          <w:rFonts w:ascii="Arial" w:cs="Arial" w:eastAsia="Arial" w:hAnsi="Arial"/>
          <w:sz w:val="18"/>
          <w:szCs w:val="18"/>
          <w:color w:val="auto"/>
        </w:rPr>
      </w:pPr>
    </w:p>
    <w:p>
      <w:pPr>
        <w:ind w:left="920" w:right="120" w:firstLine="421"/>
        <w:spacing w:after="0" w:line="268" w:lineRule="auto"/>
        <w:tabs>
          <w:tab w:leader="none" w:pos="1618" w:val="left"/>
        </w:tabs>
        <w:numPr>
          <w:ilvl w:val="2"/>
          <w:numId w:val="125"/>
        </w:numPr>
        <w:rPr>
          <w:rFonts w:ascii="Arial" w:cs="Arial" w:eastAsia="Arial" w:hAnsi="Arial"/>
          <w:sz w:val="18"/>
          <w:szCs w:val="18"/>
          <w:color w:val="auto"/>
        </w:rPr>
      </w:pPr>
      <w:r>
        <w:rPr>
          <w:rFonts w:ascii="Arial" w:cs="Arial" w:eastAsia="Arial" w:hAnsi="Arial"/>
          <w:sz w:val="18"/>
          <w:szCs w:val="18"/>
          <w:color w:val="auto"/>
        </w:rPr>
        <w:t>the consent of the L/C Issuer and the Swing Line Lender (such consents not to be unreasonably withheld or delayed) shall be required for any assignment.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280" w:right="279" w:bottom="1440" w:gutter="0" w:footer="0" w:header="0"/>
        </w:sectPr>
      </w:pPr>
    </w:p>
    <w:bookmarkStart w:id="90" w:name="page91"/>
    <w:bookmarkEnd w:id="90"/>
    <w:p>
      <w:pPr>
        <w:ind w:left="460" w:right="320" w:firstLine="443"/>
        <w:spacing w:after="0" w:line="256" w:lineRule="auto"/>
        <w:tabs>
          <w:tab w:leader="none" w:pos="1195"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126"/>
        </w:numPr>
        <w:rPr>
          <w:rFonts w:ascii="Arial" w:cs="Arial" w:eastAsia="Arial" w:hAnsi="Arial"/>
          <w:sz w:val="16"/>
          <w:szCs w:val="16"/>
          <w:color w:val="auto"/>
        </w:rPr>
      </w:pPr>
      <w:r>
        <w:rPr>
          <w:rFonts w:ascii="Arial" w:cs="Arial" w:eastAsia="Arial" w:hAnsi="Arial"/>
          <w:sz w:val="16"/>
          <w:szCs w:val="16"/>
          <w:u w:val="single" w:color="auto"/>
          <w:color w:val="auto"/>
        </w:rPr>
        <w:t>No Assignment to Certain Persons</w:t>
      </w:r>
      <w:r>
        <w:rPr>
          <w:rFonts w:ascii="Arial" w:cs="Arial" w:eastAsia="Arial" w:hAnsi="Arial"/>
          <w:sz w:val="16"/>
          <w:szCs w:val="16"/>
          <w:color w:val="auto"/>
        </w:rPr>
        <w:t>. No such assignment shall be made (A) to the Borrower or any of the Borrower’s Affiliates or Subsidiaries,</w:t>
      </w:r>
    </w:p>
    <w:p>
      <w:pPr>
        <w:spacing w:after="0" w:line="38" w:lineRule="exact"/>
        <w:rPr>
          <w:rFonts w:ascii="Arial" w:cs="Arial" w:eastAsia="Arial" w:hAnsi="Arial"/>
          <w:sz w:val="16"/>
          <w:szCs w:val="16"/>
          <w:color w:val="auto"/>
        </w:rPr>
      </w:pPr>
    </w:p>
    <w:p>
      <w:pPr>
        <w:ind w:left="460" w:right="420" w:firstLine="4"/>
        <w:spacing w:after="0" w:line="261" w:lineRule="auto"/>
        <w:tabs>
          <w:tab w:leader="none" w:pos="73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any Defaulting Lender or any of its Subsidiaries or any Person who, upon becoming a Lender hereunder, would constitute any of the foregoing Persons described in this clause (B) or (C) to a natural Person.</w:t>
      </w:r>
    </w:p>
    <w:p>
      <w:pPr>
        <w:spacing w:after="0" w:line="56" w:lineRule="exact"/>
        <w:rPr>
          <w:rFonts w:ascii="Arial" w:cs="Arial" w:eastAsia="Arial" w:hAnsi="Arial"/>
          <w:sz w:val="18"/>
          <w:szCs w:val="18"/>
          <w:color w:val="auto"/>
        </w:rPr>
      </w:pPr>
    </w:p>
    <w:p>
      <w:pPr>
        <w:ind w:left="460" w:firstLine="443"/>
        <w:spacing w:after="0" w:line="286" w:lineRule="auto"/>
        <w:tabs>
          <w:tab w:leader="none" w:pos="1195" w:val="left"/>
        </w:tabs>
        <w:numPr>
          <w:ilvl w:val="1"/>
          <w:numId w:val="127"/>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2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Subject to acceptance and recording thereof by the Administrative Agent pursuant to clause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10.04</w:t>
      </w:r>
      <w:r>
        <w:rPr>
          <w:rFonts w:ascii="Arial" w:cs="Arial" w:eastAsia="Arial" w:hAnsi="Arial"/>
          <w:sz w:val="16"/>
          <w:szCs w:val="16"/>
          <w:color w:val="auto"/>
        </w:rPr>
        <w:t xml:space="preserve"> with respect to facts and circumstances occurring prior to the effective date of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clause shall be treated for purposes of this Agreement as a sale by such Lender of a participation in such rights and obligations in accordance with clause (d) of this Section.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280" w:right="279" w:bottom="1440" w:gutter="0" w:footer="0" w:header="0"/>
        </w:sectPr>
      </w:pPr>
    </w:p>
    <w:bookmarkStart w:id="91" w:name="page92"/>
    <w:bookmarkEnd w:id="91"/>
    <w:p>
      <w:pPr>
        <w:ind w:right="40" w:firstLine="464"/>
        <w:spacing w:after="0" w:line="290" w:lineRule="auto"/>
        <w:tabs>
          <w:tab w:leader="none" w:pos="695"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Register</w:t>
      </w:r>
      <w:r>
        <w:rPr>
          <w:rFonts w:ascii="Arial" w:cs="Arial" w:eastAsia="Arial" w:hAnsi="Arial"/>
          <w:sz w:val="16"/>
          <w:szCs w:val="16"/>
          <w:color w:val="auto"/>
        </w:rPr>
        <w:t>. The Administrative Agent, acting solely for this purpose as an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18" w:lineRule="exact"/>
        <w:rPr>
          <w:rFonts w:ascii="Arial" w:cs="Arial" w:eastAsia="Arial" w:hAnsi="Arial"/>
          <w:sz w:val="16"/>
          <w:szCs w:val="16"/>
          <w:color w:val="auto"/>
        </w:rPr>
      </w:pPr>
    </w:p>
    <w:p>
      <w:pPr>
        <w:ind w:right="80" w:firstLine="464"/>
        <w:spacing w:after="0" w:line="289" w:lineRule="auto"/>
        <w:tabs>
          <w:tab w:leader="none" w:pos="705"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without the consent of, or notice to, the Borrower or the Administrative Agent, sell participations to any Person (other than a natural Person, a Defaulting Lender or the Borrower or any of the Borrower’s Affiliates or Subsidiaries)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6"/>
          <w:szCs w:val="16"/>
          <w:u w:val="single" w:color="auto"/>
          <w:color w:val="auto"/>
        </w:rPr>
        <w:t>Section 10.04(c)</w:t>
      </w:r>
      <w:r>
        <w:rPr>
          <w:rFonts w:ascii="Arial" w:cs="Arial" w:eastAsia="Arial" w:hAnsi="Arial"/>
          <w:sz w:val="16"/>
          <w:szCs w:val="16"/>
          <w:color w:val="auto"/>
        </w:rPr>
        <w:t xml:space="preserve"> without regard to the existence of any participation.</w:t>
      </w:r>
    </w:p>
    <w:p>
      <w:pPr>
        <w:spacing w:after="0" w:line="11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clauses (i) through (vi) of </w:t>
      </w:r>
      <w:r>
        <w:rPr>
          <w:rFonts w:ascii="Arial" w:cs="Arial" w:eastAsia="Arial" w:hAnsi="Arial"/>
          <w:sz w:val="16"/>
          <w:szCs w:val="16"/>
          <w:u w:val="single" w:color="auto"/>
          <w:color w:val="auto"/>
        </w:rPr>
        <w:t>Section 10.01(a)</w:t>
      </w:r>
      <w:r>
        <w:rPr>
          <w:rFonts w:ascii="Arial" w:cs="Arial" w:eastAsia="Arial" w:hAnsi="Arial"/>
          <w:sz w:val="16"/>
          <w:szCs w:val="16"/>
          <w:color w:val="auto"/>
        </w:rPr>
        <w:t xml:space="preserve"> that affects such Participant. Subject to clause (e) of this Section, the Borrower agrees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provided that such Participant (A) agrees to be subject to the provisions of </w:t>
      </w:r>
      <w:r>
        <w:rPr>
          <w:rFonts w:ascii="Arial" w:cs="Arial" w:eastAsia="Arial" w:hAnsi="Arial"/>
          <w:sz w:val="16"/>
          <w:szCs w:val="16"/>
          <w:u w:val="single" w:color="auto"/>
          <w:color w:val="auto"/>
        </w:rPr>
        <w:t>Sections 3.06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10.13</w:t>
      </w:r>
      <w:r>
        <w:rPr>
          <w:rFonts w:ascii="Arial" w:cs="Arial" w:eastAsia="Arial" w:hAnsi="Arial"/>
          <w:sz w:val="16"/>
          <w:szCs w:val="16"/>
          <w:color w:val="auto"/>
        </w:rPr>
        <w:t xml:space="preserve"> as if it were an assignee under paragraph (b) of this Section and (B) shall not be entitled to receive any greater payment under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with respect to any participation, than the Lender from whom it acquired the applicable participation would have been entitled to receive with respect to the participation sold to such Participant. Each Lender that sells a participation agrees, at the Borrower’s request and expense, to use reasonable efforts to cooperate with the Borrower to effectuate the provisions of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with respect to any Participant. To the extent permitted by law, each Participant also shall be entitled to the benefits of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 agrees to be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280" w:right="279" w:bottom="1440" w:gutter="0" w:footer="0" w:header="0"/>
        </w:sectPr>
      </w:pPr>
    </w:p>
    <w:bookmarkStart w:id="92" w:name="page93"/>
    <w:bookmarkEnd w:id="92"/>
    <w:p>
      <w:pPr>
        <w:ind w:firstLine="464"/>
        <w:spacing w:after="0" w:line="283" w:lineRule="auto"/>
        <w:tabs>
          <w:tab w:leader="none" w:pos="695"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Limitations upon Participant Rights</w:t>
      </w:r>
      <w:r>
        <w:rPr>
          <w:rFonts w:ascii="Arial" w:cs="Arial" w:eastAsia="Arial" w:hAnsi="Arial"/>
          <w:sz w:val="16"/>
          <w:szCs w:val="16"/>
          <w:color w:val="auto"/>
        </w:rPr>
        <w:t xml:space="preserve">. A Participant shall not be entitled to receive any greater payment under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unless the Borrower is notified of the participation sold to such Participant and such Participant agrees, for the benefit of the Borrower, to comply with</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as though it were a Lender.</w:t>
      </w:r>
    </w:p>
    <w:p>
      <w:pPr>
        <w:spacing w:after="0" w:line="164" w:lineRule="exact"/>
        <w:rPr>
          <w:rFonts w:ascii="Arial" w:cs="Arial" w:eastAsia="Arial" w:hAnsi="Arial"/>
          <w:sz w:val="16"/>
          <w:szCs w:val="16"/>
          <w:color w:val="auto"/>
        </w:rPr>
      </w:pPr>
    </w:p>
    <w:p>
      <w:pPr>
        <w:ind w:firstLine="464"/>
        <w:spacing w:after="0" w:line="256" w:lineRule="auto"/>
        <w:tabs>
          <w:tab w:leader="none" w:pos="676"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43" w:lineRule="exact"/>
        <w:rPr>
          <w:rFonts w:ascii="Arial" w:cs="Arial" w:eastAsia="Arial" w:hAnsi="Arial"/>
          <w:sz w:val="18"/>
          <w:szCs w:val="18"/>
          <w:color w:val="auto"/>
        </w:rPr>
      </w:pPr>
    </w:p>
    <w:p>
      <w:pPr>
        <w:ind w:firstLine="464"/>
        <w:spacing w:after="0" w:line="285" w:lineRule="auto"/>
        <w:tabs>
          <w:tab w:leader="none" w:pos="705"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Resignation as L/C Issuer or Swing Line Lender after Assignment</w:t>
      </w:r>
      <w:r>
        <w:rPr>
          <w:rFonts w:ascii="Arial" w:cs="Arial" w:eastAsia="Arial" w:hAnsi="Arial"/>
          <w:sz w:val="16"/>
          <w:szCs w:val="16"/>
          <w:color w:val="auto"/>
        </w:rPr>
        <w:t xml:space="preserve">. Notwithstanding anything to the contrary contained herein, if at any time Bank of America assigns all of its Commitment and Loans pursuant to clause (b) above, Bank of America may, (i) upon 30 days’ notice to the Borrower and the Lenders, resign as L/C Issuer and/or (ii) upon 30 days’ notice to the Borrower, resign as Swing Line Lender. In the event of any such resignation as L/C Issuer or Swing Line Lender, the Borrower shall be entitled to appoint from among the Lenders a successor L/C Issuer or Swing Line Lender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failure by the Borrower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Committed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Committed Loans or fund risk participations in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25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10.07</w:t>
      </w:r>
      <w:r>
        <w:rPr>
          <w:sz w:val="20"/>
          <w:szCs w:val="20"/>
          <w:color w:val="auto"/>
        </w:rPr>
        <w:tab/>
      </w:r>
      <w:r>
        <w:rPr>
          <w:rFonts w:ascii="Arial" w:cs="Arial" w:eastAsia="Arial" w:hAnsi="Arial"/>
          <w:sz w:val="16"/>
          <w:szCs w:val="16"/>
          <w:u w:val="single" w:color="auto"/>
          <w:color w:val="auto"/>
        </w:rPr>
        <w:t>Treatment of Certain Information; Confidentiality.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of the Administrative Agent, the Lenders and the L/C Issuer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(in which case, the Administrative Agent, the L/C Issuer or such Lender shall use its reasonable efforts, to the extent permitted by law, to notify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80" w:right="239" w:bottom="1440" w:gutter="0" w:footer="0" w:header="0"/>
        </w:sectPr>
      </w:pPr>
    </w:p>
    <w:bookmarkStart w:id="93" w:name="page94"/>
    <w:bookmarkEnd w:id="93"/>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Borrower prior to such disclosure so that the Borrower may seek, at the Borrower’s sole expense, a protective order or other appropriate remedy),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pursuant to </w:t>
      </w:r>
      <w:r>
        <w:rPr>
          <w:rFonts w:ascii="Arial" w:cs="Arial" w:eastAsia="Arial" w:hAnsi="Arial"/>
          <w:sz w:val="16"/>
          <w:szCs w:val="16"/>
          <w:u w:val="single" w:color="auto"/>
          <w:color w:val="auto"/>
        </w:rPr>
        <w:t>Section 2.15(c)</w:t>
      </w:r>
      <w:r>
        <w:rPr>
          <w:rFonts w:ascii="Arial" w:cs="Arial" w:eastAsia="Arial" w:hAnsi="Arial"/>
          <w:sz w:val="16"/>
          <w:szCs w:val="16"/>
          <w:color w:val="auto"/>
        </w:rPr>
        <w:t xml:space="preserve"> or (ii) any actual or prospective counterparty (or its Related Parties) to any swap or derivative transaction relating to the Borrower and its obligations, (g) with the consent of the Borrower, (h) any rating agency in connection with rating the Borrower or its Subsidiaries or the credit facilities provided hereunder or the CUSIP Service Bureau or any similar agency in connection with the issuance and monitoring of CUSIP numbers or other market identifiers with respect to the credit facilities provided hereunder, or (i) to the extent such Information (x) becomes publicly available other than as a result of a breach of this Section or (y) becomes available to the Administrative Agent, any Lender, the L/C Issuer or any of their respective Affiliates, other than as a result of a breach of this Section, on a nonconfidential basis from a source other than the Borrower.</w:t>
      </w:r>
    </w:p>
    <w:p>
      <w:pPr>
        <w:spacing w:after="0" w:line="12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means all information received from the Borrower or any Subsidiary relating to the Borrower or any Subsidiary or any of their respective businesses, other than any such information that is available to the Administrative Agent, any Lender or the L/C Issuer on a nonconfidential basis prior to disclosure by the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16"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Each of the Administrative Agent, the Lenders and the L/C Issuer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21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10.08</w:t>
      </w:r>
      <w:r>
        <w:rPr>
          <w:sz w:val="20"/>
          <w:szCs w:val="20"/>
          <w:color w:val="auto"/>
        </w:rPr>
        <w:tab/>
      </w:r>
      <w:r>
        <w:rPr>
          <w:rFonts w:ascii="Arial" w:cs="Arial" w:eastAsia="Arial" w:hAnsi="Arial"/>
          <w:sz w:val="16"/>
          <w:szCs w:val="16"/>
          <w:u w:val="single" w:color="auto"/>
          <w:color w:val="auto"/>
        </w:rPr>
        <w:t>Right of Setoff.</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If an Event of Default shall have occurred and be continuing, each Lender, the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the Borrower against any and all of the obligations of the Borrower now or hereafter existing under this Agreement or any other Loan Document to such Lender or the L/C Issuer, irrespective of whether or not such Lender or the L/C Issuer shall have made any demand under this Agreement or any other Loan Document and although such obligations of the Borrower may be contingent or unmatured or are owed to a branch or office of such Lender or the L/C Issuer different from the branch or office holding such deposit or obligated on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and, pending 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Obligations owing to such Defaulting Lender as to which it exercised such right of setoff. The rights of each Lender and the L/C Issuer and their respective Affiliates under this Section are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80" w:right="239" w:bottom="1440" w:gutter="0" w:footer="0" w:header="0"/>
        </w:sectPr>
      </w:pPr>
    </w:p>
    <w:bookmarkStart w:id="94" w:name="page95"/>
    <w:bookmarkEnd w:id="94"/>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addition to other rights and remedies (including other rights of setoff) that such Lender and the L/C Issuer may have. Each Lender and the L/C Issuer agrees to notify the Borrower and the Administrative Agent promptly after any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w:t>
      </w:r>
    </w:p>
    <w:p>
      <w:pPr>
        <w:spacing w:after="0" w:line="26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10.09</w:t>
      </w:r>
      <w:r>
        <w:rPr>
          <w:sz w:val="20"/>
          <w:szCs w:val="20"/>
          <w:color w:val="auto"/>
        </w:rPr>
        <w:tab/>
      </w:r>
      <w:r>
        <w:rPr>
          <w:rFonts w:ascii="Arial" w:cs="Arial" w:eastAsia="Arial" w:hAnsi="Arial"/>
          <w:sz w:val="16"/>
          <w:szCs w:val="16"/>
          <w:u w:val="single" w:color="auto"/>
          <w:color w:val="auto"/>
        </w:rPr>
        <w:t>Interest Rate Limitation.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24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5"/>
          <w:szCs w:val="15"/>
          <w:u w:val="single" w:color="auto"/>
          <w:color w:val="auto"/>
        </w:rPr>
        <w:t>Counterparts; Integration; Effectiveness.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Section 4.01</w:t>
      </w:r>
      <w:r>
        <w:rPr>
          <w:rFonts w:ascii="Arial" w:cs="Arial" w:eastAsia="Arial" w:hAnsi="Arial"/>
          <w:sz w:val="16"/>
          <w:szCs w:val="16"/>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(e.g. “pdf” or “tif”) shall be effective as delivery of a manually executed counterpart of this Agreement.</w:t>
      </w:r>
    </w:p>
    <w:p>
      <w:pPr>
        <w:spacing w:after="0" w:line="24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5"/>
          <w:szCs w:val="15"/>
          <w:u w:val="single" w:color="auto"/>
          <w:color w:val="auto"/>
        </w:rPr>
        <w:t>Survival of Representations and Warranties.</w:t>
      </w:r>
    </w:p>
    <w:p>
      <w:pPr>
        <w:spacing w:after="0" w:line="90" w:lineRule="exact"/>
        <w:rPr>
          <w:sz w:val="20"/>
          <w:szCs w:val="20"/>
          <w:color w:val="auto"/>
        </w:rPr>
      </w:pPr>
    </w:p>
    <w:p>
      <w:pPr>
        <w:ind w:right="340" w:firstLine="456"/>
        <w:spacing w:after="0" w:line="254" w:lineRule="auto"/>
        <w:rPr>
          <w:sz w:val="20"/>
          <w:szCs w:val="20"/>
          <w:color w:val="auto"/>
        </w:rPr>
      </w:pPr>
      <w:r>
        <w:rPr>
          <w:rFonts w:ascii="Arial" w:cs="Arial" w:eastAsia="Arial" w:hAnsi="Arial"/>
          <w:sz w:val="18"/>
          <w:szCs w:val="18"/>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2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u w:val="single" w:color="auto"/>
          <w:color w:val="auto"/>
        </w:rPr>
        <w:t>Severability.</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80" w:right="239" w:bottom="1440" w:gutter="0" w:footer="0" w:header="0"/>
        </w:sectPr>
      </w:pPr>
    </w:p>
    <w:bookmarkStart w:id="95" w:name="page96"/>
    <w:bookmarkEnd w:id="95"/>
    <w:p>
      <w:pPr>
        <w:ind w:right="140"/>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10.12</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26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5"/>
          <w:szCs w:val="15"/>
          <w:u w:val="single" w:color="auto"/>
          <w:color w:val="auto"/>
        </w:rPr>
        <w:t>Replacement of Lenders.</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If (i) any Lender requests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(ii) the Borrower is required to pay any additional amount to any Lender or any Governmental Authority for the account of any Lender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(iii) any Lender does not agree to extend the Maturity Date in accordance with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w:t>
      </w:r>
    </w:p>
    <w:p>
      <w:pPr>
        <w:ind w:right="100" w:firstLine="8"/>
        <w:spacing w:after="0" w:line="253" w:lineRule="auto"/>
        <w:tabs>
          <w:tab w:leader="none" w:pos="29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all of its interests, rights (other than its existing rights to payments pursuant to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45" w:lineRule="exact"/>
        <w:rPr>
          <w:rFonts w:ascii="Arial" w:cs="Arial" w:eastAsia="Arial" w:hAnsi="Arial"/>
          <w:sz w:val="18"/>
          <w:szCs w:val="18"/>
          <w:color w:val="auto"/>
        </w:rPr>
      </w:pPr>
    </w:p>
    <w:p>
      <w:pPr>
        <w:ind w:left="700" w:hanging="236"/>
        <w:spacing w:after="0"/>
        <w:tabs>
          <w:tab w:leader="none" w:pos="7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specified in </w:t>
      </w:r>
      <w:r>
        <w:rPr>
          <w:rFonts w:ascii="Arial" w:cs="Arial" w:eastAsia="Arial" w:hAnsi="Arial"/>
          <w:sz w:val="18"/>
          <w:szCs w:val="18"/>
          <w:u w:val="single" w:color="auto"/>
          <w:color w:val="auto"/>
        </w:rPr>
        <w:t>Section 10.06(b)</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464"/>
        <w:spacing w:after="0" w:line="306" w:lineRule="auto"/>
        <w:tabs>
          <w:tab w:leader="none" w:pos="705" w:val="left"/>
        </w:tabs>
        <w:numPr>
          <w:ilvl w:val="1"/>
          <w:numId w:val="130"/>
        </w:numPr>
        <w:rPr>
          <w:rFonts w:ascii="Arial" w:cs="Arial" w:eastAsia="Arial" w:hAnsi="Arial"/>
          <w:sz w:val="16"/>
          <w:szCs w:val="16"/>
          <w:color w:val="auto"/>
        </w:rPr>
      </w:pPr>
      <w:r>
        <w:rPr>
          <w:rFonts w:ascii="Arial" w:cs="Arial" w:eastAsia="Arial" w:hAnsi="Arial"/>
          <w:sz w:val="16"/>
          <w:szCs w:val="16"/>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6"/>
          <w:szCs w:val="16"/>
          <w:u w:val="single" w:color="auto"/>
          <w:color w:val="auto"/>
        </w:rPr>
        <w:t>Section 3.05</w:t>
      </w:r>
      <w:r>
        <w:rPr>
          <w:rFonts w:ascii="Arial" w:cs="Arial" w:eastAsia="Arial" w:hAnsi="Arial"/>
          <w:sz w:val="16"/>
          <w:szCs w:val="16"/>
          <w:color w:val="auto"/>
        </w:rPr>
        <w:t>) from the assignee (to the extent of such outstanding principal and accrued interest and fees) or the Borrower (in the case of all other amounts);</w:t>
      </w:r>
    </w:p>
    <w:p>
      <w:pPr>
        <w:spacing w:after="0" w:line="106" w:lineRule="exact"/>
        <w:rPr>
          <w:rFonts w:ascii="Arial" w:cs="Arial" w:eastAsia="Arial" w:hAnsi="Arial"/>
          <w:sz w:val="16"/>
          <w:szCs w:val="16"/>
          <w:color w:val="auto"/>
        </w:rPr>
      </w:pPr>
    </w:p>
    <w:p>
      <w:pPr>
        <w:ind w:left="700" w:hanging="236"/>
        <w:spacing w:after="0"/>
        <w:tabs>
          <w:tab w:leader="none" w:pos="70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 xml:space="preserve">in the case of any such assignment resulting from a claim for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payments required to be made pursuant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w:t>
      </w:r>
    </w:p>
    <w:p>
      <w:pPr>
        <w:spacing w:after="0" w:line="165" w:lineRule="exact"/>
        <w:rPr>
          <w:sz w:val="20"/>
          <w:szCs w:val="20"/>
          <w:color w:val="auto"/>
        </w:rPr>
      </w:pPr>
    </w:p>
    <w:p>
      <w:pPr>
        <w:ind w:left="720" w:hanging="256"/>
        <w:spacing w:after="0"/>
        <w:tabs>
          <w:tab w:leader="none" w:pos="7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 and</w:t>
      </w:r>
    </w:p>
    <w:p>
      <w:pPr>
        <w:spacing w:after="0" w:line="171" w:lineRule="exact"/>
        <w:rPr>
          <w:rFonts w:ascii="Arial" w:cs="Arial" w:eastAsia="Arial" w:hAnsi="Arial"/>
          <w:sz w:val="18"/>
          <w:szCs w:val="18"/>
          <w:color w:val="auto"/>
        </w:rPr>
      </w:pPr>
    </w:p>
    <w:p>
      <w:pPr>
        <w:ind w:right="80" w:firstLine="464"/>
        <w:spacing w:after="0" w:line="254" w:lineRule="auto"/>
        <w:tabs>
          <w:tab w:leader="none" w:pos="69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Non-Consenting Lender’s failure to consent to a proposed change, waiver, discharge or termination with respect to any Loan Document, the applicable replacement bank, financial institution or Fund consents to the proposed change, waiver, discharge or 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by such Non-Consenting Lender to execute and deliver an Assignment and Assumption shall not impair the validity of the removal of such Non-Consenting Lender and the mandatory assignment of such Non-Consenting Lender’s Commitments and outstanding Loans and participations in L/C Obligations and Swing Line Loans pursuant to this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shall nevertheless be effective without the execution by such Non-Consenting Lender of an Assignment and Assumption.</w:t>
      </w:r>
    </w:p>
    <w:p>
      <w:pPr>
        <w:spacing w:after="0" w:line="144"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280" w:right="259" w:bottom="1440" w:gutter="0" w:footer="0" w:header="0"/>
        </w:sectPr>
      </w:pPr>
    </w:p>
    <w:bookmarkStart w:id="96" w:name="page97"/>
    <w:bookmarkEnd w:id="96"/>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10.14</w:t>
      </w:r>
      <w:r>
        <w:rPr>
          <w:sz w:val="20"/>
          <w:szCs w:val="20"/>
          <w:color w:val="auto"/>
        </w:rPr>
        <w:tab/>
      </w:r>
      <w:r>
        <w:rPr>
          <w:rFonts w:ascii="Arial" w:cs="Arial" w:eastAsia="Arial" w:hAnsi="Arial"/>
          <w:sz w:val="16"/>
          <w:szCs w:val="16"/>
          <w:u w:val="single" w:color="auto"/>
          <w:color w:val="auto"/>
        </w:rPr>
        <w:t>Governing Law; Jurisdiction; Etc.</w:t>
      </w:r>
    </w:p>
    <w:p>
      <w:pPr>
        <w:spacing w:after="0" w:line="90" w:lineRule="exact"/>
        <w:rPr>
          <w:sz w:val="20"/>
          <w:szCs w:val="20"/>
          <w:color w:val="auto"/>
        </w:rPr>
      </w:pPr>
    </w:p>
    <w:p>
      <w:pPr>
        <w:ind w:right="40" w:firstLine="464"/>
        <w:spacing w:after="0" w:line="255" w:lineRule="auto"/>
        <w:tabs>
          <w:tab w:leader="none" w:pos="695"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42" w:lineRule="exact"/>
        <w:rPr>
          <w:rFonts w:ascii="Arial" w:cs="Arial" w:eastAsia="Arial" w:hAnsi="Arial"/>
          <w:sz w:val="18"/>
          <w:szCs w:val="18"/>
          <w:color w:val="auto"/>
        </w:rPr>
      </w:pPr>
    </w:p>
    <w:p>
      <w:pPr>
        <w:ind w:firstLine="464"/>
        <w:spacing w:after="0" w:line="286" w:lineRule="auto"/>
        <w:tabs>
          <w:tab w:leader="none" w:pos="705"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THE BORROWER IRREVOCABLY AND 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TRANSACTIONS RELATING HERETO OR THERETO, IN ANY OTHER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THE BORROWER OR ITS PROPERTIES IN THE COURTS OF ANY JURISDICTION.</w:t>
      </w:r>
    </w:p>
    <w:p>
      <w:pPr>
        <w:spacing w:after="0" w:line="336" w:lineRule="exact"/>
        <w:rPr>
          <w:rFonts w:ascii="Arial" w:cs="Arial" w:eastAsia="Arial" w:hAnsi="Arial"/>
          <w:sz w:val="16"/>
          <w:szCs w:val="16"/>
          <w:color w:val="auto"/>
        </w:rPr>
      </w:pPr>
    </w:p>
    <w:p>
      <w:pPr>
        <w:ind w:right="180" w:firstLine="464"/>
        <w:spacing w:after="0" w:line="254" w:lineRule="auto"/>
        <w:tabs>
          <w:tab w:leader="none" w:pos="695"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44" w:lineRule="exact"/>
        <w:rPr>
          <w:rFonts w:ascii="Arial" w:cs="Arial" w:eastAsia="Arial" w:hAnsi="Arial"/>
          <w:sz w:val="18"/>
          <w:szCs w:val="18"/>
          <w:color w:val="auto"/>
        </w:rPr>
      </w:pPr>
    </w:p>
    <w:p>
      <w:pPr>
        <w:ind w:right="80" w:firstLine="464"/>
        <w:spacing w:after="0" w:line="259" w:lineRule="auto"/>
        <w:tabs>
          <w:tab w:leader="none" w:pos="705"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10.02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26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u w:val="single" w:color="auto"/>
          <w:color w:val="auto"/>
        </w:rPr>
        <w:t>Waiver of Jury Trial.</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280" w:right="259" w:bottom="1440" w:gutter="0" w:footer="0" w:header="0"/>
        </w:sectPr>
      </w:pPr>
    </w:p>
    <w:bookmarkStart w:id="97" w:name="page98"/>
    <w:bookmarkEnd w:id="97"/>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26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u w:val="single" w:color="auto"/>
          <w:color w:val="auto"/>
        </w:rPr>
        <w:t>No Advisory or Fiduciary Responsibility.</w:t>
      </w:r>
    </w:p>
    <w:p>
      <w:pPr>
        <w:spacing w:after="0" w:line="90"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In connection with all aspects of each transaction contemplated hereby (including in connection with any amendment, waiver or other modification hereof or of any other Loan Document), the Borrower acknowledges and agrees that: (i) (A) the arranging and other services regarding this Agreement provided by the Administrative Agent and the Arrangers, are arm’s-length commercial transactions between the Borrower and its Affiliates, on the one hand, and the Administrative Agent and the Arrangers,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the Administrative Agent and the Arrangers are and have been acting solely as a principal and, except as expressly agreed in writing by the relevant parties, have not been, are not, and will not be acting as an advisor, agent or fiduciary for the Borrower or any of its Affiliates, or any other Person and (B) neither the Administrative Agent nor the Arrangers have any obligation to the Borrower or any of its Affiliates with respect to the transactions contemplated hereby except those obligations expressly set forth herein and in the other Loan Documents; and (iii) the Administrative Agent and the Arrangers and their respective Affiliates may be engaged in a broad range of transactions that involve interests that differ from those of the Borrower and its Affiliates, and neither the Administrative Agent nor the Arrangers have any obligation to disclose any of such interests to the Borrower or its Affiliates. To the fullest extent permitted by law, the Borrower hereby waives and releases any claims that it may have against the Administrative Agent and the Arrangers with respect to any breach or alleged breach of agency or fiduciary duty in connection with any aspect of any transaction contemplated hereby.</w:t>
      </w:r>
    </w:p>
    <w:p>
      <w:pPr>
        <w:spacing w:after="0" w:line="25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5"/>
          <w:szCs w:val="15"/>
          <w:u w:val="single" w:color="auto"/>
          <w:color w:val="auto"/>
        </w:rPr>
        <w:t>Electronic Execution of Assignments and Certain Other Documents.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words “execution,” “signed,” “signature” and words of like import in any Assignment and Assumption or in any amendment or other modification hereof (including waivers and consents) shall be deemed to include electronic signatures,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4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u w:val="single" w:color="auto"/>
          <w:color w:val="auto"/>
        </w:rPr>
        <w:t>USA PATRIOT ACT NOTICE.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Each Lender that is subject to the Act (as hereinafter defined) and the Administrative Agent (for itself and not on behalf of any Lender) hereby notifies the Borrower that pursuant to the requirements of the USA PATRIOT Act (Title III of Pub. L. 107-56 (signed into law October 26, 2001)) (the “</w:t>
      </w:r>
      <w:r>
        <w:rPr>
          <w:rFonts w:ascii="Arial" w:cs="Arial" w:eastAsia="Arial" w:hAnsi="Arial"/>
          <w:sz w:val="16"/>
          <w:szCs w:val="16"/>
          <w:u w:val="single" w:color="auto"/>
          <w:color w:val="auto"/>
        </w:rPr>
        <w:t>Act</w:t>
      </w:r>
      <w:r>
        <w:rPr>
          <w:rFonts w:ascii="Arial" w:cs="Arial" w:eastAsia="Arial" w:hAnsi="Arial"/>
          <w:sz w:val="16"/>
          <w:szCs w:val="16"/>
          <w:color w:val="auto"/>
        </w:rPr>
        <w: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Act. The Borrower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280" w:right="259" w:bottom="1440" w:gutter="0" w:footer="0" w:header="0"/>
        </w:sectPr>
      </w:pPr>
    </w:p>
    <w:bookmarkStart w:id="98" w:name="page99"/>
    <w:bookmarkEnd w:id="9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280" w:right="279" w:bottom="1440" w:gutter="0" w:footer="0" w:header="0"/>
        </w:sectPr>
      </w:pPr>
    </w:p>
    <w:bookmarkStart w:id="99" w:name="page100"/>
    <w:bookmarkEnd w:id="9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as of the date first above written.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BORROWER:</w:t>
            </w:r>
          </w:p>
        </w:tc>
        <w:tc>
          <w:tcPr>
            <w:tcW w:w="7980" w:type="dxa"/>
            <w:vAlign w:val="bottom"/>
            <w:gridSpan w:val="2"/>
          </w:tcPr>
          <w:p>
            <w:pPr>
              <w:ind w:left="2380"/>
              <w:spacing w:after="0"/>
              <w:rPr>
                <w:sz w:val="20"/>
                <w:szCs w:val="20"/>
                <w:color w:val="auto"/>
              </w:rPr>
            </w:pPr>
            <w:r>
              <w:rPr>
                <w:rFonts w:ascii="Arial" w:cs="Arial" w:eastAsia="Arial" w:hAnsi="Arial"/>
                <w:sz w:val="18"/>
                <w:szCs w:val="18"/>
                <w:color w:val="auto"/>
              </w:rPr>
              <w:t>ANALOG DEVICES, INC.,</w:t>
            </w:r>
          </w:p>
        </w:tc>
      </w:tr>
      <w:tr>
        <w:trPr>
          <w:trHeight w:val="222"/>
        </w:trPr>
        <w:tc>
          <w:tcPr>
            <w:tcW w:w="3440" w:type="dxa"/>
            <w:vAlign w:val="bottom"/>
          </w:tcPr>
          <w:p>
            <w:pPr>
              <w:spacing w:after="0"/>
              <w:rPr>
                <w:sz w:val="19"/>
                <w:szCs w:val="19"/>
                <w:color w:val="auto"/>
              </w:rPr>
            </w:pPr>
          </w:p>
        </w:tc>
        <w:tc>
          <w:tcPr>
            <w:tcW w:w="7980" w:type="dxa"/>
            <w:vAlign w:val="bottom"/>
            <w:gridSpan w:val="2"/>
          </w:tcPr>
          <w:p>
            <w:pPr>
              <w:ind w:left="2380"/>
              <w:spacing w:after="0"/>
              <w:rPr>
                <w:sz w:val="20"/>
                <w:szCs w:val="20"/>
                <w:color w:val="auto"/>
              </w:rPr>
            </w:pPr>
            <w:r>
              <w:rPr>
                <w:rFonts w:ascii="Arial" w:cs="Arial" w:eastAsia="Arial" w:hAnsi="Arial"/>
                <w:sz w:val="18"/>
                <w:szCs w:val="18"/>
                <w:color w:val="auto"/>
              </w:rPr>
              <w:t>a Massachusetts corporation</w:t>
            </w:r>
          </w:p>
        </w:tc>
      </w:tr>
      <w:tr>
        <w:trPr>
          <w:trHeight w:val="432"/>
        </w:trPr>
        <w:tc>
          <w:tcPr>
            <w:tcW w:w="3440" w:type="dxa"/>
            <w:vAlign w:val="bottom"/>
          </w:tcPr>
          <w:p>
            <w:pPr>
              <w:spacing w:after="0"/>
              <w:rPr>
                <w:sz w:val="24"/>
                <w:szCs w:val="24"/>
                <w:color w:val="auto"/>
              </w:rPr>
            </w:pPr>
          </w:p>
        </w:tc>
        <w:tc>
          <w:tcPr>
            <w:tcW w:w="2960" w:type="dxa"/>
            <w:vAlign w:val="bottom"/>
          </w:tcPr>
          <w:p>
            <w:pPr>
              <w:ind w:left="23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A. Martin</w:t>
            </w:r>
          </w:p>
        </w:tc>
      </w:tr>
      <w:tr>
        <w:trPr>
          <w:trHeight w:val="217"/>
        </w:trPr>
        <w:tc>
          <w:tcPr>
            <w:tcW w:w="3440" w:type="dxa"/>
            <w:vAlign w:val="bottom"/>
          </w:tcPr>
          <w:p>
            <w:pPr>
              <w:spacing w:after="0"/>
              <w:rPr>
                <w:sz w:val="18"/>
                <w:szCs w:val="18"/>
                <w:color w:val="auto"/>
              </w:rPr>
            </w:pPr>
          </w:p>
        </w:tc>
        <w:tc>
          <w:tcPr>
            <w:tcW w:w="2960" w:type="dxa"/>
            <w:vAlign w:val="bottom"/>
          </w:tcPr>
          <w:p>
            <w:pPr>
              <w:ind w:left="238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William A. Martin</w:t>
            </w:r>
          </w:p>
        </w:tc>
      </w:tr>
      <w:tr>
        <w:trPr>
          <w:trHeight w:val="222"/>
        </w:trPr>
        <w:tc>
          <w:tcPr>
            <w:tcW w:w="3440" w:type="dxa"/>
            <w:vAlign w:val="bottom"/>
          </w:tcPr>
          <w:p>
            <w:pPr>
              <w:spacing w:after="0"/>
              <w:rPr>
                <w:sz w:val="19"/>
                <w:szCs w:val="19"/>
                <w:color w:val="auto"/>
              </w:rPr>
            </w:pPr>
          </w:p>
        </w:tc>
        <w:tc>
          <w:tcPr>
            <w:tcW w:w="2960" w:type="dxa"/>
            <w:vAlign w:val="bottom"/>
          </w:tcPr>
          <w:p>
            <w:pPr>
              <w:ind w:left="23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Treasurer and Director of Mergers and Acquisitions</w:t>
            </w:r>
          </w:p>
        </w:tc>
      </w:tr>
    </w:tbl>
    <w:p>
      <w:pPr>
        <w:sectPr>
          <w:pgSz w:w="11900" w:h="16838" w:orient="portrait"/>
          <w:cols w:equalWidth="0" w:num="1">
            <w:col w:w="11420"/>
          </w:cols>
          <w:pgMar w:left="240" w:top="280" w:right="239" w:bottom="1440" w:gutter="0" w:footer="0" w:header="0"/>
        </w:sectPr>
      </w:pPr>
    </w:p>
    <w:bookmarkStart w:id="100" w:name="page101"/>
    <w:bookmarkEnd w:id="10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ADMINISTRATIVE AGENT:</w:t>
            </w:r>
          </w:p>
        </w:tc>
        <w:tc>
          <w:tcPr>
            <w:tcW w:w="7420" w:type="dxa"/>
            <w:vAlign w:val="bottom"/>
            <w:gridSpan w:val="2"/>
          </w:tcPr>
          <w:p>
            <w:pPr>
              <w:ind w:left="1820"/>
              <w:spacing w:after="0"/>
              <w:rPr>
                <w:sz w:val="20"/>
                <w:szCs w:val="20"/>
                <w:color w:val="auto"/>
              </w:rPr>
            </w:pPr>
            <w:r>
              <w:rPr>
                <w:rFonts w:ascii="Arial" w:cs="Arial" w:eastAsia="Arial" w:hAnsi="Arial"/>
                <w:sz w:val="18"/>
                <w:szCs w:val="18"/>
                <w:color w:val="auto"/>
              </w:rPr>
              <w:t>BANK OF AMERICA, N.A.,</w:t>
            </w:r>
          </w:p>
        </w:tc>
      </w:tr>
      <w:tr>
        <w:trPr>
          <w:trHeight w:val="222"/>
        </w:trPr>
        <w:tc>
          <w:tcPr>
            <w:tcW w:w="4000" w:type="dxa"/>
            <w:vAlign w:val="bottom"/>
          </w:tcPr>
          <w:p>
            <w:pPr>
              <w:spacing w:after="0"/>
              <w:rPr>
                <w:sz w:val="19"/>
                <w:szCs w:val="19"/>
                <w:color w:val="auto"/>
              </w:rPr>
            </w:pPr>
          </w:p>
        </w:tc>
        <w:tc>
          <w:tcPr>
            <w:tcW w:w="7420" w:type="dxa"/>
            <w:vAlign w:val="bottom"/>
            <w:gridSpan w:val="2"/>
          </w:tcPr>
          <w:p>
            <w:pPr>
              <w:ind w:left="1820"/>
              <w:spacing w:after="0"/>
              <w:rPr>
                <w:sz w:val="20"/>
                <w:szCs w:val="20"/>
                <w:color w:val="auto"/>
              </w:rPr>
            </w:pPr>
            <w:r>
              <w:rPr>
                <w:rFonts w:ascii="Arial" w:cs="Arial" w:eastAsia="Arial" w:hAnsi="Arial"/>
                <w:sz w:val="18"/>
                <w:szCs w:val="18"/>
                <w:color w:val="auto"/>
              </w:rPr>
              <w:t>as Administrative Agent</w:t>
            </w:r>
          </w:p>
        </w:tc>
      </w:tr>
      <w:tr>
        <w:trPr>
          <w:trHeight w:val="432"/>
        </w:trPr>
        <w:tc>
          <w:tcPr>
            <w:tcW w:w="4000" w:type="dxa"/>
            <w:vAlign w:val="bottom"/>
          </w:tcPr>
          <w:p>
            <w:pPr>
              <w:spacing w:after="0"/>
              <w:rPr>
                <w:sz w:val="24"/>
                <w:szCs w:val="24"/>
                <w:color w:val="auto"/>
              </w:rPr>
            </w:pPr>
          </w:p>
        </w:tc>
        <w:tc>
          <w:tcPr>
            <w:tcW w:w="2400" w:type="dxa"/>
            <w:vAlign w:val="bottom"/>
          </w:tcPr>
          <w:p>
            <w:pPr>
              <w:ind w:left="18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Liliana Claar</w:t>
            </w:r>
          </w:p>
        </w:tc>
      </w:tr>
      <w:tr>
        <w:trPr>
          <w:trHeight w:val="217"/>
        </w:trPr>
        <w:tc>
          <w:tcPr>
            <w:tcW w:w="4000" w:type="dxa"/>
            <w:vAlign w:val="bottom"/>
          </w:tcPr>
          <w:p>
            <w:pPr>
              <w:spacing w:after="0"/>
              <w:rPr>
                <w:sz w:val="18"/>
                <w:szCs w:val="18"/>
                <w:color w:val="auto"/>
              </w:rPr>
            </w:pPr>
          </w:p>
        </w:tc>
        <w:tc>
          <w:tcPr>
            <w:tcW w:w="2400" w:type="dxa"/>
            <w:vAlign w:val="bottom"/>
          </w:tcPr>
          <w:p>
            <w:pPr>
              <w:ind w:left="1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Liliana Claar</w:t>
            </w:r>
          </w:p>
        </w:tc>
      </w:tr>
      <w:tr>
        <w:trPr>
          <w:trHeight w:val="222"/>
        </w:trPr>
        <w:tc>
          <w:tcPr>
            <w:tcW w:w="4000" w:type="dxa"/>
            <w:vAlign w:val="bottom"/>
          </w:tcPr>
          <w:p>
            <w:pPr>
              <w:spacing w:after="0"/>
              <w:rPr>
                <w:sz w:val="19"/>
                <w:szCs w:val="19"/>
                <w:color w:val="auto"/>
              </w:rPr>
            </w:pPr>
          </w:p>
        </w:tc>
        <w:tc>
          <w:tcPr>
            <w:tcW w:w="2400" w:type="dxa"/>
            <w:vAlign w:val="bottom"/>
          </w:tcPr>
          <w:p>
            <w:pPr>
              <w:ind w:left="1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1420"/>
          </w:cols>
          <w:pgMar w:left="240" w:top="280" w:right="239" w:bottom="1440" w:gutter="0" w:footer="0" w:header="0"/>
        </w:sectPr>
      </w:pPr>
    </w:p>
    <w:bookmarkStart w:id="101" w:name="page102"/>
    <w:bookmarkEnd w:id="10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LENDERS:</w:t>
            </w:r>
          </w:p>
        </w:tc>
        <w:tc>
          <w:tcPr>
            <w:tcW w:w="8080" w:type="dxa"/>
            <w:vAlign w:val="bottom"/>
            <w:gridSpan w:val="2"/>
          </w:tcPr>
          <w:p>
            <w:pPr>
              <w:ind w:left="2480"/>
              <w:spacing w:after="0"/>
              <w:rPr>
                <w:sz w:val="20"/>
                <w:szCs w:val="20"/>
                <w:color w:val="auto"/>
              </w:rPr>
            </w:pPr>
            <w:r>
              <w:rPr>
                <w:rFonts w:ascii="Arial" w:cs="Arial" w:eastAsia="Arial" w:hAnsi="Arial"/>
                <w:sz w:val="18"/>
                <w:szCs w:val="18"/>
                <w:color w:val="auto"/>
              </w:rPr>
              <w:t>BANK OF AMERICA, N.A.,</w:t>
            </w:r>
          </w:p>
        </w:tc>
      </w:tr>
      <w:tr>
        <w:trPr>
          <w:trHeight w:val="222"/>
        </w:trPr>
        <w:tc>
          <w:tcPr>
            <w:tcW w:w="3340" w:type="dxa"/>
            <w:vAlign w:val="bottom"/>
          </w:tcPr>
          <w:p>
            <w:pPr>
              <w:spacing w:after="0"/>
              <w:rPr>
                <w:sz w:val="19"/>
                <w:szCs w:val="19"/>
                <w:color w:val="auto"/>
              </w:rPr>
            </w:pPr>
          </w:p>
        </w:tc>
        <w:tc>
          <w:tcPr>
            <w:tcW w:w="8080" w:type="dxa"/>
            <w:vAlign w:val="bottom"/>
            <w:gridSpan w:val="2"/>
          </w:tcPr>
          <w:p>
            <w:pPr>
              <w:ind w:left="2480"/>
              <w:spacing w:after="0"/>
              <w:rPr>
                <w:sz w:val="20"/>
                <w:szCs w:val="20"/>
                <w:color w:val="auto"/>
              </w:rPr>
            </w:pPr>
            <w:r>
              <w:rPr>
                <w:rFonts w:ascii="Arial" w:cs="Arial" w:eastAsia="Arial" w:hAnsi="Arial"/>
                <w:sz w:val="18"/>
                <w:szCs w:val="18"/>
                <w:color w:val="auto"/>
              </w:rPr>
              <w:t>as a Lender</w:t>
            </w:r>
          </w:p>
        </w:tc>
      </w:tr>
      <w:tr>
        <w:trPr>
          <w:trHeight w:val="432"/>
        </w:trPr>
        <w:tc>
          <w:tcPr>
            <w:tcW w:w="3340" w:type="dxa"/>
            <w:vAlign w:val="bottom"/>
          </w:tcPr>
          <w:p>
            <w:pPr>
              <w:spacing w:after="0"/>
              <w:rPr>
                <w:sz w:val="24"/>
                <w:szCs w:val="24"/>
                <w:color w:val="auto"/>
              </w:rPr>
            </w:pPr>
          </w:p>
        </w:tc>
        <w:tc>
          <w:tcPr>
            <w:tcW w:w="3060" w:type="dxa"/>
            <w:vAlign w:val="bottom"/>
          </w:tcPr>
          <w:p>
            <w:pPr>
              <w:ind w:left="24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Debra E. Delvecchio</w:t>
            </w:r>
          </w:p>
        </w:tc>
      </w:tr>
      <w:tr>
        <w:trPr>
          <w:trHeight w:val="217"/>
        </w:trPr>
        <w:tc>
          <w:tcPr>
            <w:tcW w:w="3340" w:type="dxa"/>
            <w:vAlign w:val="bottom"/>
          </w:tcPr>
          <w:p>
            <w:pPr>
              <w:spacing w:after="0"/>
              <w:rPr>
                <w:sz w:val="18"/>
                <w:szCs w:val="18"/>
                <w:color w:val="auto"/>
              </w:rPr>
            </w:pPr>
          </w:p>
        </w:tc>
        <w:tc>
          <w:tcPr>
            <w:tcW w:w="3060" w:type="dxa"/>
            <w:vAlign w:val="bottom"/>
          </w:tcPr>
          <w:p>
            <w:pPr>
              <w:ind w:left="248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Debra E. Delvecchio</w:t>
            </w:r>
          </w:p>
        </w:tc>
      </w:tr>
      <w:tr>
        <w:trPr>
          <w:trHeight w:val="222"/>
        </w:trPr>
        <w:tc>
          <w:tcPr>
            <w:tcW w:w="3340" w:type="dxa"/>
            <w:vAlign w:val="bottom"/>
          </w:tcPr>
          <w:p>
            <w:pPr>
              <w:spacing w:after="0"/>
              <w:rPr>
                <w:sz w:val="19"/>
                <w:szCs w:val="19"/>
                <w:color w:val="auto"/>
              </w:rPr>
            </w:pPr>
          </w:p>
        </w:tc>
        <w:tc>
          <w:tcPr>
            <w:tcW w:w="3060" w:type="dxa"/>
            <w:vAlign w:val="bottom"/>
          </w:tcPr>
          <w:p>
            <w:pPr>
              <w:ind w:left="24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Managing Director</w:t>
            </w:r>
          </w:p>
        </w:tc>
      </w:tr>
    </w:tbl>
    <w:p>
      <w:pPr>
        <w:sectPr>
          <w:pgSz w:w="11900" w:h="16838" w:orient="portrait"/>
          <w:cols w:equalWidth="0" w:num="1">
            <w:col w:w="11420"/>
          </w:cols>
          <w:pgMar w:left="240" w:top="280" w:right="239" w:bottom="1440" w:gutter="0" w:footer="0" w:header="0"/>
        </w:sectPr>
      </w:pPr>
    </w:p>
    <w:bookmarkStart w:id="102" w:name="page103"/>
    <w:bookmarkEnd w:id="102"/>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Galea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Anthony Galea</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9019"/>
          </w:cols>
          <w:pgMar w:left="1440" w:top="280" w:right="1440" w:bottom="1440" w:gutter="0" w:footer="0" w:header="0"/>
        </w:sectPr>
      </w:pPr>
    </w:p>
    <w:bookmarkStart w:id="103" w:name="page104"/>
    <w:bookmarkEnd w:id="10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SUISSE AG, CAYMAN ISLANDS BRANCH,</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tbl>
      <w:tblPr>
        <w:tblLayout w:type="fixed"/>
        <w:tblInd w:w="604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Reo Day</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600" w:type="dxa"/>
            <w:vAlign w:val="bottom"/>
          </w:tcPr>
          <w:p>
            <w:pPr>
              <w:spacing w:after="0"/>
              <w:rPr>
                <w:sz w:val="20"/>
                <w:szCs w:val="20"/>
                <w:color w:val="auto"/>
              </w:rPr>
            </w:pPr>
            <w:r>
              <w:rPr>
                <w:rFonts w:ascii="Arial" w:cs="Arial" w:eastAsia="Arial" w:hAnsi="Arial"/>
                <w:sz w:val="18"/>
                <w:szCs w:val="18"/>
                <w:color w:val="auto"/>
              </w:rPr>
              <w:t>Christopher Reo Day</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Sanja Gazahi</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600" w:type="dxa"/>
            <w:vAlign w:val="bottom"/>
          </w:tcPr>
          <w:p>
            <w:pPr>
              <w:spacing w:after="0"/>
              <w:rPr>
                <w:sz w:val="20"/>
                <w:szCs w:val="20"/>
                <w:color w:val="auto"/>
              </w:rPr>
            </w:pPr>
            <w:r>
              <w:rPr>
                <w:rFonts w:ascii="Arial" w:cs="Arial" w:eastAsia="Arial" w:hAnsi="Arial"/>
                <w:sz w:val="18"/>
                <w:szCs w:val="18"/>
                <w:color w:val="auto"/>
              </w:rPr>
              <w:t>Sanja Gazahi</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Associate</w:t>
            </w:r>
          </w:p>
        </w:tc>
      </w:tr>
    </w:tbl>
    <w:p>
      <w:pPr>
        <w:sectPr>
          <w:pgSz w:w="11900" w:h="16838" w:orient="portrait"/>
          <w:cols w:equalWidth="0" w:num="1">
            <w:col w:w="10220"/>
          </w:cols>
          <w:pgMar w:left="1440" w:top="280" w:right="239" w:bottom="1440" w:gutter="0" w:footer="0" w:header="0"/>
        </w:sectPr>
      </w:pPr>
    </w:p>
    <w:bookmarkStart w:id="104" w:name="page105"/>
    <w:bookmarkEnd w:id="10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WELLS FARGO BANK, N.A.,</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Dhiren Desai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Dhiren Desai</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9019"/>
          </w:cols>
          <w:pgMar w:left="1440" w:top="280" w:right="1440" w:bottom="1440" w:gutter="0" w:footer="0" w:header="0"/>
        </w:sectPr>
      </w:pPr>
    </w:p>
    <w:bookmarkStart w:id="105" w:name="page106"/>
    <w:bookmarkEnd w:id="105"/>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HSBC BANK USA, NATIONAL ASSOCIATION,</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Manuel Burgueno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Manuel Burgueno</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9260"/>
          </w:cols>
          <w:pgMar w:left="1440" w:top="280" w:right="1199" w:bottom="1440" w:gutter="0" w:footer="0" w:header="0"/>
        </w:sectPr>
      </w:pPr>
    </w:p>
    <w:bookmarkStart w:id="106" w:name="page107"/>
    <w:bookmarkEnd w:id="106"/>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Donald G. Cassidy,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Donald G. Cassidy, Jr.</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Managing Director</w:t>
      </w:r>
    </w:p>
    <w:p>
      <w:pPr>
        <w:sectPr>
          <w:pgSz w:w="11900" w:h="16838" w:orient="portrait"/>
          <w:cols w:equalWidth="0" w:num="1">
            <w:col w:w="9019"/>
          </w:cols>
          <w:pgMar w:left="1440" w:top="280" w:right="1440" w:bottom="1440" w:gutter="0" w:footer="0" w:header="0"/>
        </w:sectPr>
      </w:pPr>
    </w:p>
    <w:bookmarkStart w:id="107" w:name="page108"/>
    <w:bookmarkEnd w:id="10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MORGAN STANLEY BANK, N.A.,</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Kelly Chin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Kelly Chin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ectPr>
          <w:pgSz w:w="11900" w:h="16838" w:orient="portrait"/>
          <w:cols w:equalWidth="0" w:num="1">
            <w:col w:w="10220"/>
          </w:cols>
          <w:pgMar w:left="1440" w:top="280" w:right="239" w:bottom="1440" w:gutter="0" w:footer="0" w:header="0"/>
        </w:sectPr>
      </w:pPr>
    </w:p>
    <w:bookmarkStart w:id="108" w:name="page109"/>
    <w:bookmarkEnd w:id="108"/>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BANK OF TOKYO-MITSUBISHI UFJ, LTD.,</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Lillian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Lillian Kim</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ectPr>
          <w:pgSz w:w="11900" w:h="16838" w:orient="portrait"/>
          <w:cols w:equalWidth="0" w:num="1">
            <w:col w:w="9360"/>
          </w:cols>
          <w:pgMar w:left="1440" w:top="280" w:right="1099" w:bottom="1440" w:gutter="0" w:footer="0" w:header="0"/>
        </w:sectPr>
      </w:pPr>
    </w:p>
    <w:bookmarkStart w:id="109" w:name="page110"/>
    <w:bookmarkEnd w:id="109"/>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1.01</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6"/>
          <w:szCs w:val="16"/>
          <w:u w:val="single" w:color="auto"/>
          <w:color w:val="auto"/>
        </w:rPr>
        <w:t>Consolidated EBITDA Add-backs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Amount: $5.8 million, consisting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Third Quarter of Fiscal 2012 charges as follows: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$5.8 million: Reduction of Overhead Infrastructure Costs</w:t>
      </w:r>
    </w:p>
    <w:p>
      <w:pPr>
        <w:sectPr>
          <w:pgSz w:w="11900" w:h="16838" w:orient="portrait"/>
          <w:cols w:equalWidth="0" w:num="1">
            <w:col w:w="10219"/>
          </w:cols>
          <w:pgMar w:left="240" w:top="274" w:right="1440"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COMMITMENTS AND APPLICABLE PERCENTAGES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gridSpan w:val="3"/>
          </w:tcPr>
          <w:p>
            <w:pPr>
              <w:spacing w:after="0"/>
              <w:rPr>
                <w:sz w:val="20"/>
                <w:szCs w:val="20"/>
                <w:color w:val="auto"/>
              </w:rPr>
            </w:pPr>
            <w:r>
              <w:rPr>
                <w:rFonts w:ascii="Arial" w:cs="Arial" w:eastAsia="Arial" w:hAnsi="Arial"/>
                <w:sz w:val="14"/>
                <w:szCs w:val="14"/>
                <w:color w:val="auto"/>
              </w:rPr>
              <w:t>Lender</w:t>
            </w: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54"/>
              <w:spacing w:after="0"/>
              <w:rPr>
                <w:sz w:val="20"/>
                <w:szCs w:val="20"/>
                <w:color w:val="auto"/>
              </w:rPr>
            </w:pPr>
            <w:r>
              <w:rPr>
                <w:rFonts w:ascii="Arial" w:cs="Arial" w:eastAsia="Arial" w:hAnsi="Arial"/>
                <w:sz w:val="14"/>
                <w:szCs w:val="14"/>
                <w:color w:val="auto"/>
                <w:w w:val="90"/>
              </w:rPr>
              <w:t>Commitment</w:t>
            </w:r>
          </w:p>
        </w:tc>
        <w:tc>
          <w:tcPr>
            <w:tcW w:w="420" w:type="dxa"/>
            <w:vAlign w:val="bottom"/>
          </w:tcPr>
          <w:p>
            <w:pPr>
              <w:spacing w:after="0"/>
              <w:rPr>
                <w:sz w:val="14"/>
                <w:szCs w:val="1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w w:val="87"/>
              </w:rPr>
              <w:t>Applicable 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Bank of America, N.A.</w:t>
            </w:r>
          </w:p>
        </w:tc>
        <w:tc>
          <w:tcPr>
            <w:tcW w:w="27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100,000,000</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20.000000000%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JPMorgan Chase Bank, N.A.</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100,000,000</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20.000000000%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AG, Cayman Islands Branch</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70,000,000</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14.000000000%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Wells Fargo Bank, N.A.</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70,000,000</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14.000000000%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Bank USA, National Association</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50,000,000</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The Bank of New York Mellon</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50,000,000</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10.000000000%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Bank, N.A.</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30,000,000</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The Bank of Tokyo-Mitsubishi UFJ, Ltd.</w:t>
            </w:r>
          </w:p>
        </w:tc>
        <w:tc>
          <w:tcPr>
            <w:tcW w:w="2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30,000,000</w:t>
            </w:r>
          </w:p>
        </w:tc>
        <w:tc>
          <w:tcPr>
            <w:tcW w:w="4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6.000000000%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500,000,000</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100.000000000%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11" w:name="page112"/>
    <w:bookmarkEnd w:id="1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52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4"/>
              </w:rPr>
              <w:t>SCHEDULE 5.13</w:t>
            </w:r>
          </w:p>
        </w:tc>
      </w:tr>
      <w:tr>
        <w:trPr>
          <w:trHeight w:val="340"/>
        </w:trPr>
        <w:tc>
          <w:tcPr>
            <w:tcW w:w="1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520" w:type="dxa"/>
            <w:vAlign w:val="bottom"/>
            <w:gridSpan w:val="3"/>
          </w:tcPr>
          <w:p>
            <w:pPr>
              <w:jc w:val="center"/>
              <w:ind w:right="1020"/>
              <w:spacing w:after="0"/>
              <w:rPr>
                <w:sz w:val="20"/>
                <w:szCs w:val="20"/>
                <w:color w:val="auto"/>
              </w:rPr>
            </w:pPr>
            <w:r>
              <w:rPr>
                <w:rFonts w:ascii="Arial" w:cs="Arial" w:eastAsia="Arial" w:hAnsi="Arial"/>
                <w:sz w:val="18"/>
                <w:szCs w:val="18"/>
                <w:color w:val="auto"/>
                <w:w w:val="89"/>
              </w:rPr>
              <w:t>Material Subsidiaries</w:t>
            </w:r>
          </w:p>
        </w:tc>
      </w:tr>
      <w:tr>
        <w:trPr>
          <w:trHeight w:val="20"/>
        </w:trPr>
        <w:tc>
          <w:tcPr>
            <w:tcW w:w="4960" w:type="dxa"/>
            <w:vAlign w:val="bottom"/>
            <w:gridSpan w:val="2"/>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72"/>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Subsidiary Name</w:t>
            </w:r>
          </w:p>
        </w:tc>
        <w:tc>
          <w:tcPr>
            <w:tcW w:w="3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3"/>
              </w:rPr>
              <w:t>Jurisdiction of Organization</w:t>
            </w:r>
          </w:p>
        </w:tc>
      </w:tr>
      <w:tr>
        <w:trPr>
          <w:trHeight w:val="316"/>
        </w:trPr>
        <w:tc>
          <w:tcPr>
            <w:tcW w:w="4960" w:type="dxa"/>
            <w:vAlign w:val="bottom"/>
            <w:gridSpan w:val="2"/>
          </w:tcPr>
          <w:p>
            <w:pPr>
              <w:spacing w:after="0"/>
              <w:rPr>
                <w:sz w:val="20"/>
                <w:szCs w:val="20"/>
                <w:color w:val="auto"/>
              </w:rPr>
            </w:pPr>
            <w:r>
              <w:rPr>
                <w:rFonts w:ascii="Arial" w:cs="Arial" w:eastAsia="Arial" w:hAnsi="Arial"/>
                <w:sz w:val="18"/>
                <w:szCs w:val="18"/>
                <w:color w:val="auto"/>
              </w:rPr>
              <w:t>Analog Devices, B.V.</w:t>
            </w:r>
          </w:p>
        </w:tc>
        <w:tc>
          <w:tcPr>
            <w:tcW w:w="2520" w:type="dxa"/>
            <w:vAlign w:val="bottom"/>
            <w:gridSpan w:val="3"/>
          </w:tcPr>
          <w:p>
            <w:pPr>
              <w:ind w:left="920"/>
              <w:spacing w:after="0"/>
              <w:rPr>
                <w:sz w:val="20"/>
                <w:szCs w:val="20"/>
                <w:color w:val="auto"/>
              </w:rPr>
            </w:pPr>
            <w:r>
              <w:rPr>
                <w:rFonts w:ascii="Arial" w:cs="Arial" w:eastAsia="Arial" w:hAnsi="Arial"/>
                <w:sz w:val="18"/>
                <w:szCs w:val="18"/>
                <w:color w:val="auto"/>
              </w:rPr>
              <w:t>The Netherlands</w:t>
            </w:r>
          </w:p>
        </w:tc>
      </w:tr>
    </w:tbl>
    <w:p>
      <w:pPr>
        <w:sectPr>
          <w:pgSz w:w="11900" w:h="16838" w:orient="portrait"/>
          <w:cols w:equalWidth="0" w:num="1">
            <w:col w:w="10219"/>
          </w:cols>
          <w:pgMar w:left="240" w:top="274" w:right="1440" w:bottom="1440" w:gutter="0" w:footer="0" w:header="0"/>
        </w:sectPr>
      </w:pPr>
    </w:p>
    <w:bookmarkStart w:id="112" w:name="page113"/>
    <w:bookmarkEnd w:id="112"/>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5.17</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6"/>
          <w:szCs w:val="16"/>
          <w:u w:val="single" w:color="auto"/>
          <w:color w:val="auto"/>
        </w:rPr>
        <w:t>Taxpayer Identification Number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TIN: 04-2348234</w:t>
      </w:r>
    </w:p>
    <w:p>
      <w:pPr>
        <w:sectPr>
          <w:pgSz w:w="11900" w:h="16838" w:orient="portrait"/>
          <w:cols w:equalWidth="0" w:num="1">
            <w:col w:w="10219"/>
          </w:cols>
          <w:pgMar w:left="240" w:top="274" w:right="1440" w:bottom="1440" w:gutter="0" w:footer="0" w:header="0"/>
        </w:sectPr>
      </w:pPr>
    </w:p>
    <w:bookmarkStart w:id="113" w:name="page114"/>
    <w:bookmarkEnd w:id="113"/>
    <w:p>
      <w:pPr>
        <w:jc w:val="center"/>
        <w:ind w:right="-12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7.01</w:t>
      </w:r>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8"/>
          <w:szCs w:val="18"/>
          <w:u w:val="single" w:color="auto"/>
          <w:color w:val="auto"/>
        </w:rPr>
        <w:t>Liens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219"/>
          </w:cols>
          <w:pgMar w:left="240" w:top="274" w:right="1440" w:bottom="1440" w:gutter="0" w:footer="0" w:header="0"/>
        </w:sectPr>
      </w:pPr>
    </w:p>
    <w:bookmarkStart w:id="114" w:name="page115"/>
    <w:bookmarkEnd w:id="11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7.02</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Indebtedness</w:t>
      </w:r>
    </w:p>
    <w:p>
      <w:pPr>
        <w:spacing w:after="0" w:line="17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On December 22, 2010, Analog Devices Holdings B.V., a wholly owned subsidiary of the Borrower (“ADHBV”), entered into a credit agreement with Bank of America, N.A., London Branch as administrative agent. ADHBV’s obligations are guaranteed by the Borrower. The credit agreement provides for a term loan facility of $145.0 million, which matures on December 22, 2013. The terms of the agreement provide for a three year principal amortization schedule with $3.6 million payable quarterly every March, June, September and December with the balance payable upon the maturity date. The loan will bear interest at a fluctuating rate for each period equal to the LIBOR rate corresponding with the tenor of the interest period plus a spread of 1.25% (1.46% as of November 3, 2012). As of November 3, 2012, $14.5 million of this debt was classified as short-term.</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June 9, 2011, a merger subsidiary of the Borrower acquired privately-held Lyric Semiconductor, Inc. (Lyric). The acquisition agreement includes a contingent consideration arrangement requiring cash payments of up to $13.8 million to former equity holders of Lyric upon the achievement of certain technological and product development milestones payable during the period from June 2011 through June 2016. As of November 3, 2012, $2.0 million has been paid. The acquisition agreement also requires the payment of royalties to the former equity holders of Lyric on revenue recognized from the sale of Lyric products and licenses through the earlier of 20 years or the accrual of a maximum of $25.0 million. Royalty payments to Lyric employees require post-acquisition services to be rendered. As of November 3, 2012, no royalty payments have been made.</w:t>
      </w:r>
    </w:p>
    <w:p>
      <w:pPr>
        <w:sectPr>
          <w:pgSz w:w="11900" w:h="16838" w:orient="portrait"/>
          <w:cols w:equalWidth="0" w:num="1">
            <w:col w:w="11360"/>
          </w:cols>
          <w:pgMar w:left="240" w:top="274" w:right="299" w:bottom="1440" w:gutter="0" w:footer="0" w:header="0"/>
        </w:sectPr>
      </w:pPr>
    </w:p>
    <w:bookmarkStart w:id="115" w:name="page116"/>
    <w:bookmarkEnd w:id="115"/>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10.02</w:t>
      </w:r>
    </w:p>
    <w:p>
      <w:pPr>
        <w:spacing w:after="0" w:line="171" w:lineRule="exact"/>
        <w:rPr>
          <w:sz w:val="20"/>
          <w:szCs w:val="20"/>
          <w:color w:val="auto"/>
        </w:rPr>
      </w:pPr>
    </w:p>
    <w:p>
      <w:pPr>
        <w:jc w:val="right"/>
        <w:ind w:right="2919"/>
        <w:spacing w:after="0"/>
        <w:rPr>
          <w:sz w:val="20"/>
          <w:szCs w:val="20"/>
          <w:color w:val="auto"/>
        </w:rPr>
      </w:pPr>
      <w:r>
        <w:rPr>
          <w:rFonts w:ascii="Arial" w:cs="Arial" w:eastAsia="Arial" w:hAnsi="Arial"/>
          <w:sz w:val="18"/>
          <w:szCs w:val="18"/>
          <w:b w:val="1"/>
          <w:bCs w:val="1"/>
          <w:color w:val="auto"/>
        </w:rPr>
        <w:t>ADMINISTRATIVE AGENT’S OFFICE;</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CERTAIN ADDRESSES FOR NOTICES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1. Address for the Borrower: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Norwood, Massachusetts 02062</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William A. Martin, Treasurer and Director of Mergers and Acquisitions</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(781) 461-4033</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(781) 461-3491</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bill.martin@analog.com</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Website:</w:t>
      </w:r>
      <w:r>
        <w:rPr>
          <w:sz w:val="20"/>
          <w:szCs w:val="20"/>
          <w:color w:val="auto"/>
        </w:rPr>
        <w:tab/>
      </w:r>
      <w:r>
        <w:rPr>
          <w:rFonts w:ascii="Arial" w:cs="Arial" w:eastAsia="Arial" w:hAnsi="Arial"/>
          <w:sz w:val="18"/>
          <w:szCs w:val="18"/>
          <w:color w:val="auto"/>
        </w:rPr>
        <w:t>www.analog.com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2. Addresses for Administrative Agent, Swing Line Lender and L/C Issuer: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Agent’s Office</w:t>
      </w:r>
      <w:r>
        <w:rPr>
          <w:rFonts w:ascii="Arial" w:cs="Arial" w:eastAsia="Arial" w:hAnsi="Arial"/>
          <w:sz w:val="18"/>
          <w:szCs w:val="18"/>
          <w:i w:val="1"/>
          <w:iCs w:val="1"/>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payments and borrowing requests)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101 N Tryon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NC1-001-05-46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28255-0001</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James Underwood</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(980) 683-2812</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(704) 548-5646</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james.a.underwood@baml.com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Wiring instructions: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ABA #:</w:t>
      </w:r>
      <w:r>
        <w:rPr>
          <w:sz w:val="20"/>
          <w:szCs w:val="20"/>
          <w:color w:val="auto"/>
        </w:rPr>
        <w:tab/>
      </w:r>
      <w:r>
        <w:rPr>
          <w:rFonts w:ascii="Arial" w:cs="Arial" w:eastAsia="Arial" w:hAnsi="Arial"/>
          <w:sz w:val="15"/>
          <w:szCs w:val="15"/>
          <w:color w:val="auto"/>
        </w:rPr>
        <w:t>026009593</w:t>
      </w:r>
    </w:p>
    <w:p>
      <w:pPr>
        <w:spacing w:after="0" w:line="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Acct #:</w:t>
      </w:r>
      <w:r>
        <w:rPr>
          <w:sz w:val="20"/>
          <w:szCs w:val="20"/>
          <w:color w:val="auto"/>
        </w:rPr>
        <w:tab/>
      </w:r>
      <w:r>
        <w:rPr>
          <w:rFonts w:ascii="Arial" w:cs="Arial" w:eastAsia="Arial" w:hAnsi="Arial"/>
          <w:sz w:val="16"/>
          <w:szCs w:val="16"/>
          <w:color w:val="auto"/>
        </w:rPr>
        <w:t>to be provided</w:t>
      </w:r>
    </w:p>
    <w:p>
      <w:pPr>
        <w:spacing w:after="0" w:line="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Corporate Credit Services</w:t>
      </w:r>
    </w:p>
    <w:p>
      <w:pPr>
        <w:spacing w:after="0" w:line="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Ref:</w:t>
      </w:r>
      <w:r>
        <w:rPr>
          <w:sz w:val="20"/>
          <w:szCs w:val="20"/>
          <w:color w:val="auto"/>
        </w:rPr>
        <w:tab/>
      </w:r>
      <w:r>
        <w:rPr>
          <w:rFonts w:ascii="Arial" w:cs="Arial" w:eastAsia="Arial" w:hAnsi="Arial"/>
          <w:sz w:val="18"/>
          <w:szCs w:val="18"/>
          <w:color w:val="auto"/>
        </w:rPr>
        <w:t>Analog Devices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Notices to Administrative Agent</w:t>
      </w:r>
      <w:r>
        <w:rPr>
          <w:rFonts w:ascii="Arial" w:cs="Arial" w:eastAsia="Arial" w:hAnsi="Arial"/>
          <w:sz w:val="18"/>
          <w:szCs w:val="18"/>
          <w:i w:val="1"/>
          <w:iCs w:val="1"/>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1455 Market Street, 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CA5-701-05-19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94103</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Liliana Claar</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(415) 436-2770</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(415) 503-5003</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liliana.claar@baml.com</w:t>
      </w:r>
    </w:p>
    <w:p>
      <w:pPr>
        <w:sectPr>
          <w:pgSz w:w="11900" w:h="16838" w:orient="portrait"/>
          <w:cols w:equalWidth="0" w:num="1">
            <w:col w:w="10219"/>
          </w:cols>
          <w:pgMar w:left="240" w:top="274" w:right="1440"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copies to</w:t>
      </w:r>
      <w:r>
        <w:rPr>
          <w:rFonts w:ascii="Arial" w:cs="Arial" w:eastAsia="Arial" w:hAnsi="Arial"/>
          <w:sz w:val="18"/>
          <w:szCs w:val="18"/>
          <w:i w:val="1"/>
          <w:iCs w:val="1"/>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Federal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 MA5-100-09-04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02110</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Debra Delvecchio</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(617) 434-6396</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(617) 434-0819</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debra.e.delvecchio@baml.com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 Notices as L/C Issuer</w:t>
      </w:r>
      <w:r>
        <w:rPr>
          <w:rFonts w:ascii="Arial" w:cs="Arial" w:eastAsia="Arial" w:hAnsi="Arial"/>
          <w:sz w:val="18"/>
          <w:szCs w:val="18"/>
          <w:i w:val="1"/>
          <w:iCs w:val="1"/>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 Fleet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PA6-580-02-30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Scranton, Pennsylvania 18507</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John P. Yzeik</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(570) 330-4315</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(570) 330-4186</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john.p.yzeik@baml.com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 Notices as Swing Line Lender</w:t>
      </w:r>
      <w:r>
        <w:rPr>
          <w:rFonts w:ascii="Arial" w:cs="Arial" w:eastAsia="Arial" w:hAnsi="Arial"/>
          <w:sz w:val="18"/>
          <w:szCs w:val="18"/>
          <w:i w:val="1"/>
          <w:iCs w:val="1"/>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(daily borrowing/repaying activity)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101 N Tryon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NC1-001-05-46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28255-0001</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James Underwood</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(980) 683-2812</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(704) 548-5646</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james.a.underwood@baml.com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Wiring instructions: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ABA #:</w:t>
      </w:r>
      <w:r>
        <w:rPr>
          <w:sz w:val="20"/>
          <w:szCs w:val="20"/>
          <w:color w:val="auto"/>
        </w:rPr>
        <w:tab/>
      </w:r>
      <w:r>
        <w:rPr>
          <w:rFonts w:ascii="Arial" w:cs="Arial" w:eastAsia="Arial" w:hAnsi="Arial"/>
          <w:sz w:val="15"/>
          <w:szCs w:val="15"/>
          <w:color w:val="auto"/>
        </w:rPr>
        <w:t>026009593</w:t>
      </w:r>
    </w:p>
    <w:p>
      <w:pPr>
        <w:spacing w:after="0" w:line="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Acct #:</w:t>
      </w:r>
      <w:r>
        <w:rPr>
          <w:sz w:val="20"/>
          <w:szCs w:val="20"/>
          <w:color w:val="auto"/>
        </w:rPr>
        <w:tab/>
      </w:r>
      <w:r>
        <w:rPr>
          <w:rFonts w:ascii="Arial" w:cs="Arial" w:eastAsia="Arial" w:hAnsi="Arial"/>
          <w:sz w:val="16"/>
          <w:szCs w:val="16"/>
          <w:color w:val="auto"/>
        </w:rPr>
        <w:t>to be provided</w:t>
      </w:r>
    </w:p>
    <w:p>
      <w:pPr>
        <w:spacing w:after="0" w:line="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Corporate Credit Services</w:t>
      </w:r>
    </w:p>
    <w:p>
      <w:pPr>
        <w:spacing w:after="0" w:line="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Ref:</w:t>
      </w:r>
      <w:r>
        <w:rPr>
          <w:sz w:val="20"/>
          <w:szCs w:val="20"/>
          <w:color w:val="auto"/>
        </w:rPr>
        <w:tab/>
      </w:r>
      <w:r>
        <w:rPr>
          <w:rFonts w:ascii="Arial" w:cs="Arial" w:eastAsia="Arial" w:hAnsi="Arial"/>
          <w:sz w:val="18"/>
          <w:szCs w:val="18"/>
          <w:color w:val="auto"/>
        </w:rPr>
        <w:t>Analog Devices</w:t>
      </w:r>
    </w:p>
    <w:p>
      <w:pPr>
        <w:sectPr>
          <w:pgSz w:w="11900" w:h="16838" w:orient="portrait"/>
          <w:cols w:equalWidth="0" w:num="1">
            <w:col w:w="10219"/>
          </w:cols>
          <w:pgMar w:left="240" w:top="280" w:right="1440" w:bottom="1440" w:gutter="0" w:footer="0" w:header="0"/>
        </w:sectPr>
      </w:pPr>
    </w:p>
    <w:bookmarkStart w:id="117" w:name="page118"/>
    <w:bookmarkEnd w:id="117"/>
    <w:p>
      <w:pPr>
        <w:ind w:left="5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2.02</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COMMITTED LOAN NOTICE</w:t>
      </w:r>
    </w:p>
    <w:p>
      <w:pPr>
        <w:spacing w:after="0" w:line="165" w:lineRule="exact"/>
        <w:rPr>
          <w:sz w:val="20"/>
          <w:szCs w:val="20"/>
          <w:color w:val="auto"/>
        </w:rPr>
      </w:pPr>
    </w:p>
    <w:p>
      <w:pPr>
        <w:ind w:left="10040"/>
        <w:spacing w:after="0"/>
        <w:tabs>
          <w:tab w:leader="none" w:pos="10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The Bank of America, N.A., as Administrative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Reference is made to that certain Credit Agreement, dated as of December 19, 2012 (as amended, restated, extended, supplemented or otherwise modified in writing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terms defined therein being used herein as therein defined), among Analog Devices, Inc. (the “</w:t>
      </w:r>
      <w:r>
        <w:rPr>
          <w:rFonts w:ascii="Arial" w:cs="Arial" w:eastAsia="Arial" w:hAnsi="Arial"/>
          <w:sz w:val="16"/>
          <w:szCs w:val="16"/>
          <w:u w:val="single" w:color="auto"/>
          <w:color w:val="auto"/>
        </w:rPr>
        <w:t>Borrower</w:t>
      </w:r>
      <w:r>
        <w:rPr>
          <w:rFonts w:ascii="Arial" w:cs="Arial" w:eastAsia="Arial" w:hAnsi="Arial"/>
          <w:sz w:val="16"/>
          <w:szCs w:val="16"/>
          <w:color w:val="auto"/>
        </w:rPr>
        <w:t>”), the Lenders from time to time party thereto and Bank of America, N.A., as Administrative Agent, Swing Line Lender and L/C Issuer.</w:t>
      </w:r>
    </w:p>
    <w:p>
      <w:pPr>
        <w:spacing w:after="0" w:line="107" w:lineRule="exact"/>
        <w:rPr>
          <w:sz w:val="20"/>
          <w:szCs w:val="20"/>
          <w:color w:val="auto"/>
        </w:rPr>
      </w:pPr>
    </w:p>
    <w:p>
      <w:pPr>
        <w:ind w:left="180" w:hanging="172"/>
        <w:spacing w:after="0"/>
        <w:tabs>
          <w:tab w:leader="none" w:pos="1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undersigned hereby requests (select one):</w:t>
      </w:r>
    </w:p>
    <w:p>
      <w:pPr>
        <w:spacing w:after="0" w:line="57" w:lineRule="exact"/>
        <w:rPr>
          <w:rFonts w:ascii="Arial" w:cs="Arial" w:eastAsia="Arial" w:hAnsi="Arial"/>
          <w:sz w:val="18"/>
          <w:szCs w:val="18"/>
          <w:color w:val="auto"/>
        </w:rPr>
      </w:pPr>
    </w:p>
    <w:p>
      <w:pPr>
        <w:ind w:left="700" w:hanging="236"/>
        <w:spacing w:after="0" w:line="207" w:lineRule="exact"/>
        <w:tabs>
          <w:tab w:leader="none" w:pos="700" w:val="left"/>
        </w:tabs>
        <w:numPr>
          <w:ilvl w:val="1"/>
          <w:numId w:val="133"/>
        </w:numPr>
        <w:rPr>
          <w:rFonts w:ascii="MS PGothic" w:cs="MS PGothic" w:eastAsia="MS PGothic" w:hAnsi="MS PGothic"/>
          <w:sz w:val="18"/>
          <w:szCs w:val="18"/>
          <w:color w:val="auto"/>
        </w:rPr>
      </w:pPr>
      <w:r>
        <w:rPr>
          <w:rFonts w:ascii="Arial" w:cs="Arial" w:eastAsia="Arial" w:hAnsi="Arial"/>
          <w:sz w:val="18"/>
          <w:szCs w:val="18"/>
          <w:color w:val="auto"/>
        </w:rPr>
        <w:t xml:space="preserve">A Borrowing of Committed Loans   </w:t>
      </w:r>
      <w:r>
        <w:rPr>
          <w:rFonts w:ascii="MS PGothic" w:cs="MS PGothic" w:eastAsia="MS PGothic" w:hAnsi="MS PGothic"/>
          <w:sz w:val="18"/>
          <w:szCs w:val="18"/>
          <w:color w:val="auto"/>
        </w:rPr>
        <w:t>☐</w:t>
      </w:r>
      <w:r>
        <w:rPr>
          <w:rFonts w:ascii="Arial" w:cs="Arial" w:eastAsia="Arial" w:hAnsi="Arial"/>
          <w:sz w:val="18"/>
          <w:szCs w:val="18"/>
          <w:color w:val="auto"/>
        </w:rPr>
        <w:t xml:space="preserve"> A conversion or continuation of Committed Loans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20" w:type="dxa"/>
            <w:vAlign w:val="bottom"/>
          </w:tcPr>
          <w:p>
            <w:pPr>
              <w:ind w:left="20"/>
              <w:spacing w:after="0"/>
              <w:rPr>
                <w:sz w:val="20"/>
                <w:szCs w:val="20"/>
                <w:color w:val="auto"/>
              </w:rPr>
            </w:pPr>
            <w:r>
              <w:rPr>
                <w:rFonts w:ascii="Arial" w:cs="Arial" w:eastAsia="Arial" w:hAnsi="Arial"/>
                <w:sz w:val="18"/>
                <w:szCs w:val="18"/>
                <w:color w:val="auto"/>
              </w:rPr>
              <w:t>On</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 20   (a Business Day).</w:t>
            </w:r>
          </w:p>
        </w:tc>
      </w:tr>
      <w:tr>
        <w:trPr>
          <w:trHeight w:val="378"/>
        </w:trPr>
        <w:tc>
          <w:tcPr>
            <w:tcW w:w="16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1520" w:type="dxa"/>
            <w:vAlign w:val="bottom"/>
            <w:gridSpan w:val="2"/>
          </w:tcPr>
          <w:p>
            <w:pPr>
              <w:ind w:left="20"/>
              <w:spacing w:after="0"/>
              <w:rPr>
                <w:sz w:val="20"/>
                <w:szCs w:val="20"/>
                <w:color w:val="auto"/>
              </w:rPr>
            </w:pPr>
            <w:r>
              <w:rPr>
                <w:rFonts w:ascii="Arial" w:cs="Arial" w:eastAsia="Arial" w:hAnsi="Arial"/>
                <w:sz w:val="18"/>
                <w:szCs w:val="18"/>
                <w:color w:val="auto"/>
              </w:rPr>
              <w:t>In the amount of $</w:t>
            </w:r>
          </w:p>
        </w:tc>
        <w:tc>
          <w:tcPr>
            <w:tcW w:w="1020" w:type="dxa"/>
            <w:vAlign w:val="bottom"/>
          </w:tcPr>
          <w:p>
            <w:pPr>
              <w:jc w:val="right"/>
              <w:ind w:right="692"/>
              <w:spacing w:after="0"/>
              <w:rPr>
                <w:sz w:val="20"/>
                <w:szCs w:val="20"/>
                <w:color w:val="auto"/>
              </w:rPr>
            </w:pPr>
            <w:r>
              <w:rPr>
                <w:rFonts w:ascii="Arial" w:cs="Arial" w:eastAsia="Arial" w:hAnsi="Arial"/>
                <w:sz w:val="18"/>
                <w:szCs w:val="18"/>
                <w:color w:val="auto"/>
              </w:rPr>
              <w:t>.</w:t>
            </w:r>
          </w:p>
        </w:tc>
      </w:tr>
    </w:tbl>
    <w:p>
      <w:pPr>
        <w:spacing w:after="0" w:line="156" w:lineRule="exact"/>
        <w:rPr>
          <w:sz w:val="20"/>
          <w:szCs w:val="20"/>
          <w:color w:val="auto"/>
        </w:rPr>
      </w:pPr>
    </w:p>
    <w:p>
      <w:pPr>
        <w:ind w:left="180" w:hanging="172"/>
        <w:spacing w:after="0"/>
        <w:tabs>
          <w:tab w:leader="none" w:pos="1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Type of Committed Loan requested or to which existing Committed Loans are to be continued or converted:</w:t>
      </w:r>
    </w:p>
    <w:p>
      <w:pPr>
        <w:spacing w:after="0" w:line="57" w:lineRule="exact"/>
        <w:rPr>
          <w:rFonts w:ascii="Arial" w:cs="Arial" w:eastAsia="Arial" w:hAnsi="Arial"/>
          <w:sz w:val="18"/>
          <w:szCs w:val="18"/>
          <w:color w:val="auto"/>
        </w:rPr>
      </w:pPr>
    </w:p>
    <w:p>
      <w:pPr>
        <w:ind w:left="720" w:hanging="256"/>
        <w:spacing w:after="0" w:line="207" w:lineRule="exact"/>
        <w:tabs>
          <w:tab w:leader="none" w:pos="720" w:val="left"/>
        </w:tabs>
        <w:numPr>
          <w:ilvl w:val="1"/>
          <w:numId w:val="134"/>
        </w:numPr>
        <w:rPr>
          <w:rFonts w:ascii="MS PGothic" w:cs="MS PGothic" w:eastAsia="MS PGothic" w:hAnsi="MS PGothic"/>
          <w:sz w:val="18"/>
          <w:szCs w:val="18"/>
          <w:color w:val="auto"/>
        </w:rPr>
      </w:pPr>
      <w:r>
        <w:rPr>
          <w:rFonts w:ascii="Arial" w:cs="Arial" w:eastAsia="Arial" w:hAnsi="Arial"/>
          <w:sz w:val="18"/>
          <w:szCs w:val="18"/>
          <w:color w:val="auto"/>
        </w:rPr>
        <w:t xml:space="preserve">Base Rate Loan   </w:t>
      </w:r>
      <w:r>
        <w:rPr>
          <w:rFonts w:ascii="MS PGothic" w:cs="MS PGothic" w:eastAsia="MS PGothic" w:hAnsi="MS PGothic"/>
          <w:sz w:val="18"/>
          <w:szCs w:val="18"/>
          <w:color w:val="auto"/>
        </w:rPr>
        <w:t>☐</w:t>
      </w:r>
      <w:r>
        <w:rPr>
          <w:rFonts w:ascii="Arial" w:cs="Arial" w:eastAsia="Arial" w:hAnsi="Arial"/>
          <w:sz w:val="18"/>
          <w:szCs w:val="18"/>
          <w:color w:val="auto"/>
        </w:rPr>
        <w:t xml:space="preserve"> Eurodollar Rate Loan</w:t>
      </w:r>
    </w:p>
    <w:p>
      <w:pPr>
        <w:spacing w:after="0" w:line="204"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5. For Eurodollar Rate Loans: with an Interest Period of</w:t>
      </w:r>
      <w:r>
        <w:rPr>
          <w:sz w:val="20"/>
          <w:szCs w:val="20"/>
          <w:color w:val="auto"/>
        </w:rPr>
        <w:tab/>
      </w:r>
      <w:r>
        <w:rPr>
          <w:rFonts w:ascii="Arial" w:cs="Arial" w:eastAsia="Arial" w:hAnsi="Arial"/>
          <w:sz w:val="16"/>
          <w:szCs w:val="16"/>
          <w:color w:val="auto"/>
        </w:rPr>
        <w:t>month[s]</w:t>
      </w:r>
      <w:r>
        <w:rPr>
          <w:rFonts w:ascii="Arial" w:cs="Arial" w:eastAsia="Arial" w:hAnsi="Arial"/>
          <w:sz w:val="10"/>
          <w:szCs w:val="10"/>
          <w:color w:val="auto"/>
        </w:rPr>
        <w:t>1</w:t>
      </w:r>
      <w:r>
        <w:rPr>
          <w:rFonts w:ascii="Arial" w:cs="Arial" w:eastAsia="Arial" w:hAnsi="Arial"/>
          <w:sz w:val="16"/>
          <w:szCs w:val="16"/>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Committed Borrowing, if any, requested herein complies with (a) the provisos contained in the first sentence of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of the Credit Agreement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 each of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of the Credit Agreement as of the date of such Committed Borrowing.</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ANALOG DEVICES, INC.,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Massachusetts corporation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1"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22"/>
          <w:szCs w:val="22"/>
          <w:color w:val="auto"/>
          <w:vertAlign w:val="superscript"/>
        </w:rPr>
      </w:pPr>
      <w:r>
        <w:rPr>
          <w:rFonts w:ascii="Arial" w:cs="Arial" w:eastAsia="Arial" w:hAnsi="Arial"/>
          <w:sz w:val="18"/>
          <w:szCs w:val="18"/>
          <w:color w:val="auto"/>
        </w:rPr>
        <w:t>One, two, three or six months or, if consented to by all the Lenders, any other period of twelve months or less.</w:t>
      </w:r>
    </w:p>
    <w:p>
      <w:pPr>
        <w:sectPr>
          <w:pgSz w:w="11900" w:h="16838" w:orient="portrait"/>
          <w:cols w:equalWidth="0" w:num="1">
            <w:col w:w="11420"/>
          </w:cols>
          <w:pgMar w:left="240" w:top="274" w:right="239" w:bottom="1440" w:gutter="0" w:footer="0" w:header="0"/>
        </w:sectPr>
      </w:pPr>
    </w:p>
    <w:bookmarkStart w:id="118" w:name="page119"/>
    <w:bookmarkEnd w:id="118"/>
    <w:p>
      <w:pPr>
        <w:ind w:left="5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2.04</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SWING LINE LOAN NOTICE</w:t>
      </w:r>
    </w:p>
    <w:p>
      <w:pPr>
        <w:spacing w:after="0" w:line="165" w:lineRule="exact"/>
        <w:rPr>
          <w:sz w:val="20"/>
          <w:szCs w:val="20"/>
          <w:color w:val="auto"/>
        </w:rPr>
      </w:pPr>
    </w:p>
    <w:p>
      <w:pPr>
        <w:ind w:left="10040"/>
        <w:spacing w:after="0"/>
        <w:tabs>
          <w:tab w:leader="none" w:pos="10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Bank of America, N.A., as Swing Line Lender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Bank of America, N.A., as Administrative Agent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Reference is made to that certain Credit Agreement, dated as of December 19, 2012 (as amended, restated, extended, supplemented or otherwise modified in writing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terms defined therein being used herein as therein defined), among Analog Devices, Inc. (the “</w:t>
      </w:r>
      <w:r>
        <w:rPr>
          <w:rFonts w:ascii="Arial" w:cs="Arial" w:eastAsia="Arial" w:hAnsi="Arial"/>
          <w:sz w:val="16"/>
          <w:szCs w:val="16"/>
          <w:u w:val="single" w:color="auto"/>
          <w:color w:val="auto"/>
        </w:rPr>
        <w:t>Borrower</w:t>
      </w:r>
      <w:r>
        <w:rPr>
          <w:rFonts w:ascii="Arial" w:cs="Arial" w:eastAsia="Arial" w:hAnsi="Arial"/>
          <w:sz w:val="16"/>
          <w:szCs w:val="16"/>
          <w:color w:val="auto"/>
        </w:rPr>
        <w:t>”), the Lenders from time to time party thereto and Bank of America, N.A., as Administrative Agent, Swing Line Lender and L/C Issuer.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requests a Swing Line Loan: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1.</w:t>
            </w:r>
          </w:p>
        </w:tc>
        <w:tc>
          <w:tcPr>
            <w:tcW w:w="660" w:type="dxa"/>
            <w:vAlign w:val="bottom"/>
          </w:tcPr>
          <w:p>
            <w:pPr>
              <w:ind w:left="160"/>
              <w:spacing w:after="0"/>
              <w:rPr>
                <w:sz w:val="20"/>
                <w:szCs w:val="20"/>
                <w:color w:val="auto"/>
              </w:rPr>
            </w:pPr>
            <w:r>
              <w:rPr>
                <w:rFonts w:ascii="Arial" w:cs="Arial" w:eastAsia="Arial" w:hAnsi="Arial"/>
                <w:sz w:val="18"/>
                <w:szCs w:val="18"/>
                <w:color w:val="auto"/>
              </w:rPr>
              <w:t>On</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 20   (a Business Day).</w:t>
            </w:r>
          </w:p>
        </w:tc>
      </w:tr>
      <w:tr>
        <w:trPr>
          <w:trHeight w:val="297"/>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2.</w:t>
            </w:r>
          </w:p>
        </w:tc>
        <w:tc>
          <w:tcPr>
            <w:tcW w:w="1640" w:type="dxa"/>
            <w:vAlign w:val="bottom"/>
            <w:gridSpan w:val="2"/>
          </w:tcPr>
          <w:p>
            <w:pPr>
              <w:ind w:left="160"/>
              <w:spacing w:after="0"/>
              <w:rPr>
                <w:sz w:val="20"/>
                <w:szCs w:val="20"/>
                <w:color w:val="auto"/>
              </w:rPr>
            </w:pPr>
            <w:r>
              <w:rPr>
                <w:rFonts w:ascii="Arial" w:cs="Arial" w:eastAsia="Arial" w:hAnsi="Arial"/>
                <w:sz w:val="18"/>
                <w:szCs w:val="18"/>
                <w:color w:val="auto"/>
              </w:rPr>
              <w:t>In the amount of $</w:t>
            </w:r>
          </w:p>
        </w:tc>
        <w:tc>
          <w:tcPr>
            <w:tcW w:w="1020" w:type="dxa"/>
            <w:vAlign w:val="bottom"/>
          </w:tcPr>
          <w:p>
            <w:pPr>
              <w:jc w:val="right"/>
              <w:ind w:right="692"/>
              <w:spacing w:after="0"/>
              <w:rPr>
                <w:sz w:val="20"/>
                <w:szCs w:val="20"/>
                <w:color w:val="auto"/>
              </w:rPr>
            </w:pPr>
            <w:r>
              <w:rPr>
                <w:rFonts w:ascii="Arial" w:cs="Arial" w:eastAsia="Arial" w:hAnsi="Arial"/>
                <w:sz w:val="18"/>
                <w:szCs w:val="18"/>
                <w:color w:val="auto"/>
              </w:rPr>
              <w:t>.</w:t>
            </w:r>
          </w:p>
        </w:tc>
      </w:tr>
    </w:tbl>
    <w:p>
      <w:pPr>
        <w:spacing w:after="0" w:line="156"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 xml:space="preserve">The Swing Line Borrowing requested herein complies with (a) the provisos contained in the first sentence of </w:t>
      </w: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of the Credit Agreement and (b) each of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of the Credit Agreement as of the date of such Swing Line Borrowing.</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ANALOG DEVICES, INC.,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Massachusetts corporation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74"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28"/>
        </w:trPr>
        <w:tc>
          <w:tcPr>
            <w:tcW w:w="3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500" w:type="dxa"/>
            <w:vAlign w:val="bottom"/>
          </w:tcPr>
          <w:p>
            <w:pPr>
              <w:jc w:val="center"/>
              <w:ind w:left="432"/>
              <w:spacing w:after="0"/>
              <w:rPr>
                <w:sz w:val="20"/>
                <w:szCs w:val="20"/>
                <w:color w:val="auto"/>
              </w:rPr>
            </w:pPr>
            <w:r>
              <w:rPr>
                <w:rFonts w:ascii="Arial" w:cs="Arial" w:eastAsia="Arial" w:hAnsi="Arial"/>
                <w:sz w:val="18"/>
                <w:szCs w:val="18"/>
                <w:b w:val="1"/>
                <w:bCs w:val="1"/>
                <w:color w:val="auto"/>
                <w:w w:val="99"/>
              </w:rPr>
              <w:t>EXHIBIT 2.11</w:t>
            </w:r>
          </w:p>
        </w:tc>
        <w:tc>
          <w:tcPr>
            <w:tcW w:w="2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366"/>
        </w:trPr>
        <w:tc>
          <w:tcPr>
            <w:tcW w:w="3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00" w:type="dxa"/>
            <w:vAlign w:val="bottom"/>
          </w:tcPr>
          <w:p>
            <w:pPr>
              <w:jc w:val="center"/>
              <w:ind w:left="432"/>
              <w:spacing w:after="0"/>
              <w:rPr>
                <w:sz w:val="20"/>
                <w:szCs w:val="20"/>
                <w:color w:val="auto"/>
              </w:rPr>
            </w:pPr>
            <w:r>
              <w:rPr>
                <w:rFonts w:ascii="Arial" w:cs="Arial" w:eastAsia="Arial" w:hAnsi="Arial"/>
                <w:sz w:val="18"/>
                <w:szCs w:val="18"/>
                <w:b w:val="1"/>
                <w:bCs w:val="1"/>
                <w:color w:val="auto"/>
                <w:w w:val="98"/>
              </w:rPr>
              <w:t>[FORM OF]</w:t>
            </w:r>
          </w:p>
        </w:tc>
        <w:tc>
          <w:tcPr>
            <w:tcW w:w="2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8"/>
        </w:trPr>
        <w:tc>
          <w:tcPr>
            <w:tcW w:w="3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500" w:type="dxa"/>
            <w:vAlign w:val="bottom"/>
          </w:tcPr>
          <w:p>
            <w:pPr>
              <w:jc w:val="center"/>
              <w:ind w:left="432"/>
              <w:spacing w:after="0"/>
              <w:rPr>
                <w:sz w:val="20"/>
                <w:szCs w:val="20"/>
                <w:color w:val="auto"/>
              </w:rPr>
            </w:pPr>
            <w:r>
              <w:rPr>
                <w:rFonts w:ascii="Arial" w:cs="Arial" w:eastAsia="Arial" w:hAnsi="Arial"/>
                <w:sz w:val="18"/>
                <w:szCs w:val="18"/>
                <w:b w:val="1"/>
                <w:bCs w:val="1"/>
                <w:color w:val="auto"/>
                <w:w w:val="99"/>
              </w:rPr>
              <w:t>NOTE</w:t>
            </w:r>
          </w:p>
        </w:tc>
        <w:tc>
          <w:tcPr>
            <w:tcW w:w="2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378"/>
        </w:trPr>
        <w:tc>
          <w:tcPr>
            <w:tcW w:w="3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ind w:left="300"/>
              <w:spacing w:after="0"/>
              <w:rPr>
                <w:sz w:val="20"/>
                <w:szCs w:val="20"/>
                <w:color w:val="auto"/>
              </w:rPr>
            </w:pPr>
            <w:r>
              <w:rPr>
                <w:rFonts w:ascii="Arial" w:cs="Arial" w:eastAsia="Arial" w:hAnsi="Arial"/>
                <w:sz w:val="18"/>
                <w:szCs w:val="18"/>
                <w:color w:val="auto"/>
              </w:rPr>
              <w:t>Date:</w:t>
            </w:r>
          </w:p>
        </w:tc>
        <w:tc>
          <w:tcPr>
            <w:tcW w:w="580" w:type="dxa"/>
            <w:vAlign w:val="bottom"/>
          </w:tcPr>
          <w:p>
            <w:pPr>
              <w:jc w:val="right"/>
              <w:spacing w:after="0"/>
              <w:rPr>
                <w:sz w:val="20"/>
                <w:szCs w:val="20"/>
                <w:color w:val="auto"/>
              </w:rPr>
            </w:pPr>
            <w:r>
              <w:rPr>
                <w:rFonts w:ascii="Arial" w:cs="Arial" w:eastAsia="Arial" w:hAnsi="Arial"/>
                <w:sz w:val="18"/>
                <w:szCs w:val="18"/>
                <w:color w:val="auto"/>
              </w:rPr>
              <w:t>, 20</w:t>
            </w:r>
          </w:p>
        </w:tc>
      </w:tr>
      <w:tr>
        <w:trPr>
          <w:trHeight w:val="340"/>
        </w:trPr>
        <w:tc>
          <w:tcPr>
            <w:tcW w:w="6700" w:type="dxa"/>
            <w:vAlign w:val="bottom"/>
            <w:gridSpan w:val="3"/>
          </w:tcPr>
          <w:p>
            <w:pPr>
              <w:spacing w:after="0"/>
              <w:rPr>
                <w:sz w:val="20"/>
                <w:szCs w:val="20"/>
                <w:color w:val="auto"/>
              </w:rPr>
            </w:pPr>
            <w:r>
              <w:rPr>
                <w:rFonts w:ascii="Arial" w:cs="Arial" w:eastAsia="Arial" w:hAnsi="Arial"/>
                <w:sz w:val="18"/>
                <w:szCs w:val="18"/>
                <w:color w:val="auto"/>
                <w:w w:val="97"/>
              </w:rPr>
              <w:t>FOR VALUE RECEIVED, the undersigned (the “Borrower”) hereby promises to pay to</w:t>
            </w:r>
          </w:p>
        </w:tc>
        <w:tc>
          <w:tcPr>
            <w:tcW w:w="4580" w:type="dxa"/>
            <w:vAlign w:val="bottom"/>
            <w:gridSpan w:val="4"/>
          </w:tcPr>
          <w:p>
            <w:pPr>
              <w:jc w:val="right"/>
              <w:spacing w:after="0"/>
              <w:rPr>
                <w:sz w:val="20"/>
                <w:szCs w:val="20"/>
                <w:color w:val="auto"/>
              </w:rPr>
            </w:pPr>
            <w:r>
              <w:rPr>
                <w:rFonts w:ascii="Arial" w:cs="Arial" w:eastAsia="Arial" w:hAnsi="Arial"/>
                <w:sz w:val="18"/>
                <w:szCs w:val="18"/>
                <w:color w:val="auto"/>
                <w:w w:val="98"/>
              </w:rPr>
              <w:t>or its registered assigns (the “Lender”), in accordance with</w:t>
            </w:r>
          </w:p>
        </w:tc>
      </w:tr>
      <w:tr>
        <w:trPr>
          <w:trHeight w:val="20"/>
        </w:trPr>
        <w:tc>
          <w:tcPr>
            <w:tcW w:w="3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60"/>
        <w:spacing w:after="0" w:line="256" w:lineRule="auto"/>
        <w:rPr>
          <w:sz w:val="20"/>
          <w:szCs w:val="20"/>
          <w:color w:val="auto"/>
        </w:rPr>
      </w:pPr>
      <w:r>
        <w:rPr>
          <w:rFonts w:ascii="Arial" w:cs="Arial" w:eastAsia="Arial" w:hAnsi="Arial"/>
          <w:sz w:val="18"/>
          <w:szCs w:val="18"/>
          <w:color w:val="auto"/>
        </w:rPr>
        <w:t>the provisions of the Credit Agreement (as hereinafter defined), the principal amount of each Loan from time to time made by the Lender to the Borrower under that certain Credit Agreement, dated as of December 19, 2012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among the Borrower, the Lenders from time to time party thereto, and Bank of America, N.A., as Administrative Agent, Swing Line Lender and L/C Issuer.</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The Borrower promises to pay interest on the unpaid principal amount of each Loan from the date of such Loan until such principal amount is paid in full, at such interest rates and at such times as provided in the Credit Agreement. Except as otherwise provided in </w:t>
      </w:r>
      <w:r>
        <w:rPr>
          <w:rFonts w:ascii="Arial" w:cs="Arial" w:eastAsia="Arial" w:hAnsi="Arial"/>
          <w:sz w:val="18"/>
          <w:szCs w:val="18"/>
          <w:u w:val="single" w:color="auto"/>
          <w:color w:val="auto"/>
        </w:rPr>
        <w:t>Section 2.04(f)</w:t>
      </w:r>
      <w:r>
        <w:rPr>
          <w:rFonts w:ascii="Arial" w:cs="Arial" w:eastAsia="Arial" w:hAnsi="Arial"/>
          <w:sz w:val="18"/>
          <w:szCs w:val="18"/>
          <w:color w:val="auto"/>
        </w:rPr>
        <w:t xml:space="preserve"> of the Credit Agreement with respect to Swing Line Loans, all payments of principal and interest shall be made to the Administrative Agent for the account of the Lender in Dollars in immediately available funds at the Administrative Agent’s Office. If any amount is not paid in full when due hereunder, such unpaid amount shall bear interest, to be paid upon demand, from the due date thereof until the date of actual payment (and before as well as after judgment) computed at the per annum rate set forth in the Credit Agreement.</w:t>
      </w:r>
    </w:p>
    <w:p>
      <w:pPr>
        <w:spacing w:after="0" w:line="14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This Note is one of the Notes referred to in the Credit Agreement, is entitled to the benefits thereof and may be prepaid in whole or in part subject to the terms and conditions provided therein. Upon the occurrence and continuation of one or more of the Events of Default specified in the Credit Agreement, all amounts then remaining unpaid on this Note shall become, or may be declared to be, immediately due and payable all as provided in the Credit Agreement. Loans made by the Lender shall be evidenced by one or more loan accounts or records maintained by the Lender in the ordinary course of business. The Lender may also attach schedules to this Note and endorse thereon the date, amount and maturity of its Loans and payments with respect thereto.</w:t>
      </w:r>
    </w:p>
    <w:p>
      <w:pPr>
        <w:spacing w:after="0" w:line="1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Borrower, for itself, its successors and assigns, hereby waives diligence, presentment, protest and demand and notice of protest, demand, dishonor and non-payment of this Note.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420"/>
          </w:cols>
          <w:pgMar w:left="240" w:top="274" w:right="23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NOTE SHALL BE GOVERNED BY AND CONSTRUED IN ACCORDANCE WITH THE LAWS OF THE STATE OF NEW YORK.</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ANALOG DEVICES, INC.,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Massachusetts corporation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80" w:right="1440" w:bottom="1440" w:gutter="0" w:footer="0" w:header="0"/>
        </w:sectPr>
      </w:pPr>
    </w:p>
    <w:bookmarkStart w:id="121" w:name="page122"/>
    <w:bookmarkEnd w:id="121"/>
    <w:p>
      <w:pPr>
        <w:ind w:left="51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3.01(a)</w:t>
      </w:r>
    </w:p>
    <w:p>
      <w:pPr>
        <w:spacing w:after="0" w:line="17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TAX COMPLIANCE CERTIFICATE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Lenders That Are Not Partnerships For U.S. Federal Income Tax Purposes)</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Reference is hereby made to the Credit Agreement dated as of December 19, 2012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Analog Devices, Inc., a Massachusetts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identified therein, and Bank of America, N.A., as Administrative Agent.</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Internal Revenue Code, (iii) it is not a ten percent shareholder of the Borrower within the meaning of Section 871(h)(3)(B) of the Internal Revenue Code and (iv) it is not a controlled foreign corporation related to the Borrower as described in Section 881(c)(3)(C) of the Internal Revenue Code.</w:t>
      </w:r>
    </w:p>
    <w:p>
      <w:pPr>
        <w:spacing w:after="0" w:line="14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undersigned has furnished the Administrative Agent and the Borrower with a certificate of its non-U.S. Person status on IRS Form W-8BEN.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7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ectPr>
          <w:pgSz w:w="11900" w:h="16838" w:orient="portrait"/>
          <w:cols w:equalWidth="0" w:num="1">
            <w:col w:w="11420"/>
          </w:cols>
          <w:pgMar w:left="240" w:top="274" w:right="239" w:bottom="1440" w:gutter="0" w:footer="0" w:header="0"/>
        </w:sectPr>
      </w:pPr>
    </w:p>
    <w:bookmarkStart w:id="122" w:name="page123"/>
    <w:bookmarkEnd w:id="122"/>
    <w:p>
      <w:pPr>
        <w:ind w:left="51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3.01(b)</w:t>
      </w:r>
    </w:p>
    <w:p>
      <w:pPr>
        <w:spacing w:after="0" w:line="17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TAX COMPLIANCE CERTIFICATE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Participants That Are Not Partnerships For U.S. Federal Income Tax Purposes)</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Reference is hereby made to the Credit Agreement dated as of December 19, 2012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Analog Devices, Inc. , a Massachusetts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identified therein, and Bank of America, N.A., as Administrative Agent.</w:t>
      </w:r>
    </w:p>
    <w:p>
      <w:pPr>
        <w:spacing w:after="0" w:line="140"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Internal Revenue Code,</w:t>
      </w:r>
    </w:p>
    <w:p>
      <w:pPr>
        <w:ind w:right="300" w:firstLine="8"/>
        <w:spacing w:after="0" w:line="261" w:lineRule="auto"/>
        <w:tabs>
          <w:tab w:leader="none" w:pos="30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it is not a ten percent shareholder of the Borrower within the meaning of Section 871(h)(3)(B) of the Internal Revenue Code, and (iv) it is not a controlled foreign corporation related to the Borrower as described in Section 881(c)(3)(C) of the Internal Revenue Code.</w:t>
      </w:r>
    </w:p>
    <w:p>
      <w:pPr>
        <w:spacing w:after="0" w:line="138"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undersigned has furnished its participating Lender with a certificate of its non-U.S. Person status on IRS Form W-8BEN. By executing this certificate, the undersigned agrees that (1) if the information provided on this certificate changes, the undersigned shall promptly so inform such Lender in writing, and</w:t>
      </w:r>
    </w:p>
    <w:p>
      <w:pPr>
        <w:ind w:right="80" w:firstLine="8"/>
        <w:spacing w:after="0" w:line="261" w:lineRule="auto"/>
        <w:tabs>
          <w:tab w:leader="none" w:pos="24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7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ectPr>
          <w:pgSz w:w="11900" w:h="16838" w:orient="portrait"/>
          <w:cols w:equalWidth="0" w:num="1">
            <w:col w:w="11420"/>
          </w:cols>
          <w:pgMar w:left="240" w:top="274" w:right="239" w:bottom="1440" w:gutter="0" w:footer="0" w:header="0"/>
        </w:sectPr>
      </w:pPr>
    </w:p>
    <w:bookmarkStart w:id="123" w:name="page124"/>
    <w:bookmarkEnd w:id="123"/>
    <w:p>
      <w:pPr>
        <w:ind w:left="51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3.01(c)</w:t>
      </w:r>
    </w:p>
    <w:p>
      <w:pPr>
        <w:spacing w:after="0" w:line="17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TAX COMPLIANCE CERTIFICATE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Participants That Are Partnerships For U.S. Federal Income Tax Purposes)</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Reference is hereby made to the Credit Agreement dated as of December 19, 2012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Analog Devices, Inc., a Massachusetts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identified therein, and Bank of America, N.A., as Administrative Agent.</w:t>
      </w:r>
    </w:p>
    <w:p>
      <w:pPr>
        <w:spacing w:after="0" w:line="140" w:lineRule="exact"/>
        <w:rPr>
          <w:sz w:val="20"/>
          <w:szCs w:val="20"/>
          <w:color w:val="auto"/>
        </w:rPr>
      </w:pPr>
    </w:p>
    <w:p>
      <w:pPr>
        <w:ind w:right="380" w:firstLine="456"/>
        <w:spacing w:after="0" w:line="286"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w:t>
      </w:r>
    </w:p>
    <w:p>
      <w:pPr>
        <w:jc w:val="center"/>
        <w:ind w:right="260" w:firstLine="8"/>
        <w:spacing w:after="0" w:line="300" w:lineRule="auto"/>
        <w:tabs>
          <w:tab w:leader="none" w:pos="307" w:val="left"/>
        </w:tabs>
        <w:numPr>
          <w:ilvl w:val="0"/>
          <w:numId w:val="138"/>
        </w:numPr>
        <w:rPr>
          <w:rFonts w:ascii="Arial" w:cs="Arial" w:eastAsia="Arial" w:hAnsi="Arial"/>
          <w:sz w:val="15"/>
          <w:szCs w:val="15"/>
          <w:color w:val="auto"/>
        </w:rPr>
      </w:pPr>
      <w:r>
        <w:rPr>
          <w:rFonts w:ascii="Arial" w:cs="Arial" w:eastAsia="Arial" w:hAnsi="Arial"/>
          <w:sz w:val="15"/>
          <w:szCs w:val="15"/>
          <w:color w:val="auto"/>
        </w:rPr>
        <w:t>with respect such participation, neither the undersigned nor any of its direct or indirect partners/members is a bank extending credit pursuant to a loan agreement entered into in the ordinary course of its trade or business within the meaning of Section 881(c)(3)(A) of the Internal Revenue Code, (iv) none of its direct or indirect partners/members is a ten percent shareholder of the Borrower within the meaning of Section 871(h)(3)(B) of the Internal Revenue Code and</w:t>
      </w:r>
    </w:p>
    <w:p>
      <w:pPr>
        <w:spacing w:after="0" w:line="1" w:lineRule="exact"/>
        <w:rPr>
          <w:rFonts w:ascii="Arial" w:cs="Arial" w:eastAsia="Arial" w:hAnsi="Arial"/>
          <w:sz w:val="15"/>
          <w:szCs w:val="15"/>
          <w:color w:val="auto"/>
        </w:rPr>
      </w:pPr>
    </w:p>
    <w:p>
      <w:pPr>
        <w:ind w:right="140" w:firstLine="8"/>
        <w:spacing w:after="0" w:line="261" w:lineRule="auto"/>
        <w:tabs>
          <w:tab w:leader="none" w:pos="24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none of its direct or indirect partners/members is a controlled foreign corporation related to the Borrower as described in Section 881(c)(3)(C) of the Internal Revenue Code.</w:t>
      </w:r>
    </w:p>
    <w:p>
      <w:pPr>
        <w:spacing w:after="0" w:line="13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undersigned has furnished its participating Lender with IRS Form W-8IMY accompanied by one of the following forms from each of its partners/members that is claiming the portfolio interest exemption: (i) an IRS Form W-8BEN or (ii) an IRS Form W-8IMY accompanied by an IRS Form W-8BEN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7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ectPr>
          <w:pgSz w:w="11900" w:h="16838" w:orient="portrait"/>
          <w:cols w:equalWidth="0" w:num="1">
            <w:col w:w="11420"/>
          </w:cols>
          <w:pgMar w:left="240" w:top="274" w:right="239" w:bottom="1440" w:gutter="0" w:footer="0" w:header="0"/>
        </w:sectPr>
      </w:pPr>
    </w:p>
    <w:bookmarkStart w:id="124" w:name="page125"/>
    <w:bookmarkEnd w:id="124"/>
    <w:p>
      <w:pPr>
        <w:ind w:left="51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3.01(d)</w:t>
      </w:r>
    </w:p>
    <w:p>
      <w:pPr>
        <w:spacing w:after="0" w:line="17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TAX COMPLIANCE CERTIFICATE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Lenders That Are Partnerships For U.S. Federal Income Tax Purposes)</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Reference is hereby made to the Credit Agreement dated as of December 19, 2012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Analog Devices, Inc., a Massachusetts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identified therein, and Bank of America, N.A., as Administrative Agent.</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Internal Revenue Code, (iv) none of its direct or indirect partners/members is a ten percent shareholder of the Borrower within the meaning of Section 871(h)(3)(B) of the Internal Revenue Code and (v) none of its direct or indirect partners/members is a controlled foreign corporation related to the Borrower as described in Section 881(c)(3)(C) of the Internal Revenue Code.</w:t>
      </w:r>
    </w:p>
    <w:p>
      <w:pPr>
        <w:spacing w:after="0" w:line="118"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The undersigned has furnished the Administrative Agent and the Borrower with IRS Form W-8IMY accompanied by one of the following forms from each of its partners/members that is claiming the portfolio interest exemption: (i) an IRS Form W-8BEN or (ii) an IRS Form W-8IMY accompanied by an IRS Form W-8BEN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w:t>
      </w:r>
    </w:p>
    <w:p>
      <w:pPr>
        <w:spacing w:after="0" w:line="3" w:lineRule="exact"/>
        <w:rPr>
          <w:sz w:val="20"/>
          <w:szCs w:val="20"/>
          <w:color w:val="auto"/>
        </w:rPr>
      </w:pPr>
    </w:p>
    <w:p>
      <w:pPr>
        <w:ind w:right="220" w:firstLine="8"/>
        <w:spacing w:after="0" w:line="323" w:lineRule="auto"/>
        <w:tabs>
          <w:tab w:leader="none" w:pos="249"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6985</wp:posOffset>
            </wp:positionV>
            <wp:extent cx="248729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7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ectPr>
          <w:pgSz w:w="11900" w:h="16838" w:orient="portrait"/>
          <w:cols w:equalWidth="0" w:num="1">
            <w:col w:w="11420"/>
          </w:cols>
          <w:pgMar w:left="240" w:top="274" w:right="239" w:bottom="1440" w:gutter="0" w:footer="0" w:header="0"/>
        </w:sectPr>
      </w:pPr>
    </w:p>
    <w:bookmarkStart w:id="125" w:name="page126"/>
    <w:bookmarkEnd w:id="125"/>
    <w:p>
      <w:pPr>
        <w:ind w:left="5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6.02</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COMPLIANCE CERTIFICATE</w:t>
      </w:r>
    </w:p>
    <w:p>
      <w:pPr>
        <w:spacing w:after="0" w:line="165" w:lineRule="exact"/>
        <w:rPr>
          <w:sz w:val="20"/>
          <w:szCs w:val="20"/>
          <w:color w:val="auto"/>
        </w:rPr>
      </w:pPr>
    </w:p>
    <w:tbl>
      <w:tblPr>
        <w:tblLayout w:type="fixed"/>
        <w:tblInd w:w="8580" w:type="dxa"/>
        <w:tblCellMar>
          <w:top w:w="0" w:type="dxa"/>
          <w:left w:w="0" w:type="dxa"/>
          <w:bottom w:w="0" w:type="dxa"/>
          <w:right w:w="0" w:type="dxa"/>
        </w:tblCellMar>
      </w:tblPr>
      <w:tr>
        <w:trPr>
          <w:trHeight w:val="222"/>
        </w:trPr>
        <w:tc>
          <w:tcPr>
            <w:tcW w:w="2120" w:type="dxa"/>
            <w:vAlign w:val="bottom"/>
          </w:tcPr>
          <w:p>
            <w:pPr>
              <w:spacing w:after="0"/>
              <w:rPr>
                <w:sz w:val="20"/>
                <w:szCs w:val="20"/>
                <w:color w:val="auto"/>
              </w:rPr>
            </w:pPr>
            <w:r>
              <w:rPr>
                <w:rFonts w:ascii="Arial" w:cs="Arial" w:eastAsia="Arial" w:hAnsi="Arial"/>
                <w:sz w:val="18"/>
                <w:szCs w:val="18"/>
                <w:color w:val="auto"/>
              </w:rPr>
              <w:t>Financial Statement Date:</w:t>
            </w:r>
          </w:p>
        </w:tc>
        <w:tc>
          <w:tcPr>
            <w:tcW w:w="540" w:type="dxa"/>
            <w:vAlign w:val="bottom"/>
          </w:tcPr>
          <w:p>
            <w:pPr>
              <w:jc w:val="right"/>
              <w:spacing w:after="0"/>
              <w:rPr>
                <w:sz w:val="20"/>
                <w:szCs w:val="20"/>
                <w:color w:val="auto"/>
              </w:rPr>
            </w:pPr>
            <w:r>
              <w:rPr>
                <w:rFonts w:ascii="Arial" w:cs="Arial" w:eastAsia="Arial" w:hAnsi="Arial"/>
                <w:sz w:val="18"/>
                <w:szCs w:val="18"/>
                <w:color w:val="auto"/>
              </w:rPr>
              <w:t>, 20</w:t>
            </w:r>
          </w:p>
        </w:tc>
      </w:tr>
    </w:tbl>
    <w:p>
      <w:pPr>
        <w:spacing w:after="0" w:line="1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Bank of America, N.A., as Administrative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Reference is made to that certain Credit Agreement, dated as of December 19, 2012 (as amended, restated, extended, supplemented or otherwise modified in writing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terms defined therein being used herein as therein defined), among Analog Devices, Inc. (the “</w:t>
      </w:r>
      <w:r>
        <w:rPr>
          <w:rFonts w:ascii="Arial" w:cs="Arial" w:eastAsia="Arial" w:hAnsi="Arial"/>
          <w:sz w:val="16"/>
          <w:szCs w:val="16"/>
          <w:u w:val="single" w:color="auto"/>
          <w:color w:val="auto"/>
        </w:rPr>
        <w:t>Borrower</w:t>
      </w:r>
      <w:r>
        <w:rPr>
          <w:rFonts w:ascii="Arial" w:cs="Arial" w:eastAsia="Arial" w:hAnsi="Arial"/>
          <w:sz w:val="16"/>
          <w:szCs w:val="16"/>
          <w:color w:val="auto"/>
        </w:rPr>
        <w:t>”), the Lenders from time to time party thereto and Bank of America, N.A., as Administrative Agent, Swing Line Lender and L/C Issuer.</w:t>
      </w:r>
    </w:p>
    <w:p>
      <w:pPr>
        <w:spacing w:after="0" w:line="107"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undersigned Responsible Officer hereby certifies as of the date hereof that he/she is the of the Borrower, and that, as such, he/she is authorized to execute and deliver this Compliance Certificate to the Administrative Agent (for delivery to the Lenders) on the behalf of the Borrower, and that: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[Use following paragraph 1 for fiscal </w:t>
      </w:r>
      <w:r>
        <w:rPr>
          <w:rFonts w:ascii="Arial" w:cs="Arial" w:eastAsia="Arial" w:hAnsi="Arial"/>
          <w:sz w:val="18"/>
          <w:szCs w:val="18"/>
          <w:b w:val="1"/>
          <w:bCs w:val="1"/>
          <w:i w:val="1"/>
          <w:iCs w:val="1"/>
          <w:color w:val="auto"/>
        </w:rPr>
        <w:t>year-end</w:t>
      </w:r>
      <w:r>
        <w:rPr>
          <w:rFonts w:ascii="Arial" w:cs="Arial" w:eastAsia="Arial" w:hAnsi="Arial"/>
          <w:sz w:val="18"/>
          <w:szCs w:val="18"/>
          <w:i w:val="1"/>
          <w:iCs w:val="1"/>
          <w:color w:val="auto"/>
        </w:rPr>
        <w:t xml:space="preserve"> financial statements]</w:t>
      </w:r>
    </w:p>
    <w:p>
      <w:pPr>
        <w:spacing w:after="0" w:line="171" w:lineRule="exact"/>
        <w:rPr>
          <w:sz w:val="20"/>
          <w:szCs w:val="20"/>
          <w:color w:val="auto"/>
        </w:rPr>
      </w:pPr>
    </w:p>
    <w:p>
      <w:pPr>
        <w:ind w:right="500" w:firstLine="8"/>
        <w:spacing w:after="0" w:line="332" w:lineRule="auto"/>
        <w:tabs>
          <w:tab w:leader="none" w:pos="17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are the year-end audited financial statements required by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of the Credit Agreement for the fiscal year of the Borrower ended as of the above date, together with the report and opinion of an independent certified public accountant required by such section.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[Use following paragraph 1 for fiscal </w:t>
      </w:r>
      <w:r>
        <w:rPr>
          <w:rFonts w:ascii="Arial" w:cs="Arial" w:eastAsia="Arial" w:hAnsi="Arial"/>
          <w:sz w:val="18"/>
          <w:szCs w:val="18"/>
          <w:b w:val="1"/>
          <w:bCs w:val="1"/>
          <w:i w:val="1"/>
          <w:iCs w:val="1"/>
          <w:color w:val="auto"/>
        </w:rPr>
        <w:t>quarter-end</w:t>
      </w:r>
      <w:r>
        <w:rPr>
          <w:rFonts w:ascii="Arial" w:cs="Arial" w:eastAsia="Arial" w:hAnsi="Arial"/>
          <w:sz w:val="18"/>
          <w:szCs w:val="18"/>
          <w:i w:val="1"/>
          <w:iCs w:val="1"/>
          <w:color w:val="auto"/>
        </w:rPr>
        <w:t xml:space="preserve"> financial statements]</w:t>
      </w:r>
    </w:p>
    <w:p>
      <w:pPr>
        <w:spacing w:after="0" w:line="171" w:lineRule="exact"/>
        <w:rPr>
          <w:sz w:val="20"/>
          <w:szCs w:val="20"/>
          <w:color w:val="auto"/>
        </w:rPr>
      </w:pPr>
    </w:p>
    <w:p>
      <w:pPr>
        <w:ind w:right="40" w:firstLine="8"/>
        <w:spacing w:after="0" w:line="306" w:lineRule="auto"/>
        <w:tabs>
          <w:tab w:leader="none" w:pos="17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are the unaudited financial statements required by </w:t>
      </w:r>
      <w:r>
        <w:rPr>
          <w:rFonts w:ascii="Arial" w:cs="Arial" w:eastAsia="Arial" w:hAnsi="Arial"/>
          <w:sz w:val="16"/>
          <w:szCs w:val="16"/>
          <w:u w:val="single" w:color="auto"/>
          <w:color w:val="auto"/>
        </w:rPr>
        <w:t>Section 6.01(b)</w:t>
      </w:r>
      <w:r>
        <w:rPr>
          <w:rFonts w:ascii="Arial" w:cs="Arial" w:eastAsia="Arial" w:hAnsi="Arial"/>
          <w:sz w:val="16"/>
          <w:szCs w:val="16"/>
          <w:color w:val="auto"/>
        </w:rPr>
        <w:t xml:space="preserve"> of the Credit Agreement for the fiscal quarter of the Borrower ended as of the above date. Such financial statements fairly present the financial condition, results of operations and cash flows of the Borrower and its Subsidiaries in accordance with GAAP as at such date and for such period, subject only to normal year-end audit adjustments and the absence of footnotes.</w:t>
      </w:r>
    </w:p>
    <w:p>
      <w:pPr>
        <w:spacing w:after="0" w:line="106" w:lineRule="exact"/>
        <w:rPr>
          <w:rFonts w:ascii="Arial" w:cs="Arial" w:eastAsia="Arial" w:hAnsi="Arial"/>
          <w:sz w:val="16"/>
          <w:szCs w:val="16"/>
          <w:color w:val="auto"/>
        </w:rPr>
      </w:pPr>
    </w:p>
    <w:p>
      <w:pPr>
        <w:ind w:right="400" w:firstLine="8"/>
        <w:spacing w:after="0" w:line="259" w:lineRule="auto"/>
        <w:tabs>
          <w:tab w:leader="none" w:pos="17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undersigned has reviewed and is familiar with the terms of the Credit Agreement and has made, or has caused to be made under his/her supervision, a detailed review of the transactions and condition (financial or otherwise) of the Borrower during the accounting period covered by the attached financial statements.</w:t>
      </w:r>
    </w:p>
    <w:p>
      <w:pPr>
        <w:spacing w:after="0" w:line="140" w:lineRule="exact"/>
        <w:rPr>
          <w:rFonts w:ascii="Arial" w:cs="Arial" w:eastAsia="Arial" w:hAnsi="Arial"/>
          <w:sz w:val="18"/>
          <w:szCs w:val="18"/>
          <w:color w:val="auto"/>
        </w:rPr>
      </w:pPr>
    </w:p>
    <w:p>
      <w:pPr>
        <w:ind w:right="40" w:firstLine="8"/>
        <w:spacing w:after="0" w:line="256" w:lineRule="auto"/>
        <w:tabs>
          <w:tab w:leader="none" w:pos="17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review of the activities of the Borrower during such fiscal period has been made under the supervision of the undersigned with a view to determining whether during such fiscal period the Borrower performed and observed all its Obligations under the Loan Documents, and to the best knowledge of the undersigned during such fiscal period, the Borrower performed and observed each covenant and condition of the Loan Documents applicable to it, and no Default has occurred and is continuing.</w:t>
      </w:r>
    </w:p>
    <w:p>
      <w:pPr>
        <w:spacing w:after="0" w:line="143" w:lineRule="exact"/>
        <w:rPr>
          <w:sz w:val="20"/>
          <w:szCs w:val="20"/>
          <w:color w:val="auto"/>
        </w:rPr>
      </w:pPr>
    </w:p>
    <w:p>
      <w:pPr>
        <w:ind w:right="20" w:firstLine="8"/>
        <w:spacing w:after="0" w:line="268" w:lineRule="auto"/>
        <w:tabs>
          <w:tab w:leader="none" w:pos="17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The calculations demonstrating compliance with the financial covenant set forth in </w:t>
      </w:r>
      <w:r>
        <w:rPr>
          <w:rFonts w:ascii="Arial" w:cs="Arial" w:eastAsia="Arial" w:hAnsi="Arial"/>
          <w:sz w:val="18"/>
          <w:szCs w:val="18"/>
          <w:u w:val="single" w:color="auto"/>
          <w:color w:val="auto"/>
        </w:rPr>
        <w:t>Section 7.10</w:t>
      </w:r>
      <w:r>
        <w:rPr>
          <w:rFonts w:ascii="Arial" w:cs="Arial" w:eastAsia="Arial" w:hAnsi="Arial"/>
          <w:sz w:val="18"/>
          <w:szCs w:val="18"/>
          <w:color w:val="auto"/>
        </w:rPr>
        <w:t xml:space="preserve"> of the Credit Agreement set forth in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attached hereto are true and accurate on and as of the date of this Compliance Certificate.</w:t>
      </w:r>
    </w:p>
    <w:p>
      <w:pPr>
        <w:sectPr>
          <w:pgSz w:w="11900" w:h="16838" w:orient="portrait"/>
          <w:cols w:equalWidth="0" w:num="1">
            <w:col w:w="11420"/>
          </w:cols>
          <w:pgMar w:left="240" w:top="274" w:right="239" w:bottom="1440" w:gutter="0" w:footer="0" w:header="0"/>
        </w:sectPr>
      </w:pPr>
    </w:p>
    <w:bookmarkStart w:id="126" w:name="page127"/>
    <w:bookmarkEnd w:id="126"/>
    <w:p>
      <w:pPr>
        <w:spacing w:after="0"/>
        <w:tabs>
          <w:tab w:leader="none" w:pos="6840" w:val="left"/>
          <w:tab w:leader="none" w:pos="7280" w:val="left"/>
        </w:tabs>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6"/>
          <w:szCs w:val="16"/>
          <w:color w:val="auto"/>
        </w:rPr>
        <w:t>the undersigned has executed this Compliance Certificate as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ANALOG DEVICES, INC.,</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a Massachusetts corporation</w:t>
      </w:r>
    </w:p>
    <w:p>
      <w:pPr>
        <w:spacing w:after="0" w:line="25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80" w:right="1440"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Compliance Certificate</w:t>
      </w:r>
    </w:p>
    <w:p>
      <w:pPr>
        <w:spacing w:after="0" w:line="15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Financial Statements</w:t>
      </w:r>
    </w:p>
    <w:p>
      <w:pPr>
        <w:spacing w:after="0" w:line="177"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 be attached by Borrower</w:t>
      </w:r>
      <w:r>
        <w:rPr>
          <w:rFonts w:ascii="Arial" w:cs="Arial" w:eastAsia="Arial" w:hAnsi="Arial"/>
          <w:sz w:val="16"/>
          <w:szCs w:val="16"/>
          <w:color w:val="auto"/>
        </w:rPr>
        <w:t>]</w:t>
      </w:r>
    </w:p>
    <w:p>
      <w:pPr>
        <w:sectPr>
          <w:pgSz w:w="11900" w:h="16838" w:orient="portrait"/>
          <w:cols w:equalWidth="0" w:num="1">
            <w:col w:w="10220"/>
          </w:cols>
          <w:pgMar w:left="1440" w:top="280" w:right="2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b w:val="1"/>
                <w:bCs w:val="1"/>
                <w:i w:val="1"/>
                <w:iCs w:val="1"/>
                <w:color w:val="auto"/>
              </w:rPr>
              <w:t>Schedule 2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b w:val="1"/>
                <w:bCs w:val="1"/>
                <w:i w:val="1"/>
                <w:iCs w:val="1"/>
                <w:color w:val="auto"/>
                <w:w w:val="86"/>
              </w:rPr>
              <w:t>Compliance Certificate</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80" w:type="dxa"/>
            <w:vAlign w:val="bottom"/>
          </w:tcPr>
          <w:p>
            <w:pPr>
              <w:ind w:left="2640"/>
              <w:spacing w:after="0"/>
              <w:rPr>
                <w:sz w:val="20"/>
                <w:szCs w:val="20"/>
                <w:color w:val="auto"/>
              </w:rPr>
            </w:pPr>
            <w:r>
              <w:rPr>
                <w:rFonts w:ascii="Arial" w:cs="Arial" w:eastAsia="Arial" w:hAnsi="Arial"/>
                <w:sz w:val="18"/>
                <w:szCs w:val="18"/>
                <w:color w:val="auto"/>
              </w:rPr>
              <w:t>For the Quarter / Year ended</w:t>
            </w:r>
          </w:p>
        </w:tc>
        <w:tc>
          <w:tcPr>
            <w:tcW w:w="3700" w:type="dxa"/>
            <w:vAlign w:val="bottom"/>
            <w:gridSpan w:val="3"/>
          </w:tcPr>
          <w:p>
            <w:pPr>
              <w:ind w:left="20"/>
              <w:spacing w:after="0"/>
              <w:rPr>
                <w:sz w:val="20"/>
                <w:szCs w:val="20"/>
                <w:color w:val="auto"/>
              </w:rPr>
            </w:pPr>
            <w:r>
              <w:rPr>
                <w:rFonts w:ascii="Arial" w:cs="Arial" w:eastAsia="Arial" w:hAnsi="Arial"/>
                <w:sz w:val="18"/>
                <w:szCs w:val="18"/>
                <w:color w:val="auto"/>
              </w:rPr>
              <w:t>(the “Financial Statement Date”)</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5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Consolidated Leverage Ratio</w:t>
            </w:r>
          </w:p>
        </w:tc>
        <w:tc>
          <w:tcPr>
            <w:tcW w:w="4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40" w:type="dxa"/>
            <w:vAlign w:val="bottom"/>
            <w:gridSpan w:val="2"/>
          </w:tcPr>
          <w:p>
            <w:pPr>
              <w:spacing w:after="0"/>
              <w:rPr>
                <w:sz w:val="20"/>
                <w:szCs w:val="20"/>
                <w:color w:val="auto"/>
              </w:rPr>
            </w:pPr>
            <w:r>
              <w:rPr>
                <w:rFonts w:ascii="Arial" w:cs="Arial" w:eastAsia="Arial" w:hAnsi="Arial"/>
                <w:sz w:val="18"/>
                <w:szCs w:val="18"/>
                <w:color w:val="auto"/>
              </w:rPr>
              <w:t>I.</w:t>
            </w:r>
          </w:p>
        </w:tc>
        <w:tc>
          <w:tcPr>
            <w:tcW w:w="5580" w:type="dxa"/>
            <w:vAlign w:val="bottom"/>
          </w:tcPr>
          <w:p>
            <w:pPr>
              <w:ind w:left="220"/>
              <w:spacing w:after="0"/>
              <w:rPr>
                <w:sz w:val="20"/>
                <w:szCs w:val="20"/>
                <w:color w:val="auto"/>
              </w:rPr>
            </w:pPr>
            <w:r>
              <w:rPr>
                <w:rFonts w:ascii="Arial" w:cs="Arial" w:eastAsia="Arial" w:hAnsi="Arial"/>
                <w:sz w:val="18"/>
                <w:szCs w:val="18"/>
                <w:color w:val="auto"/>
              </w:rPr>
              <w:t>Consolidated Funded Indebtedness</w:t>
            </w: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jc w:val="right"/>
              <w:ind w:right="9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0" w:type="dxa"/>
            <w:vAlign w:val="bottom"/>
          </w:tcPr>
          <w:p>
            <w:pPr>
              <w:spacing w:after="0"/>
              <w:rPr>
                <w:sz w:val="9"/>
                <w:szCs w:val="9"/>
                <w:color w:val="auto"/>
              </w:rPr>
            </w:pPr>
          </w:p>
        </w:tc>
        <w:tc>
          <w:tcPr>
            <w:tcW w:w="6000" w:type="dxa"/>
            <w:vAlign w:val="bottom"/>
            <w:gridSpan w:val="2"/>
          </w:tcPr>
          <w:p>
            <w:pPr>
              <w:spacing w:after="0"/>
              <w:rPr>
                <w:sz w:val="9"/>
                <w:szCs w:val="9"/>
                <w:color w:val="auto"/>
              </w:rPr>
            </w:pPr>
          </w:p>
        </w:tc>
        <w:tc>
          <w:tcPr>
            <w:tcW w:w="17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II.</w:t>
            </w:r>
          </w:p>
        </w:tc>
        <w:tc>
          <w:tcPr>
            <w:tcW w:w="92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89"/>
              </w:rPr>
              <w:t>Consolidated EBITDA (For the period of the four prior fiscal quarters ending on the Financial Statement Date (see Schedule A))</w:t>
            </w:r>
          </w:p>
        </w:tc>
        <w:tc>
          <w:tcPr>
            <w:tcW w:w="1700" w:type="dxa"/>
            <w:vAlign w:val="bottom"/>
            <w:shd w:val="clear" w:color="auto" w:fill="CCEEFF"/>
          </w:tcPr>
          <w:p>
            <w:pPr>
              <w:jc w:val="right"/>
              <w:ind w:right="9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40" w:type="dxa"/>
            <w:vAlign w:val="bottom"/>
            <w:gridSpan w:val="2"/>
          </w:tcPr>
          <w:p>
            <w:pPr>
              <w:spacing w:after="0"/>
              <w:rPr>
                <w:sz w:val="20"/>
                <w:szCs w:val="20"/>
                <w:color w:val="auto"/>
              </w:rPr>
            </w:pPr>
            <w:r>
              <w:rPr>
                <w:rFonts w:ascii="Arial" w:cs="Arial" w:eastAsia="Arial" w:hAnsi="Arial"/>
                <w:sz w:val="18"/>
                <w:szCs w:val="18"/>
                <w:color w:val="auto"/>
              </w:rPr>
              <w:t>III.</w:t>
            </w:r>
          </w:p>
        </w:tc>
        <w:tc>
          <w:tcPr>
            <w:tcW w:w="5580" w:type="dxa"/>
            <w:vAlign w:val="bottom"/>
          </w:tcPr>
          <w:p>
            <w:pPr>
              <w:ind w:left="220"/>
              <w:spacing w:after="0"/>
              <w:rPr>
                <w:sz w:val="20"/>
                <w:szCs w:val="20"/>
                <w:color w:val="auto"/>
              </w:rPr>
            </w:pPr>
            <w:r>
              <w:rPr>
                <w:rFonts w:ascii="Arial" w:cs="Arial" w:eastAsia="Arial" w:hAnsi="Arial"/>
                <w:sz w:val="18"/>
                <w:szCs w:val="18"/>
                <w:color w:val="auto"/>
              </w:rPr>
              <w:t>Consolidated Leverage Ratio (I ÷ II)</w:t>
            </w: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to 1.0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580" w:type="dxa"/>
            <w:vAlign w:val="bottom"/>
            <w:shd w:val="clear" w:color="auto" w:fill="CCEEFF"/>
          </w:tcPr>
          <w:p>
            <w:pPr>
              <w:ind w:left="4060"/>
              <w:spacing w:after="0"/>
              <w:rPr>
                <w:sz w:val="20"/>
                <w:szCs w:val="20"/>
                <w:color w:val="auto"/>
              </w:rPr>
            </w:pPr>
            <w:r>
              <w:rPr>
                <w:rFonts w:ascii="Arial" w:cs="Arial" w:eastAsia="Arial" w:hAnsi="Arial"/>
                <w:sz w:val="18"/>
                <w:szCs w:val="18"/>
                <w:i w:val="1"/>
                <w:iCs w:val="1"/>
                <w:color w:val="auto"/>
                <w:w w:val="90"/>
              </w:rPr>
              <w:t>Maximum Permitted:</w:t>
            </w:r>
          </w:p>
        </w:tc>
        <w:tc>
          <w:tcPr>
            <w:tcW w:w="4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52"/>
              <w:spacing w:after="0"/>
              <w:rPr>
                <w:sz w:val="20"/>
                <w:szCs w:val="20"/>
                <w:color w:val="auto"/>
              </w:rPr>
            </w:pPr>
            <w:r>
              <w:rPr>
                <w:rFonts w:ascii="Arial" w:cs="Arial" w:eastAsia="Arial" w:hAnsi="Arial"/>
                <w:sz w:val="18"/>
                <w:szCs w:val="18"/>
                <w:i w:val="1"/>
                <w:iCs w:val="1"/>
                <w:color w:val="auto"/>
              </w:rPr>
              <w:t>3.0 to 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Compliance Certificate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000’s)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EBITDA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accordance with the definition of Consolidated EBITDA</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set forth in the Credit Agreement)</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Consolidated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8318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ind w:left="220" w:hanging="212"/>
        <w:spacing w:after="0"/>
        <w:tabs>
          <w:tab w:leader="none" w:pos="2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Consolidated Net Income</w:t>
      </w:r>
    </w:p>
    <w:p>
      <w:pPr>
        <w:spacing w:after="0" w:line="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Consolidated Interest Charges</w:t>
      </w:r>
    </w:p>
    <w:p>
      <w:pPr>
        <w:spacing w:after="0" w:line="1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320" w:hanging="312"/>
        <w:spacing w:after="0"/>
        <w:tabs>
          <w:tab w:leader="none" w:pos="3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Federal, state, local and foreign income taxes</w:t>
      </w:r>
    </w:p>
    <w:p>
      <w:pPr>
        <w:spacing w:after="0" w:line="1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300" w:hanging="292"/>
        <w:spacing w:after="0"/>
        <w:tabs>
          <w:tab w:leader="none" w:pos="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depreciation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-969645</wp:posOffset>
            </wp:positionV>
            <wp:extent cx="724662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-549910</wp:posOffset>
            </wp:positionV>
            <wp:extent cx="7246620" cy="2832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832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ind w:left="260" w:hanging="252"/>
        <w:spacing w:after="0"/>
        <w:tabs>
          <w:tab w:leader="none" w:pos="2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amortization expense</w:t>
      </w:r>
    </w:p>
    <w:p>
      <w:pPr>
        <w:spacing w:after="0" w:line="1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300" w:hanging="292"/>
        <w:spacing w:after="0"/>
        <w:tabs>
          <w:tab w:leader="none" w:pos="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non-cash stock-based compensation expense</w:t>
      </w:r>
    </w:p>
    <w:p>
      <w:pPr>
        <w:spacing w:after="0" w:line="1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360" w:hanging="352"/>
        <w:spacing w:after="0"/>
        <w:tabs>
          <w:tab w:leader="none" w:pos="3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certain non-recurring expenses incurred prior to the Closing Date (as set forth on Schedule</w:t>
      </w:r>
    </w:p>
    <w:p>
      <w:pPr>
        <w:spacing w:after="0" w:line="32"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8"/>
          <w:szCs w:val="18"/>
          <w:color w:val="auto"/>
        </w:rPr>
        <w:t>1.01 to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246620" cy="4203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220" w:right="260" w:hanging="212"/>
        <w:spacing w:after="0" w:line="254" w:lineRule="auto"/>
        <w:tabs>
          <w:tab w:leader="none" w:pos="39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non-recurring expenses reducing such Consolidated Net Income which do not represent a cash item in such period or any future period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4203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ind w:left="220" w:right="140" w:hanging="212"/>
        <w:spacing w:after="0" w:line="286" w:lineRule="auto"/>
        <w:tabs>
          <w:tab w:leader="none" w:pos="301" w:val="left"/>
        </w:tabs>
        <w:numPr>
          <w:ilvl w:val="0"/>
          <w:numId w:val="147"/>
        </w:numPr>
        <w:rPr>
          <w:rFonts w:ascii="Arial" w:cs="Arial" w:eastAsia="Arial" w:hAnsi="Arial"/>
          <w:sz w:val="16"/>
          <w:szCs w:val="16"/>
          <w:color w:val="auto"/>
        </w:rPr>
      </w:pPr>
      <w:r>
        <w:rPr>
          <w:rFonts w:ascii="Arial" w:cs="Arial" w:eastAsia="Arial" w:hAnsi="Arial"/>
          <w:sz w:val="16"/>
          <w:szCs w:val="16"/>
          <w:color w:val="auto"/>
        </w:rPr>
        <w:t>non-recurring cash expenses reducing such Consolidated Net Income to the extent such cash expenses are not paid in such period but will be paid in a future period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220" w:hanging="212"/>
        <w:spacing w:after="0" w:line="253" w:lineRule="auto"/>
        <w:tabs>
          <w:tab w:leader="none" w:pos="25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non-recurring cash expenses that were previously added back to Consolidated EBITDA in a prior period pursuant to the entry in item (ix) above to the extent such cash expenses are paid in such period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832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ind w:left="300" w:hanging="292"/>
        <w:spacing w:after="0"/>
        <w:tabs>
          <w:tab w:leader="none" w:pos="30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non-recurring non-cash items increasing Consolidated Net Income of the types set forth above</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w:t>
      </w:r>
    </w:p>
    <w:p>
      <w:pPr>
        <w:spacing w:after="0" w:line="1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Consolidated EBITDA</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color w:val="auto"/>
                <w:w w:val="85"/>
              </w:rPr>
              <w:t>Twelve</w:t>
            </w:r>
          </w:p>
        </w:tc>
      </w:tr>
      <w:tr>
        <w:trPr>
          <w:trHeight w:val="149"/>
        </w:trPr>
        <w:tc>
          <w:tcPr>
            <w:tcW w:w="8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4"/>
              </w:rPr>
              <w:t>Quarter</w:t>
            </w:r>
          </w:p>
        </w:tc>
        <w:tc>
          <w:tcPr>
            <w:tcW w:w="9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84"/>
              </w:rPr>
              <w:t>Quarter</w:t>
            </w:r>
          </w:p>
        </w:tc>
        <w:tc>
          <w:tcPr>
            <w:tcW w:w="88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88"/>
              </w:rPr>
              <w:t>Quarter</w:t>
            </w:r>
          </w:p>
        </w:tc>
        <w:tc>
          <w:tcPr>
            <w:tcW w:w="9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84"/>
              </w:rPr>
              <w:t>Quarter</w:t>
            </w: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w w:val="91"/>
              </w:rPr>
              <w:t>Months</w:t>
            </w:r>
          </w:p>
        </w:tc>
      </w:tr>
      <w:tr>
        <w:trPr>
          <w:trHeight w:val="159"/>
        </w:trPr>
        <w:tc>
          <w:tcPr>
            <w:tcW w:w="4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8"/>
              </w:rPr>
              <w:t>Ended</w:t>
            </w:r>
          </w:p>
        </w:tc>
        <w:tc>
          <w:tcPr>
            <w:tcW w:w="460" w:type="dxa"/>
            <w:vAlign w:val="bottom"/>
          </w:tcPr>
          <w:p>
            <w:pPr>
              <w:spacing w:after="0"/>
              <w:rPr>
                <w:sz w:val="13"/>
                <w:szCs w:val="13"/>
                <w:color w:val="auto"/>
              </w:rPr>
            </w:pPr>
          </w:p>
        </w:tc>
        <w:tc>
          <w:tcPr>
            <w:tcW w:w="4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Ended</w:t>
            </w:r>
          </w:p>
        </w:tc>
        <w:tc>
          <w:tcPr>
            <w:tcW w:w="480" w:type="dxa"/>
            <w:vAlign w:val="bottom"/>
          </w:tcPr>
          <w:p>
            <w:pPr>
              <w:spacing w:after="0"/>
              <w:rPr>
                <w:sz w:val="13"/>
                <w:szCs w:val="13"/>
                <w:color w:val="auto"/>
              </w:rPr>
            </w:pPr>
          </w:p>
        </w:tc>
        <w:tc>
          <w:tcPr>
            <w:tcW w:w="4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Ended</w:t>
            </w:r>
          </w:p>
        </w:tc>
        <w:tc>
          <w:tcPr>
            <w:tcW w:w="460" w:type="dxa"/>
            <w:vAlign w:val="bottom"/>
          </w:tcPr>
          <w:p>
            <w:pPr>
              <w:spacing w:after="0"/>
              <w:rPr>
                <w:sz w:val="13"/>
                <w:szCs w:val="13"/>
                <w:color w:val="auto"/>
              </w:rPr>
            </w:pPr>
          </w:p>
        </w:tc>
        <w:tc>
          <w:tcPr>
            <w:tcW w:w="4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8"/>
              </w:rPr>
              <w:t>Ended</w:t>
            </w:r>
          </w:p>
        </w:tc>
        <w:tc>
          <w:tcPr>
            <w:tcW w:w="480" w:type="dxa"/>
            <w:vAlign w:val="bottom"/>
          </w:tcPr>
          <w:p>
            <w:pPr>
              <w:spacing w:after="0"/>
              <w:rPr>
                <w:sz w:val="13"/>
                <w:szCs w:val="13"/>
                <w:color w:val="auto"/>
              </w:rPr>
            </w:pPr>
          </w:p>
        </w:tc>
        <w:tc>
          <w:tcPr>
            <w:tcW w:w="4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Ended</w:t>
            </w:r>
          </w:p>
        </w:tc>
      </w:tr>
    </w:tbl>
    <w:p>
      <w:pPr>
        <w:sectPr>
          <w:pgSz w:w="11900" w:h="16838" w:orient="portrait"/>
          <w:cols w:equalWidth="0" w:num="2">
            <w:col w:w="6940" w:space="500"/>
            <w:col w:w="3980"/>
          </w:cols>
          <w:pgMar w:left="240" w:top="274" w:right="239" w:bottom="1440" w:gutter="0" w:footer="0" w:header="0"/>
          <w:type w:val="continuous"/>
        </w:sectPr>
      </w:pPr>
    </w:p>
    <w:bookmarkStart w:id="130" w:name="page131"/>
    <w:bookmarkEnd w:id="130"/>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10.06</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ASSIGNMENT AND ASSUMPTION</w:t>
      </w:r>
    </w:p>
    <w:p>
      <w:pPr>
        <w:spacing w:after="0" w:line="16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This Assignment and Assumption (this “</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is dated as of the Effective Date set forth below and is entered into by and between [the] [each]</w:t>
      </w:r>
      <w:r>
        <w:rPr>
          <w:rFonts w:ascii="Arial" w:cs="Arial" w:eastAsia="Arial" w:hAnsi="Arial"/>
          <w:sz w:val="10"/>
          <w:szCs w:val="10"/>
          <w:color w:val="auto"/>
        </w:rPr>
        <w:t>1</w:t>
      </w:r>
      <w:r>
        <w:rPr>
          <w:rFonts w:ascii="Arial" w:cs="Arial" w:eastAsia="Arial" w:hAnsi="Arial"/>
          <w:sz w:val="16"/>
          <w:szCs w:val="16"/>
          <w:color w:val="auto"/>
        </w:rPr>
        <w:t xml:space="preserve"> Assignor identified in item 1 below ([the][each, an] “</w:t>
      </w:r>
      <w:r>
        <w:rPr>
          <w:rFonts w:ascii="Arial" w:cs="Arial" w:eastAsia="Arial" w:hAnsi="Arial"/>
          <w:sz w:val="16"/>
          <w:szCs w:val="16"/>
          <w:u w:val="single" w:color="auto"/>
          <w:color w:val="auto"/>
        </w:rPr>
        <w:t>Assignor</w:t>
      </w:r>
      <w:r>
        <w:rPr>
          <w:rFonts w:ascii="Arial" w:cs="Arial" w:eastAsia="Arial" w:hAnsi="Arial"/>
          <w:sz w:val="16"/>
          <w:szCs w:val="16"/>
          <w:color w:val="auto"/>
        </w:rPr>
        <w:t>”) and [the][each]</w:t>
      </w:r>
      <w:r>
        <w:rPr>
          <w:rFonts w:ascii="Arial" w:cs="Arial" w:eastAsia="Arial" w:hAnsi="Arial"/>
          <w:sz w:val="10"/>
          <w:szCs w:val="10"/>
          <w:color w:val="auto"/>
        </w:rPr>
        <w:t>2</w:t>
      </w:r>
      <w:r>
        <w:rPr>
          <w:rFonts w:ascii="Arial" w:cs="Arial" w:eastAsia="Arial" w:hAnsi="Arial"/>
          <w:sz w:val="16"/>
          <w:szCs w:val="16"/>
          <w:color w:val="auto"/>
        </w:rPr>
        <w:t xml:space="preserve"> Assignee identified in item 2 below ([the][each, an] “</w:t>
      </w:r>
      <w:r>
        <w:rPr>
          <w:rFonts w:ascii="Arial" w:cs="Arial" w:eastAsia="Arial" w:hAnsi="Arial"/>
          <w:sz w:val="16"/>
          <w:szCs w:val="16"/>
          <w:u w:val="single" w:color="auto"/>
          <w:color w:val="auto"/>
        </w:rPr>
        <w:t>Assignee</w:t>
      </w:r>
      <w:r>
        <w:rPr>
          <w:rFonts w:ascii="Arial" w:cs="Arial" w:eastAsia="Arial" w:hAnsi="Arial"/>
          <w:sz w:val="16"/>
          <w:szCs w:val="16"/>
          <w:color w:val="auto"/>
        </w:rPr>
        <w:t>”). [It is understood and agreed that the rights and obligations of [the Assignors][the Assignees]</w:t>
      </w:r>
      <w:r>
        <w:rPr>
          <w:rFonts w:ascii="Arial" w:cs="Arial" w:eastAsia="Arial" w:hAnsi="Arial"/>
          <w:sz w:val="10"/>
          <w:szCs w:val="10"/>
          <w:color w:val="auto"/>
        </w:rPr>
        <w:t>3</w:t>
      </w:r>
      <w:r>
        <w:rPr>
          <w:rFonts w:ascii="Arial" w:cs="Arial" w:eastAsia="Arial" w:hAnsi="Arial"/>
          <w:sz w:val="16"/>
          <w:szCs w:val="16"/>
          <w:color w:val="auto"/>
        </w:rPr>
        <w:t xml:space="preserve"> hereunder are several and not joint.]</w:t>
      </w:r>
      <w:r>
        <w:rPr>
          <w:rFonts w:ascii="Arial" w:cs="Arial" w:eastAsia="Arial" w:hAnsi="Arial"/>
          <w:sz w:val="10"/>
          <w:szCs w:val="10"/>
          <w:color w:val="auto"/>
        </w:rPr>
        <w:t>4</w:t>
      </w:r>
      <w:r>
        <w:rPr>
          <w:rFonts w:ascii="Arial" w:cs="Arial" w:eastAsia="Arial" w:hAnsi="Arial"/>
          <w:sz w:val="16"/>
          <w:szCs w:val="16"/>
          <w:color w:val="auto"/>
        </w:rPr>
        <w:t xml:space="preserve"> Capitalized terms used but not defined herein shall have the meanings given to them in the Credit Agreement identified below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receipt of a copy of which is hereby acknowledged by [the][each] Assignee. The Standard Terms and Conditions set forth in Annex 1 attached hereto are hereby agreed to and incorporated herein by reference and made a part of this Assignment and Assumption as if set forth herein in full.</w:t>
      </w:r>
    </w:p>
    <w:p>
      <w:pPr>
        <w:spacing w:after="0" w:line="12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the Letters of Credit and the Swing Line Loans included in such facilities</w:t>
      </w:r>
      <w:r>
        <w:rPr>
          <w:rFonts w:ascii="Arial" w:cs="Arial" w:eastAsia="Arial" w:hAnsi="Arial"/>
          <w:sz w:val="10"/>
          <w:szCs w:val="10"/>
          <w:color w:val="auto"/>
        </w:rPr>
        <w:t>5</w:t>
      </w:r>
      <w:r>
        <w:rPr>
          <w:rFonts w:ascii="Arial" w:cs="Arial" w:eastAsia="Arial" w:hAnsi="Arial"/>
          <w:sz w:val="16"/>
          <w:szCs w:val="16"/>
          <w:color w:val="auto"/>
        </w:rPr>
        <w:t>)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6"/>
          <w:szCs w:val="16"/>
          <w:u w:val="single" w:color="auto"/>
          <w:color w:val="auto"/>
        </w:rPr>
        <w:t>Assigned Interest</w:t>
      </w:r>
      <w:r>
        <w:rPr>
          <w:rFonts w:ascii="Arial" w:cs="Arial" w:eastAsia="Arial" w:hAnsi="Arial"/>
          <w:sz w:val="16"/>
          <w:szCs w:val="16"/>
          <w:color w:val="auto"/>
        </w:rPr>
        <w:t>”). Each such sale and assignment is without recourse to [the][any] Assignor and, except as expressly provided in this Assignment and Assumption, without representation or warranty by [the][any] Assignor.</w:t>
      </w:r>
    </w:p>
    <w:p>
      <w:pPr>
        <w:spacing w:after="0" w:line="169" w:lineRule="exact"/>
        <w:rPr>
          <w:sz w:val="20"/>
          <w:szCs w:val="20"/>
          <w:color w:val="auto"/>
        </w:rPr>
      </w:pPr>
    </w:p>
    <w:p>
      <w:pPr>
        <w:ind w:left="180" w:hanging="172"/>
        <w:spacing w:after="0"/>
        <w:tabs>
          <w:tab w:leader="none" w:pos="18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Assignor[s]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10795</wp:posOffset>
            </wp:positionV>
            <wp:extent cx="202374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02374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234315</wp:posOffset>
            </wp:positionV>
            <wp:extent cx="202374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0237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289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ind w:right="380"/>
        <w:spacing w:after="0" w:line="250" w:lineRule="auto"/>
        <w:rPr>
          <w:sz w:val="20"/>
          <w:szCs w:val="20"/>
          <w:color w:val="auto"/>
        </w:rPr>
      </w:pPr>
      <w:r>
        <w:rPr>
          <w:rFonts w:ascii="Arial" w:cs="Arial" w:eastAsia="Arial" w:hAnsi="Arial"/>
          <w:sz w:val="18"/>
          <w:szCs w:val="18"/>
          <w:color w:val="auto"/>
        </w:rPr>
        <w:t>For bracketed language here and elsewhere in this form relating to the Assignee(s), if the assignment is to a single Assignee, choose the first bracketed language. If the assignment is to multiple Assignees, choose the second bracketed language. Select as appropriate.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Include bracketed language if there are either multiple Assignors or multiple Assignees.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Include all applicable subfacilities.</w:t>
      </w:r>
    </w:p>
    <w:p>
      <w:pPr>
        <w:sectPr>
          <w:pgSz w:w="11900" w:h="16838" w:orient="portrait"/>
          <w:cols w:equalWidth="0" w:num="2">
            <w:col w:w="60" w:space="400"/>
            <w:col w:w="10960"/>
          </w:cols>
          <w:pgMar w:left="240" w:top="274" w:right="239" w:bottom="1440" w:gutter="0" w:footer="0" w:header="0"/>
          <w:type w:val="continuous"/>
        </w:sectPr>
      </w:pPr>
    </w:p>
    <w:bookmarkStart w:id="131" w:name="page132"/>
    <w:bookmarkEnd w:id="131"/>
    <w:p>
      <w:pPr>
        <w:ind w:left="380" w:hanging="372"/>
        <w:spacing w:after="0"/>
        <w:tabs>
          <w:tab w:leader="none" w:pos="38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Assignee[s]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10795</wp:posOffset>
            </wp:positionV>
            <wp:extent cx="30359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035935" cy="8890"/>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234315</wp:posOffset>
            </wp:positionV>
            <wp:extent cx="30359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[for each Assignee, indicate [Affiliate][Approved Fund]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p>
    <w:p>
      <w:pPr>
        <w:spacing w:after="0" w:line="117" w:lineRule="exact"/>
        <w:rPr>
          <w:sz w:val="20"/>
          <w:szCs w:val="20"/>
          <w:color w:val="auto"/>
        </w:rPr>
      </w:pPr>
    </w:p>
    <w:p>
      <w:pPr>
        <w:spacing w:after="0"/>
        <w:tabs>
          <w:tab w:leader="none" w:pos="360" w:val="left"/>
          <w:tab w:leader="none" w:pos="24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u w:val="single" w:color="auto"/>
          <w:color w:val="auto"/>
        </w:rPr>
        <w:t>Borrower</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Analog Devices, Inc., a Massachusetts corporation</w:t>
      </w:r>
    </w:p>
    <w:p>
      <w:pPr>
        <w:spacing w:after="0" w:line="117" w:lineRule="exact"/>
        <w:rPr>
          <w:sz w:val="20"/>
          <w:szCs w:val="20"/>
          <w:color w:val="auto"/>
        </w:rPr>
      </w:pPr>
    </w:p>
    <w:p>
      <w:pPr>
        <w:ind w:left="380" w:hanging="372"/>
        <w:spacing w:after="0"/>
        <w:tabs>
          <w:tab w:leader="none" w:pos="38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r>
        <w:rPr>
          <w:rFonts w:ascii="Arial" w:cs="Arial" w:eastAsia="Arial" w:hAnsi="Arial"/>
          <w:sz w:val="16"/>
          <w:szCs w:val="16"/>
          <w:color w:val="auto"/>
        </w:rPr>
        <w:t>Bank of America, N.A., as the administrative agent under the Credit Agreement</w:t>
      </w:r>
    </w:p>
    <w:p>
      <w:pPr>
        <w:spacing w:after="0" w:line="117" w:lineRule="exact"/>
        <w:rPr>
          <w:rFonts w:ascii="Arial" w:cs="Arial" w:eastAsia="Arial" w:hAnsi="Arial"/>
          <w:sz w:val="18"/>
          <w:szCs w:val="18"/>
          <w:color w:val="auto"/>
        </w:rPr>
      </w:pPr>
    </w:p>
    <w:p>
      <w:pPr>
        <w:ind w:left="2420" w:hanging="2412"/>
        <w:spacing w:after="0" w:line="259" w:lineRule="auto"/>
        <w:tabs>
          <w:tab w:leader="none" w:pos="381"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Credit Agreement</w:t>
      </w:r>
      <w:r>
        <w:rPr>
          <w:rFonts w:ascii="Arial" w:cs="Arial" w:eastAsia="Arial" w:hAnsi="Arial"/>
          <w:sz w:val="18"/>
          <w:szCs w:val="18"/>
          <w:color w:val="auto"/>
        </w:rPr>
        <w:t>:Credit Agreement, dated as of December 19, 2012, among the Borrower, the Lenders from time to time party thereto, and Bank of America, N.A., as Administrative Agent, Swing Line Lender and L/C Issuer, as amended, restated, extended, supplemented or otherwise modified in writing from time to time</w:t>
      </w:r>
    </w:p>
    <w:p>
      <w:pPr>
        <w:spacing w:after="0" w:line="86" w:lineRule="exact"/>
        <w:rPr>
          <w:rFonts w:ascii="Arial" w:cs="Arial" w:eastAsia="Arial" w:hAnsi="Arial"/>
          <w:sz w:val="18"/>
          <w:szCs w:val="18"/>
          <w:color w:val="auto"/>
        </w:rPr>
      </w:pPr>
    </w:p>
    <w:p>
      <w:pPr>
        <w:ind w:left="380" w:hanging="372"/>
        <w:spacing w:after="0"/>
        <w:tabs>
          <w:tab w:leader="none" w:pos="3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Assigned Interest: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6"/>
              </w:rPr>
              <w:t>Aggregate</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Amount of</w:t>
            </w: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1"/>
              </w:rPr>
              <w:t>Commitment/</w:t>
            </w:r>
          </w:p>
        </w:tc>
        <w:tc>
          <w:tcPr>
            <w:tcW w:w="640" w:type="dxa"/>
            <w:vAlign w:val="bottom"/>
          </w:tcPr>
          <w:p>
            <w:pPr>
              <w:spacing w:after="0"/>
              <w:rPr>
                <w:sz w:val="12"/>
                <w:szCs w:val="12"/>
                <w:color w:val="auto"/>
              </w:rPr>
            </w:pPr>
          </w:p>
        </w:tc>
        <w:tc>
          <w:tcPr>
            <w:tcW w:w="138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0"/>
              </w:rPr>
              <w:t>Amount of</w:t>
            </w:r>
          </w:p>
        </w:tc>
        <w:tc>
          <w:tcPr>
            <w:tcW w:w="1360" w:type="dxa"/>
            <w:vAlign w:val="bottom"/>
            <w:gridSpan w:val="3"/>
          </w:tcPr>
          <w:p>
            <w:pPr>
              <w:jc w:val="center"/>
              <w:ind w:right="600"/>
              <w:spacing w:after="0" w:line="149" w:lineRule="exact"/>
              <w:rPr>
                <w:sz w:val="20"/>
                <w:szCs w:val="20"/>
                <w:color w:val="auto"/>
              </w:rPr>
            </w:pPr>
            <w:r>
              <w:rPr>
                <w:rFonts w:ascii="Arial" w:cs="Arial" w:eastAsia="Arial" w:hAnsi="Arial"/>
                <w:sz w:val="14"/>
                <w:szCs w:val="14"/>
                <w:color w:val="auto"/>
                <w:w w:val="83"/>
              </w:rPr>
              <w:t>Percentage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3"/>
              </w:rPr>
              <w:t>Loans</w:t>
            </w:r>
          </w:p>
        </w:tc>
        <w:tc>
          <w:tcPr>
            <w:tcW w:w="640" w:type="dxa"/>
            <w:vAlign w:val="bottom"/>
          </w:tcPr>
          <w:p>
            <w:pPr>
              <w:spacing w:after="0"/>
              <w:rPr>
                <w:sz w:val="12"/>
                <w:szCs w:val="12"/>
                <w:color w:val="auto"/>
              </w:rPr>
            </w:pPr>
          </w:p>
        </w:tc>
        <w:tc>
          <w:tcPr>
            <w:tcW w:w="138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8"/>
              </w:rPr>
              <w:t>Commitment/</w:t>
            </w:r>
          </w:p>
        </w:tc>
        <w:tc>
          <w:tcPr>
            <w:tcW w:w="1360" w:type="dxa"/>
            <w:vAlign w:val="bottom"/>
            <w:gridSpan w:val="3"/>
          </w:tcPr>
          <w:p>
            <w:pPr>
              <w:jc w:val="center"/>
              <w:ind w:right="600"/>
              <w:spacing w:after="0" w:line="149" w:lineRule="exact"/>
              <w:rPr>
                <w:sz w:val="20"/>
                <w:szCs w:val="20"/>
                <w:color w:val="auto"/>
              </w:rPr>
            </w:pPr>
            <w:r>
              <w:rPr>
                <w:rFonts w:ascii="Arial" w:cs="Arial" w:eastAsia="Arial" w:hAnsi="Arial"/>
                <w:sz w:val="14"/>
                <w:szCs w:val="14"/>
                <w:color w:val="auto"/>
                <w:w w:val="87"/>
              </w:rPr>
              <w:t>Assigned of</w:t>
            </w:r>
          </w:p>
        </w:tc>
        <w:tc>
          <w:tcPr>
            <w:tcW w:w="0" w:type="dxa"/>
            <w:vAlign w:val="bottom"/>
          </w:tcPr>
          <w:p>
            <w:pPr>
              <w:spacing w:after="0"/>
              <w:rPr>
                <w:sz w:val="1"/>
                <w:szCs w:val="1"/>
                <w:color w:val="auto"/>
              </w:rPr>
            </w:pPr>
          </w:p>
        </w:tc>
      </w:tr>
      <w:tr>
        <w:trPr>
          <w:trHeight w:val="132"/>
        </w:trPr>
        <w:tc>
          <w:tcPr>
            <w:tcW w:w="1420" w:type="dxa"/>
            <w:vAlign w:val="bottom"/>
            <w:gridSpan w:val="3"/>
            <w:vMerge w:val="restart"/>
          </w:tcPr>
          <w:p>
            <w:pPr>
              <w:ind w:left="460"/>
              <w:spacing w:after="0"/>
              <w:rPr>
                <w:sz w:val="20"/>
                <w:szCs w:val="20"/>
                <w:color w:val="auto"/>
              </w:rPr>
            </w:pPr>
            <w:r>
              <w:rPr>
                <w:rFonts w:ascii="Arial" w:cs="Arial" w:eastAsia="Arial" w:hAnsi="Arial"/>
                <w:sz w:val="14"/>
                <w:szCs w:val="14"/>
                <w:color w:val="auto"/>
              </w:rPr>
              <w:t>Assignor[s]</w:t>
            </w:r>
            <w:r>
              <w:rPr>
                <w:rFonts w:ascii="Arial" w:cs="Arial" w:eastAsia="Arial" w:hAnsi="Arial"/>
                <w:sz w:val="22"/>
                <w:szCs w:val="22"/>
                <w:color w:val="auto"/>
                <w:vertAlign w:val="superscript"/>
              </w:rPr>
              <w:t>1</w:t>
            </w:r>
          </w:p>
        </w:tc>
        <w:tc>
          <w:tcPr>
            <w:tcW w:w="4460" w:type="dxa"/>
            <w:vAlign w:val="bottom"/>
          </w:tcPr>
          <w:p>
            <w:pPr>
              <w:spacing w:after="0"/>
              <w:rPr>
                <w:sz w:val="11"/>
                <w:szCs w:val="11"/>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color w:val="auto"/>
              </w:rPr>
              <w:t>Assignee[s]</w:t>
            </w:r>
            <w:r>
              <w:rPr>
                <w:rFonts w:ascii="Arial" w:cs="Arial" w:eastAsia="Arial" w:hAnsi="Arial"/>
                <w:sz w:val="22"/>
                <w:szCs w:val="22"/>
                <w:color w:val="auto"/>
                <w:vertAlign w:val="superscript"/>
              </w:rPr>
              <w:t>2</w:t>
            </w:r>
          </w:p>
        </w:tc>
        <w:tc>
          <w:tcPr>
            <w:tcW w:w="760" w:type="dxa"/>
            <w:vAlign w:val="bottom"/>
          </w:tcPr>
          <w:p>
            <w:pPr>
              <w:jc w:val="center"/>
              <w:spacing w:after="0" w:line="133" w:lineRule="exact"/>
              <w:rPr>
                <w:sz w:val="20"/>
                <w:szCs w:val="20"/>
                <w:color w:val="auto"/>
              </w:rPr>
            </w:pPr>
            <w:r>
              <w:rPr>
                <w:rFonts w:ascii="Arial" w:cs="Arial" w:eastAsia="Arial" w:hAnsi="Arial"/>
                <w:sz w:val="14"/>
                <w:szCs w:val="14"/>
                <w:color w:val="auto"/>
                <w:w w:val="93"/>
              </w:rPr>
              <w:t>for all</w:t>
            </w:r>
          </w:p>
        </w:tc>
        <w:tc>
          <w:tcPr>
            <w:tcW w:w="640" w:type="dxa"/>
            <w:vAlign w:val="bottom"/>
          </w:tcPr>
          <w:p>
            <w:pPr>
              <w:spacing w:after="0"/>
              <w:rPr>
                <w:sz w:val="11"/>
                <w:szCs w:val="11"/>
                <w:color w:val="auto"/>
              </w:rPr>
            </w:pPr>
          </w:p>
        </w:tc>
        <w:tc>
          <w:tcPr>
            <w:tcW w:w="1380" w:type="dxa"/>
            <w:vAlign w:val="bottom"/>
            <w:gridSpan w:val="2"/>
          </w:tcPr>
          <w:p>
            <w:pPr>
              <w:jc w:val="center"/>
              <w:ind w:right="640"/>
              <w:spacing w:after="0" w:line="133" w:lineRule="exact"/>
              <w:rPr>
                <w:sz w:val="20"/>
                <w:szCs w:val="20"/>
                <w:color w:val="auto"/>
              </w:rPr>
            </w:pPr>
            <w:r>
              <w:rPr>
                <w:rFonts w:ascii="Arial" w:cs="Arial" w:eastAsia="Arial" w:hAnsi="Arial"/>
                <w:sz w:val="14"/>
                <w:szCs w:val="14"/>
                <w:color w:val="auto"/>
                <w:w w:val="89"/>
              </w:rPr>
              <w:t>Loans</w:t>
            </w:r>
          </w:p>
        </w:tc>
        <w:tc>
          <w:tcPr>
            <w:tcW w:w="1360" w:type="dxa"/>
            <w:vAlign w:val="bottom"/>
            <w:gridSpan w:val="3"/>
          </w:tcPr>
          <w:p>
            <w:pPr>
              <w:jc w:val="center"/>
              <w:ind w:right="600"/>
              <w:spacing w:after="0" w:line="133" w:lineRule="exact"/>
              <w:rPr>
                <w:sz w:val="20"/>
                <w:szCs w:val="20"/>
                <w:color w:val="auto"/>
              </w:rPr>
            </w:pPr>
            <w:r>
              <w:rPr>
                <w:rFonts w:ascii="Arial" w:cs="Arial" w:eastAsia="Arial" w:hAnsi="Arial"/>
                <w:sz w:val="14"/>
                <w:szCs w:val="14"/>
                <w:color w:val="auto"/>
                <w:w w:val="91"/>
              </w:rPr>
              <w:t>Commitment/</w:t>
            </w:r>
          </w:p>
        </w:tc>
        <w:tc>
          <w:tcPr>
            <w:tcW w:w="0" w:type="dxa"/>
            <w:vAlign w:val="bottom"/>
          </w:tcPr>
          <w:p>
            <w:pPr>
              <w:spacing w:after="0"/>
              <w:rPr>
                <w:sz w:val="1"/>
                <w:szCs w:val="1"/>
                <w:color w:val="auto"/>
              </w:rPr>
            </w:pPr>
          </w:p>
        </w:tc>
      </w:tr>
      <w:tr>
        <w:trPr>
          <w:trHeight w:val="169"/>
        </w:trPr>
        <w:tc>
          <w:tcPr>
            <w:tcW w:w="1420" w:type="dxa"/>
            <w:vAlign w:val="bottom"/>
            <w:gridSpan w:val="3"/>
            <w:vMerge w:val="continue"/>
          </w:tcPr>
          <w:p>
            <w:pPr>
              <w:spacing w:after="0"/>
              <w:rPr>
                <w:sz w:val="14"/>
                <w:szCs w:val="14"/>
                <w:color w:val="auto"/>
              </w:rPr>
            </w:pPr>
          </w:p>
        </w:tc>
        <w:tc>
          <w:tcPr>
            <w:tcW w:w="44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2"/>
                <w:szCs w:val="12"/>
                <w:color w:val="auto"/>
                <w:w w:val="95"/>
              </w:rPr>
              <w:t>Lenders</w:t>
            </w:r>
            <w:r>
              <w:rPr>
                <w:rFonts w:ascii="Arial" w:cs="Arial" w:eastAsia="Arial" w:hAnsi="Arial"/>
                <w:sz w:val="18"/>
                <w:szCs w:val="18"/>
                <w:color w:val="auto"/>
                <w:w w:val="95"/>
                <w:vertAlign w:val="superscript"/>
              </w:rPr>
              <w:t>3</w:t>
            </w:r>
          </w:p>
        </w:tc>
        <w:tc>
          <w:tcPr>
            <w:tcW w:w="640" w:type="dxa"/>
            <w:vAlign w:val="bottom"/>
          </w:tcPr>
          <w:p>
            <w:pPr>
              <w:spacing w:after="0"/>
              <w:rPr>
                <w:sz w:val="14"/>
                <w:szCs w:val="14"/>
                <w:color w:val="auto"/>
              </w:rPr>
            </w:pPr>
          </w:p>
        </w:tc>
        <w:tc>
          <w:tcPr>
            <w:tcW w:w="1380" w:type="dxa"/>
            <w:vAlign w:val="bottom"/>
            <w:gridSpan w:val="2"/>
          </w:tcPr>
          <w:p>
            <w:pPr>
              <w:jc w:val="center"/>
              <w:ind w:right="640"/>
              <w:spacing w:after="0"/>
              <w:rPr>
                <w:sz w:val="20"/>
                <w:szCs w:val="20"/>
                <w:color w:val="auto"/>
              </w:rPr>
            </w:pPr>
            <w:r>
              <w:rPr>
                <w:rFonts w:ascii="Arial" w:cs="Arial" w:eastAsia="Arial" w:hAnsi="Arial"/>
                <w:sz w:val="14"/>
                <w:szCs w:val="14"/>
                <w:color w:val="auto"/>
                <w:w w:val="86"/>
              </w:rPr>
              <w:t>Assigned</w:t>
            </w:r>
          </w:p>
        </w:tc>
        <w:tc>
          <w:tcPr>
            <w:tcW w:w="1360" w:type="dxa"/>
            <w:vAlign w:val="bottom"/>
            <w:gridSpan w:val="3"/>
          </w:tcPr>
          <w:p>
            <w:pPr>
              <w:jc w:val="center"/>
              <w:ind w:right="600"/>
              <w:spacing w:after="0" w:line="162" w:lineRule="exact"/>
              <w:rPr>
                <w:sz w:val="20"/>
                <w:szCs w:val="20"/>
                <w:color w:val="auto"/>
              </w:rPr>
            </w:pPr>
            <w:r>
              <w:rPr>
                <w:rFonts w:ascii="Arial" w:cs="Arial" w:eastAsia="Arial" w:hAnsi="Arial"/>
                <w:sz w:val="12"/>
                <w:szCs w:val="12"/>
                <w:color w:val="auto"/>
              </w:rPr>
              <w:t>Loans</w:t>
            </w:r>
            <w:r>
              <w:rPr>
                <w:rFonts w:ascii="Arial" w:cs="Arial" w:eastAsia="Arial" w:hAnsi="Arial"/>
                <w:sz w:val="18"/>
                <w:szCs w:val="18"/>
                <w:color w:val="auto"/>
                <w:vertAlign w:val="superscript"/>
              </w:rPr>
              <w:t>4</w:t>
            </w:r>
          </w:p>
        </w:tc>
        <w:tc>
          <w:tcPr>
            <w:tcW w:w="0" w:type="dxa"/>
            <w:vAlign w:val="bottom"/>
          </w:tcPr>
          <w:p>
            <w:pPr>
              <w:spacing w:after="0"/>
              <w:rPr>
                <w:sz w:val="1"/>
                <w:szCs w:val="1"/>
                <w:color w:val="auto"/>
              </w:rPr>
            </w:pPr>
          </w:p>
        </w:tc>
      </w:tr>
      <w:tr>
        <w:trPr>
          <w:trHeight w:val="95"/>
        </w:trPr>
        <w:tc>
          <w:tcPr>
            <w:tcW w:w="46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1420" w:type="dxa"/>
            <w:vAlign w:val="bottom"/>
            <w:gridSpan w:val="3"/>
          </w:tcPr>
          <w:p>
            <w:pPr>
              <w:spacing w:after="0"/>
              <w:rPr>
                <w:sz w:val="20"/>
                <w:szCs w:val="20"/>
                <w:color w:val="auto"/>
              </w:rPr>
            </w:pPr>
            <w:r>
              <w:rPr>
                <w:rFonts w:ascii="Arial" w:cs="Arial" w:eastAsia="Arial" w:hAnsi="Arial"/>
                <w:sz w:val="18"/>
                <w:szCs w:val="18"/>
                <w:color w:val="auto"/>
              </w:rPr>
              <w:t>[7.  Trade Date:</w:t>
            </w:r>
          </w:p>
        </w:tc>
        <w:tc>
          <w:tcPr>
            <w:tcW w:w="4460" w:type="dxa"/>
            <w:vAlign w:val="bottom"/>
          </w:tcPr>
          <w:p>
            <w:pPr>
              <w:jc w:val="right"/>
              <w:ind w:right="3612"/>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5</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420" w:type="dxa"/>
            <w:vAlign w:val="bottom"/>
            <w:gridSpan w:val="3"/>
          </w:tcPr>
          <w:p>
            <w:pPr>
              <w:spacing w:after="0"/>
              <w:rPr>
                <w:sz w:val="20"/>
                <w:szCs w:val="20"/>
                <w:color w:val="auto"/>
              </w:rPr>
            </w:pPr>
            <w:r>
              <w:rPr>
                <w:rFonts w:ascii="Arial" w:cs="Arial" w:eastAsia="Arial" w:hAnsi="Arial"/>
                <w:sz w:val="18"/>
                <w:szCs w:val="18"/>
                <w:color w:val="auto"/>
              </w:rPr>
              <w:t>Effective Date:</w:t>
            </w:r>
          </w:p>
        </w:tc>
        <w:tc>
          <w:tcPr>
            <w:tcW w:w="9940" w:type="dxa"/>
            <w:vAlign w:val="bottom"/>
            <w:gridSpan w:val="10"/>
          </w:tcPr>
          <w:p>
            <w:pPr>
              <w:ind w:left="220"/>
              <w:spacing w:after="0"/>
              <w:rPr>
                <w:sz w:val="20"/>
                <w:szCs w:val="20"/>
                <w:color w:val="auto"/>
              </w:rPr>
            </w:pPr>
            <w:r>
              <w:rPr>
                <w:rFonts w:ascii="Arial" w:cs="Arial" w:eastAsia="Arial" w:hAnsi="Arial"/>
                <w:sz w:val="18"/>
                <w:szCs w:val="18"/>
                <w:color w:val="auto"/>
                <w:w w:val="95"/>
              </w:rPr>
              <w:t>, 20   [TO BE INSERTED BY ADMINISTRATIVE AGENT AND WHICH SHALL BE THE EFFECTIVE DATE OF RECORDATION</w:t>
            </w:r>
          </w:p>
        </w:tc>
        <w:tc>
          <w:tcPr>
            <w:tcW w:w="0" w:type="dxa"/>
            <w:vAlign w:val="bottom"/>
          </w:tcPr>
          <w:p>
            <w:pPr>
              <w:spacing w:after="0"/>
              <w:rPr>
                <w:sz w:val="1"/>
                <w:szCs w:val="1"/>
                <w:color w:val="auto"/>
              </w:rPr>
            </w:pPr>
          </w:p>
        </w:tc>
      </w:tr>
      <w:tr>
        <w:trPr>
          <w:trHeight w:val="222"/>
        </w:trPr>
        <w:tc>
          <w:tcPr>
            <w:tcW w:w="7220" w:type="dxa"/>
            <w:vAlign w:val="bottom"/>
            <w:gridSpan w:val="6"/>
          </w:tcPr>
          <w:p>
            <w:pPr>
              <w:spacing w:after="0"/>
              <w:rPr>
                <w:sz w:val="20"/>
                <w:szCs w:val="20"/>
                <w:color w:val="auto"/>
              </w:rPr>
            </w:pPr>
            <w:r>
              <w:rPr>
                <w:rFonts w:ascii="Arial" w:cs="Arial" w:eastAsia="Arial" w:hAnsi="Arial"/>
                <w:sz w:val="18"/>
                <w:szCs w:val="18"/>
                <w:color w:val="auto"/>
              </w:rPr>
              <w:t>OF TRANSFER IN THE REGISTER THEREFOR.]</w:t>
            </w: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80"/>
          </w:cols>
          <w:pgMar w:left="240" w:top="280" w:right="27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List each Assignor, as appropriate.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List each Assignee, as appropriate.</w:t>
      </w:r>
    </w:p>
    <w:p>
      <w:pPr>
        <w:spacing w:after="0" w:line="9"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Amounts in this column and in the column immediately to the right to be adjusted by the counterparties to take into account any payments or prepayments made between the Trade Date and the Effective Date.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Set forth, to at least 9 decimals, as a percentage of the Commitment/Loans of all Lenders thereunder.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 be completed if the Assignor and the Assignee intend that the minimum assignment amount is to be determined as of the Trade Date.</w:t>
      </w:r>
    </w:p>
    <w:p>
      <w:pPr>
        <w:sectPr>
          <w:pgSz w:w="11900" w:h="16838" w:orient="portrait"/>
          <w:cols w:equalWidth="0" w:num="2">
            <w:col w:w="60" w:space="400"/>
            <w:col w:w="10920"/>
          </w:cols>
          <w:pgMar w:left="240" w:top="280" w:right="27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terms set forth in this Assignment and Assumption are hereby agreed to: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ASSIGNOR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OF ASSIGNOR]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ASSIGNEE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OF ASSIGNEE]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w:t>
      </w:r>
      <w:r>
        <w:rPr>
          <w:rFonts w:ascii="Arial" w:cs="Arial" w:eastAsia="Arial" w:hAnsi="Arial"/>
          <w:sz w:val="11"/>
          <w:szCs w:val="11"/>
          <w:color w:val="auto"/>
        </w:rPr>
        <w:t>1</w:t>
      </w:r>
      <w:r>
        <w:rPr>
          <w:rFonts w:ascii="Arial" w:cs="Arial" w:eastAsia="Arial" w:hAnsi="Arial"/>
          <w:sz w:val="18"/>
          <w:szCs w:val="18"/>
          <w:color w:val="auto"/>
        </w:rPr>
        <w:t xml:space="preserve"> Accepted: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right="1022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11"/>
          <w:szCs w:val="11"/>
          <w:color w:val="auto"/>
        </w:rPr>
        <w:t>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0"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22"/>
          <w:szCs w:val="22"/>
          <w:color w:val="auto"/>
          <w:vertAlign w:val="superscript"/>
        </w:rPr>
      </w:pPr>
      <w:r>
        <w:rPr>
          <w:rFonts w:ascii="Arial" w:cs="Arial" w:eastAsia="Arial" w:hAnsi="Arial"/>
          <w:sz w:val="18"/>
          <w:szCs w:val="18"/>
          <w:color w:val="auto"/>
        </w:rPr>
        <w:t>To be added only if the consent of the Administrative Agent is required by the terms of the Credit Agreement.</w:t>
      </w:r>
    </w:p>
    <w:p>
      <w:pPr>
        <w:spacing w:after="0" w:line="11"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9"/>
          <w:szCs w:val="19"/>
          <w:color w:val="auto"/>
          <w:vertAlign w:val="superscript"/>
        </w:rPr>
      </w:pPr>
      <w:r>
        <w:rPr>
          <w:rFonts w:ascii="Arial" w:cs="Arial" w:eastAsia="Arial" w:hAnsi="Arial"/>
          <w:sz w:val="15"/>
          <w:szCs w:val="15"/>
          <w:color w:val="auto"/>
        </w:rPr>
        <w:t>To be added only if the consent of the Borrower and/or other parties (</w:t>
      </w:r>
      <w:r>
        <w:rPr>
          <w:rFonts w:ascii="Arial" w:cs="Arial" w:eastAsia="Arial" w:hAnsi="Arial"/>
          <w:sz w:val="15"/>
          <w:szCs w:val="15"/>
          <w:u w:val="single" w:color="auto"/>
          <w:color w:val="auto"/>
        </w:rPr>
        <w:t>e.g.</w:t>
      </w:r>
      <w:r>
        <w:rPr>
          <w:rFonts w:ascii="Arial" w:cs="Arial" w:eastAsia="Arial" w:hAnsi="Arial"/>
          <w:sz w:val="15"/>
          <w:szCs w:val="15"/>
          <w:color w:val="auto"/>
        </w:rPr>
        <w:t xml:space="preserve"> Swing Line Lender, L/C Issuer) is required by the terms of the Credit Agreement.</w:t>
      </w:r>
    </w:p>
    <w:p>
      <w:pPr>
        <w:sectPr>
          <w:pgSz w:w="11900" w:h="16838" w:orient="portrait"/>
          <w:cols w:equalWidth="0" w:num="1">
            <w:col w:w="11360"/>
          </w:cols>
          <w:pgMar w:left="240" w:top="280" w:right="29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 TO ASSIGNMENT AND ASSUMPTION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TERMS AND CONDITIONS FOR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w:t>
      </w:r>
    </w:p>
    <w:p>
      <w:pPr>
        <w:spacing w:after="0" w:line="177" w:lineRule="exact"/>
        <w:rPr>
          <w:sz w:val="20"/>
          <w:szCs w:val="20"/>
          <w:color w:val="auto"/>
        </w:rPr>
      </w:pPr>
    </w:p>
    <w:p>
      <w:pPr>
        <w:ind w:left="180" w:hanging="172"/>
        <w:spacing w:after="0"/>
        <w:tabs>
          <w:tab w:leader="none" w:pos="18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71"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[The][Each] Assignor (a) represents and warrants that (i) it is the legal and beneficial owner of [the][[the relevant] Assigned Interest, (ii) [the] [such]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18" w:lineRule="exact"/>
        <w:rPr>
          <w:sz w:val="20"/>
          <w:szCs w:val="20"/>
          <w:color w:val="auto"/>
        </w:rPr>
      </w:pPr>
    </w:p>
    <w:p>
      <w:pPr>
        <w:jc w:val="both"/>
        <w:ind w:right="140"/>
        <w:spacing w:after="0" w:line="303"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Assignee</w:t>
      </w:r>
      <w:r>
        <w:rPr>
          <w:rFonts w:ascii="Arial" w:cs="Arial" w:eastAsia="Arial" w:hAnsi="Arial"/>
          <w:sz w:val="15"/>
          <w:szCs w:val="15"/>
          <w:color w:val="auto"/>
        </w:rPr>
        <w:t>.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Eligible Assignee under the Credit Agreement (subject to such consents, if any, as may be required under the Credit Agreement),</w:t>
      </w:r>
    </w:p>
    <w:p>
      <w:pPr>
        <w:spacing w:after="0" w:line="1" w:lineRule="exact"/>
        <w:rPr>
          <w:sz w:val="20"/>
          <w:szCs w:val="20"/>
          <w:color w:val="auto"/>
        </w:rPr>
      </w:pPr>
    </w:p>
    <w:p>
      <w:pPr>
        <w:ind w:right="20" w:firstLine="8"/>
        <w:spacing w:after="0" w:line="285" w:lineRule="auto"/>
        <w:tabs>
          <w:tab w:leader="none" w:pos="30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Section 6.01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a Foreign Lender, attached hereto is any documentation required to be delivered by it pursuant to the terms of the Credit Agreement, duly completed and executed by [the][such] Assignee; and (b) agrees that (i) it will, independently and without reliance upon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25" w:lineRule="exact"/>
        <w:rPr>
          <w:sz w:val="20"/>
          <w:szCs w:val="20"/>
          <w:color w:val="auto"/>
        </w:rPr>
      </w:pPr>
    </w:p>
    <w:p>
      <w:pPr>
        <w:ind w:right="20" w:firstLine="8"/>
        <w:spacing w:after="0" w:line="259" w:lineRule="auto"/>
        <w:tabs>
          <w:tab w:leader="none" w:pos="176"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w:t>
      </w:r>
    </w:p>
    <w:p>
      <w:pPr>
        <w:spacing w:after="0" w:line="140" w:lineRule="exact"/>
        <w:rPr>
          <w:rFonts w:ascii="Arial" w:cs="Arial" w:eastAsia="Arial" w:hAnsi="Arial"/>
          <w:sz w:val="18"/>
          <w:szCs w:val="18"/>
          <w:color w:val="auto"/>
        </w:rPr>
      </w:pPr>
    </w:p>
    <w:p>
      <w:pPr>
        <w:ind w:right="100" w:firstLine="8"/>
        <w:spacing w:after="0" w:line="298" w:lineRule="auto"/>
        <w:tabs>
          <w:tab w:leader="none" w:pos="176"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General Provisions</w:t>
      </w:r>
      <w:r>
        <w:rPr>
          <w:rFonts w:ascii="Arial" w:cs="Arial" w:eastAsia="Arial" w:hAnsi="Arial"/>
          <w:sz w:val="16"/>
          <w:szCs w:val="16"/>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32234B"/>
    <w:multiLevelType w:val="hybridMultilevel"/>
    <w:lvl w:ilvl="0">
      <w:lvlJc w:val="left"/>
      <w:lvlText w:val="☐"/>
      <w:numFmt w:val="bullet"/>
      <w:start w:val="1"/>
    </w:lvl>
  </w:abstractNum>
  <w:abstractNum w:abstractNumId="1">
    <w:nsid w:val="3B0FD379"/>
    <w:multiLevelType w:val="hybridMultilevel"/>
    <w:lvl w:ilvl="0">
      <w:lvlJc w:val="left"/>
      <w:lvlText w:val="(%1)"/>
      <w:numFmt w:val="lowerLetter"/>
      <w:start w:val="4"/>
    </w:lvl>
  </w:abstractNum>
  <w:abstractNum w:abstractNumId="2">
    <w:nsid w:val="68EB2F63"/>
    <w:multiLevelType w:val="hybridMultilevel"/>
    <w:lvl w:ilvl="0">
      <w:lvlJc w:val="left"/>
      <w:lvlText w:val="(%1)"/>
      <w:numFmt w:val="lowerLetter"/>
      <w:start w:val="1"/>
    </w:lvl>
  </w:abstractNum>
  <w:abstractNum w:abstractNumId="3">
    <w:nsid w:val="4962813B"/>
    <w:multiLevelType w:val="hybridMultilevel"/>
    <w:lvl w:ilvl="0">
      <w:lvlJc w:val="left"/>
      <w:lvlText w:val="(%1)"/>
      <w:numFmt w:val="decimal"/>
      <w:start w:val="2"/>
    </w:lvl>
  </w:abstractNum>
  <w:abstractNum w:abstractNumId="4">
    <w:nsid w:val="60B6DF70"/>
    <w:multiLevelType w:val="hybridMultilevel"/>
    <w:lvl w:ilvl="0">
      <w:lvlJc w:val="left"/>
      <w:lvlText w:val="(%1)"/>
      <w:numFmt w:val="lowerLetter"/>
      <w:start w:val="2"/>
    </w:lvl>
  </w:abstractNum>
  <w:abstractNum w:abstractNumId="5">
    <w:nsid w:val="6A5EE64"/>
    <w:multiLevelType w:val="hybridMultilevel"/>
    <w:lvl w:ilvl="0">
      <w:lvlJc w:val="left"/>
      <w:lvlText w:val="(%1)"/>
      <w:numFmt w:val="lowerLetter"/>
      <w:start w:val="5"/>
    </w:lvl>
  </w:abstractNum>
  <w:abstractNum w:abstractNumId="6">
    <w:nsid w:val="14330624"/>
    <w:multiLevelType w:val="hybridMultilevel"/>
    <w:lvl w:ilvl="0">
      <w:lvlJc w:val="left"/>
      <w:lvlText w:val="(%1)"/>
      <w:numFmt w:val="lowerLetter"/>
      <w:start w:val="1"/>
    </w:lvl>
  </w:abstractNum>
  <w:abstractNum w:abstractNumId="7">
    <w:nsid w:val="7FFFCA11"/>
    <w:multiLevelType w:val="hybridMultilevel"/>
    <w:lvl w:ilvl="0">
      <w:lvlJc w:val="left"/>
      <w:lvlText w:val="(%1)"/>
      <w:numFmt w:val="lowerLetter"/>
      <w:start w:val="1"/>
    </w:lvl>
  </w:abstractNum>
  <w:abstractNum w:abstractNumId="8">
    <w:nsid w:val="1A27709E"/>
    <w:multiLevelType w:val="hybridMultilevel"/>
    <w:lvl w:ilvl="0">
      <w:lvlJc w:val="left"/>
      <w:lvlText w:val="(%1)"/>
      <w:numFmt w:val="lowerLetter"/>
      <w:start w:val="2"/>
    </w:lvl>
  </w:abstractNum>
  <w:abstractNum w:abstractNumId="9">
    <w:nsid w:val="71EA1109"/>
    <w:multiLevelType w:val="hybridMultilevel"/>
    <w:lvl w:ilvl="0">
      <w:lvlJc w:val="left"/>
      <w:lvlText w:val="(%1)"/>
      <w:numFmt w:val="lowerRoman"/>
      <w:start w:val="1"/>
    </w:lvl>
  </w:abstractNum>
  <w:abstractNum w:abstractNumId="10">
    <w:nsid w:val="100F59DC"/>
    <w:multiLevelType w:val="hybridMultilevel"/>
    <w:lvl w:ilvl="0">
      <w:lvlJc w:val="left"/>
      <w:lvlText w:val="(%1)"/>
      <w:numFmt w:val="lowerLetter"/>
      <w:start w:val="2"/>
    </w:lvl>
  </w:abstractNum>
  <w:abstractNum w:abstractNumId="11">
    <w:nsid w:val="7FB7E0AA"/>
    <w:multiLevelType w:val="hybridMultilevel"/>
    <w:lvl w:ilvl="0">
      <w:lvlJc w:val="left"/>
      <w:lvlText w:val="(%1)"/>
      <w:numFmt w:val="lowerLetter"/>
      <w:start w:val="1"/>
    </w:lvl>
  </w:abstractNum>
  <w:abstractNum w:abstractNumId="12">
    <w:nsid w:val="6EB5BD4"/>
    <w:multiLevelType w:val="hybridMultilevel"/>
    <w:lvl w:ilvl="0">
      <w:lvlJc w:val="left"/>
      <w:lvlText w:val="(%1)"/>
      <w:numFmt w:val="lowerLetter"/>
      <w:start w:val="2"/>
    </w:lvl>
  </w:abstractNum>
  <w:abstractNum w:abstractNumId="13">
    <w:nsid w:val="6F6DD9AC"/>
    <w:multiLevelType w:val="hybridMultilevel"/>
    <w:lvl w:ilvl="0">
      <w:lvlJc w:val="left"/>
      <w:lvlText w:val="(%1)"/>
      <w:numFmt w:val="lowerLetter"/>
      <w:start w:val="1"/>
    </w:lvl>
  </w:abstractNum>
  <w:abstractNum w:abstractNumId="14">
    <w:nsid w:val="94211F2"/>
    <w:multiLevelType w:val="hybridMultilevel"/>
    <w:lvl w:ilvl="0">
      <w:lvlJc w:val="left"/>
      <w:lvlText w:val="(%1)"/>
      <w:numFmt w:val="lowerLetter"/>
      <w:start w:val="1"/>
    </w:lvl>
  </w:abstractNum>
  <w:abstractNum w:abstractNumId="15">
    <w:nsid w:val="885E1B"/>
    <w:multiLevelType w:val="hybridMultilevel"/>
    <w:lvl w:ilvl="0">
      <w:lvlJc w:val="left"/>
      <w:lvlText w:val="(%1)"/>
      <w:numFmt w:val="lowerLetter"/>
      <w:start w:val="2"/>
    </w:lvl>
  </w:abstractNum>
  <w:abstractNum w:abstractNumId="16">
    <w:nsid w:val="76272110"/>
    <w:multiLevelType w:val="hybridMultilevel"/>
    <w:lvl w:ilvl="0">
      <w:lvlJc w:val="left"/>
      <w:lvlText w:val="(%1)"/>
      <w:numFmt w:val="lowerLetter"/>
      <w:start w:val="5"/>
    </w:lvl>
  </w:abstractNum>
  <w:abstractNum w:abstractNumId="17">
    <w:nsid w:val="4C04A8A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
    <w:nsid w:val="1716703B"/>
    <w:multiLevelType w:val="hybridMultilevel"/>
    <w:lvl w:ilvl="0">
      <w:lvlJc w:val="left"/>
      <w:lvlText w:val="(%1)"/>
      <w:numFmt w:val="lowerLetter"/>
      <w:start w:val="24"/>
    </w:lvl>
    <w:lvl w:ilvl="1">
      <w:lvlJc w:val="left"/>
      <w:lvlText w:val="(%2)"/>
      <w:numFmt w:val="lowerRoman"/>
      <w:start w:val="2"/>
    </w:lvl>
    <w:lvl w:ilvl="2">
      <w:lvlJc w:val="left"/>
      <w:lvlText w:val="(%3)"/>
      <w:numFmt w:val="upperLetter"/>
      <w:start w:val="1"/>
    </w:lvl>
  </w:abstractNum>
  <w:abstractNum w:abstractNumId="19">
    <w:nsid w:val="14E17E3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0">
    <w:nsid w:val="3222E7CD"/>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1">
    <w:nsid w:val="74DE0EE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2">
    <w:nsid w:val="68EBC550"/>
    <w:multiLevelType w:val="hybridMultilevel"/>
    <w:lvl w:ilvl="0">
      <w:lvlJc w:val="left"/>
      <w:lvlText w:val="(%1)"/>
      <w:numFmt w:val="upperLetter"/>
      <w:start w:val="1"/>
    </w:lvl>
    <w:lvl w:ilvl="1">
      <w:lvlJc w:val="left"/>
      <w:lvlText w:val="(%2)"/>
      <w:numFmt w:val="lowerRoman"/>
      <w:start w:val="2"/>
    </w:lvl>
  </w:abstractNum>
  <w:abstractNum w:abstractNumId="23">
    <w:nsid w:val="2DF6D648"/>
    <w:multiLevelType w:val="hybridMultilevel"/>
    <w:lvl w:ilvl="0">
      <w:lvlJc w:val="left"/>
      <w:lvlText w:val="%1"/>
      <w:numFmt w:val="lowerLetter"/>
      <w:start w:val="1"/>
    </w:lvl>
    <w:lvl w:ilvl="1">
      <w:lvlJc w:val="left"/>
      <w:lvlText w:val="(%2)"/>
      <w:numFmt w:val="lowerRoman"/>
      <w:start w:val="4"/>
    </w:lvl>
  </w:abstractNum>
  <w:abstractNum w:abstractNumId="24">
    <w:nsid w:val="46B7D447"/>
    <w:multiLevelType w:val="hybridMultilevel"/>
    <w:lvl w:ilvl="0">
      <w:lvlJc w:val="left"/>
      <w:lvlText w:val="(%1)"/>
      <w:numFmt w:val="lowerLetter"/>
      <w:start w:val="3"/>
    </w:lvl>
    <w:lvl w:ilvl="1">
      <w:lvlJc w:val="left"/>
      <w:lvlText w:val="(%2)"/>
      <w:numFmt w:val="lowerRoman"/>
      <w:start w:val="1"/>
    </w:lvl>
  </w:abstractNum>
  <w:abstractNum w:abstractNumId="25">
    <w:nsid w:val="4A2AC315"/>
    <w:multiLevelType w:val="hybridMultilevel"/>
    <w:lvl w:ilvl="0">
      <w:lvlJc w:val="left"/>
      <w:lvlText w:val="%1"/>
      <w:numFmt w:val="lowerLetter"/>
      <w:start w:val="1"/>
    </w:lvl>
    <w:lvl w:ilvl="1">
      <w:lvlJc w:val="left"/>
      <w:lvlText w:val="(%2)"/>
      <w:numFmt w:val="lowerRoman"/>
      <w:start w:val="4"/>
    </w:lvl>
  </w:abstractNum>
  <w:abstractNum w:abstractNumId="26">
    <w:nsid w:val="39EE015C"/>
    <w:multiLevelType w:val="hybridMultilevel"/>
    <w:lvl w:ilvl="0">
      <w:lvlJc w:val="left"/>
      <w:lvlText w:val="(%1)"/>
      <w:numFmt w:val="lowerLetter"/>
      <w:start w:val="4"/>
    </w:lvl>
    <w:lvl w:ilvl="1">
      <w:lvlJc w:val="left"/>
      <w:lvlText w:val="(%2)"/>
      <w:numFmt w:val="lowerRoman"/>
      <w:start w:val="1"/>
    </w:lvl>
  </w:abstractNum>
  <w:abstractNum w:abstractNumId="27">
    <w:nsid w:val="57FC4FBB"/>
    <w:multiLevelType w:val="hybridMultilevel"/>
    <w:lvl w:ilvl="0">
      <w:lvlJc w:val="left"/>
      <w:lvlText w:val="(%1)"/>
      <w:numFmt w:val="lowerLetter"/>
      <w:start w:val="5"/>
    </w:lvl>
    <w:lvl w:ilvl="1">
      <w:lvlJc w:val="left"/>
      <w:lvlText w:val="(%2)"/>
      <w:numFmt w:val="lowerRoman"/>
      <w:start w:val="1"/>
    </w:lvl>
  </w:abstractNum>
  <w:abstractNum w:abstractNumId="28">
    <w:nsid w:val="CC1016F"/>
    <w:multiLevelType w:val="hybridMultilevel"/>
    <w:lvl w:ilvl="0">
      <w:lvlJc w:val="left"/>
      <w:lvlText w:val="%1"/>
      <w:numFmt w:val="lowerLetter"/>
      <w:start w:val="1"/>
    </w:lvl>
    <w:lvl w:ilvl="1">
      <w:lvlJc w:val="left"/>
      <w:lvlText w:val="(%2)"/>
      <w:numFmt w:val="lowerLetter"/>
      <w:start w:val="6"/>
    </w:lvl>
  </w:abstractNum>
  <w:abstractNum w:abstractNumId="29">
    <w:nsid w:val="43F18422"/>
    <w:multiLevelType w:val="hybridMultilevel"/>
    <w:lvl w:ilvl="0">
      <w:lvlJc w:val="left"/>
      <w:lvlText w:val="(%1)"/>
      <w:numFmt w:val="lowerLetter"/>
      <w:start w:val="9"/>
    </w:lvl>
    <w:lvl w:ilvl="1">
      <w:lvlJc w:val="left"/>
      <w:lvlText w:val="(%2)"/>
      <w:numFmt w:val="lowerLetter"/>
      <w:start w:val="7"/>
    </w:lvl>
  </w:abstractNum>
  <w:abstractNum w:abstractNumId="30">
    <w:nsid w:val="60EF0119"/>
    <w:multiLevelType w:val="hybridMultilevel"/>
    <w:lvl w:ilvl="0">
      <w:lvlJc w:val="left"/>
      <w:lvlText w:val="(%1)"/>
      <w:numFmt w:val="lowerLetter"/>
      <w:start w:val="9"/>
    </w:lvl>
  </w:abstractNum>
  <w:abstractNum w:abstractNumId="31">
    <w:nsid w:val="26F324BA"/>
    <w:multiLevelType w:val="hybridMultilevel"/>
    <w:lvl w:ilvl="0">
      <w:lvlJc w:val="left"/>
      <w:lvlText w:val="(%1)"/>
      <w:numFmt w:val="lowerLetter"/>
      <w:start w:val="1"/>
    </w:lvl>
  </w:abstractNum>
  <w:abstractNum w:abstractNumId="32">
    <w:nsid w:val="7F01579B"/>
    <w:multiLevelType w:val="hybridMultilevel"/>
    <w:lvl w:ilvl="0">
      <w:lvlJc w:val="left"/>
      <w:lvlText w:val="(%1)"/>
      <w:numFmt w:val="lowerLetter"/>
      <w:start w:val="2"/>
    </w:lvl>
    <w:lvl w:ilvl="1">
      <w:lvlJc w:val="left"/>
      <w:lvlText w:val="(%2)"/>
      <w:numFmt w:val="lowerLetter"/>
      <w:start w:val="9"/>
    </w:lvl>
  </w:abstractNum>
  <w:abstractNum w:abstractNumId="33">
    <w:nsid w:val="49DA307D"/>
    <w:multiLevelType w:val="hybridMultilevel"/>
    <w:lvl w:ilvl="0">
      <w:lvlJc w:val="left"/>
      <w:lvlText w:val="(%1)"/>
      <w:numFmt w:val="lowerRoman"/>
      <w:start w:val="2"/>
    </w:lvl>
  </w:abstractNum>
  <w:abstractNum w:abstractNumId="34">
    <w:nsid w:val="7055A5F5"/>
    <w:multiLevelType w:val="hybridMultilevel"/>
    <w:lvl w:ilvl="0">
      <w:lvlJc w:val="left"/>
      <w:lvlText w:val="(%1)"/>
      <w:numFmt w:val="lowerLetter"/>
      <w:start w:val="4"/>
    </w:lvl>
    <w:lvl w:ilvl="1">
      <w:lvlJc w:val="left"/>
      <w:lvlText w:val="(%2)"/>
      <w:numFmt w:val="lowerRoman"/>
      <w:start w:val="1"/>
    </w:lvl>
  </w:abstractNum>
  <w:abstractNum w:abstractNumId="35">
    <w:nsid w:val="5FB8370B"/>
    <w:multiLevelType w:val="hybridMultilevel"/>
    <w:lvl w:ilvl="0">
      <w:lvlJc w:val="left"/>
      <w:lvlText w:val="(%1)"/>
      <w:numFmt w:val="lowerLetter"/>
      <w:start w:val="5"/>
    </w:lvl>
  </w:abstractNum>
  <w:abstractNum w:abstractNumId="36">
    <w:nsid w:val="50801EE1"/>
    <w:multiLevelType w:val="hybridMultilevel"/>
    <w:lvl w:ilvl="0">
      <w:lvlJc w:val="left"/>
      <w:lvlText w:val="(%1)"/>
      <w:numFmt w:val="lowerLetter"/>
      <w:start w:val="1"/>
    </w:lvl>
  </w:abstractNum>
  <w:abstractNum w:abstractNumId="37">
    <w:nsid w:val="488AC1A"/>
    <w:multiLevelType w:val="hybridMultilevel"/>
    <w:lvl w:ilvl="0">
      <w:lvlJc w:val="left"/>
      <w:lvlText w:val="(%1)"/>
      <w:numFmt w:val="lowerLetter"/>
      <w:start w:val="1"/>
    </w:lvl>
  </w:abstractNum>
  <w:abstractNum w:abstractNumId="38">
    <w:nsid w:val="5FB8011C"/>
    <w:multiLevelType w:val="hybridMultilevel"/>
    <w:lvl w:ilvl="0">
      <w:lvlJc w:val="left"/>
      <w:lvlText w:val="(%1)"/>
      <w:numFmt w:val="lowerLetter"/>
      <w:start w:val="1"/>
    </w:lvl>
    <w:lvl w:ilvl="1">
      <w:lvlJc w:val="left"/>
      <w:lvlText w:val="(%2)"/>
      <w:numFmt w:val="lowerLetter"/>
      <w:start w:val="35"/>
    </w:lvl>
  </w:abstractNum>
  <w:abstractNum w:abstractNumId="39">
    <w:nsid w:val="6AA78F7F"/>
    <w:multiLevelType w:val="hybridMultilevel"/>
    <w:lvl w:ilvl="0">
      <w:lvlJc w:val="left"/>
      <w:lvlText w:val="%1"/>
      <w:numFmt w:val="lowerLetter"/>
      <w:start w:val="1"/>
    </w:lvl>
    <w:lvl w:ilvl="1">
      <w:lvlJc w:val="left"/>
      <w:lvlText w:val="(%2)"/>
      <w:numFmt w:val="lowerRoman"/>
      <w:start w:val="3"/>
    </w:lvl>
  </w:abstractNum>
  <w:abstractNum w:abstractNumId="40">
    <w:nsid w:val="7672BD23"/>
    <w:multiLevelType w:val="hybridMultilevel"/>
    <w:lvl w:ilvl="0">
      <w:lvlJc w:val="left"/>
      <w:lvlText w:val="(%1)"/>
      <w:numFmt w:val="lowerLetter"/>
      <w:start w:val="3"/>
    </w:lvl>
    <w:lvl w:ilvl="1">
      <w:lvlJc w:val="left"/>
      <w:lvlText w:val="%2"/>
      <w:numFmt w:val="lowerRoman"/>
      <w:start w:val="1"/>
    </w:lvl>
  </w:abstractNum>
  <w:abstractNum w:abstractNumId="41">
    <w:nsid w:val="6FC75AF8"/>
    <w:multiLevelType w:val="hybridMultilevel"/>
    <w:lvl w:ilvl="0">
      <w:lvlJc w:val="left"/>
      <w:lvlText w:val="(%1)"/>
      <w:numFmt w:val="lowerLetter"/>
      <w:start w:val="1"/>
    </w:lvl>
    <w:lvl w:ilvl="1">
      <w:lvlJc w:val="left"/>
      <w:lvlText w:val="(%2)"/>
      <w:numFmt w:val="lowerRoman"/>
      <w:start w:val="1"/>
    </w:lvl>
  </w:abstractNum>
  <w:abstractNum w:abstractNumId="42">
    <w:nsid w:val="6A5F7029"/>
    <w:multiLevelType w:val="hybridMultilevel"/>
    <w:lvl w:ilvl="0">
      <w:lvlJc w:val="left"/>
      <w:lvlText w:val="(%1)"/>
      <w:numFmt w:val="lowerLetter"/>
      <w:start w:val="1"/>
    </w:lvl>
  </w:abstractNum>
  <w:abstractNum w:abstractNumId="43">
    <w:nsid w:val="7D5E18F8"/>
    <w:multiLevelType w:val="hybridMultilevel"/>
    <w:lvl w:ilvl="0">
      <w:lvlJc w:val="left"/>
      <w:lvlText w:val="(%1)"/>
      <w:numFmt w:val="lowerLetter"/>
      <w:start w:val="1"/>
    </w:lvl>
  </w:abstractNum>
  <w:abstractNum w:abstractNumId="44">
    <w:nsid w:val="5F3534A4"/>
    <w:multiLevelType w:val="hybridMultilevel"/>
    <w:lvl w:ilvl="0">
      <w:lvlJc w:val="left"/>
      <w:lvlText w:val="(%1)"/>
      <w:numFmt w:val="lowerRoman"/>
      <w:start w:val="2"/>
    </w:lvl>
  </w:abstractNum>
  <w:abstractNum w:abstractNumId="45">
    <w:nsid w:val="73A1821B"/>
    <w:multiLevelType w:val="hybridMultilevel"/>
    <w:lvl w:ilvl="0">
      <w:lvlJc w:val="left"/>
      <w:lvlText w:val="(%1)"/>
      <w:numFmt w:val="lowerLetter"/>
      <w:start w:val="3"/>
    </w:lvl>
  </w:abstractNum>
  <w:abstractNum w:abstractNumId="46">
    <w:nsid w:val="7DE67713"/>
    <w:multiLevelType w:val="hybridMultilevel"/>
    <w:lvl w:ilvl="0">
      <w:lvlJc w:val="left"/>
      <w:lvlText w:val="(%1)"/>
      <w:numFmt w:val="lowerLetter"/>
      <w:start w:val="5"/>
    </w:lvl>
  </w:abstractNum>
  <w:abstractNum w:abstractNumId="47">
    <w:nsid w:val="555C55B5"/>
    <w:multiLevelType w:val="hybridMultilevel"/>
    <w:lvl w:ilvl="0">
      <w:lvlJc w:val="left"/>
      <w:lvlText w:val="(%1)"/>
      <w:numFmt w:val="lowerLetter"/>
      <w:start w:val="1"/>
    </w:lvl>
    <w:lvl w:ilvl="1">
      <w:lvlJc w:val="left"/>
      <w:lvlText w:val="(%2)"/>
      <w:numFmt w:val="lowerRoman"/>
      <w:start w:val="1"/>
    </w:lvl>
  </w:abstractNum>
  <w:abstractNum w:abstractNumId="48">
    <w:nsid w:val="3FA62ACA"/>
    <w:multiLevelType w:val="hybridMultilevel"/>
    <w:lvl w:ilvl="0">
      <w:lvlJc w:val="left"/>
      <w:lvlText w:val="(%1)"/>
      <w:numFmt w:val="lowerLetter"/>
      <w:start w:val="1"/>
    </w:lvl>
  </w:abstractNum>
  <w:abstractNum w:abstractNumId="49">
    <w:nsid w:val="14FCE74E"/>
    <w:multiLevelType w:val="hybridMultilevel"/>
    <w:lvl w:ilvl="0">
      <w:lvlJc w:val="left"/>
      <w:lvlText w:val="%1"/>
      <w:numFmt w:val="lowerLetter"/>
      <w:start w:val="1"/>
    </w:lvl>
    <w:lvl w:ilvl="1">
      <w:lvlJc w:val="left"/>
      <w:lvlText w:val="(%2)"/>
      <w:numFmt w:val="lowerLetter"/>
      <w:start w:val="3"/>
    </w:lvl>
  </w:abstractNum>
  <w:abstractNum w:abstractNumId="50">
    <w:nsid w:val="6A3DD3E8"/>
    <w:multiLevelType w:val="hybridMultilevel"/>
    <w:lvl w:ilvl="0">
      <w:lvlJc w:val="left"/>
      <w:lvlText w:val="(%1)"/>
      <w:numFmt w:val="lowerLetter"/>
      <w:start w:val="1"/>
    </w:lvl>
    <w:lvl w:ilvl="1">
      <w:lvlJc w:val="left"/>
      <w:lvlText w:val="(%2)"/>
      <w:numFmt w:val="lowerLetter"/>
      <w:start w:val="7"/>
    </w:lvl>
  </w:abstractNum>
  <w:abstractNum w:abstractNumId="51">
    <w:nsid w:val="71C91298"/>
    <w:multiLevelType w:val="hybridMultilevel"/>
    <w:lvl w:ilvl="0">
      <w:lvlJc w:val="left"/>
      <w:lvlText w:val="(%1)"/>
      <w:numFmt w:val="lowerLetter"/>
      <w:start w:val="1"/>
    </w:lvl>
  </w:abstractNum>
  <w:abstractNum w:abstractNumId="52">
    <w:nsid w:val="9DAF632"/>
    <w:multiLevelType w:val="hybridMultilevel"/>
    <w:lvl w:ilvl="0">
      <w:lvlJc w:val="left"/>
      <w:lvlText w:val="(%1)"/>
      <w:numFmt w:val="lowerRoman"/>
      <w:start w:val="1"/>
    </w:lvl>
  </w:abstractNum>
  <w:abstractNum w:abstractNumId="53">
    <w:nsid w:val="53299938"/>
    <w:multiLevelType w:val="hybridMultilevel"/>
    <w:lvl w:ilvl="0">
      <w:lvlJc w:val="left"/>
      <w:lvlText w:val="%1"/>
      <w:numFmt w:val="lowerLetter"/>
      <w:start w:val="1"/>
    </w:lvl>
    <w:lvl w:ilvl="1">
      <w:lvlJc w:val="left"/>
      <w:lvlText w:val="(%2)"/>
      <w:numFmt w:val="lowerRoman"/>
      <w:start w:val="5"/>
    </w:lvl>
  </w:abstractNum>
  <w:abstractNum w:abstractNumId="54">
    <w:nsid w:val="1FBFE8E0"/>
    <w:multiLevelType w:val="hybridMultilevel"/>
    <w:lvl w:ilvl="0">
      <w:lvlJc w:val="left"/>
      <w:lvlText w:val="(%1)"/>
      <w:numFmt w:val="lowerLetter"/>
      <w:start w:val="6"/>
    </w:lvl>
    <w:lvl w:ilvl="1">
      <w:lvlJc w:val="left"/>
      <w:lvlText w:val="%2"/>
      <w:numFmt w:val="lowerRoman"/>
      <w:start w:val="1"/>
    </w:lvl>
  </w:abstractNum>
  <w:abstractNum w:abstractNumId="55">
    <w:nsid w:val="5092CA79"/>
    <w:multiLevelType w:val="hybridMultilevel"/>
    <w:lvl w:ilvl="0">
      <w:lvlJc w:val="left"/>
      <w:lvlText w:val="(%1)"/>
      <w:numFmt w:val="lowerLetter"/>
      <w:start w:val="1"/>
    </w:lvl>
  </w:abstractNum>
  <w:abstractNum w:abstractNumId="56">
    <w:nsid w:val="1D545C4D"/>
    <w:multiLevelType w:val="hybridMultilevel"/>
    <w:lvl w:ilvl="0">
      <w:lvlJc w:val="left"/>
      <w:lvlText w:val="(%1)"/>
      <w:numFmt w:val="lowerLetter"/>
      <w:start w:val="4"/>
    </w:lvl>
  </w:abstractNum>
  <w:abstractNum w:abstractNumId="57">
    <w:nsid w:val="59ADEA3D"/>
    <w:multiLevelType w:val="hybridMultilevel"/>
    <w:lvl w:ilvl="0">
      <w:lvlJc w:val="left"/>
      <w:lvlText w:val="(%1)"/>
      <w:numFmt w:val="lowerLetter"/>
      <w:start w:val="1"/>
    </w:lvl>
    <w:lvl w:ilvl="1">
      <w:lvlJc w:val="left"/>
      <w:lvlText w:val="(%2)"/>
      <w:numFmt w:val="lowerRoman"/>
      <w:start w:val="1"/>
    </w:lvl>
  </w:abstractNum>
  <w:abstractNum w:abstractNumId="58">
    <w:nsid w:val="288F1A34"/>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abstractNum>
  <w:abstractNum w:abstractNumId="59">
    <w:nsid w:val="2A155DBC"/>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
    </w:lvl>
  </w:abstractNum>
  <w:abstractNum w:abstractNumId="60">
    <w:nsid w:val="1D9F6E5F"/>
    <w:multiLevelType w:val="hybridMultilevel"/>
    <w:lvl w:ilvl="0">
      <w:lvlJc w:val="left"/>
      <w:lvlText w:val="(%1)"/>
      <w:numFmt w:val="lowerRoman"/>
      <w:start w:val="4"/>
    </w:lvl>
    <w:lvl w:ilvl="1">
      <w:lvlJc w:val="left"/>
      <w:lvlText w:val="%2"/>
      <w:numFmt w:val="decimal"/>
      <w:start w:val="1"/>
    </w:lvl>
    <w:lvl w:ilvl="2">
      <w:lvlJc w:val="left"/>
      <w:lvlText w:val="%3"/>
      <w:numFmt w:val="upperLetter"/>
      <w:start w:val="1"/>
    </w:lvl>
  </w:abstractNum>
  <w:abstractNum w:abstractNumId="61">
    <w:nsid w:val="97E1B4E"/>
    <w:multiLevelType w:val="hybridMultilevel"/>
    <w:lvl w:ilvl="0">
      <w:lvlJc w:val="left"/>
      <w:lvlText w:val="%1"/>
      <w:numFmt w:val="lowerLetter"/>
      <w:start w:val="1"/>
    </w:lvl>
    <w:lvl w:ilvl="1">
      <w:lvlJc w:val="left"/>
      <w:lvlText w:val="(%2)"/>
      <w:numFmt w:val="lowerLetter"/>
      <w:start w:val="22"/>
    </w:lvl>
  </w:abstractNum>
  <w:abstractNum w:abstractNumId="62">
    <w:nsid w:val="51088277"/>
    <w:multiLevelType w:val="hybridMultilevel"/>
    <w:lvl w:ilvl="0">
      <w:lvlJc w:val="left"/>
      <w:lvlText w:val="(%1)"/>
      <w:numFmt w:val="lowerLetter"/>
      <w:start w:val="2"/>
    </w:lvl>
    <w:lvl w:ilvl="1">
      <w:lvlJc w:val="left"/>
      <w:lvlText w:val="%2"/>
      <w:numFmt w:val="lowerLetter"/>
      <w:start w:val="1"/>
    </w:lvl>
  </w:abstractNum>
  <w:abstractNum w:abstractNumId="63">
    <w:nsid w:val="1CA0C5FA"/>
    <w:multiLevelType w:val="hybridMultilevel"/>
    <w:lvl w:ilvl="0">
      <w:lvlJc w:val="left"/>
      <w:lvlText w:val="(%1)"/>
      <w:numFmt w:val="lowerLetter"/>
      <w:start w:val="1"/>
    </w:lvl>
    <w:lvl w:ilvl="1">
      <w:lvlJc w:val="left"/>
      <w:lvlText w:val="(%2)"/>
      <w:numFmt w:val="lowerLetter"/>
      <w:start w:val="35"/>
    </w:lvl>
  </w:abstractNum>
  <w:abstractNum w:abstractNumId="64">
    <w:nsid w:val="53584BCB"/>
    <w:multiLevelType w:val="hybridMultilevel"/>
    <w:lvl w:ilvl="0">
      <w:lvlJc w:val="left"/>
      <w:lvlText w:val="(%1)"/>
      <w:numFmt w:val="lowerLetter"/>
      <w:start w:val="2"/>
    </w:lvl>
    <w:lvl w:ilvl="1">
      <w:lvlJc w:val="left"/>
      <w:lvlText w:val="(%2)"/>
      <w:numFmt w:val="lowerLetter"/>
      <w:start w:val="35"/>
    </w:lvl>
  </w:abstractNum>
  <w:abstractNum w:abstractNumId="65">
    <w:nsid w:val="415E286C"/>
    <w:multiLevelType w:val="hybridMultilevel"/>
    <w:lvl w:ilvl="0">
      <w:lvlJc w:val="left"/>
      <w:lvlText w:val="(%1)"/>
      <w:numFmt w:val="lowerLetter"/>
      <w:start w:val="25"/>
    </w:lvl>
    <w:lvl w:ilvl="1">
      <w:lvlJc w:val="left"/>
      <w:lvlText w:val="%2"/>
      <w:numFmt w:val="lowerLetter"/>
      <w:start w:val="1"/>
    </w:lvl>
  </w:abstractNum>
  <w:abstractNum w:abstractNumId="66">
    <w:nsid w:val="7C58FD05"/>
    <w:multiLevelType w:val="hybridMultilevel"/>
    <w:lvl w:ilvl="0">
      <w:lvlJc w:val="left"/>
      <w:lvlText w:val="(%1)"/>
      <w:numFmt w:val="lowerLetter"/>
      <w:start w:val="4"/>
    </w:lvl>
    <w:lvl w:ilvl="1">
      <w:lvlJc w:val="left"/>
      <w:lvlText w:val="%2"/>
      <w:numFmt w:val="lowerLetter"/>
      <w:start w:val="1"/>
    </w:lvl>
  </w:abstractNum>
  <w:abstractNum w:abstractNumId="67">
    <w:nsid w:val="23D86AAC"/>
    <w:multiLevelType w:val="hybridMultilevel"/>
    <w:lvl w:ilvl="0">
      <w:lvlJc w:val="left"/>
      <w:lvlText w:val="(%1)"/>
      <w:numFmt w:val="lowerLetter"/>
      <w:start w:val="5"/>
    </w:lvl>
    <w:lvl w:ilvl="1">
      <w:lvlJc w:val="left"/>
      <w:lvlText w:val="(%2)"/>
      <w:numFmt w:val="lowerRoman"/>
      <w:start w:val="2"/>
    </w:lvl>
    <w:lvl w:ilvl="2">
      <w:lvlJc w:val="left"/>
      <w:lvlText w:val="(%3)"/>
      <w:numFmt w:val="upperLetter"/>
      <w:start w:val="1"/>
    </w:lvl>
    <w:lvl w:ilvl="3">
      <w:lvlJc w:val="left"/>
      <w:lvlText w:val="(%4)"/>
      <w:numFmt w:val="upperLetter"/>
      <w:start w:val="9"/>
    </w:lvl>
  </w:abstractNum>
  <w:abstractNum w:abstractNumId="68">
    <w:nsid w:val="45E6D486"/>
    <w:multiLevelType w:val="hybridMultilevel"/>
    <w:lvl w:ilvl="0">
      <w:lvlJc w:val="left"/>
      <w:lvlText w:val="(%1)"/>
      <w:numFmt w:val="upperLetter"/>
      <w:start w:val="61"/>
    </w:lvl>
  </w:abstractNum>
  <w:abstractNum w:abstractNumId="69">
    <w:nsid w:val="5C10FE21"/>
    <w:multiLevelType w:val="hybridMultilevel"/>
    <w:lvl w:ilvl="0">
      <w:lvlJc w:val="left"/>
      <w:lvlText w:val="(%1)"/>
      <w:numFmt w:val="upperLetter"/>
      <w:start w:val="3"/>
    </w:lvl>
  </w:abstractNum>
  <w:abstractNum w:abstractNumId="70">
    <w:nsid w:val="E7FFA2B"/>
    <w:multiLevelType w:val="hybridMultilevel"/>
    <w:lvl w:ilvl="0">
      <w:lvlJc w:val="left"/>
      <w:lvlText w:val="(%1)"/>
      <w:numFmt w:val="lowerLetter"/>
      <w:start w:val="6"/>
    </w:lvl>
  </w:abstractNum>
  <w:abstractNum w:abstractNumId="71">
    <w:nsid w:val="3C5991AA"/>
    <w:multiLevelType w:val="hybridMultilevel"/>
    <w:lvl w:ilvl="0">
      <w:lvlJc w:val="left"/>
      <w:lvlText w:val="(%1)"/>
      <w:numFmt w:val="lowerLetter"/>
      <w:start w:val="7"/>
    </w:lvl>
  </w:abstractNum>
  <w:abstractNum w:abstractNumId="72">
    <w:nsid w:val="4BD8591A"/>
    <w:multiLevelType w:val="hybridMultilevel"/>
    <w:lvl w:ilvl="0">
      <w:lvlJc w:val="left"/>
      <w:lvlText w:val="(%1)"/>
      <w:numFmt w:val="lowerLetter"/>
      <w:start w:val="1"/>
    </w:lvl>
    <w:lvl w:ilvl="1">
      <w:lvlJc w:val="left"/>
      <w:lvlText w:val="(%2)"/>
      <w:numFmt w:val="lowerRoman"/>
      <w:start w:val="1"/>
    </w:lvl>
  </w:abstractNum>
  <w:abstractNum w:abstractNumId="73">
    <w:nsid w:val="78DF6A55"/>
    <w:multiLevelType w:val="hybridMultilevel"/>
    <w:lvl w:ilvl="0">
      <w:lvlJc w:val="left"/>
      <w:lvlText w:val="(%1)"/>
      <w:numFmt w:val="lowerLetter"/>
      <w:start w:val="2"/>
    </w:lvl>
  </w:abstractNum>
  <w:abstractNum w:abstractNumId="74">
    <w:nsid w:val="39B7AAA2"/>
    <w:multiLevelType w:val="hybridMultilevel"/>
    <w:lvl w:ilvl="0">
      <w:lvlJc w:val="left"/>
      <w:lvlText w:val="(%1)"/>
      <w:numFmt w:val="lowerLetter"/>
      <w:start w:val="1"/>
    </w:lvl>
  </w:abstractNum>
  <w:abstractNum w:abstractNumId="75">
    <w:nsid w:val="2B0D8DBE"/>
    <w:multiLevelType w:val="hybridMultilevel"/>
    <w:lvl w:ilvl="0">
      <w:lvlJc w:val="left"/>
      <w:lvlText w:val="(%1)"/>
      <w:numFmt w:val="lowerLetter"/>
      <w:start w:val="1"/>
    </w:lvl>
  </w:abstractNum>
  <w:abstractNum w:abstractNumId="76">
    <w:nsid w:val="6C80EC70"/>
    <w:multiLevelType w:val="hybridMultilevel"/>
    <w:lvl w:ilvl="0">
      <w:lvlJc w:val="left"/>
      <w:lvlText w:val="(%1)"/>
      <w:numFmt w:val="lowerLetter"/>
      <w:start w:val="1"/>
    </w:lvl>
  </w:abstractNum>
  <w:abstractNum w:abstractNumId="77">
    <w:nsid w:val="379E21B5"/>
    <w:multiLevelType w:val="hybridMultilevel"/>
    <w:lvl w:ilvl="0">
      <w:lvlJc w:val="left"/>
      <w:lvlText w:val="(%1)"/>
      <w:numFmt w:val="lowerLetter"/>
      <w:start w:val="2"/>
    </w:lvl>
    <w:lvl w:ilvl="1">
      <w:lvlJc w:val="left"/>
      <w:lvlText w:val="(%2)"/>
      <w:numFmt w:val="lowerRoman"/>
      <w:start w:val="1"/>
    </w:lvl>
  </w:abstractNum>
  <w:abstractNum w:abstractNumId="78">
    <w:nsid w:val="69E373"/>
    <w:multiLevelType w:val="hybridMultilevel"/>
    <w:lvl w:ilvl="0">
      <w:lvlJc w:val="left"/>
      <w:lvlText w:val="(%1)"/>
      <w:numFmt w:val="lowerLetter"/>
      <w:start w:val="1"/>
    </w:lvl>
  </w:abstractNum>
  <w:abstractNum w:abstractNumId="79">
    <w:nsid w:val="2C27173B"/>
    <w:multiLevelType w:val="hybridMultilevel"/>
    <w:lvl w:ilvl="0">
      <w:lvlJc w:val="left"/>
      <w:lvlText w:val="(%1)"/>
      <w:numFmt w:val="lowerLetter"/>
      <w:start w:val="3"/>
    </w:lvl>
  </w:abstractNum>
  <w:abstractNum w:abstractNumId="80">
    <w:nsid w:val="4C9B0904"/>
    <w:multiLevelType w:val="hybridMultilevel"/>
    <w:lvl w:ilvl="0">
      <w:lvlJc w:val="left"/>
      <w:lvlText w:val="(%1)"/>
      <w:numFmt w:val="lowerLetter"/>
      <w:start w:val="1"/>
    </w:lvl>
  </w:abstractNum>
  <w:abstractNum w:abstractNumId="81">
    <w:nsid w:val="6AA7B75C"/>
    <w:multiLevelType w:val="hybridMultilevel"/>
    <w:lvl w:ilvl="0">
      <w:lvlJc w:val="left"/>
      <w:lvlText w:val="(%1)"/>
      <w:numFmt w:val="lowerLetter"/>
      <w:start w:val="1"/>
    </w:lvl>
  </w:abstractNum>
  <w:abstractNum w:abstractNumId="82">
    <w:nsid w:val="1DF029D3"/>
    <w:multiLevelType w:val="hybridMultilevel"/>
    <w:lvl w:ilvl="0">
      <w:lvlJc w:val="left"/>
      <w:lvlText w:val="(%1)"/>
      <w:numFmt w:val="lowerLetter"/>
      <w:start w:val="1"/>
    </w:lvl>
  </w:abstractNum>
  <w:abstractNum w:abstractNumId="83">
    <w:nsid w:val="5675FF36"/>
    <w:multiLevelType w:val="hybridMultilevel"/>
    <w:lvl w:ilvl="0">
      <w:lvlJc w:val="left"/>
      <w:lvlText w:val="(%1)"/>
      <w:numFmt w:val="lowerLetter"/>
      <w:start w:val="1"/>
    </w:lvl>
  </w:abstractNum>
  <w:abstractNum w:abstractNumId="84">
    <w:nsid w:val="3DD15094"/>
    <w:multiLevelType w:val="hybridMultilevel"/>
    <w:lvl w:ilvl="0">
      <w:lvlJc w:val="left"/>
      <w:lvlText w:val="(%1)"/>
      <w:numFmt w:val="lowerLetter"/>
      <w:start w:val="2"/>
    </w:lvl>
  </w:abstractNum>
  <w:abstractNum w:abstractNumId="85">
    <w:nsid w:val="3DB012B3"/>
    <w:multiLevelType w:val="hybridMultilevel"/>
    <w:lvl w:ilvl="0">
      <w:lvlJc w:val="left"/>
      <w:lvlText w:val="(%1)"/>
      <w:numFmt w:val="lowerLetter"/>
      <w:start w:val="1"/>
    </w:lvl>
  </w:abstractNum>
  <w:abstractNum w:abstractNumId="86">
    <w:nsid w:val="2708C9AF"/>
    <w:multiLevelType w:val="hybridMultilevel"/>
    <w:lvl w:ilvl="0">
      <w:lvlJc w:val="left"/>
      <w:lvlText w:val="(%1)"/>
      <w:numFmt w:val="lowerLetter"/>
      <w:start w:val="1"/>
    </w:lvl>
  </w:abstractNum>
  <w:abstractNum w:abstractNumId="87">
    <w:nsid w:val="5B25ACE2"/>
    <w:multiLevelType w:val="hybridMultilevel"/>
    <w:lvl w:ilvl="0">
      <w:lvlJc w:val="left"/>
      <w:lvlText w:val="(%1)"/>
      <w:numFmt w:val="lowerLetter"/>
      <w:start w:val="1"/>
    </w:lvl>
  </w:abstractNum>
  <w:abstractNum w:abstractNumId="88">
    <w:nsid w:val="175DFCF0"/>
    <w:multiLevelType w:val="hybridMultilevel"/>
    <w:lvl w:ilvl="0">
      <w:lvlJc w:val="left"/>
      <w:lvlText w:val="(%1)"/>
      <w:numFmt w:val="lowerLetter"/>
      <w:start w:val="3"/>
    </w:lvl>
  </w:abstractNum>
  <w:abstractNum w:abstractNumId="89">
    <w:nsid w:val="4F97E3E4"/>
    <w:multiLevelType w:val="hybridMultilevel"/>
    <w:lvl w:ilvl="0">
      <w:lvlJc w:val="left"/>
      <w:lvlText w:val="(%1)"/>
      <w:numFmt w:val="lowerLetter"/>
      <w:start w:val="1"/>
    </w:lvl>
  </w:abstractNum>
  <w:abstractNum w:abstractNumId="90">
    <w:nsid w:val="53B0A9E"/>
    <w:multiLevelType w:val="hybridMultilevel"/>
    <w:lvl w:ilvl="0">
      <w:lvlJc w:val="left"/>
      <w:lvlText w:val="(%1)"/>
      <w:numFmt w:val="lowerLetter"/>
      <w:start w:val="1"/>
    </w:lvl>
  </w:abstractNum>
  <w:abstractNum w:abstractNumId="91">
    <w:nsid w:val="34FD6B4F"/>
    <w:multiLevelType w:val="hybridMultilevel"/>
    <w:lvl w:ilvl="0">
      <w:lvlJc w:val="left"/>
      <w:lvlText w:val="%1"/>
      <w:numFmt w:val="lowerLetter"/>
      <w:start w:val="1"/>
    </w:lvl>
    <w:lvl w:ilvl="1">
      <w:lvlJc w:val="left"/>
      <w:lvlText w:val="(%2)"/>
      <w:numFmt w:val="lowerLetter"/>
      <w:start w:val="1"/>
    </w:lvl>
  </w:abstractNum>
  <w:abstractNum w:abstractNumId="92">
    <w:nsid w:val="5915FF32"/>
    <w:multiLevelType w:val="hybridMultilevel"/>
    <w:lvl w:ilvl="0">
      <w:lvlJc w:val="left"/>
      <w:lvlText w:val="(%1)"/>
      <w:numFmt w:val="lowerLetter"/>
      <w:start w:val="2"/>
    </w:lvl>
    <w:lvl w:ilvl="1">
      <w:lvlJc w:val="left"/>
      <w:lvlText w:val="%2"/>
      <w:numFmt w:val="lowerLetter"/>
      <w:start w:val="1"/>
    </w:lvl>
  </w:abstractNum>
  <w:abstractNum w:abstractNumId="93">
    <w:nsid w:val="56438D15"/>
    <w:multiLevelType w:val="hybridMultilevel"/>
    <w:lvl w:ilvl="0">
      <w:lvlJc w:val="left"/>
      <w:lvlText w:val="(%1)"/>
      <w:numFmt w:val="lowerLetter"/>
      <w:start w:val="1"/>
    </w:lvl>
  </w:abstractNum>
  <w:abstractNum w:abstractNumId="94">
    <w:nsid w:val="519E3149"/>
    <w:multiLevelType w:val="hybridMultilevel"/>
    <w:lvl w:ilvl="0">
      <w:lvlJc w:val="left"/>
      <w:lvlText w:val="(%1)"/>
      <w:numFmt w:val="lowerLetter"/>
      <w:start w:val="1"/>
    </w:lvl>
  </w:abstractNum>
  <w:abstractNum w:abstractNumId="95">
    <w:nsid w:val="2C6E4AFD"/>
    <w:multiLevelType w:val="hybridMultilevel"/>
    <w:lvl w:ilvl="0">
      <w:lvlJc w:val="left"/>
      <w:lvlText w:val="%1"/>
      <w:numFmt w:val="lowerLetter"/>
      <w:start w:val="1"/>
    </w:lvl>
    <w:lvl w:ilvl="1">
      <w:lvlJc w:val="left"/>
      <w:lvlText w:val="(%2)"/>
      <w:numFmt w:val="lowerLetter"/>
      <w:start w:val="8"/>
    </w:lvl>
  </w:abstractNum>
  <w:abstractNum w:abstractNumId="96">
    <w:nsid w:val="17A1B582"/>
    <w:multiLevelType w:val="hybridMultilevel"/>
    <w:lvl w:ilvl="0">
      <w:lvlJc w:val="left"/>
      <w:lvlText w:val="(%1)"/>
      <w:numFmt w:val="lowerLetter"/>
      <w:start w:val="9"/>
    </w:lvl>
    <w:lvl w:ilvl="1">
      <w:lvlJc w:val="left"/>
      <w:lvlText w:val="(%2)"/>
      <w:numFmt w:val="lowerLetter"/>
      <w:start w:val="14"/>
    </w:lvl>
  </w:abstractNum>
  <w:abstractNum w:abstractNumId="97">
    <w:nsid w:val="4DF72E4E"/>
    <w:multiLevelType w:val="hybridMultilevel"/>
    <w:lvl w:ilvl="0">
      <w:lvlJc w:val="left"/>
      <w:lvlText w:val="(%1)"/>
      <w:numFmt w:val="lowerLetter"/>
      <w:start w:val="1"/>
    </w:lvl>
  </w:abstractNum>
  <w:abstractNum w:abstractNumId="98">
    <w:nsid w:val="5046B5A9"/>
    <w:multiLevelType w:val="hybridMultilevel"/>
    <w:lvl w:ilvl="0">
      <w:lvlJc w:val="left"/>
      <w:lvlText w:val="(%1)"/>
      <w:numFmt w:val="lowerLetter"/>
      <w:start w:val="6"/>
    </w:lvl>
  </w:abstractNum>
  <w:abstractNum w:abstractNumId="99">
    <w:nsid w:val="5D888A08"/>
    <w:multiLevelType w:val="hybridMultilevel"/>
    <w:lvl w:ilvl="0">
      <w:lvlJc w:val="left"/>
      <w:lvlText w:val="(%1)"/>
      <w:numFmt w:val="lowerLetter"/>
      <w:start w:val="1"/>
    </w:lvl>
  </w:abstractNum>
  <w:abstractNum w:abstractNumId="100">
    <w:nsid w:val="2A082C70"/>
    <w:multiLevelType w:val="hybridMultilevel"/>
    <w:lvl w:ilvl="0">
      <w:lvlJc w:val="left"/>
      <w:lvlText w:val="(%1)"/>
      <w:numFmt w:val="lowerLetter"/>
      <w:start w:val="1"/>
    </w:lvl>
  </w:abstractNum>
  <w:abstractNum w:abstractNumId="101">
    <w:nsid w:val="5EC6AFD4"/>
    <w:multiLevelType w:val="hybridMultilevel"/>
    <w:lvl w:ilvl="0">
      <w:lvlJc w:val="left"/>
      <w:lvlText w:val="(%1)"/>
      <w:numFmt w:val="lowerLetter"/>
      <w:start w:val="1"/>
    </w:lvl>
  </w:abstractNum>
  <w:abstractNum w:abstractNumId="102">
    <w:nsid w:val="19E21BB2"/>
    <w:multiLevelType w:val="hybridMultilevel"/>
    <w:lvl w:ilvl="0">
      <w:lvlJc w:val="left"/>
      <w:lvlText w:val="(%1)"/>
      <w:numFmt w:val="lowerLetter"/>
      <w:start w:val="1"/>
    </w:lvl>
  </w:abstractNum>
  <w:abstractNum w:abstractNumId="103">
    <w:nsid w:val="75E0858A"/>
    <w:multiLevelType w:val="hybridMultilevel"/>
    <w:lvl w:ilvl="0">
      <w:lvlJc w:val="left"/>
      <w:lvlText w:val="(%1)"/>
      <w:numFmt w:val="lowerLetter"/>
      <w:start w:val="1"/>
    </w:lvl>
  </w:abstractNum>
  <w:abstractNum w:abstractNumId="104">
    <w:nsid w:val="57A61A29"/>
    <w:multiLevelType w:val="hybridMultilevel"/>
    <w:lvl w:ilvl="0">
      <w:lvlJc w:val="left"/>
      <w:lvlText w:val="%1"/>
      <w:numFmt w:val="lowerLetter"/>
      <w:start w:val="1"/>
    </w:lvl>
    <w:lvl w:ilvl="1">
      <w:lvlJc w:val="left"/>
      <w:lvlText w:val="(%2)"/>
      <w:numFmt w:val="lowerLetter"/>
      <w:start w:val="1"/>
    </w:lvl>
  </w:abstractNum>
  <w:abstractNum w:abstractNumId="105">
    <w:nsid w:val="5399C654"/>
    <w:multiLevelType w:val="hybridMultilevel"/>
    <w:lvl w:ilvl="0">
      <w:lvlJc w:val="left"/>
      <w:lvlText w:val="(%1)"/>
      <w:numFmt w:val="lowerLetter"/>
      <w:start w:val="35"/>
    </w:lvl>
    <w:lvl w:ilvl="1">
      <w:lvlJc w:val="left"/>
      <w:lvlText w:val="(%2)"/>
      <w:numFmt w:val="lowerLetter"/>
      <w:start w:val="2"/>
    </w:lvl>
  </w:abstractNum>
  <w:abstractNum w:abstractNumId="106">
    <w:nsid w:val="20EE1348"/>
    <w:multiLevelType w:val="hybridMultilevel"/>
    <w:lvl w:ilvl="0">
      <w:lvlJc w:val="left"/>
      <w:lvlText w:val="(%1)"/>
      <w:numFmt w:val="lowerLetter"/>
      <w:start w:val="6"/>
    </w:lvl>
  </w:abstractNum>
  <w:abstractNum w:abstractNumId="107">
    <w:nsid w:val="4427069A"/>
    <w:multiLevelType w:val="hybridMultilevel"/>
    <w:lvl w:ilvl="0">
      <w:lvlJc w:val="left"/>
      <w:lvlText w:val="(%1)"/>
      <w:numFmt w:val="lowerLetter"/>
      <w:start w:val="10"/>
    </w:lvl>
  </w:abstractNum>
  <w:abstractNum w:abstractNumId="108">
    <w:nsid w:val="B37E80A"/>
    <w:multiLevelType w:val="hybridMultilevel"/>
    <w:lvl w:ilvl="0">
      <w:lvlJc w:val="left"/>
      <w:lvlText w:val="(%1)"/>
      <w:numFmt w:val="lowerLetter"/>
      <w:start w:val="1"/>
    </w:lvl>
  </w:abstractNum>
  <w:abstractNum w:abstractNumId="109">
    <w:nsid w:val="2157F6BC"/>
    <w:multiLevelType w:val="hybridMultilevel"/>
    <w:lvl w:ilvl="0">
      <w:lvlJc w:val="left"/>
      <w:lvlText w:val="(%1)"/>
      <w:numFmt w:val="lowerLetter"/>
      <w:start w:val="1"/>
    </w:lvl>
  </w:abstractNum>
  <w:abstractNum w:abstractNumId="110">
    <w:nsid w:val="704E1DD5"/>
    <w:multiLevelType w:val="hybridMultilevel"/>
    <w:lvl w:ilvl="0">
      <w:lvlJc w:val="left"/>
      <w:lvlText w:val="(%1)"/>
      <w:numFmt w:val="lowerLetter"/>
      <w:start w:val="1"/>
    </w:lvl>
  </w:abstractNum>
  <w:abstractNum w:abstractNumId="111">
    <w:nsid w:val="57D2F10E"/>
    <w:multiLevelType w:val="hybridMultilevel"/>
    <w:lvl w:ilvl="0">
      <w:lvlJc w:val="left"/>
      <w:lvlText w:val="(%1)"/>
      <w:numFmt w:val="lowerLetter"/>
      <w:start w:val="3"/>
    </w:lvl>
  </w:abstractNum>
  <w:abstractNum w:abstractNumId="112">
    <w:nsid w:val="BFFAE18"/>
    <w:multiLevelType w:val="hybridMultilevel"/>
    <w:lvl w:ilvl="0">
      <w:lvlJc w:val="left"/>
      <w:lvlText w:val="(%1)"/>
      <w:numFmt w:val="lowerLetter"/>
      <w:start w:val="1"/>
    </w:lvl>
  </w:abstractNum>
  <w:abstractNum w:abstractNumId="113">
    <w:nsid w:val="E3E47A8"/>
    <w:multiLevelType w:val="hybridMultilevel"/>
    <w:lvl w:ilvl="0">
      <w:lvlJc w:val="left"/>
      <w:lvlText w:val="(%1)"/>
      <w:numFmt w:val="lowerLetter"/>
      <w:start w:val="1"/>
    </w:lvl>
    <w:lvl w:ilvl="1">
      <w:lvlJc w:val="left"/>
      <w:lvlText w:val="(%2)"/>
      <w:numFmt w:val="lowerRoman"/>
      <w:start w:val="2"/>
    </w:lvl>
  </w:abstractNum>
  <w:abstractNum w:abstractNumId="114">
    <w:nsid w:val="2E48F044"/>
    <w:multiLevelType w:val="hybridMultilevel"/>
    <w:lvl w:ilvl="0">
      <w:lvlJc w:val="left"/>
      <w:lvlText w:val="(%1)"/>
      <w:numFmt w:val="lowerLetter"/>
      <w:start w:val="1"/>
    </w:lvl>
    <w:lvl w:ilvl="1">
      <w:lvlJc w:val="left"/>
      <w:lvlText w:val="(%2)"/>
      <w:numFmt w:val="lowerRoman"/>
      <w:start w:val="1"/>
    </w:lvl>
  </w:abstractNum>
  <w:abstractNum w:abstractNumId="115">
    <w:nsid w:val="49D0FEAC"/>
    <w:multiLevelType w:val="hybridMultilevel"/>
    <w:lvl w:ilvl="0">
      <w:lvlJc w:val="left"/>
      <w:lvlText w:val="(%1)"/>
      <w:numFmt w:val="lowerLetter"/>
      <w:start w:val="2"/>
    </w:lvl>
  </w:abstractNum>
  <w:abstractNum w:abstractNumId="116">
    <w:nsid w:val="4BEE5A5B"/>
    <w:multiLevelType w:val="hybridMultilevel"/>
    <w:lvl w:ilvl="0">
      <w:lvlJc w:val="left"/>
      <w:lvlText w:val="%1"/>
      <w:numFmt w:val="lowerLetter"/>
      <w:start w:val="1"/>
    </w:lvl>
    <w:lvl w:ilvl="1">
      <w:lvlJc w:val="left"/>
      <w:lvlText w:val="(%2)"/>
      <w:numFmt w:val="lowerLetter"/>
      <w:start w:val="3"/>
    </w:lvl>
  </w:abstractNum>
  <w:abstractNum w:abstractNumId="117">
    <w:nsid w:val="5551B9F3"/>
    <w:multiLevelType w:val="hybridMultilevel"/>
    <w:lvl w:ilvl="0">
      <w:lvlJc w:val="left"/>
      <w:lvlText w:val="(%1)"/>
      <w:numFmt w:val="lowerLetter"/>
      <w:start w:val="35"/>
    </w:lvl>
    <w:lvl w:ilvl="1">
      <w:lvlJc w:val="left"/>
      <w:lvlText w:val="(%2)"/>
      <w:numFmt w:val="lowerLetter"/>
      <w:start w:val="5"/>
    </w:lvl>
  </w:abstractNum>
  <w:abstractNum w:abstractNumId="118">
    <w:nsid w:val="24F6AB8E"/>
    <w:multiLevelType w:val="hybridMultilevel"/>
    <w:lvl w:ilvl="0">
      <w:lvlJc w:val="left"/>
      <w:lvlText w:val="(%1)"/>
      <w:numFmt w:val="lowerRoman"/>
      <w:start w:val="1"/>
    </w:lvl>
  </w:abstractNum>
  <w:abstractNum w:abstractNumId="119">
    <w:nsid w:val="634C574C"/>
    <w:multiLevelType w:val="hybridMultilevel"/>
    <w:lvl w:ilvl="0">
      <w:lvlJc w:val="left"/>
      <w:lvlText w:val="(%1)"/>
      <w:numFmt w:val="lowerLetter"/>
      <w:start w:val="1"/>
    </w:lvl>
  </w:abstractNum>
  <w:abstractNum w:abstractNumId="120">
    <w:nsid w:val="24E99DD7"/>
    <w:multiLevelType w:val="hybridMultilevel"/>
    <w:lvl w:ilvl="0">
      <w:lvlJc w:val="left"/>
      <w:lvlText w:val="%1"/>
      <w:numFmt w:val="lowerLetter"/>
      <w:start w:val="1"/>
    </w:lvl>
    <w:lvl w:ilvl="1">
      <w:lvlJc w:val="left"/>
      <w:lvlText w:val="(%2)"/>
      <w:numFmt w:val="lowerLetter"/>
      <w:start w:val="2"/>
    </w:lvl>
  </w:abstractNum>
  <w:abstractNum w:abstractNumId="121">
    <w:nsid w:val="2A31B62D"/>
    <w:multiLevelType w:val="hybridMultilevel"/>
    <w:lvl w:ilvl="0">
      <w:lvlJc w:val="left"/>
      <w:lvlText w:val="(%1)"/>
      <w:numFmt w:val="lowerLetter"/>
      <w:start w:val="24"/>
    </w:lvl>
    <w:lvl w:ilvl="1">
      <w:lvlJc w:val="left"/>
      <w:lvlText w:val="(%2)"/>
      <w:numFmt w:val="lowerLetter"/>
      <w:start w:val="3"/>
    </w:lvl>
  </w:abstractNum>
  <w:abstractNum w:abstractNumId="122">
    <w:nsid w:val="1849C29B"/>
    <w:multiLevelType w:val="hybridMultilevel"/>
    <w:lvl w:ilvl="0">
      <w:lvlJc w:val="left"/>
      <w:lvlText w:val="(%1)"/>
      <w:numFmt w:val="lowerLetter"/>
      <w:start w:val="4"/>
    </w:lvl>
  </w:abstractNum>
  <w:abstractNum w:abstractNumId="123">
    <w:nsid w:val="7DFF9D09"/>
    <w:multiLevelType w:val="hybridMultilevel"/>
    <w:lvl w:ilvl="0">
      <w:lvlJc w:val="left"/>
      <w:lvlText w:val="(%1)"/>
      <w:numFmt w:val="lowerLetter"/>
      <w:start w:val="1"/>
    </w:lvl>
  </w:abstractNum>
  <w:abstractNum w:abstractNumId="124">
    <w:nsid w:val="75434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5">
    <w:nsid w:val="69E7F3E5"/>
    <w:multiLevelType w:val="hybridMultilevel"/>
    <w:lvl w:ilvl="0">
      <w:lvlJc w:val="left"/>
      <w:lvlText w:val="%1"/>
      <w:numFmt w:val="upperLetter"/>
      <w:start w:val="1"/>
    </w:lvl>
    <w:lvl w:ilvl="1">
      <w:lvlJc w:val="left"/>
      <w:lvlText w:val="(%2)"/>
      <w:numFmt w:val="lowerRoman"/>
      <w:start w:val="4"/>
    </w:lvl>
  </w:abstractNum>
  <w:abstractNum w:abstractNumId="126">
    <w:nsid w:val="2A6DE806"/>
    <w:multiLevelType w:val="hybridMultilevel"/>
    <w:lvl w:ilvl="0">
      <w:lvlJc w:val="left"/>
      <w:lvlText w:val="(%1)"/>
      <w:numFmt w:val="upperLetter"/>
      <w:start w:val="2"/>
    </w:lvl>
    <w:lvl w:ilvl="1">
      <w:lvlJc w:val="left"/>
      <w:lvlText w:val="(%2)"/>
      <w:numFmt w:val="lowerRoman"/>
      <w:start w:val="6"/>
    </w:lvl>
  </w:abstractNum>
  <w:abstractNum w:abstractNumId="127">
    <w:nsid w:val="1816F8C4"/>
    <w:multiLevelType w:val="hybridMultilevel"/>
    <w:lvl w:ilvl="0">
      <w:lvlJc w:val="left"/>
      <w:lvlText w:val="(%1)"/>
      <w:numFmt w:val="lowerLetter"/>
      <w:start w:val="3"/>
    </w:lvl>
  </w:abstractNum>
  <w:abstractNum w:abstractNumId="128">
    <w:nsid w:val="37DF2233"/>
    <w:multiLevelType w:val="hybridMultilevel"/>
    <w:lvl w:ilvl="0">
      <w:lvlJc w:val="left"/>
      <w:lvlText w:val="(%1)"/>
      <w:numFmt w:val="lowerLetter"/>
      <w:start w:val="5"/>
    </w:lvl>
  </w:abstractNum>
  <w:abstractNum w:abstractNumId="129">
    <w:nsid w:val="7AB49DAF"/>
    <w:multiLevelType w:val="hybridMultilevel"/>
    <w:lvl w:ilvl="0">
      <w:lvlJc w:val="left"/>
      <w:lvlText w:val="(%1)"/>
      <w:numFmt w:val="lowerRoman"/>
      <w:start w:val="4"/>
    </w:lvl>
    <w:lvl w:ilvl="1">
      <w:lvlJc w:val="left"/>
      <w:lvlText w:val="(%2)"/>
      <w:numFmt w:val="lowerLetter"/>
      <w:start w:val="1"/>
    </w:lvl>
  </w:abstractNum>
  <w:abstractNum w:abstractNumId="130">
    <w:nsid w:val="759F82CD"/>
    <w:multiLevelType w:val="hybridMultilevel"/>
    <w:lvl w:ilvl="0">
      <w:lvlJc w:val="left"/>
      <w:lvlText w:val="(%1)"/>
      <w:numFmt w:val="lowerLetter"/>
      <w:start w:val="4"/>
    </w:lvl>
  </w:abstractNum>
  <w:abstractNum w:abstractNumId="131">
    <w:nsid w:val="61E74EA3"/>
    <w:multiLevelType w:val="hybridMultilevel"/>
    <w:lvl w:ilvl="0">
      <w:lvlJc w:val="left"/>
      <w:lvlText w:val="(%1)"/>
      <w:numFmt w:val="lowerLetter"/>
      <w:start w:val="1"/>
    </w:lvl>
  </w:abstractNum>
  <w:abstractNum w:abstractNumId="132">
    <w:nsid w:val="597B4D84"/>
    <w:multiLevelType w:val="hybridMultilevel"/>
    <w:lvl w:ilvl="0">
      <w:lvlJc w:val="left"/>
      <w:lvlText w:val="%1."/>
      <w:numFmt w:val="decimal"/>
      <w:start w:val="1"/>
    </w:lvl>
    <w:lvl w:ilvl="1">
      <w:lvlJc w:val="left"/>
      <w:lvlText w:val="☐"/>
      <w:numFmt w:val="bullet"/>
      <w:start w:val="1"/>
    </w:lvl>
  </w:abstractNum>
  <w:abstractNum w:abstractNumId="133">
    <w:nsid w:val="F819E7F"/>
    <w:multiLevelType w:val="hybridMultilevel"/>
    <w:lvl w:ilvl="0">
      <w:lvlJc w:val="left"/>
      <w:lvlText w:val="%1."/>
      <w:numFmt w:val="decimal"/>
      <w:start w:val="4"/>
    </w:lvl>
    <w:lvl w:ilvl="1">
      <w:lvlJc w:val="left"/>
      <w:lvlText w:val="☐"/>
      <w:numFmt w:val="bullet"/>
      <w:start w:val="1"/>
    </w:lvl>
  </w:abstractNum>
  <w:abstractNum w:abstractNumId="134">
    <w:nsid w:val="57C7D42D"/>
    <w:multiLevelType w:val="hybridMultilevel"/>
    <w:lvl w:ilvl="0">
      <w:lvlJc w:val="left"/>
      <w:lvlText w:val="1"/>
      <w:numFmt w:val="bullet"/>
      <w:start w:val="1"/>
    </w:lvl>
  </w:abstractNum>
  <w:abstractNum w:abstractNumId="135">
    <w:nsid w:val="312167AD"/>
    <w:multiLevelType w:val="hybridMultilevel"/>
    <w:lvl w:ilvl="0">
      <w:lvlJc w:val="left"/>
      <w:lvlText w:val="(%1)"/>
      <w:numFmt w:val="lowerRoman"/>
      <w:start w:val="3"/>
    </w:lvl>
  </w:abstractNum>
  <w:abstractNum w:abstractNumId="136">
    <w:nsid w:val="631B64D4"/>
    <w:multiLevelType w:val="hybridMultilevel"/>
    <w:lvl w:ilvl="0">
      <w:lvlJc w:val="left"/>
      <w:lvlText w:val="(%1)"/>
      <w:numFmt w:val="decimal"/>
      <w:start w:val="2"/>
    </w:lvl>
  </w:abstractNum>
  <w:abstractNum w:abstractNumId="137">
    <w:nsid w:val="78B5E776"/>
    <w:multiLevelType w:val="hybridMultilevel"/>
    <w:lvl w:ilvl="0">
      <w:lvlJc w:val="left"/>
      <w:lvlText w:val="(%1)"/>
      <w:numFmt w:val="lowerRoman"/>
      <w:start w:val="3"/>
    </w:lvl>
  </w:abstractNum>
  <w:abstractNum w:abstractNumId="138">
    <w:nsid w:val="75486E47"/>
    <w:multiLevelType w:val="hybridMultilevel"/>
    <w:lvl w:ilvl="0">
      <w:lvlJc w:val="left"/>
      <w:lvlText w:val="(%1)"/>
      <w:numFmt w:val="lowerRoman"/>
      <w:start w:val="5"/>
    </w:lvl>
  </w:abstractNum>
  <w:abstractNum w:abstractNumId="139">
    <w:nsid w:val="6E534CDE"/>
    <w:multiLevelType w:val="hybridMultilevel"/>
    <w:lvl w:ilvl="0">
      <w:lvlJc w:val="left"/>
      <w:lvlText w:val="(%1)"/>
      <w:numFmt w:val="decimal"/>
      <w:start w:val="2"/>
    </w:lvl>
  </w:abstractNum>
  <w:abstractNum w:abstractNumId="140">
    <w:nsid w:val="1A0DDE32"/>
    <w:multiLevelType w:val="hybridMultilevel"/>
    <w:lvl w:ilvl="0">
      <w:lvlJc w:val="left"/>
      <w:lvlText w:val="%1."/>
      <w:numFmt w:val="decimal"/>
      <w:start w:val="1"/>
    </w:lvl>
  </w:abstractNum>
  <w:abstractNum w:abstractNumId="141">
    <w:nsid w:val="65968C1C"/>
    <w:multiLevelType w:val="hybridMultilevel"/>
    <w:lvl w:ilvl="0">
      <w:lvlJc w:val="left"/>
      <w:lvlText w:val="%1."/>
      <w:numFmt w:val="decimal"/>
      <w:start w:val="1"/>
    </w:lvl>
  </w:abstractNum>
  <w:abstractNum w:abstractNumId="142">
    <w:nsid w:val="46263DEC"/>
    <w:multiLevelType w:val="hybridMultilevel"/>
    <w:lvl w:ilvl="0">
      <w:lvlJc w:val="left"/>
      <w:lvlText w:val="%1."/>
      <w:numFmt w:val="decimal"/>
      <w:start w:val="5"/>
    </w:lvl>
  </w:abstractNum>
  <w:abstractNum w:abstractNumId="143">
    <w:nsid w:val="260D8C4A"/>
    <w:multiLevelType w:val="hybridMultilevel"/>
    <w:lvl w:ilvl="0">
      <w:lvlJc w:val="left"/>
      <w:lvlText w:val="(%1)"/>
      <w:numFmt w:val="lowerRoman"/>
      <w:start w:val="1"/>
    </w:lvl>
  </w:abstractNum>
  <w:abstractNum w:abstractNumId="144">
    <w:nsid w:val="73D4D3C4"/>
    <w:multiLevelType w:val="hybridMultilevel"/>
    <w:lvl w:ilvl="0">
      <w:lvlJc w:val="left"/>
      <w:lvlText w:val="(%1)"/>
      <w:numFmt w:val="lowerRoman"/>
      <w:start w:val="5"/>
    </w:lvl>
  </w:abstractNum>
  <w:abstractNum w:abstractNumId="145">
    <w:nsid w:val="746F2E30"/>
    <w:multiLevelType w:val="hybridMultilevel"/>
    <w:lvl w:ilvl="0">
      <w:lvlJc w:val="left"/>
      <w:lvlText w:val="(%1)"/>
      <w:numFmt w:val="lowerRoman"/>
      <w:start w:val="8"/>
    </w:lvl>
  </w:abstractNum>
  <w:abstractNum w:abstractNumId="146">
    <w:nsid w:val="6FDE8AF6"/>
    <w:multiLevelType w:val="hybridMultilevel"/>
    <w:lvl w:ilvl="0">
      <w:lvlJc w:val="left"/>
      <w:lvlText w:val="(%1)"/>
      <w:numFmt w:val="lowerRoman"/>
      <w:start w:val="9"/>
    </w:lvl>
  </w:abstractNum>
  <w:abstractNum w:abstractNumId="147">
    <w:nsid w:val="3FC32E20"/>
    <w:multiLevelType w:val="hybridMultilevel"/>
    <w:lvl w:ilvl="0">
      <w:lvlJc w:val="left"/>
      <w:lvlText w:val="(%1)"/>
      <w:numFmt w:val="lowerRoman"/>
      <w:start w:val="10"/>
    </w:lvl>
  </w:abstractNum>
  <w:abstractNum w:abstractNumId="148">
    <w:nsid w:val="49C0E823"/>
    <w:multiLevelType w:val="hybridMultilevel"/>
    <w:lvl w:ilvl="0">
      <w:lvlJc w:val="left"/>
      <w:lvlText w:val="(%1)"/>
      <w:numFmt w:val="lowerRoman"/>
      <w:start w:val="11"/>
    </w:lvl>
  </w:abstractNum>
  <w:abstractNum w:abstractNumId="149">
    <w:nsid w:val="14D53685"/>
    <w:multiLevelType w:val="hybridMultilevel"/>
    <w:lvl w:ilvl="0">
      <w:lvlJc w:val="left"/>
      <w:lvlText w:val="%1."/>
      <w:numFmt w:val="decimal"/>
      <w:start w:val="1"/>
    </w:lvl>
  </w:abstractNum>
  <w:abstractNum w:abstractNumId="150">
    <w:nsid w:val="230F856C"/>
    <w:multiLevelType w:val="hybridMultilevel"/>
    <w:lvl w:ilvl="0">
      <w:lvlJc w:val="left"/>
      <w:lvlText w:val="%1."/>
      <w:numFmt w:val="decimal"/>
      <w:start w:val="2"/>
    </w:lvl>
  </w:abstractNum>
  <w:abstractNum w:abstractNumId="151">
    <w:nsid w:val="6EAA85FB"/>
    <w:multiLevelType w:val="hybridMultilevel"/>
    <w:lvl w:ilvl="0">
      <w:lvlJc w:val="left"/>
      <w:lvlText w:val="%1."/>
      <w:numFmt w:val="decimal"/>
      <w:start w:val="4"/>
    </w:lvl>
  </w:abstractNum>
  <w:abstractNum w:abstractNumId="152">
    <w:nsid w:val="3F06ECB2"/>
    <w:multiLevelType w:val="hybridMultilevel"/>
    <w:lvl w:ilvl="0">
      <w:lvlJc w:val="left"/>
      <w:lvlText w:val="1"/>
      <w:numFmt w:val="bullet"/>
      <w:start w:val="1"/>
    </w:lvl>
  </w:abstractNum>
  <w:abstractNum w:abstractNumId="153">
    <w:nsid w:val="3B594807"/>
    <w:multiLevelType w:val="hybridMultilevel"/>
    <w:lvl w:ilvl="0">
      <w:lvlJc w:val="left"/>
      <w:lvlText w:val="2"/>
      <w:numFmt w:val="bullet"/>
      <w:start w:val="1"/>
    </w:lvl>
  </w:abstractNum>
  <w:abstractNum w:abstractNumId="154">
    <w:nsid w:val="6CAA2304"/>
    <w:multiLevelType w:val="hybridMultilevel"/>
    <w:lvl w:ilvl="0">
      <w:lvlJc w:val="left"/>
      <w:lvlText w:val="%1."/>
      <w:numFmt w:val="decimal"/>
      <w:start w:val="1"/>
    </w:lvl>
  </w:abstractNum>
  <w:abstractNum w:abstractNumId="155">
    <w:nsid w:val="3F7C2FF4"/>
    <w:multiLevelType w:val="hybridMultilevel"/>
    <w:lvl w:ilvl="0">
      <w:lvlJc w:val="left"/>
      <w:lvlText w:val="(%1)"/>
      <w:numFmt w:val="lowerRoman"/>
      <w:start w:val="3"/>
    </w:lvl>
  </w:abstractNum>
  <w:abstractNum w:abstractNumId="156">
    <w:nsid w:val="25413B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2019-12-09T05:34:48Z</dcterms:created>
  <dcterms:modified xsi:type="dcterms:W3CDTF">2019-12-09T05:34:48Z</dcterms:modified>
</cp:coreProperties>
</file>