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59"/>
              <w:spacing w:after="0"/>
              <w:rPr>
                <w:sz w:val="20"/>
                <w:szCs w:val="20"/>
                <w:color w:val="auto"/>
              </w:rPr>
            </w:pPr>
            <w:r>
              <w:rPr>
                <w:rFonts w:ascii="Arial" w:cs="Arial" w:eastAsia="Arial" w:hAnsi="Arial"/>
                <w:sz w:val="18"/>
                <w:szCs w:val="18"/>
                <w:b w:val="1"/>
                <w:bCs w:val="1"/>
                <w:color w:val="auto"/>
                <w:w w:val="85"/>
              </w:rPr>
              <w:t>Massachusetts</w:t>
            </w:r>
          </w:p>
        </w:tc>
        <w:tc>
          <w:tcPr>
            <w:tcW w:w="2300" w:type="dxa"/>
            <w:vAlign w:val="bottom"/>
          </w:tcPr>
          <w:p>
            <w:pPr>
              <w:jc w:val="center"/>
              <w:ind w:right="1102"/>
              <w:spacing w:after="0"/>
              <w:rPr>
                <w:sz w:val="20"/>
                <w:szCs w:val="20"/>
                <w:color w:val="auto"/>
              </w:rPr>
            </w:pPr>
            <w:r>
              <w:rPr>
                <w:rFonts w:ascii="Arial" w:cs="Arial" w:eastAsia="Arial" w:hAnsi="Arial"/>
                <w:sz w:val="18"/>
                <w:szCs w:val="18"/>
                <w:b w:val="1"/>
                <w:bCs w:val="1"/>
                <w:color w:val="auto"/>
                <w:w w:val="92"/>
              </w:rPr>
              <w:t>1-7819</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04-2348234</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jc w:val="center"/>
              <w:ind w:right="1102"/>
              <w:spacing w:after="0"/>
              <w:rPr>
                <w:sz w:val="20"/>
                <w:szCs w:val="20"/>
                <w:color w:val="auto"/>
              </w:rPr>
            </w:pPr>
            <w:r>
              <w:rPr>
                <w:rFonts w:ascii="Arial" w:cs="Arial" w:eastAsia="Arial" w:hAnsi="Arial"/>
                <w:sz w:val="14"/>
                <w:szCs w:val="14"/>
                <w:b w:val="1"/>
                <w:bCs w:val="1"/>
                <w:color w:val="auto"/>
                <w:w w:val="98"/>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0"/>
              </w:rPr>
              <w:t>One Analog Way</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5"/>
              </w:rPr>
              <w:t>Wilmington, MA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01887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28, 2021, Analog Devices, Inc. (“Analog Devices”) entered into an Underwriting Agreement with Morgan Stanley &amp; Co. LLC, Citigroup Global Markets Inc., BofA Securities, Inc., J.P. Morgan Securities LLC and BNP Paribas Securities Corp., as representatives of the several underwriters named therein (the “Underwriting Agreement”), pursuant to which Analog Devices agreed to issue $500,000,000 aggregate principal amount of floating rate senior notes due October 1, 2024, $750,000,000 aggregate principal amount of 1.700% sustainability-linked senior notes due October 1, 2028, $1,000,000,000 aggregate principal amount of 2.100% senior notes due October 1, 2031, $750,000,000 aggregate principal amount of 2.800% senior notes due October 1, 2041 and $1,000,000,000 aggregate principal amount of 2.950% senior notes due October 1, 2051 (collectively, the “Notes”) in a public offering (the “Offering”) pursuant to an effective registration statement on Form S-3 (File No. 333-259782) (the “Registration Statement”) and a related prospectus and prospectus supplement, each as filed with the Securities and Exchange Commission (the “SEC”). The Notes are to be issued under the Indenture, dated as of June 3, 2013, between Analog Devices and The Bank of New York Mellon Trust Company, N.A., as trustee (the “Trustee”), as supplemented by a supplemental indenture to be entered into between Analog Devices and the Trustee. The Offering is expected to close on October 5, 2021, subject to customary closing conditions.</w:t>
      </w:r>
    </w:p>
    <w:p>
      <w:pPr>
        <w:spacing w:after="0" w:line="182"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The above description of the Underwriting Agreement is a summary and is qualified in its entirety by reference to the complete terms of the Underwriting Agreement, which is filed as Exhibit 1.1 to this Current Report and incorporated by reference into this Item 8.01.</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On September 28, 2021, Analog Devices issued a press release announcing the Offering. A copy of the press release is attached hereto as Exhibit 99.1.</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28, 2021, Analog Devices issued a press release announcing the pricing of the Notes. A copy of the press release is attached hereto as Exhibit 99.2.</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Neither the disclosures on this Current Report on Form 8-K nor the exhibits hereto shall constitute an offer to sell or the solicitation of an offer to buy the securities described herein and therein, nor shall there be any sale of such securities in any state or jurisdiction in which such an offer, solicitation or sale would be unlawful prior to registration or qualification under the securities laws of any such state or jurisdiction.</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Current Report on Form 8-K contains forward-looking statements that involve a number of risks and uncertainties. Important factors that could cause actual results to differ materially from those indicated by such forward-looking statements are set forth in Analog Devices’ Annual Report on Form 10-K for the fiscal year ended October 31, 2020 and Quarterly Report on Form 10-Q for the quarter ended July 31, 2021 under the section “Risk Factors,” which are on file with the SEC. All statements other than statements of historical fact are statements that</w:t>
      </w:r>
    </w:p>
    <w:p>
      <w:pPr>
        <w:sectPr>
          <w:pgSz w:w="11900" w:h="16838" w:orient="portrait"/>
          <w:cols w:equalWidth="0" w:num="1">
            <w:col w:w="10980"/>
          </w:cols>
          <w:pgMar w:left="440" w:top="297" w:right="479" w:bottom="1440" w:gutter="0" w:footer="0" w:header="0"/>
        </w:sectPr>
      </w:pPr>
    </w:p>
    <w:bookmarkStart w:id="2" w:name="page3"/>
    <w:bookmarkEnd w:id="2"/>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completion of the offering on the terms described, if at all; our expected use of the proceeds from the offering;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the section entitled “Risk Factors” and elsewhere in our Annual Reports on Form 10-K and Quarterly Reports on</w:t>
      </w:r>
    </w:p>
    <w:p>
      <w:pPr>
        <w:spacing w:after="0" w:line="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Current Report on Form 8-K, except to the extent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2"/>
                <w:szCs w:val="22"/>
                <w:color w:val="auto"/>
              </w:rPr>
            </w:pPr>
          </w:p>
        </w:tc>
        <w:tc>
          <w:tcPr>
            <w:tcW w:w="9560" w:type="dxa"/>
            <w:vAlign w:val="bottom"/>
            <w:tcBorders>
              <w:top w:val="single" w:sz="8" w:color="auto"/>
            </w:tcBorders>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Underwriting Agreement, dated September 28, 2021.</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300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Press Release, dated September 28, 2021.</w:t>
              </w:r>
            </w:hyperlink>
          </w:p>
        </w:tc>
        <w:tc>
          <w:tcPr>
            <w:tcW w:w="820" w:type="dxa"/>
            <w:vAlign w:val="bottom"/>
            <w:tcBorders>
              <w:top w:val="single" w:sz="8" w:color="0000EE"/>
            </w:tcBorders>
          </w:tcPr>
          <w:p>
            <w:pPr>
              <w:spacing w:after="0"/>
              <w:rPr>
                <w:sz w:val="24"/>
                <w:szCs w:val="24"/>
                <w:color w:val="auto"/>
              </w:rPr>
            </w:pPr>
          </w:p>
        </w:tc>
        <w:tc>
          <w:tcPr>
            <w:tcW w:w="574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3000" w:type="dxa"/>
            <w:vAlign w:val="bottom"/>
            <w:tcBorders>
              <w:bottom w:val="single" w:sz="8" w:color="0000EE"/>
            </w:tcBorders>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Press Release, dated September 28, 2021.</w:t>
              </w:r>
            </w:hyperlink>
          </w:p>
        </w:tc>
        <w:tc>
          <w:tcPr>
            <w:tcW w:w="6560" w:type="dxa"/>
            <w:vAlign w:val="bottom"/>
            <w:gridSpan w:val="2"/>
          </w:tcPr>
          <w:p>
            <w:pPr>
              <w:spacing w:after="0"/>
              <w:rPr>
                <w:sz w:val="24"/>
                <w:szCs w:val="24"/>
                <w:color w:val="auto"/>
              </w:rPr>
            </w:pPr>
          </w:p>
        </w:tc>
      </w:tr>
    </w:tbl>
    <w:p>
      <w:pPr>
        <w:sectPr>
          <w:pgSz w:w="11900" w:h="16838" w:orient="portrait"/>
          <w:cols w:equalWidth="0" w:num="1">
            <w:col w:w="11020"/>
          </w:cols>
          <w:pgMar w:left="440" w:top="301" w:right="4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720" w:type="dxa"/>
            <w:vAlign w:val="bottom"/>
            <w:gridSpan w:val="2"/>
          </w:tcPr>
          <w:p>
            <w:pPr>
              <w:ind w:left="1660"/>
              <w:spacing w:after="0"/>
              <w:rPr>
                <w:sz w:val="20"/>
                <w:szCs w:val="20"/>
                <w:color w:val="auto"/>
              </w:rPr>
            </w:pPr>
            <w:r>
              <w:rPr>
                <w:rFonts w:ascii="Arial" w:cs="Arial" w:eastAsia="Arial" w:hAnsi="Arial"/>
                <w:sz w:val="18"/>
                <w:szCs w:val="18"/>
                <w:color w:val="auto"/>
              </w:rPr>
              <w:t>ANALOG DEVICES,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September 29, 2021</w:t>
            </w:r>
          </w:p>
        </w:tc>
        <w:tc>
          <w:tcPr>
            <w:tcW w:w="2320" w:type="dxa"/>
            <w:vAlign w:val="bottom"/>
          </w:tcPr>
          <w:p>
            <w:pPr>
              <w:ind w:left="1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r>
      <w:tr>
        <w:trPr>
          <w:trHeight w:val="209"/>
        </w:trPr>
        <w:tc>
          <w:tcPr>
            <w:tcW w:w="3540" w:type="dxa"/>
            <w:vAlign w:val="bottom"/>
          </w:tcPr>
          <w:p>
            <w:pPr>
              <w:spacing w:after="0"/>
              <w:rPr>
                <w:sz w:val="18"/>
                <w:szCs w:val="18"/>
                <w:color w:val="auto"/>
              </w:rPr>
            </w:pPr>
          </w:p>
        </w:tc>
        <w:tc>
          <w:tcPr>
            <w:tcW w:w="2320" w:type="dxa"/>
            <w:vAlign w:val="bottom"/>
          </w:tcPr>
          <w:p>
            <w:pPr>
              <w:ind w:left="166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rPr>
                <w:sz w:val="20"/>
                <w:szCs w:val="20"/>
                <w:color w:val="auto"/>
              </w:rPr>
            </w:pPr>
            <w:r>
              <w:rPr>
                <w:rFonts w:ascii="Arial" w:cs="Arial" w:eastAsia="Arial" w:hAnsi="Arial"/>
                <w:sz w:val="18"/>
                <w:szCs w:val="18"/>
                <w:color w:val="auto"/>
              </w:rPr>
              <w:t>Prashanth Mahendra-Rajah</w:t>
            </w:r>
          </w:p>
        </w:tc>
      </w:tr>
      <w:tr>
        <w:trPr>
          <w:trHeight w:val="230"/>
        </w:trPr>
        <w:tc>
          <w:tcPr>
            <w:tcW w:w="3540" w:type="dxa"/>
            <w:vAlign w:val="bottom"/>
          </w:tcPr>
          <w:p>
            <w:pPr>
              <w:spacing w:after="0"/>
              <w:rPr>
                <w:sz w:val="20"/>
                <w:szCs w:val="20"/>
                <w:color w:val="auto"/>
              </w:rPr>
            </w:pPr>
          </w:p>
        </w:tc>
        <w:tc>
          <w:tcPr>
            <w:tcW w:w="2320" w:type="dxa"/>
            <w:vAlign w:val="bottom"/>
          </w:tcPr>
          <w:p>
            <w:pPr>
              <w:ind w:left="1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w w:val="94"/>
              </w:rPr>
              <w:t>Senior Vice President, Finance and Chief Financial Officer</w:t>
            </w:r>
          </w:p>
        </w:tc>
      </w:tr>
    </w:tbl>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$500,000,000 Floating Rate Senior Notes due October 1, 2024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1.700% Sustainability-Linked Senior Notes due October 1, 2028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$1,000,000,000 2.100% Senior Notes due October 1, 2031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2.800% Senior Notes due October 1, 2041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$1,000,000,000 2.950% Senior Notes due October 1, 2051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TANLEY</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OF</w:t>
      </w:r>
      <w:r>
        <w:rPr>
          <w:rFonts w:ascii="Arial" w:cs="Arial" w:eastAsia="Arial" w:hAnsi="Arial"/>
          <w:sz w:val="18"/>
          <w:szCs w:val="18"/>
          <w:color w:val="auto"/>
        </w:rPr>
        <w:t>A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w:t>
      </w:r>
      <w:r>
        <w:rPr>
          <w:rFonts w:ascii="Arial" w:cs="Arial" w:eastAsia="Arial" w:hAnsi="Arial"/>
          <w:sz w:val="14"/>
          <w:szCs w:val="14"/>
          <w:color w:val="auto"/>
        </w:rPr>
        <w:t>ARIBAS</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10036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jc w:val="center"/>
        <w:ind w:right="8640"/>
        <w:spacing w:after="0"/>
        <w:rPr>
          <w:sz w:val="20"/>
          <w:szCs w:val="20"/>
          <w:color w:val="auto"/>
        </w:rPr>
      </w:pPr>
      <w:r>
        <w:rPr>
          <w:rFonts w:ascii="Arial" w:cs="Arial" w:eastAsia="Arial" w:hAnsi="Arial"/>
          <w:sz w:val="16"/>
          <w:szCs w:val="16"/>
          <w:color w:val="auto"/>
        </w:rPr>
        <w:t>c/o BNP Paribas Securities Corp.</w:t>
      </w:r>
    </w:p>
    <w:p>
      <w:pPr>
        <w:spacing w:after="0" w:line="46" w:lineRule="exact"/>
        <w:rPr>
          <w:sz w:val="20"/>
          <w:szCs w:val="20"/>
          <w:color w:val="auto"/>
        </w:rPr>
      </w:pPr>
    </w:p>
    <w:p>
      <w:pPr>
        <w:jc w:val="center"/>
        <w:ind w:right="86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36"/>
        <w:spacing w:after="0" w:line="298"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Introductory</w:t>
      </w:r>
      <w:r>
        <w:rPr>
          <w:rFonts w:ascii="Arial" w:cs="Arial" w:eastAsia="Arial" w:hAnsi="Arial"/>
          <w:sz w:val="16"/>
          <w:szCs w:val="16"/>
          <w:color w:val="auto"/>
        </w:rPr>
        <w:t>. Analog Devices, Inc., a Massachusetts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agrees with the several Underwriters named in Schedule A</w:t>
      </w:r>
      <w:r>
        <w:rPr>
          <w:rFonts w:ascii="Arial" w:cs="Arial" w:eastAsia="Arial" w:hAnsi="Arial"/>
          <w:sz w:val="16"/>
          <w:szCs w:val="16"/>
          <w:i w:val="1"/>
          <w:iCs w:val="1"/>
          <w:color w:val="auto"/>
        </w:rPr>
        <w:t xml:space="preserve"> </w:t>
      </w:r>
      <w:r>
        <w:rPr>
          <w:rFonts w:ascii="Arial" w:cs="Arial" w:eastAsia="Arial" w:hAnsi="Arial"/>
          <w:sz w:val="16"/>
          <w:szCs w:val="16"/>
          <w:color w:val="auto"/>
        </w:rPr>
        <w:t>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Morgan Stanley &amp; Co. LLC, Citigroup Global Markets Inc., BofA Securities, Inc., J.P. Morgan Securities LLC and BNP Paribas Securities Corp. are acting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to issue and sell to the several Underwriters $500,000,000 principal amount of its Floating Rate Senior Notes due October 1, 2024 (the “</w:t>
      </w:r>
      <w:r>
        <w:rPr>
          <w:rFonts w:ascii="Arial" w:cs="Arial" w:eastAsia="Arial" w:hAnsi="Arial"/>
          <w:sz w:val="16"/>
          <w:szCs w:val="16"/>
          <w:b w:val="1"/>
          <w:bCs w:val="1"/>
          <w:color w:val="auto"/>
        </w:rPr>
        <w:t>2024 Securities</w:t>
      </w:r>
      <w:r>
        <w:rPr>
          <w:rFonts w:ascii="Arial" w:cs="Arial" w:eastAsia="Arial" w:hAnsi="Arial"/>
          <w:sz w:val="16"/>
          <w:szCs w:val="16"/>
          <w:color w:val="auto"/>
        </w:rPr>
        <w:t>”), $750,000,000 principal amount of its 1.700% Sustainability-Linked Senior Notes due October 1, 2028 (the “</w:t>
      </w:r>
      <w:r>
        <w:rPr>
          <w:rFonts w:ascii="Arial" w:cs="Arial" w:eastAsia="Arial" w:hAnsi="Arial"/>
          <w:sz w:val="16"/>
          <w:szCs w:val="16"/>
          <w:b w:val="1"/>
          <w:bCs w:val="1"/>
          <w:color w:val="auto"/>
        </w:rPr>
        <w:t>2028 Securities</w:t>
      </w:r>
      <w:r>
        <w:rPr>
          <w:rFonts w:ascii="Arial" w:cs="Arial" w:eastAsia="Arial" w:hAnsi="Arial"/>
          <w:sz w:val="16"/>
          <w:szCs w:val="16"/>
          <w:color w:val="auto"/>
        </w:rPr>
        <w:t>”), $1,000,000,000 principal amount of its 2.100% Senior Notes due</w:t>
      </w:r>
    </w:p>
    <w:p>
      <w:pPr>
        <w:sectPr>
          <w:pgSz w:w="11900" w:h="16838" w:orient="portrait"/>
          <w:cols w:equalWidth="0" w:num="1">
            <w:col w:w="11020"/>
          </w:cols>
          <w:pgMar w:left="440" w:top="121" w:right="43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1, 2031 (the “</w:t>
      </w:r>
      <w:r>
        <w:rPr>
          <w:rFonts w:ascii="Arial" w:cs="Arial" w:eastAsia="Arial" w:hAnsi="Arial"/>
          <w:sz w:val="18"/>
          <w:szCs w:val="18"/>
          <w:b w:val="1"/>
          <w:bCs w:val="1"/>
          <w:color w:val="auto"/>
        </w:rPr>
        <w:t>2031 Securities</w:t>
      </w:r>
      <w:r>
        <w:rPr>
          <w:rFonts w:ascii="Arial" w:cs="Arial" w:eastAsia="Arial" w:hAnsi="Arial"/>
          <w:sz w:val="18"/>
          <w:szCs w:val="18"/>
          <w:color w:val="auto"/>
        </w:rPr>
        <w:t>”), $750,000,000 principal amount of its 2.800% Senior Notes due October 1, 2041 (the “</w:t>
      </w:r>
      <w:r>
        <w:rPr>
          <w:rFonts w:ascii="Arial" w:cs="Arial" w:eastAsia="Arial" w:hAnsi="Arial"/>
          <w:sz w:val="18"/>
          <w:szCs w:val="18"/>
          <w:b w:val="1"/>
          <w:bCs w:val="1"/>
          <w:color w:val="auto"/>
        </w:rPr>
        <w:t>2041 Securities</w:t>
      </w:r>
      <w:r>
        <w:rPr>
          <w:rFonts w:ascii="Arial" w:cs="Arial" w:eastAsia="Arial" w:hAnsi="Arial"/>
          <w:sz w:val="18"/>
          <w:szCs w:val="18"/>
          <w:color w:val="auto"/>
        </w:rPr>
        <w:t>”) and $1,000,000,000 principal amount of its 2.950% Senior Notes due October 1, 2051 (the “</w:t>
      </w:r>
      <w:r>
        <w:rPr>
          <w:rFonts w:ascii="Arial" w:cs="Arial" w:eastAsia="Arial" w:hAnsi="Arial"/>
          <w:sz w:val="18"/>
          <w:szCs w:val="18"/>
          <w:b w:val="1"/>
          <w:bCs w:val="1"/>
          <w:color w:val="auto"/>
        </w:rPr>
        <w:t>2051 Securities</w:t>
      </w:r>
      <w:r>
        <w:rPr>
          <w:rFonts w:ascii="Arial" w:cs="Arial" w:eastAsia="Arial" w:hAnsi="Arial"/>
          <w:sz w:val="18"/>
          <w:szCs w:val="18"/>
          <w:color w:val="auto"/>
        </w:rPr>
        <w:t>” and, together with the 2024 Securities, the 2028 Securities, the 2031 Securities and the 2041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shall be issued under an indenture, dated as of June 3, 2013 (the “</w:t>
      </w:r>
      <w:r>
        <w:rPr>
          <w:rFonts w:ascii="Arial" w:cs="Arial" w:eastAsia="Arial" w:hAnsi="Arial"/>
          <w:sz w:val="18"/>
          <w:szCs w:val="18"/>
          <w:b w:val="1"/>
          <w:bCs w:val="1"/>
          <w:color w:val="auto"/>
        </w:rPr>
        <w:t>Base Indenture</w:t>
      </w:r>
      <w:r>
        <w:rPr>
          <w:rFonts w:ascii="Arial" w:cs="Arial" w:eastAsia="Arial" w:hAnsi="Arial"/>
          <w:sz w:val="18"/>
          <w:szCs w:val="18"/>
          <w:color w:val="auto"/>
        </w:rPr>
        <w:t>”), as supplemented by a supplemental indenture (the “</w:t>
      </w:r>
      <w:r>
        <w:rPr>
          <w:rFonts w:ascii="Arial" w:cs="Arial" w:eastAsia="Arial" w:hAnsi="Arial"/>
          <w:sz w:val="18"/>
          <w:szCs w:val="18"/>
          <w:b w:val="1"/>
          <w:b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to be dated as of the Closing Date (as defined below) between the Company and The Bank of New York Mellon Trust Company, N.A.,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91" w:lineRule="exact"/>
        <w:rPr>
          <w:sz w:val="20"/>
          <w:szCs w:val="20"/>
          <w:color w:val="auto"/>
        </w:rPr>
      </w:pPr>
    </w:p>
    <w:p>
      <w:pPr>
        <w:ind w:left="620" w:hanging="18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the several Underwriters that:</w:t>
      </w:r>
    </w:p>
    <w:p>
      <w:pPr>
        <w:spacing w:after="0" w:line="140" w:lineRule="exact"/>
        <w:rPr>
          <w:rFonts w:ascii="Arial" w:cs="Arial" w:eastAsia="Arial" w:hAnsi="Arial"/>
          <w:sz w:val="16"/>
          <w:szCs w:val="16"/>
          <w:color w:val="auto"/>
        </w:rPr>
      </w:pPr>
    </w:p>
    <w:p>
      <w:pPr>
        <w:ind w:left="440" w:right="40" w:firstLine="419"/>
        <w:spacing w:after="0" w:line="271" w:lineRule="auto"/>
        <w:tabs>
          <w:tab w:leader="none" w:pos="1107"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Filing and Effectiveness of Registration Statement; Certain Defined Terms</w:t>
      </w:r>
      <w:r>
        <w:rPr>
          <w:rFonts w:ascii="Arial" w:cs="Arial" w:eastAsia="Arial" w:hAnsi="Arial"/>
          <w:sz w:val="17"/>
          <w:szCs w:val="17"/>
          <w:color w:val="auto"/>
        </w:rPr>
        <w:t>. The Company has filed with the Securities and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S-3 (No. 333-259782), including a related prospectus or prospectuses, covering the registration of the Securities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which has become effective.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at any particular time means such registration statement in the form then filed with the Commission, including any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any document incorporated by reference therein and all 430B Information and all 430C Information with respect to such registration statement, that in any case has not been superseded or modified.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without reference to a time means the Registration Statement as of the Effective Time (as defined below). For purposes of this definition, 430B Information shall be considered to be included in the Registration Statement as of the time specified in Rule 430B.</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purposes of this Underwriting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17" w:lineRule="exact"/>
        <w:rPr>
          <w:sz w:val="20"/>
          <w:szCs w:val="20"/>
          <w:color w:val="auto"/>
        </w:rPr>
      </w:pPr>
    </w:p>
    <w:p>
      <w:pPr>
        <w:ind w:left="440" w:right="1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430B Information</w:t>
      </w:r>
      <w:r>
        <w:rPr>
          <w:rFonts w:ascii="Arial" w:cs="Arial" w:eastAsia="Arial" w:hAnsi="Arial"/>
          <w:sz w:val="18"/>
          <w:szCs w:val="18"/>
          <w:color w:val="auto"/>
        </w:rPr>
        <w:t>” means information included in a prospectus then deemed to be a part of the Registration Statement pursuant to Rule 430B(e) or retroactively deemed to be a part of the Registration Statement pursuant to Rule 430B(f).</w:t>
      </w:r>
    </w:p>
    <w:p>
      <w:pPr>
        <w:spacing w:after="0" w:line="54" w:lineRule="exact"/>
        <w:rPr>
          <w:sz w:val="20"/>
          <w:szCs w:val="20"/>
          <w:color w:val="auto"/>
        </w:rPr>
      </w:pPr>
    </w:p>
    <w:p>
      <w:pPr>
        <w:ind w:left="440" w:right="1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430C Information</w:t>
      </w:r>
      <w:r>
        <w:rPr>
          <w:rFonts w:ascii="Arial" w:cs="Arial" w:eastAsia="Arial" w:hAnsi="Arial"/>
          <w:sz w:val="18"/>
          <w:szCs w:val="18"/>
          <w:color w:val="auto"/>
        </w:rPr>
        <w:t>” means information included in a prospectus then deemed to be a part of the Registration Statement pursuant to Rule 430C.</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5:45 p.m. (New York City time) on the date of this Agreement.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defined in Section 3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Time</w:t>
      </w:r>
      <w:r>
        <w:rPr>
          <w:rFonts w:ascii="Arial" w:cs="Arial" w:eastAsia="Arial" w:hAnsi="Arial"/>
          <w:sz w:val="17"/>
          <w:szCs w:val="17"/>
          <w:color w:val="auto"/>
        </w:rPr>
        <w:t>” of the Registration Statement relating to the Securities means the time of the first contract of sale for the Securities.</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Rules</w:t>
      </w:r>
      <w:r>
        <w:rPr>
          <w:rFonts w:ascii="Arial" w:cs="Arial" w:eastAsia="Arial" w:hAnsi="Arial"/>
          <w:sz w:val="18"/>
          <w:szCs w:val="18"/>
          <w:color w:val="auto"/>
        </w:rPr>
        <w:t>” means the rules of the Nasdaq Stock Market.</w:t>
      </w:r>
    </w:p>
    <w:p>
      <w:pPr>
        <w:spacing w:after="0" w:line="117" w:lineRule="exact"/>
        <w:rPr>
          <w:sz w:val="20"/>
          <w:szCs w:val="20"/>
          <w:color w:val="auto"/>
        </w:rPr>
      </w:pPr>
    </w:p>
    <w:p>
      <w:pPr>
        <w:ind w:left="440" w:right="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430B Information and other final terms of the Securities and otherwise satisfies Section 10(a) of the Act.</w:t>
      </w:r>
    </w:p>
    <w:p>
      <w:pPr>
        <w:spacing w:after="0" w:line="54" w:lineRule="exact"/>
        <w:rPr>
          <w:sz w:val="20"/>
          <w:szCs w:val="20"/>
          <w:color w:val="auto"/>
        </w:rPr>
      </w:pPr>
    </w:p>
    <w:p>
      <w:pPr>
        <w:ind w:left="440" w:right="4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B to this Agreement.</w:t>
      </w:r>
    </w:p>
    <w:p>
      <w:pPr>
        <w:spacing w:after="0" w:line="54" w:lineRule="exact"/>
        <w:rPr>
          <w:sz w:val="20"/>
          <w:szCs w:val="20"/>
          <w:color w:val="auto"/>
        </w:rPr>
      </w:pPr>
    </w:p>
    <w:p>
      <w:pPr>
        <w:ind w:left="44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any “issuer free writing prospectus,” as defined in Rule 433, relating to the Securities in the form filed or required to be filed with the Commission or, if not required to be filed, in the form retained in the Company’s records pursuant to Rule 433(g).</w:t>
      </w:r>
    </w:p>
    <w:p>
      <w:pPr>
        <w:spacing w:after="0" w:line="68" w:lineRule="exact"/>
        <w:rPr>
          <w:sz w:val="20"/>
          <w:szCs w:val="20"/>
          <w:color w:val="auto"/>
        </w:rPr>
      </w:pPr>
    </w:p>
    <w:p>
      <w:pPr>
        <w:ind w:left="440" w:right="2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Use Issuer Free Writing Prospectus</w:t>
      </w:r>
      <w:r>
        <w:rPr>
          <w:rFonts w:ascii="Arial" w:cs="Arial" w:eastAsia="Arial" w:hAnsi="Arial"/>
          <w:sz w:val="18"/>
          <w:szCs w:val="18"/>
          <w:color w:val="auto"/>
        </w:rPr>
        <w:t>” means any Issuer Free Writing Prospectus that is not a General Use Issuer Free Writing Prospectus.</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rules and regulations of the Commission.</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6" w:name="page7"/>
    <w:bookmarkEnd w:id="6"/>
    <w:p>
      <w:pPr>
        <w:ind w:right="340" w:firstLine="42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Securities Laws</w:t>
      </w:r>
      <w:r>
        <w:rPr>
          <w:rFonts w:ascii="Arial" w:cs="Arial" w:eastAsia="Arial" w:hAnsi="Arial"/>
          <w:sz w:val="18"/>
          <w:szCs w:val="18"/>
          <w:color w:val="auto"/>
        </w:rPr>
        <w:t>” means, collectively, the Sarbanes-Oxley Act of 2002 (“</w:t>
      </w:r>
      <w:r>
        <w:rPr>
          <w:rFonts w:ascii="Arial" w:cs="Arial" w:eastAsia="Arial" w:hAnsi="Arial"/>
          <w:sz w:val="18"/>
          <w:szCs w:val="18"/>
          <w:b w:val="1"/>
          <w:bCs w:val="1"/>
          <w:color w:val="auto"/>
        </w:rPr>
        <w:t>Sarbanes-Oxley</w:t>
      </w:r>
      <w:r>
        <w:rPr>
          <w:rFonts w:ascii="Arial" w:cs="Arial" w:eastAsia="Arial" w:hAnsi="Arial"/>
          <w:sz w:val="18"/>
          <w:szCs w:val="18"/>
          <w:color w:val="auto"/>
        </w:rPr>
        <w:t>”), the Act, the Exchange Act, the Rules and Regulations and the auditing principles, rules, standards and practices applicable to auditors of “issuers” (as defined in Sarbanes-Oxley) promulgated or approved by the Public Company Accounting Oversight Board.</w:t>
      </w:r>
    </w:p>
    <w:p>
      <w:pPr>
        <w:spacing w:after="0" w:line="68" w:lineRule="exact"/>
        <w:rPr>
          <w:sz w:val="20"/>
          <w:szCs w:val="20"/>
          <w:color w:val="auto"/>
        </w:rPr>
      </w:pPr>
    </w:p>
    <w:p>
      <w:pPr>
        <w:ind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with reference to any particular time means the prospectus relating to the Securities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75"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121" w:lineRule="exact"/>
        <w:rPr>
          <w:sz w:val="20"/>
          <w:szCs w:val="20"/>
          <w:color w:val="auto"/>
        </w:rPr>
      </w:pPr>
    </w:p>
    <w:p>
      <w:pPr>
        <w:jc w:val="center"/>
        <w:ind w:right="4260"/>
        <w:spacing w:after="0"/>
        <w:rPr>
          <w:sz w:val="20"/>
          <w:szCs w:val="20"/>
          <w:color w:val="auto"/>
        </w:rPr>
      </w:pPr>
      <w:r>
        <w:rPr>
          <w:rFonts w:ascii="Arial" w:cs="Arial" w:eastAsia="Arial" w:hAnsi="Arial"/>
          <w:sz w:val="16"/>
          <w:szCs w:val="16"/>
          <w:color w:val="auto"/>
        </w:rPr>
        <w:t>Unless otherwise specified, a reference to a “rule” is to the indicated rule under the Act.</w:t>
      </w:r>
    </w:p>
    <w:p>
      <w:pPr>
        <w:spacing w:after="0" w:line="140" w:lineRule="exact"/>
        <w:rPr>
          <w:sz w:val="20"/>
          <w:szCs w:val="20"/>
          <w:color w:val="auto"/>
        </w:rPr>
      </w:pPr>
    </w:p>
    <w:p>
      <w:pPr>
        <w:ind w:firstLine="419"/>
        <w:spacing w:after="0" w:line="269"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Compliance with Securities Act Requirements</w:t>
      </w:r>
      <w:r>
        <w:rPr>
          <w:rFonts w:ascii="Arial" w:cs="Arial" w:eastAsia="Arial" w:hAnsi="Arial"/>
          <w:sz w:val="17"/>
          <w:szCs w:val="17"/>
          <w:color w:val="auto"/>
        </w:rPr>
        <w:t>. (i) (A) At the time the Registration Statement initially became effective, (B)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amendment thereto for the purposes of complying with Section 10(a)(3) of the Act (whether by post-effective amendment, incorporated report or form of prospectus), (C) at the Effective Time relating to the Securities and (D) on the Closing Date, the Registration Statement conformed and will conform in all material respects to the requirements of the Act, the Trust Indenture Act and the Rules and Regulations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the Trust Indenture Act and the Rules and Regulations, and will not include any untrue statement of a material fact or omit to state any material fact required to be stated therein or necessary to make the statements therein, in the light of the circumstances under which they were made,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8(b) hereof.</w:t>
      </w:r>
    </w:p>
    <w:p>
      <w:pPr>
        <w:spacing w:after="0" w:line="70" w:lineRule="exact"/>
        <w:rPr>
          <w:rFonts w:ascii="Arial" w:cs="Arial" w:eastAsia="Arial" w:hAnsi="Arial"/>
          <w:sz w:val="17"/>
          <w:szCs w:val="17"/>
          <w:color w:val="auto"/>
        </w:rPr>
      </w:pPr>
    </w:p>
    <w:p>
      <w:pPr>
        <w:ind w:firstLine="419"/>
        <w:spacing w:after="0" w:line="255"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Automatic Shelf Registration Statement</w:t>
      </w:r>
      <w:r>
        <w:rPr>
          <w:rFonts w:ascii="Arial" w:cs="Arial" w:eastAsia="Arial" w:hAnsi="Arial"/>
          <w:sz w:val="18"/>
          <w:szCs w:val="18"/>
          <w:color w:val="auto"/>
        </w:rPr>
        <w:t>. (i)</w:t>
      </w:r>
      <w:r>
        <w:rPr>
          <w:rFonts w:ascii="Arial" w:cs="Arial" w:eastAsia="Arial" w:hAnsi="Arial"/>
          <w:sz w:val="18"/>
          <w:szCs w:val="18"/>
          <w:i w:val="1"/>
          <w:iCs w:val="1"/>
          <w:color w:val="auto"/>
        </w:rPr>
        <w:t xml:space="preserve"> Well-Known Seasoned Issuer Status</w:t>
      </w:r>
      <w:r>
        <w:rPr>
          <w:rFonts w:ascii="Arial" w:cs="Arial" w:eastAsia="Arial" w:hAnsi="Arial"/>
          <w:sz w:val="18"/>
          <w:szCs w:val="18"/>
          <w:color w:val="auto"/>
        </w:rPr>
        <w:t>. (A) At the time of initial filing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Securities in reliance on the exemption of Rule 163, the Company was a “well- known seasoned issuer” as defined in Rule 405, including not having been an “ineligible issuer” as defined in Rule 405.</w:t>
      </w:r>
    </w:p>
    <w:p>
      <w:pPr>
        <w:spacing w:after="0" w:line="84" w:lineRule="exact"/>
        <w:rPr>
          <w:rFonts w:ascii="Arial" w:cs="Arial" w:eastAsia="Arial" w:hAnsi="Arial"/>
          <w:sz w:val="18"/>
          <w:szCs w:val="18"/>
          <w:color w:val="auto"/>
        </w:rPr>
      </w:pPr>
    </w:p>
    <w:p>
      <w:pPr>
        <w:ind w:left="540" w:right="820" w:firstLine="408"/>
        <w:spacing w:after="0" w:line="342" w:lineRule="auto"/>
        <w:tabs>
          <w:tab w:leader="none" w:pos="1206"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Effectiveness of Automatic Shelf Registration Statement</w:t>
      </w:r>
      <w:r>
        <w:rPr>
          <w:rFonts w:ascii="Arial" w:cs="Arial" w:eastAsia="Arial" w:hAnsi="Arial"/>
          <w:sz w:val="16"/>
          <w:szCs w:val="16"/>
          <w:color w:val="auto"/>
        </w:rPr>
        <w:t>. The Registration Statement is an “automatic shelf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defined in Rule 405, that initially became effective within three years of the date of this Agreement.</w:t>
      </w:r>
    </w:p>
    <w:p>
      <w:pPr>
        <w:spacing w:after="0" w:line="15" w:lineRule="exact"/>
        <w:rPr>
          <w:rFonts w:ascii="Arial" w:cs="Arial" w:eastAsia="Arial" w:hAnsi="Arial"/>
          <w:sz w:val="16"/>
          <w:szCs w:val="16"/>
          <w:color w:val="auto"/>
        </w:rPr>
      </w:pPr>
    </w:p>
    <w:p>
      <w:pPr>
        <w:ind w:left="540" w:right="60" w:firstLine="408"/>
        <w:spacing w:after="0" w:line="255" w:lineRule="auto"/>
        <w:tabs>
          <w:tab w:leader="none" w:pos="1256"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Eligibility to Use Automatic Shelf Registration Form</w:t>
      </w:r>
      <w:r>
        <w:rPr>
          <w:rFonts w:ascii="Arial" w:cs="Arial" w:eastAsia="Arial" w:hAnsi="Arial"/>
          <w:sz w:val="18"/>
          <w:szCs w:val="18"/>
          <w:color w:val="auto"/>
        </w:rPr>
        <w:t>. The Company has not received from the Commission any notice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Rule 401(g)(2) objecting to use of the automatic shelf registration statement form. If at any time when the Securities remain unsold by the Underwriters the Company 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Securities, in a form satisfactory to the Representatives, (iii) use its best efforts to cause</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ind w:left="54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registration statement or post-effective amendment to be declared effective as soon as practicable, and (iv) promptly notify the Representatives of such effectiveness. The Company will take all other action necessary or appropriate to permit the public offering and sale of the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80" w:lineRule="exact"/>
        <w:rPr>
          <w:sz w:val="20"/>
          <w:szCs w:val="20"/>
          <w:color w:val="auto"/>
        </w:rPr>
      </w:pPr>
    </w:p>
    <w:p>
      <w:pPr>
        <w:ind w:left="544" w:right="280" w:firstLine="408"/>
        <w:spacing w:after="0" w:line="308" w:lineRule="auto"/>
        <w:tabs>
          <w:tab w:leader="none" w:pos="1249" w:val="left"/>
        </w:tabs>
        <w:numPr>
          <w:ilvl w:val="2"/>
          <w:numId w:val="6"/>
        </w:numPr>
        <w:rPr>
          <w:rFonts w:ascii="Arial" w:cs="Arial" w:eastAsia="Arial" w:hAnsi="Arial"/>
          <w:sz w:val="17"/>
          <w:szCs w:val="17"/>
          <w:color w:val="auto"/>
        </w:rPr>
      </w:pPr>
      <w:r>
        <w:rPr>
          <w:rFonts w:ascii="Arial" w:cs="Arial" w:eastAsia="Arial" w:hAnsi="Arial"/>
          <w:sz w:val="17"/>
          <w:szCs w:val="17"/>
          <w:i w:val="1"/>
          <w:iCs w:val="1"/>
          <w:color w:val="auto"/>
        </w:rPr>
        <w:t>Filing Fees</w:t>
      </w:r>
      <w:r>
        <w:rPr>
          <w:rFonts w:ascii="Arial" w:cs="Arial" w:eastAsia="Arial" w:hAnsi="Arial"/>
          <w:sz w:val="17"/>
          <w:szCs w:val="17"/>
          <w:color w:val="auto"/>
        </w:rPr>
        <w:t>. The Company has paid or shall pay the required Commission filing fees relating to the Securities within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Rule 456(b)(1) without regard to the proviso therein and otherwise in accordance with Rules 456(b) and 457(r).</w:t>
      </w:r>
    </w:p>
    <w:p>
      <w:pPr>
        <w:spacing w:after="0" w:line="38" w:lineRule="exact"/>
        <w:rPr>
          <w:rFonts w:ascii="Arial" w:cs="Arial" w:eastAsia="Arial" w:hAnsi="Arial"/>
          <w:sz w:val="17"/>
          <w:szCs w:val="17"/>
          <w:color w:val="auto"/>
        </w:rPr>
      </w:pPr>
    </w:p>
    <w:p>
      <w:pPr>
        <w:ind w:left="4" w:right="140" w:firstLine="419"/>
        <w:spacing w:after="0" w:line="263" w:lineRule="auto"/>
        <w:tabs>
          <w:tab w:leader="none" w:pos="681"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Ineligible Issuer Status</w:t>
      </w:r>
      <w:r>
        <w:rPr>
          <w:rFonts w:ascii="Arial" w:cs="Arial" w:eastAsia="Arial" w:hAnsi="Arial"/>
          <w:sz w:val="18"/>
          <w:szCs w:val="18"/>
          <w:color w:val="auto"/>
        </w:rPr>
        <w:t>. (i) At the earliest time after the filing of the Registration Statement that the Company or another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made a bona fide offer (within the meaning of Rule 164(h)(2) of the Act) and (ii) at the date of this Agreement, the Company was not and is not an “ineligible issuer,” as defined in Rule 405.</w:t>
      </w:r>
    </w:p>
    <w:p>
      <w:pPr>
        <w:spacing w:after="0" w:line="75" w:lineRule="exact"/>
        <w:rPr>
          <w:rFonts w:ascii="Arial" w:cs="Arial" w:eastAsia="Arial" w:hAnsi="Arial"/>
          <w:sz w:val="18"/>
          <w:szCs w:val="18"/>
          <w:color w:val="auto"/>
        </w:rPr>
      </w:pPr>
    </w:p>
    <w:p>
      <w:pPr>
        <w:jc w:val="both"/>
        <w:ind w:left="4" w:right="20" w:firstLine="419"/>
        <w:spacing w:after="0" w:line="286" w:lineRule="auto"/>
        <w:tabs>
          <w:tab w:leader="none" w:pos="671"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General Disclosure Package</w:t>
      </w:r>
      <w:r>
        <w:rPr>
          <w:rFonts w:ascii="Arial" w:cs="Arial" w:eastAsia="Arial" w:hAnsi="Arial"/>
          <w:sz w:val="16"/>
          <w:szCs w:val="16"/>
          <w:color w:val="auto"/>
        </w:rPr>
        <w:t>. As of the Applicable Time, neither (i) the General Use Issuer Free Writing Prospectus(es) issued at or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Applicable Time and the preliminary prospectus supplement, dated September 28, 2021, including the base prospectus, dated September 24, 2021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6"/>
          <w:szCs w:val="16"/>
          <w:b w:val="1"/>
          <w:bCs w:val="1"/>
          <w:color w:val="auto"/>
        </w:rPr>
        <w:t>General Disclosure Package</w:t>
      </w:r>
      <w:r>
        <w:rPr>
          <w:rFonts w:ascii="Arial" w:cs="Arial" w:eastAsia="Arial" w:hAnsi="Arial"/>
          <w:sz w:val="16"/>
          <w:szCs w:val="16"/>
          <w:color w:val="auto"/>
        </w:rPr>
        <w:t>”), nor</w:t>
      </w:r>
    </w:p>
    <w:p>
      <w:pPr>
        <w:spacing w:after="0" w:line="1" w:lineRule="exact"/>
        <w:rPr>
          <w:rFonts w:ascii="Arial" w:cs="Arial" w:eastAsia="Arial" w:hAnsi="Arial"/>
          <w:sz w:val="16"/>
          <w:szCs w:val="16"/>
          <w:color w:val="auto"/>
        </w:rPr>
      </w:pPr>
    </w:p>
    <w:p>
      <w:pPr>
        <w:ind w:left="4" w:right="240" w:hanging="4"/>
        <w:spacing w:after="0" w:line="270" w:lineRule="auto"/>
        <w:tabs>
          <w:tab w:leader="none" w:pos="268"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70" w:lineRule="exact"/>
        <w:rPr>
          <w:rFonts w:ascii="Arial" w:cs="Arial" w:eastAsia="Arial" w:hAnsi="Arial"/>
          <w:sz w:val="17"/>
          <w:szCs w:val="17"/>
          <w:color w:val="auto"/>
        </w:rPr>
      </w:pPr>
    </w:p>
    <w:p>
      <w:pPr>
        <w:ind w:left="4" w:right="20" w:firstLine="419"/>
        <w:spacing w:after="0" w:line="284" w:lineRule="auto"/>
        <w:tabs>
          <w:tab w:leader="none" w:pos="651"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public offer and sale of the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prior to, or as of, the Closing Date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w:t>
      </w:r>
    </w:p>
    <w:p>
      <w:pPr>
        <w:ind w:left="4" w:right="160" w:hanging="4"/>
        <w:spacing w:after="0" w:line="290" w:lineRule="auto"/>
        <w:tabs>
          <w:tab w:leader="none" w:pos="21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has promptly notified or will promptly notify the Representatives and (ii) the Company has promptly amended or will promptly amend or supplement such Issuer Free Writing Prospectus to eliminate or correct such conflict, untrue statement or omission.</w:t>
      </w:r>
    </w:p>
    <w:p>
      <w:pPr>
        <w:spacing w:after="0" w:line="53" w:lineRule="exact"/>
        <w:rPr>
          <w:rFonts w:ascii="Arial" w:cs="Arial" w:eastAsia="Arial" w:hAnsi="Arial"/>
          <w:sz w:val="17"/>
          <w:szCs w:val="17"/>
          <w:color w:val="auto"/>
        </w:rPr>
      </w:pPr>
    </w:p>
    <w:p>
      <w:pPr>
        <w:ind w:left="4" w:firstLine="419"/>
        <w:spacing w:after="0" w:line="275" w:lineRule="auto"/>
        <w:tabs>
          <w:tab w:leader="none" w:pos="681"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Due Incorporation and Good Standing of the Company</w:t>
      </w:r>
      <w:r>
        <w:rPr>
          <w:rFonts w:ascii="Arial" w:cs="Arial" w:eastAsia="Arial" w:hAnsi="Arial"/>
          <w:sz w:val="17"/>
          <w:szCs w:val="17"/>
          <w:color w:val="auto"/>
        </w:rPr>
        <w:t>. The Company has been duly incorporated and is existing and in good 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laws of the Commonwealth of Massachusetts, with corporate power and authority to own its properties and conduct its business as described in the General Disclosure Package; and the Company is duly qualified to do business as a foreign corporation and in good standing in all other jurisdictions in which its ownership or lease of property or the conduct of its business requires such qualification, except where the failure to be so qualified would not, individually or in the aggregate, result in a Material Adverse Effect (as defined below).</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8" w:name="page9"/>
    <w:bookmarkEnd w:id="8"/>
    <w:p>
      <w:pPr>
        <w:ind w:right="20" w:firstLine="419"/>
        <w:spacing w:after="0" w:line="288" w:lineRule="auto"/>
        <w:tabs>
          <w:tab w:leader="none" w:pos="67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w:t>
      </w:r>
      <w:r>
        <w:rPr>
          <w:rFonts w:ascii="Arial" w:cs="Arial" w:eastAsia="Arial" w:hAnsi="Arial"/>
          <w:sz w:val="16"/>
          <w:szCs w:val="16"/>
          <w:color w:val="auto"/>
        </w:rPr>
        <w:t>. Each subsidiary of the Company has been duly incorporated or organized, as the case may be, and is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 jurisdiction of its incorporation or organization, as the case may be, with corporate power and authority to own its properties and conduct its business as described in the General Disclosure Package; each subsidiary of the Company is duly qualified to do business as a foreign corporation or other applicable entity in good standing in all other jurisdictions in which its ownership or lease of property or the conduct of its business requires such qualification and where such concepts of “due qualification” and “good standing” exist; all of the issued and outstanding capital stock or other equity interests of each subsidiary of the Company has been duly authorized and validly issued and is fully paid and nonassessable (to the extent that such concepts of “due authorization”, “valid issuance” and being “fully paid and nonassessable” exist in the jurisdiction in which such subsidiary is incorporated or organized, as the case may be); and the capital stock or other equity interests of each such subsidiary owned by the Company, directly or through subsidiaries, is owned free from liens, encumbrances and defects, except, in each case in this clause (h), as would not, individually or in the aggregate, result in a Material Adverse Effect.</w:t>
      </w:r>
    </w:p>
    <w:p>
      <w:pPr>
        <w:spacing w:after="0" w:line="60" w:lineRule="exact"/>
        <w:rPr>
          <w:rFonts w:ascii="Arial" w:cs="Arial" w:eastAsia="Arial" w:hAnsi="Arial"/>
          <w:sz w:val="16"/>
          <w:szCs w:val="16"/>
          <w:color w:val="auto"/>
        </w:rPr>
      </w:pPr>
    </w:p>
    <w:p>
      <w:pPr>
        <w:ind w:firstLine="419"/>
        <w:spacing w:after="0" w:line="269" w:lineRule="auto"/>
        <w:tabs>
          <w:tab w:leader="none" w:pos="63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Execution and Delivery of Indenture</w:t>
      </w:r>
      <w:r>
        <w:rPr>
          <w:rFonts w:ascii="Arial" w:cs="Arial" w:eastAsia="Arial" w:hAnsi="Arial"/>
          <w:sz w:val="17"/>
          <w:szCs w:val="17"/>
          <w:color w:val="auto"/>
        </w:rPr>
        <w:t>. The Base Indenture has been duly authorized, executed and delivered by the Company and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duly qualified under the Trust Indenture Act; the Supplemental Indenture has been duly authorized by the Company and, when it is executed and delivered by the Company and the Trustee, the Indenture will (i) constitute a valid and legally binding obligation of the Company, enforceable in accordance with its terms, subject to bankruptcy, insolvency, fraudulent transfer, reorganization, moratorium and similar laws of general applicability relating to or affecting creditors’ rights and to general equity principles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(ii) conform in all material respects with the requirements of the Trust Indenture Act; and the Securities have been duly authorized and, when the Securities are delivered and paid for pursuant to this Agreement on the Closing Date, the Supplemental Indenture will have been duly executed and delivered by the Company and such Securities will have been duly executed, authenticated, issued and delivered, will be consistent with the information in the General Disclosure Package, will conform to the description of such Securities contained in the Final Prospectus and the Indenture and will constitute valid and legally binding obligations of the Company, enforceable in accordance with their terms, subject to the Enforceability Exceptions.</w:t>
      </w:r>
    </w:p>
    <w:p>
      <w:pPr>
        <w:spacing w:after="0" w:line="73" w:lineRule="exact"/>
        <w:rPr>
          <w:rFonts w:ascii="Arial" w:cs="Arial" w:eastAsia="Arial" w:hAnsi="Arial"/>
          <w:sz w:val="17"/>
          <w:szCs w:val="17"/>
          <w:color w:val="auto"/>
        </w:rPr>
      </w:pPr>
    </w:p>
    <w:p>
      <w:pPr>
        <w:ind w:right="160" w:firstLine="419"/>
        <w:spacing w:after="0" w:line="259" w:lineRule="auto"/>
        <w:tabs>
          <w:tab w:leader="none" w:pos="63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 No consent, approval, authorization, or order of, or filing or registration with, any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agency or body or any court is required for the consummation of the transactions contemplated by this Agreement or the Indenture in connection with the offering, issuance and sale of the Securities by the Company, except such as have been obtained or made and such as may be required under state securities laws.</w:t>
      </w:r>
    </w:p>
    <w:p>
      <w:pPr>
        <w:spacing w:after="0" w:line="78" w:lineRule="exact"/>
        <w:rPr>
          <w:rFonts w:ascii="Arial" w:cs="Arial" w:eastAsia="Arial" w:hAnsi="Arial"/>
          <w:sz w:val="18"/>
          <w:szCs w:val="18"/>
          <w:color w:val="auto"/>
        </w:rPr>
      </w:pPr>
    </w:p>
    <w:p>
      <w:pPr>
        <w:ind w:right="120" w:firstLine="419"/>
        <w:spacing w:after="0" w:line="273"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Except as disclosed in the General Disclosure Package, the Company and its subsidiaries have good and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title to all real properties and good title to all other properties and assets owned by them, in each case free from liens, charges,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 except, in each case in this clause (k), as would not, individually or in the aggregate, result in a Material Adverse Effect.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9" w:name="page10"/>
    <w:bookmarkEnd w:id="9"/>
    <w:p>
      <w:pPr>
        <w:ind w:left="4" w:firstLine="419"/>
        <w:spacing w:after="0" w:line="283" w:lineRule="auto"/>
        <w:tabs>
          <w:tab w:leader="none" w:pos="641"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Absence of Defaults and Conflicts Resulting from Transaction</w:t>
      </w:r>
      <w:r>
        <w:rPr>
          <w:rFonts w:ascii="Arial" w:cs="Arial" w:eastAsia="Arial" w:hAnsi="Arial"/>
          <w:sz w:val="16"/>
          <w:szCs w:val="16"/>
          <w:color w:val="auto"/>
        </w:rPr>
        <w:t>. The execution, delivery and performance of the Indenture and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issuance and sale of the Securities and compliance with the terms and provisions thereof,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or other organizational documents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 (i) as it applies to the Company’s subsidiaries, as would not, individually or in the aggregate, result in a Material Adverse Effect, and in the case of clauses</w:t>
      </w:r>
    </w:p>
    <w:p>
      <w:pPr>
        <w:spacing w:after="0" w:line="5" w:lineRule="exact"/>
        <w:rPr>
          <w:rFonts w:ascii="Arial" w:cs="Arial" w:eastAsia="Arial" w:hAnsi="Arial"/>
          <w:sz w:val="16"/>
          <w:szCs w:val="16"/>
          <w:color w:val="auto"/>
        </w:rPr>
      </w:pPr>
    </w:p>
    <w:p>
      <w:pPr>
        <w:ind w:left="4" w:right="20" w:hanging="4"/>
        <w:spacing w:after="0" w:line="253" w:lineRule="auto"/>
        <w:tabs>
          <w:tab w:leader="none" w:pos="2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(iii), as would not, individually or in the aggregate, result in a Material Adverse Effect; a “</w:t>
      </w:r>
      <w:r>
        <w:rPr>
          <w:rFonts w:ascii="Arial" w:cs="Arial" w:eastAsia="Arial" w:hAnsi="Arial"/>
          <w:sz w:val="18"/>
          <w:szCs w:val="18"/>
          <w:b w:val="1"/>
          <w:bCs w:val="1"/>
          <w:color w:val="auto"/>
        </w:rPr>
        <w:t>Debt Repayment Triggering Event</w:t>
      </w:r>
      <w:r>
        <w:rPr>
          <w:rFonts w:ascii="Arial" w:cs="Arial" w:eastAsia="Arial" w:hAnsi="Arial"/>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84" w:lineRule="exact"/>
        <w:rPr>
          <w:rFonts w:ascii="Arial" w:cs="Arial" w:eastAsia="Arial" w:hAnsi="Arial"/>
          <w:sz w:val="18"/>
          <w:szCs w:val="18"/>
          <w:color w:val="auto"/>
        </w:rPr>
      </w:pPr>
    </w:p>
    <w:p>
      <w:pPr>
        <w:ind w:left="4" w:right="160" w:firstLine="419"/>
        <w:spacing w:after="0" w:line="293" w:lineRule="auto"/>
        <w:tabs>
          <w:tab w:leader="none" w:pos="731"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Absence of Existing Defaults and Conflicts</w:t>
      </w:r>
      <w:r>
        <w:rPr>
          <w:rFonts w:ascii="Arial" w:cs="Arial" w:eastAsia="Arial" w:hAnsi="Arial"/>
          <w:sz w:val="16"/>
          <w:szCs w:val="16"/>
          <w:color w:val="auto"/>
        </w:rPr>
        <w:t>. Neither the Company nor any of its subsidiaries is in violation of its respective charter or</w:t>
      </w:r>
      <w:r>
        <w:rPr>
          <w:rFonts w:ascii="Arial" w:cs="Arial" w:eastAsia="Arial" w:hAnsi="Arial"/>
          <w:sz w:val="16"/>
          <w:szCs w:val="16"/>
          <w:i w:val="1"/>
          <w:iCs w:val="1"/>
          <w:color w:val="auto"/>
        </w:rPr>
        <w:t xml:space="preserve"> </w:t>
      </w:r>
      <w:r>
        <w:rPr>
          <w:rFonts w:ascii="Arial" w:cs="Arial" w:eastAsia="Arial" w:hAnsi="Arial"/>
          <w:sz w:val="16"/>
          <w:szCs w:val="16"/>
          <w:color w:val="auto"/>
        </w:rPr>
        <w:t>by-laws or other organizational documents,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 on the condition (financial or otherwise), results of operations, business or properties of the Company and its subsidiaries taken as a whole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684" w:hanging="261"/>
        <w:spacing w:after="0"/>
        <w:tabs>
          <w:tab w:leader="none" w:pos="684"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left="4" w:firstLine="419"/>
        <w:spacing w:after="0" w:line="257" w:lineRule="auto"/>
        <w:tabs>
          <w:tab w:leader="none" w:pos="681"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 The Company and its subsidiaries possess, and are in compliance with the terms of, all 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authorizations, franchises, licenses and permits (“</w:t>
      </w:r>
      <w:r>
        <w:rPr>
          <w:rFonts w:ascii="Arial" w:cs="Arial" w:eastAsia="Arial" w:hAnsi="Arial"/>
          <w:sz w:val="18"/>
          <w:szCs w:val="18"/>
          <w:b w:val="1"/>
          <w:bCs w:val="1"/>
          <w:color w:val="auto"/>
        </w:rPr>
        <w:t>Licenses</w:t>
      </w:r>
      <w:r>
        <w:rPr>
          <w:rFonts w:ascii="Arial" w:cs="Arial" w:eastAsia="Arial" w:hAnsi="Arial"/>
          <w:sz w:val="18"/>
          <w:szCs w:val="18"/>
          <w:color w:val="auto"/>
        </w:rPr>
        <w:t>”) material to the conduct of the business now conducted or proposed in the General Disclosure Package to be conducted by them and have not received any notice of proceedings relating to the revocation or modification of any Licenses that, if determined adversely to the Company or any of its subsidiaries, would individually or in the aggregate have a Material Adverse Effect.</w:t>
      </w:r>
    </w:p>
    <w:p>
      <w:pPr>
        <w:spacing w:after="0" w:line="79" w:lineRule="exact"/>
        <w:rPr>
          <w:rFonts w:ascii="Arial" w:cs="Arial" w:eastAsia="Arial" w:hAnsi="Arial"/>
          <w:sz w:val="18"/>
          <w:szCs w:val="18"/>
          <w:color w:val="auto"/>
        </w:rPr>
      </w:pPr>
    </w:p>
    <w:p>
      <w:pPr>
        <w:ind w:left="4" w:right="100" w:firstLine="419"/>
        <w:spacing w:after="0" w:line="277" w:lineRule="auto"/>
        <w:tabs>
          <w:tab w:leader="none" w:pos="681"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imminent, in either case that would have a Material Adverse Effect.</w:t>
      </w:r>
    </w:p>
    <w:p>
      <w:pPr>
        <w:spacing w:after="0" w:line="62" w:lineRule="exact"/>
        <w:rPr>
          <w:rFonts w:ascii="Arial" w:cs="Arial" w:eastAsia="Arial" w:hAnsi="Arial"/>
          <w:sz w:val="18"/>
          <w:szCs w:val="18"/>
          <w:color w:val="auto"/>
        </w:rPr>
      </w:pPr>
    </w:p>
    <w:p>
      <w:pPr>
        <w:ind w:left="4" w:right="20" w:firstLine="419"/>
        <w:spacing w:after="0" w:line="271" w:lineRule="auto"/>
        <w:tabs>
          <w:tab w:leader="none" w:pos="681"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Possession of Intellectual Property</w:t>
      </w:r>
      <w:r>
        <w:rPr>
          <w:rFonts w:ascii="Arial" w:cs="Arial" w:eastAsia="Arial" w:hAnsi="Arial"/>
          <w:sz w:val="17"/>
          <w:szCs w:val="17"/>
          <w:color w:val="auto"/>
        </w:rPr>
        <w:t>. The Company and its subsidiaries own, possess or can acquire on reasonable terms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trade names, patent rights, copyrights, domain names, licenses, approvals, trade secrets, inventions, technology, know-how and other intellectual property and similar rights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General Disclosure Package (i) to the Company’s knowledge, neither the Company nor any of its subsidiaries is infringing the Intellectual Property Rights of any third parties; (ii) to the Company’s knowledge, no third party is infringing the Intellectual Property Rights of the Company or any of its subsidiaries; (iii) there is no pending or threatened action, suit, proceeding or claim by others challenging the</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10" w:name="page11"/>
    <w:bookmarkEnd w:id="1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or any subsidiary’s rights in or to,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and (v) none of the Intellectual Property Rights used by the Company or its subsidiaries in their businesses as currently conducted or proposed to be conducted in the General Disclosure Package has been obtained or is being used by the Company or its subsidiaries in violation of any contractual obligation binding on the Company or any of its subsidiaries, except in each case covered by clauses (i) – (v) such as would not, individually or in the aggregate, have a Material Adverse Effect.</w:t>
      </w:r>
    </w:p>
    <w:p>
      <w:pPr>
        <w:spacing w:after="0" w:line="69" w:lineRule="exact"/>
        <w:rPr>
          <w:sz w:val="20"/>
          <w:szCs w:val="20"/>
          <w:color w:val="auto"/>
        </w:rPr>
      </w:pPr>
    </w:p>
    <w:p>
      <w:pPr>
        <w:ind w:right="140" w:firstLine="419"/>
        <w:spacing w:after="0" w:line="271" w:lineRule="auto"/>
        <w:tabs>
          <w:tab w:leader="none" w:pos="64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Environmental Laws</w:t>
      </w:r>
      <w:r>
        <w:rPr>
          <w:rFonts w:ascii="Arial" w:cs="Arial" w:eastAsia="Arial" w:hAnsi="Arial"/>
          <w:sz w:val="17"/>
          <w:szCs w:val="17"/>
          <w:color w:val="auto"/>
        </w:rPr>
        <w:t>. Except as disclosed in the General Disclosure Package, neither the Company nor any of its subsidiaries (i) is in</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 of any statute, rule, regulation, decision or order of any governmental agency or body or any court, domestic or foreign, relating to the use, management, registration, disposal or release of hazardous or toxic substances or wastes or relating to the protection or restoration of the environment or human exposure to hazardous or toxic substances or wastes, or any permit or license thereunder (collectively, “</w:t>
      </w:r>
      <w:r>
        <w:rPr>
          <w:rFonts w:ascii="Arial" w:cs="Arial" w:eastAsia="Arial" w:hAnsi="Arial"/>
          <w:sz w:val="17"/>
          <w:szCs w:val="17"/>
          <w:b w:val="1"/>
          <w:bCs w:val="1"/>
          <w:color w:val="auto"/>
        </w:rPr>
        <w:t>environmental</w:t>
      </w:r>
      <w:r>
        <w:rPr>
          <w:rFonts w:ascii="Arial" w:cs="Arial" w:eastAsia="Arial" w:hAnsi="Arial"/>
          <w:sz w:val="17"/>
          <w:szCs w:val="17"/>
          <w:color w:val="auto"/>
        </w:rPr>
        <w:t xml:space="preserve"> </w:t>
      </w:r>
      <w:r>
        <w:rPr>
          <w:rFonts w:ascii="Arial" w:cs="Arial" w:eastAsia="Arial" w:hAnsi="Arial"/>
          <w:sz w:val="17"/>
          <w:szCs w:val="17"/>
          <w:b w:val="1"/>
          <w:bCs w:val="1"/>
          <w:color w:val="auto"/>
        </w:rPr>
        <w:t>laws</w:t>
      </w:r>
      <w:r>
        <w:rPr>
          <w:rFonts w:ascii="Arial" w:cs="Arial" w:eastAsia="Arial" w:hAnsi="Arial"/>
          <w:sz w:val="17"/>
          <w:szCs w:val="17"/>
          <w:color w:val="auto"/>
        </w:rPr>
        <w:t>”); (ii) owns or operates any real property contaminated with any substance that is subject to any environmental laws; (iii) is liable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off-site disposal or contamination pursuant to any environmental laws; or (iv) is subject to any claim relating to any environmental laws, which violation, contamination, liability or claim would individually or in the aggregate have a Material Adverse Effect; and the Company is not aware of any pending proceeding relating to environmental laws.</w:t>
      </w:r>
    </w:p>
    <w:p>
      <w:pPr>
        <w:spacing w:after="0" w:line="70" w:lineRule="exact"/>
        <w:rPr>
          <w:rFonts w:ascii="Arial" w:cs="Arial" w:eastAsia="Arial" w:hAnsi="Arial"/>
          <w:sz w:val="17"/>
          <w:szCs w:val="17"/>
          <w:color w:val="auto"/>
        </w:rPr>
      </w:pPr>
    </w:p>
    <w:p>
      <w:pPr>
        <w:jc w:val="both"/>
        <w:ind w:right="100" w:firstLine="419"/>
        <w:spacing w:after="0" w:line="301" w:lineRule="auto"/>
        <w:tabs>
          <w:tab w:leader="none" w:pos="65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Accurate Disclosure</w:t>
      </w:r>
      <w:r>
        <w:rPr>
          <w:rFonts w:ascii="Arial" w:cs="Arial" w:eastAsia="Arial" w:hAnsi="Arial"/>
          <w:sz w:val="16"/>
          <w:szCs w:val="16"/>
          <w:color w:val="auto"/>
        </w:rPr>
        <w:t>. The statements in the General Disclosure Package and the Final Prospectus under the headings “Description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“Description of Debt Securities” and “Material United States Federal Income Tax Consequences”, insofar as such statements summarize legal matters, agreements, documents or proceedings discussed therein, are accurate and fair summaries of such legal matters, agreements, documents or proceedings in all material respects and present the information required to be shown therein.</w:t>
      </w:r>
    </w:p>
    <w:p>
      <w:pPr>
        <w:spacing w:after="0" w:line="49" w:lineRule="exact"/>
        <w:rPr>
          <w:rFonts w:ascii="Arial" w:cs="Arial" w:eastAsia="Arial" w:hAnsi="Arial"/>
          <w:sz w:val="16"/>
          <w:szCs w:val="16"/>
          <w:color w:val="auto"/>
        </w:rPr>
      </w:pPr>
    </w:p>
    <w:p>
      <w:pPr>
        <w:jc w:val="both"/>
        <w:ind w:right="120" w:firstLine="419"/>
        <w:spacing w:after="0" w:line="263" w:lineRule="auto"/>
        <w:tabs>
          <w:tab w:leader="none" w:pos="63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cause or result in the stabilization or manipulation of the price of any security of the Company, in each case for the purpose of facilitating the sale or resale of the Securities.</w:t>
      </w:r>
    </w:p>
    <w:p>
      <w:pPr>
        <w:spacing w:after="0" w:line="75" w:lineRule="exact"/>
        <w:rPr>
          <w:rFonts w:ascii="Arial" w:cs="Arial" w:eastAsia="Arial" w:hAnsi="Arial"/>
          <w:sz w:val="18"/>
          <w:szCs w:val="18"/>
          <w:color w:val="auto"/>
        </w:rPr>
      </w:pPr>
    </w:p>
    <w:p>
      <w:pPr>
        <w:ind w:firstLine="419"/>
        <w:spacing w:after="0" w:line="268" w:lineRule="auto"/>
        <w:tabs>
          <w:tab w:leader="none" w:pos="678"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Internal Controls and Compliance with the Sarbanes-Oxley Act</w:t>
      </w:r>
      <w:r>
        <w:rPr>
          <w:rFonts w:ascii="Arial" w:cs="Arial" w:eastAsia="Arial" w:hAnsi="Arial"/>
          <w:sz w:val="17"/>
          <w:szCs w:val="17"/>
          <w:color w:val="auto"/>
        </w:rPr>
        <w:t>. Except as set forth in the General Disclosure Package,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and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are in compliance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7"/>
          <w:szCs w:val="17"/>
          <w:b w:val="1"/>
          <w:bCs w:val="1"/>
          <w:color w:val="auto"/>
        </w:rPr>
        <w:t>Internal</w:t>
      </w:r>
      <w:r>
        <w:rPr>
          <w:rFonts w:ascii="Arial" w:cs="Arial" w:eastAsia="Arial" w:hAnsi="Arial"/>
          <w:sz w:val="17"/>
          <w:szCs w:val="17"/>
          <w:color w:val="auto"/>
        </w:rPr>
        <w:t xml:space="preserve"> </w:t>
      </w:r>
      <w:r>
        <w:rPr>
          <w:rFonts w:ascii="Arial" w:cs="Arial" w:eastAsia="Arial" w:hAnsi="Arial"/>
          <w:sz w:val="17"/>
          <w:szCs w:val="17"/>
          <w:b w:val="1"/>
          <w:bCs w:val="1"/>
          <w:color w:val="auto"/>
        </w:rPr>
        <w:t>Controls</w:t>
      </w:r>
      <w:r>
        <w:rPr>
          <w:rFonts w:ascii="Arial" w:cs="Arial" w:eastAsia="Arial" w:hAnsi="Arial"/>
          <w:sz w:val="17"/>
          <w:szCs w:val="17"/>
          <w:color w:val="auto"/>
        </w:rPr>
        <w:t>”) that comply in all material respects with the Securities Laws and are sufficient to provide reasonable assurances that (i)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are executed in accordance with management’s general or specific authorizations; (ii) transactions are recorded as necessary to permit preparation of financial statements in conformity with generally accepted accounting principles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applied on a consistent basis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 The Internal Controls are overseen by the Audit Committee (the “</w:t>
      </w:r>
      <w:r>
        <w:rPr>
          <w:rFonts w:ascii="Arial" w:cs="Arial" w:eastAsia="Arial" w:hAnsi="Arial"/>
          <w:sz w:val="17"/>
          <w:szCs w:val="17"/>
          <w:b w:val="1"/>
          <w:bCs w:val="1"/>
          <w:color w:val="auto"/>
        </w:rPr>
        <w:t>Audit Committee</w:t>
      </w:r>
      <w:r>
        <w:rPr>
          <w:rFonts w:ascii="Arial" w:cs="Arial" w:eastAsia="Arial" w:hAnsi="Arial"/>
          <w:sz w:val="17"/>
          <w:szCs w:val="17"/>
          <w:color w:val="auto"/>
        </w:rPr>
        <w:t>”) of</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1" w:name="page12"/>
    <w:bookmarkEnd w:id="1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in accordance with Exchange Rules. Except as disclosed in the Registration Statement, the General Disclosure Package and the Final Prospectus, there are no material weaknesses in the Company’s internal controls over financial reporting. The Company’s auditors and the Audit Committee have been advised of: (i) all significant deficiencies and material weaknesses in the design or operation of the Company’s system of internal controls over financial reporting that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0" w:lineRule="exact"/>
        <w:rPr>
          <w:sz w:val="20"/>
          <w:szCs w:val="20"/>
          <w:color w:val="auto"/>
        </w:rPr>
      </w:pPr>
    </w:p>
    <w:p>
      <w:pPr>
        <w:ind w:right="140" w:firstLine="419"/>
        <w:spacing w:after="0" w:line="254" w:lineRule="auto"/>
        <w:tabs>
          <w:tab w:leader="none" w:pos="67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Except as disclosed in the General Disclosure Package, there are no pending actions, suits or proceedings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would materially and adversely affect the ability of the Company to perform its obligations under the Indenture or this Agreement, or which are otherwise material in the context of the sale of the Securities; and no such actions, suits or proceedings (including any inquiries or investigations by any court or governmental agency or body, domestic or foreign) are, to the Company’s knowledge, threatened or contemplated.</w:t>
      </w:r>
    </w:p>
    <w:p>
      <w:pPr>
        <w:spacing w:after="0" w:line="86" w:lineRule="exact"/>
        <w:rPr>
          <w:rFonts w:ascii="Arial" w:cs="Arial" w:eastAsia="Arial" w:hAnsi="Arial"/>
          <w:sz w:val="18"/>
          <w:szCs w:val="18"/>
          <w:color w:val="auto"/>
        </w:rPr>
      </w:pPr>
    </w:p>
    <w:p>
      <w:pPr>
        <w:ind w:left="720" w:hanging="30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737"/>
        <w:spacing w:after="0" w:line="272" w:lineRule="auto"/>
        <w:tabs>
          <w:tab w:leader="none" w:pos="955"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financial statements of the Company and its subsidiaries included or incorporated by reference in the Registration Statement and the General Disclosure Package present fairly the financial position of the Company and its subsidiaries, as of the dates shown and their results of operations and cash flows for the periods shown, and such financial statements have been prepared in conformity with U.S. GAAP applied on a consistent basis. The schedules included or incorporated by reference in the Registration Statement present fairly the information required to be stated therein.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w:t>
      </w:r>
    </w:p>
    <w:p>
      <w:pPr>
        <w:spacing w:after="0" w:line="65" w:lineRule="exact"/>
        <w:rPr>
          <w:rFonts w:ascii="Arial" w:cs="Arial" w:eastAsia="Arial" w:hAnsi="Arial"/>
          <w:sz w:val="17"/>
          <w:szCs w:val="17"/>
          <w:color w:val="auto"/>
        </w:rPr>
      </w:pPr>
    </w:p>
    <w:p>
      <w:pPr>
        <w:ind w:right="120" w:firstLine="737"/>
        <w:spacing w:after="0" w:line="298" w:lineRule="auto"/>
        <w:tabs>
          <w:tab w:leader="none" w:pos="100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the knowledge of the Company, (A) the financial statements of Maxim Integrated Products, Inc. (“</w:t>
      </w:r>
      <w:r>
        <w:rPr>
          <w:rFonts w:ascii="Arial" w:cs="Arial" w:eastAsia="Arial" w:hAnsi="Arial"/>
          <w:sz w:val="16"/>
          <w:szCs w:val="16"/>
          <w:b w:val="1"/>
          <w:bCs w:val="1"/>
          <w:color w:val="auto"/>
        </w:rPr>
        <w:t>Maxim</w:t>
      </w:r>
      <w:r>
        <w:rPr>
          <w:rFonts w:ascii="Arial" w:cs="Arial" w:eastAsia="Arial" w:hAnsi="Arial"/>
          <w:sz w:val="16"/>
          <w:szCs w:val="16"/>
          <w:color w:val="auto"/>
        </w:rPr>
        <w:t>”) and its subsidiaries included or incorporated by reference in the Registration Statement and the General Disclosure Package present fairly the financial position of Maxim and its subsidiaries, as of the dates shown and their results of operations and cash flows for the periods shown, (B) such financial statements have been prepared in conformity with U.S. GAAP applied on a consistent basis and (C) the schedules of Maxim and its subsidiaries included or incorporated by reference in the Registration Statement present fairly the information required to be stated therein.</w:t>
      </w:r>
    </w:p>
    <w:p>
      <w:pPr>
        <w:spacing w:after="0" w:line="49" w:lineRule="exact"/>
        <w:rPr>
          <w:rFonts w:ascii="Arial" w:cs="Arial" w:eastAsia="Arial" w:hAnsi="Arial"/>
          <w:sz w:val="16"/>
          <w:szCs w:val="16"/>
          <w:color w:val="auto"/>
        </w:rPr>
      </w:pPr>
    </w:p>
    <w:p>
      <w:pPr>
        <w:ind w:firstLine="737"/>
        <w:spacing w:after="0" w:line="271" w:lineRule="auto"/>
        <w:tabs>
          <w:tab w:leader="none" w:pos="1055"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pro forma financial statements and the assumptions used in preparing the pro forma financial statements included or incorporated by reference in the General Disclosure Package and the Registration Statement provide a reasonable basis for presenting the significant effects directly attributable to the transactions and events described therein, the related pro forma adjustments give appropriate effect to those assumptions, the pro forma adjustments reflect the proper application of those adjustments to the historical financial statement amounts in the pro forma financial statements included or incorporated by reference in the General Disclosure Package and the Registration Statement; the pro forma financial statements included or incorporated by reference in the General Disclosure Package and the Registration Statement comply as to form in all material respects with the applicable accounting requirements of Regulation S-X; and the pro forma adjustments have been properly applied in all material respects to the historical amounts in the compilation of those statements.</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12" w:name="page13"/>
    <w:bookmarkEnd w:id="12"/>
    <w:p>
      <w:pPr>
        <w:ind w:right="40" w:firstLine="419"/>
        <w:spacing w:after="0" w:line="291" w:lineRule="auto"/>
        <w:tabs>
          <w:tab w:leader="none" w:pos="67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 in Business</w:t>
      </w:r>
      <w:r>
        <w:rPr>
          <w:rFonts w:ascii="Arial" w:cs="Arial" w:eastAsia="Arial" w:hAnsi="Arial"/>
          <w:sz w:val="16"/>
          <w:szCs w:val="16"/>
          <w:color w:val="auto"/>
        </w:rPr>
        <w:t>. Since the end of the period covered by the latest audited financial statements included or</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the General Disclosure Package, (i) except as disclosed in the General Disclosure Package, there has been no change, nor any development or event involving a prospective change, in the condition (financial or otherwise), results of operations, business or properties of the Company and its subsidiaries, taken as a whole, that is material and adverse, (ii) except as disclosed in or contemplated by the General Disclosure Package, there has been no dividend or distribution of any kind declared, paid or made by the Company on any class of its capital stock and (iii) except as disclosed in or contemplated by the General Disclosure Package, there has been no material adverse change in the capital stock, long-term indebtedness or net assets of the Company and its subsidiaries, taken as a whole.</w:t>
      </w:r>
    </w:p>
    <w:p>
      <w:pPr>
        <w:spacing w:after="0" w:line="58" w:lineRule="exact"/>
        <w:rPr>
          <w:rFonts w:ascii="Arial" w:cs="Arial" w:eastAsia="Arial" w:hAnsi="Arial"/>
          <w:sz w:val="16"/>
          <w:szCs w:val="16"/>
          <w:color w:val="auto"/>
        </w:rPr>
      </w:pPr>
    </w:p>
    <w:p>
      <w:pPr>
        <w:ind w:right="420" w:firstLine="419"/>
        <w:spacing w:after="0" w:line="263" w:lineRule="auto"/>
        <w:tabs>
          <w:tab w:leader="none" w:pos="67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immediately after giving effect to the offering and sale of the Securities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the proceeds thereof as described in the General Disclosure Package will not be, an “investment company” as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right="20" w:firstLine="419"/>
        <w:spacing w:after="0" w:line="259"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Ratings</w:t>
      </w:r>
      <w:r>
        <w:rPr>
          <w:rFonts w:ascii="Arial" w:cs="Arial" w:eastAsia="Arial" w:hAnsi="Arial"/>
          <w:sz w:val="18"/>
          <w:szCs w:val="18"/>
          <w:color w:val="auto"/>
        </w:rPr>
        <w:t>. No “nationally recognized statistical rating organization” as such term is defined under Section 3 of the Exchange Act (i) has</w:t>
      </w:r>
      <w:r>
        <w:rPr>
          <w:rFonts w:ascii="Arial" w:cs="Arial" w:eastAsia="Arial" w:hAnsi="Arial"/>
          <w:sz w:val="18"/>
          <w:szCs w:val="18"/>
          <w:i w:val="1"/>
          <w:iCs w:val="1"/>
          <w:color w:val="auto"/>
        </w:rPr>
        <w:t xml:space="preserve"> </w:t>
      </w:r>
      <w:r>
        <w:rPr>
          <w:rFonts w:ascii="Arial" w:cs="Arial" w:eastAsia="Arial" w:hAnsi="Arial"/>
          <w:sz w:val="18"/>
          <w:szCs w:val="18"/>
          <w:color w:val="auto"/>
        </w:rPr>
        <w:t>imposed (or has informed the Company that it is considering imposing) any condition (financial or otherwise) on the Company’s retaining any rating assigned to the Company or any securities of the Company or (ii) has told the Company that it is considering any of the actions described in Section 7(c)(ii) hereof.</w:t>
      </w:r>
    </w:p>
    <w:p>
      <w:pPr>
        <w:spacing w:after="0" w:line="79" w:lineRule="exact"/>
        <w:rPr>
          <w:sz w:val="20"/>
          <w:szCs w:val="20"/>
          <w:color w:val="auto"/>
        </w:rPr>
      </w:pPr>
    </w:p>
    <w:p>
      <w:pPr>
        <w:ind w:firstLine="419"/>
        <w:spacing w:after="0" w:line="268" w:lineRule="auto"/>
        <w:tabs>
          <w:tab w:leader="none" w:pos="747"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Foreign Corrupt Practices Act</w:t>
      </w:r>
      <w:r>
        <w:rPr>
          <w:rFonts w:ascii="Arial" w:cs="Arial" w:eastAsia="Arial" w:hAnsi="Arial"/>
          <w:sz w:val="17"/>
          <w:szCs w:val="17"/>
          <w:color w:val="auto"/>
        </w:rPr>
        <w:t>. None of the Company, or any of its subsidiaries, or, to the knowledge of the Company, any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directors, officers, employees, agents, affiliates or representatives, or, prior to its acquisition by the Company on August 26, 2021 (the “</w:t>
      </w:r>
      <w:r>
        <w:rPr>
          <w:rFonts w:ascii="Arial" w:cs="Arial" w:eastAsia="Arial" w:hAnsi="Arial"/>
          <w:sz w:val="17"/>
          <w:szCs w:val="17"/>
          <w:b w:val="1"/>
          <w:bCs w:val="1"/>
          <w:color w:val="auto"/>
        </w:rPr>
        <w:t>Acquisition Date</w:t>
      </w:r>
      <w:r>
        <w:rPr>
          <w:rFonts w:ascii="Arial" w:cs="Arial" w:eastAsia="Arial" w:hAnsi="Arial"/>
          <w:sz w:val="17"/>
          <w:szCs w:val="17"/>
          <w:color w:val="auto"/>
        </w:rPr>
        <w:t>”), Maxim or any of its subsidiaries, directors, officers, employees, agents, affiliates or representatives, is aware of or has taken any action, directly or indirectly, that would result in (i) a violation by such persons of the Foreign Corrupt Practices Act of 1977, as amended, and the rules and regulations thereunder (the “</w:t>
      </w:r>
      <w:r>
        <w:rPr>
          <w:rFonts w:ascii="Arial" w:cs="Arial" w:eastAsia="Arial" w:hAnsi="Arial"/>
          <w:sz w:val="17"/>
          <w:szCs w:val="17"/>
          <w:b w:val="1"/>
          <w:bCs w:val="1"/>
          <w:color w:val="auto"/>
        </w:rPr>
        <w:t>FCPA</w:t>
      </w:r>
      <w:r>
        <w:rPr>
          <w:rFonts w:ascii="Arial" w:cs="Arial" w:eastAsia="Arial" w:hAnsi="Arial"/>
          <w:sz w:val="17"/>
          <w:szCs w:val="17"/>
          <w:color w:val="auto"/>
        </w:rPr>
        <w:t>”), any regulation implementing the OECD Convention on Combating Bribery of Foreign Public Officials in International Business Transactions, (ii) such persons having committed an offence under the Bribery Act 2010 of the United Kingdom or (iii) a violation by such persons of, or such persons having committed an offence under, any other applicable anti-bribery or anti-corruption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and enforce policies and procedures designed and which are reasonably expected to continue to promote and ensure compliance with all applicable anti-bribery and anti-corruption laws, including, without limitation, the FCPA.</w:t>
      </w:r>
    </w:p>
    <w:p>
      <w:pPr>
        <w:spacing w:after="0" w:line="78" w:lineRule="exact"/>
        <w:rPr>
          <w:rFonts w:ascii="Arial" w:cs="Arial" w:eastAsia="Arial" w:hAnsi="Arial"/>
          <w:sz w:val="17"/>
          <w:szCs w:val="17"/>
          <w:color w:val="auto"/>
        </w:rPr>
      </w:pPr>
    </w:p>
    <w:p>
      <w:pPr>
        <w:ind w:right="20" w:firstLine="419"/>
        <w:spacing w:after="0" w:line="290" w:lineRule="auto"/>
        <w:tabs>
          <w:tab w:leader="none" w:pos="76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Anti-Money Laundering Laws</w:t>
      </w:r>
      <w:r>
        <w:rPr>
          <w:rFonts w:ascii="Arial" w:cs="Arial" w:eastAsia="Arial" w:hAnsi="Arial"/>
          <w:sz w:val="16"/>
          <w:szCs w:val="16"/>
          <w:color w:val="auto"/>
        </w:rPr>
        <w:t>. The operations of the Company and its subsidiaries, and, to the knowledge of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Maxim and its subsidiaries prior to the Acquisition Date, are and have been conducted at all times in compliance with applicable financial recordkeeping and reporting requirements, including those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or regulatory agency in all applicable jurisdictions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governmental authority or body, regulatory agency or arbitrator involving the Company or any of its subsidiaries, or, to the knowledge of the Company, Maxim or any of its subsidiaries, with respect to the Anti-Money Laundering Laws is pending or, to the knowledge of the Company, threatened.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3" w:name="page14"/>
    <w:bookmarkEnd w:id="13"/>
    <w:p>
      <w:pPr>
        <w:ind w:left="440" w:firstLine="419"/>
        <w:spacing w:after="0" w:line="286" w:lineRule="auto"/>
        <w:tabs>
          <w:tab w:leader="none" w:pos="1187"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r>
        <w:rPr>
          <w:rFonts w:ascii="Arial" w:cs="Arial" w:eastAsia="Arial" w:hAnsi="Arial"/>
          <w:sz w:val="16"/>
          <w:szCs w:val="16"/>
          <w:color w:val="auto"/>
        </w:rPr>
        <w:t>. None of the Company or any of its subsidiaries, or, to the knowledge of the Company, any of their respective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agents, affiliates or representatives,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currently the target of any sanctions administered or enforced by the United States Government (including, without limitation, the Office of Foreign Assets Control of the United States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United States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target of Sanctions, including, without limitation, Cuba, Iran, North Korea, Sudan, Syria and Crimea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to the best of its knowledge, use the proceeds of the offering of the Securities hereunder, or lend, contribute or otherwise make available such proceeds to any subsidiary, joint venture partner or other Person (i) to fund or facilitate any activities of or business with any Person that, at the time of such funding or facilitation, is the target of Sanctions or (ii) to fund or facilitate any activities of or business in any Sanctioned Country. For the past five years, the Company and its subsidiaries, and, to the knowledge of the Company, prior to the Acquisition Date, Maxim and its subsidiaries, have not knowingly engaged in and are not now knowingly engaged in any dealings or transactions with any person that at the time of the dealing or transaction is or was the target of Sanctions or with any Sanctioned Country.</w:t>
      </w:r>
    </w:p>
    <w:p>
      <w:pPr>
        <w:spacing w:after="0" w:line="65" w:lineRule="exact"/>
        <w:rPr>
          <w:rFonts w:ascii="Arial" w:cs="Arial" w:eastAsia="Arial" w:hAnsi="Arial"/>
          <w:sz w:val="16"/>
          <w:szCs w:val="16"/>
          <w:color w:val="auto"/>
        </w:rPr>
      </w:pPr>
    </w:p>
    <w:p>
      <w:pPr>
        <w:ind w:left="440" w:firstLine="419"/>
        <w:spacing w:after="0" w:line="269" w:lineRule="auto"/>
        <w:tabs>
          <w:tab w:leader="none" w:pos="1208"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Cybersecurity; Data Protection. </w:t>
      </w:r>
      <w:r>
        <w:rPr>
          <w:rFonts w:ascii="Arial" w:cs="Arial" w:eastAsia="Arial" w:hAnsi="Arial"/>
          <w:sz w:val="17"/>
          <w:szCs w:val="17"/>
          <w:color w:val="auto"/>
        </w:rPr>
        <w:t>The Company and its subsidiaries have implemented and maintained commercially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policies, procedures and safeguards to maintain and protect their material confidential information and the integrity, continuous operation and security of all of their information technology assets and equipment, computers, systems, networks, hardware, software, websites, applications and databases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and data (including all personal, personally identifiable, sensitive, confidential or regulated data (“</w:t>
      </w:r>
      <w:r>
        <w:rPr>
          <w:rFonts w:ascii="Arial" w:cs="Arial" w:eastAsia="Arial" w:hAnsi="Arial"/>
          <w:sz w:val="17"/>
          <w:szCs w:val="17"/>
          <w:b w:val="1"/>
          <w:bCs w:val="1"/>
          <w:color w:val="auto"/>
        </w:rPr>
        <w:t>Personal Data</w:t>
      </w:r>
      <w:r>
        <w:rPr>
          <w:rFonts w:ascii="Arial" w:cs="Arial" w:eastAsia="Arial" w:hAnsi="Arial"/>
          <w:sz w:val="17"/>
          <w:szCs w:val="17"/>
          <w:color w:val="auto"/>
        </w:rPr>
        <w:t>”)) used in connection with their businesses. To the Company’s knowledge, there have been no breaches, violations, outages or unauthorized uses of or accesses to same, nor any material incidents under internal review or investigations relating to the same, except for such breaches, violations, outages, uses, accesses, incidents or investigations that have been remedied or resolved without material cost or liability.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1" w:lineRule="exact"/>
        <w:rPr>
          <w:rFonts w:ascii="Arial" w:cs="Arial" w:eastAsia="Arial" w:hAnsi="Arial"/>
          <w:sz w:val="17"/>
          <w:szCs w:val="17"/>
          <w:color w:val="auto"/>
        </w:rPr>
      </w:pPr>
    </w:p>
    <w:p>
      <w:pPr>
        <w:ind w:right="40" w:firstLine="436"/>
        <w:spacing w:after="0" w:line="29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Purchase, Sale and Delivery of Securities</w:t>
      </w:r>
      <w:r>
        <w:rPr>
          <w:rFonts w:ascii="Arial" w:cs="Arial" w:eastAsia="Arial" w:hAnsi="Arial"/>
          <w:sz w:val="16"/>
          <w:szCs w:val="16"/>
          <w:color w:val="auto"/>
        </w:rPr>
        <w:t>. On the basis of the representations, warranties and agreements and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sell to the several Underwriters, and each of the Underwriters agrees, severally and not jointly, to purchase from the Company(a) in the case of the 2024 Securities, at a purchase price of 99.550% of the principal amount thereof, (b) in the case of the 2028 Securities, at a purchase price of 98.780% of the principal amount thereof, (c) in the case of the 2031 Securities, at a purchase price of 98.778% of the principal amount thereof, (d) in the case of the 2041 Securities, at a purchase price of 98.352% of the principal amount thereof, and (e) in the case of the 2051 Securities, at a purchase price of 98.298% of the principal amount thereof, the principal amounts of the Securities set forth opposite the names of the Underwriters in Schedule A hereto, plus accrued interest, if any, from October 5, 2021 to the Closing Date (as hereafter defined).</w:t>
      </w:r>
    </w:p>
    <w:p>
      <w:pPr>
        <w:spacing w:after="0" w:line="16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Company will deliver the Securities to or as instructed by the Representatives for the accounts of the several Underwriters in a form reasonably acceptable to the Representatives against payment of the purchase price by the Underwriters in Federal (same day) funds by wire transfer to an account at a bank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acceptable to the Representatives drawn to the order of Analog Devices, Inc. at the office of Cravath, Swaine &amp; Moore LLP, at 9:30 A.M., New York time, on October 5, 2021, or at such other time not later than seven full business days thereafter as the Representatives and the Company determine, such time being herein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 For purposes of Rule 15c6-1 under the Exchange Act, the Closing Date (if later than the otherwise applicable settlement date) shall be the settlement date for payment of funds and delivery of all the Securities sold pursuant to the offering. A copy of the Securities so to be delivered or evidence of their issuance will be made available for checking at the above office of Cravath, Swaine &amp; Moore LLP at least 24 hours prior to the Closing Date.</w:t>
      </w:r>
    </w:p>
    <w:p>
      <w:pPr>
        <w:spacing w:after="0" w:line="192" w:lineRule="exact"/>
        <w:rPr>
          <w:sz w:val="20"/>
          <w:szCs w:val="20"/>
          <w:color w:val="auto"/>
        </w:rPr>
      </w:pPr>
    </w:p>
    <w:p>
      <w:pPr>
        <w:ind w:right="180" w:firstLine="436"/>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Prospectus.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107"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Filing of Prospectuses. </w:t>
      </w:r>
      <w:r>
        <w:rPr>
          <w:rFonts w:ascii="Arial" w:cs="Arial" w:eastAsia="Arial" w:hAnsi="Arial"/>
          <w:sz w:val="18"/>
          <w:szCs w:val="18"/>
          <w:color w:val="auto"/>
        </w:rPr>
        <w:t>The Company has filed or will file each Statutory Prospectus (including the Final Prospectus) pursuant to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Rule 424(b) not later than the second business day following the earlier of the date it is first used or the execution and delivery of this Agreement. The Company has complied and will comply with Rule 433.</w:t>
      </w:r>
    </w:p>
    <w:p>
      <w:pPr>
        <w:spacing w:after="0" w:line="75" w:lineRule="exact"/>
        <w:rPr>
          <w:rFonts w:ascii="Arial" w:cs="Arial" w:eastAsia="Arial" w:hAnsi="Arial"/>
          <w:sz w:val="18"/>
          <w:szCs w:val="18"/>
          <w:color w:val="auto"/>
        </w:rPr>
      </w:pPr>
    </w:p>
    <w:p>
      <w:pPr>
        <w:ind w:left="440" w:firstLine="419"/>
        <w:spacing w:after="0" w:line="288" w:lineRule="auto"/>
        <w:tabs>
          <w:tab w:leader="none" w:pos="1118"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Filing of Amendments; Response to Commission Requests</w:t>
      </w:r>
      <w:r>
        <w:rPr>
          <w:rFonts w:ascii="Arial" w:cs="Arial" w:eastAsia="Arial" w:hAnsi="Arial"/>
          <w:sz w:val="16"/>
          <w:szCs w:val="16"/>
          <w:color w:val="auto"/>
        </w:rPr>
        <w:t>. For so long as a prospectus relating to the Securities is (or but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exemption in Rule 172 would be) required to be delivered under the Act by any Underwriter or dealer, the Company will promptly advise the Representatives of any proposal to amend or supplement the Registration Statement or any Statutory Prospectus at any time and will offer the Representatives a reasonable opportunity to comment on any such amendment or supplement; and the Company will also advise the Representatives promptly of (i) the filing of any such amendment or supplement,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60" w:lineRule="exact"/>
        <w:rPr>
          <w:rFonts w:ascii="Arial" w:cs="Arial" w:eastAsia="Arial" w:hAnsi="Arial"/>
          <w:sz w:val="16"/>
          <w:szCs w:val="16"/>
          <w:color w:val="auto"/>
        </w:rPr>
      </w:pPr>
    </w:p>
    <w:p>
      <w:pPr>
        <w:ind w:left="440" w:firstLine="419"/>
        <w:spacing w:after="0" w:line="270" w:lineRule="auto"/>
        <w:tabs>
          <w:tab w:leader="none" w:pos="1107"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relating to the Securities is (or but for the exemption in</w:t>
      </w:r>
      <w:r>
        <w:rPr>
          <w:rFonts w:ascii="Arial" w:cs="Arial" w:eastAsia="Arial" w:hAnsi="Arial"/>
          <w:sz w:val="17"/>
          <w:szCs w:val="17"/>
          <w:i w:val="1"/>
          <w:iCs w:val="1"/>
          <w:color w:val="auto"/>
        </w:rPr>
        <w:t xml:space="preserve"> </w:t>
      </w:r>
      <w:r>
        <w:rPr>
          <w:rFonts w:ascii="Arial" w:cs="Arial" w:eastAsia="Arial" w:hAnsi="Arial"/>
          <w:sz w:val="17"/>
          <w:szCs w:val="17"/>
          <w:color w:val="auto"/>
        </w:rPr>
        <w:t>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72" w:lineRule="exact"/>
        <w:rPr>
          <w:rFonts w:ascii="Arial" w:cs="Arial" w:eastAsia="Arial" w:hAnsi="Arial"/>
          <w:sz w:val="17"/>
          <w:szCs w:val="17"/>
          <w:color w:val="auto"/>
        </w:rPr>
      </w:pPr>
    </w:p>
    <w:p>
      <w:pPr>
        <w:jc w:val="both"/>
        <w:ind w:left="440" w:right="520" w:firstLine="419"/>
        <w:spacing w:after="0" w:line="263" w:lineRule="auto"/>
        <w:tabs>
          <w:tab w:leader="none" w:pos="1118"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As soon as practicable, but not later than 16 months after the date of this Agreement, the Company will make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securityholders an earnings statement covering a period of at least 12 months beginning after the date of this Agreement and satisfying the provisions of Section 11(a) of the Act and Rule 158.</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ind w:firstLine="419"/>
        <w:spacing w:after="0" w:line="259"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Furnishing of Prospectuses</w:t>
      </w:r>
      <w:r>
        <w:rPr>
          <w:rFonts w:ascii="Arial" w:cs="Arial" w:eastAsia="Arial" w:hAnsi="Arial"/>
          <w:sz w:val="18"/>
          <w:szCs w:val="18"/>
          <w:color w:val="auto"/>
        </w:rPr>
        <w:t>. The Company will furnish to the Representatives copies of the Registration Statement, including all exhibits,</w:t>
      </w:r>
      <w:r>
        <w:rPr>
          <w:rFonts w:ascii="Arial" w:cs="Arial" w:eastAsia="Arial" w:hAnsi="Arial"/>
          <w:sz w:val="18"/>
          <w:szCs w:val="18"/>
          <w:i w:val="1"/>
          <w:iCs w:val="1"/>
          <w:color w:val="auto"/>
        </w:rPr>
        <w:t xml:space="preserve"> </w:t>
      </w:r>
      <w:r>
        <w:rPr>
          <w:rFonts w:ascii="Arial" w:cs="Arial" w:eastAsia="Arial" w:hAnsi="Arial"/>
          <w:sz w:val="18"/>
          <w:szCs w:val="18"/>
          <w:color w:val="auto"/>
        </w:rPr>
        <w:t>any Statutory Prospectus, the Final Prospectus and all amendments and supplements to such documents, in each case as soon as available and in such quantities as the Representatives reasonably request. The Company will pay the expenses of printing and distributing to the Underwriters all such documents.</w:t>
      </w:r>
    </w:p>
    <w:p>
      <w:pPr>
        <w:spacing w:after="0" w:line="78" w:lineRule="exact"/>
        <w:rPr>
          <w:rFonts w:ascii="Arial" w:cs="Arial" w:eastAsia="Arial" w:hAnsi="Arial"/>
          <w:sz w:val="18"/>
          <w:szCs w:val="18"/>
          <w:color w:val="auto"/>
        </w:rPr>
      </w:pPr>
    </w:p>
    <w:p>
      <w:pPr>
        <w:ind w:right="20" w:firstLine="419"/>
        <w:spacing w:after="0" w:line="257"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arrange for the qualification of the Securities for sale and the determination of their eligibility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investment under the laws of such jurisdictions as the Representatives designate and will continue such qualifications in effect so long as required for the distribution; provided that the Company shall not be required to qualify to transact business or to take any action that would subject it to general service of process in any such jurisdiction where it is not currently qualified or where it would be subject to taxation as a foreign business.</w:t>
      </w:r>
    </w:p>
    <w:p>
      <w:pPr>
        <w:spacing w:after="0" w:line="187" w:lineRule="exact"/>
        <w:rPr>
          <w:rFonts w:ascii="Arial" w:cs="Arial" w:eastAsia="Arial" w:hAnsi="Arial"/>
          <w:sz w:val="18"/>
          <w:szCs w:val="18"/>
          <w:color w:val="auto"/>
        </w:rPr>
      </w:pPr>
    </w:p>
    <w:p>
      <w:pPr>
        <w:ind w:right="20" w:firstLine="419"/>
        <w:spacing w:after="0" w:line="253"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For so long as delivery of a prospectus by an Underwriter or dealer may be (or but for the exception in Rule</w:t>
      </w:r>
      <w:r>
        <w:rPr>
          <w:rFonts w:ascii="Arial" w:cs="Arial" w:eastAsia="Arial" w:hAnsi="Arial"/>
          <w:sz w:val="18"/>
          <w:szCs w:val="18"/>
          <w:i w:val="1"/>
          <w:iCs w:val="1"/>
          <w:color w:val="auto"/>
        </w:rPr>
        <w:t xml:space="preserve"> </w:t>
      </w:r>
      <w:r>
        <w:rPr>
          <w:rFonts w:ascii="Arial" w:cs="Arial" w:eastAsia="Arial" w:hAnsi="Arial"/>
          <w:sz w:val="18"/>
          <w:szCs w:val="18"/>
          <w:color w:val="auto"/>
        </w:rPr>
        <w:t>172 would be) required under the Act, the Company will furnish to the Representatives and, upon request, to each of the other Underwriters, as soon as practicable after the end of each fiscal year, a copy of its annual report to stockholders for such year as is required to be filed by the Company with the Commission; and the Company will furnish to the Representatives (i) as soon as available, a copy of each report and any definitive proxy statement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it is not required to furnish such reports or statements to the Underwriters.</w:t>
      </w:r>
    </w:p>
    <w:p>
      <w:pPr>
        <w:spacing w:after="0" w:line="88" w:lineRule="exact"/>
        <w:rPr>
          <w:rFonts w:ascii="Arial" w:cs="Arial" w:eastAsia="Arial" w:hAnsi="Arial"/>
          <w:sz w:val="18"/>
          <w:szCs w:val="18"/>
          <w:color w:val="auto"/>
        </w:rPr>
      </w:pPr>
    </w:p>
    <w:p>
      <w:pPr>
        <w:ind w:right="40" w:firstLine="419"/>
        <w:spacing w:after="0" w:line="269" w:lineRule="auto"/>
        <w:tabs>
          <w:tab w:leader="none" w:pos="67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Payment of Expenses</w:t>
      </w:r>
      <w:r>
        <w:rPr>
          <w:rFonts w:ascii="Arial" w:cs="Arial" w:eastAsia="Arial" w:hAnsi="Arial"/>
          <w:sz w:val="17"/>
          <w:szCs w:val="17"/>
          <w:color w:val="auto"/>
        </w:rPr>
        <w:t>. The Company will pay all expenses incident to the performance of its obligations under this Agreement,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but not limited to any filing fees and other expenses (including fees and disbursements of counsel to the Underwriters) incurred in connection with qualification of the Securities for sale under the laws of such jurisdictions as the Representatives designate pursuant to Section 5(f) hereof and the preparation and printing of memoranda relating thereto, any fees charged by investment rating agencies for the rating of the Securities, any fees charged by a second party opinion provider for any second party opinion in respect of the Securities, costs and expenses relating to investor presentations or any “road show” in connection with the offering and sale of the Securities including, without limitation, any travel expenses of the Company’s officers and employees and any other expenses of the Company, fees and expenses in connection with the registration of the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5 and Sections 8 and 10 hereof, the Underwriters will pay the fees of their counsel.</w:t>
      </w:r>
    </w:p>
    <w:p>
      <w:pPr>
        <w:spacing w:after="0" w:line="73" w:lineRule="exact"/>
        <w:rPr>
          <w:rFonts w:ascii="Arial" w:cs="Arial" w:eastAsia="Arial" w:hAnsi="Arial"/>
          <w:sz w:val="17"/>
          <w:szCs w:val="17"/>
          <w:color w:val="auto"/>
        </w:rPr>
      </w:pPr>
    </w:p>
    <w:p>
      <w:pPr>
        <w:jc w:val="both"/>
        <w:ind w:right="60" w:firstLine="419"/>
        <w:spacing w:after="0" w:line="311" w:lineRule="auto"/>
        <w:tabs>
          <w:tab w:leader="none" w:pos="638"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use the net proceeds received in connection with this offering in the manner described in the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section of the General Disclosure Package and, except as disclosed in the General Disclosure Package, the Company does not intend to use any of the proceeds from the sale of the Securities hereunder to repay any outstanding debt owed to any affiliate of any Underwriter.</w:t>
      </w:r>
    </w:p>
    <w:p>
      <w:pPr>
        <w:spacing w:after="0" w:line="40" w:lineRule="exact"/>
        <w:rPr>
          <w:rFonts w:ascii="Arial" w:cs="Arial" w:eastAsia="Arial" w:hAnsi="Arial"/>
          <w:sz w:val="16"/>
          <w:szCs w:val="16"/>
          <w:color w:val="auto"/>
        </w:rPr>
      </w:pPr>
    </w:p>
    <w:p>
      <w:pPr>
        <w:ind w:right="100" w:firstLine="419"/>
        <w:spacing w:after="0" w:line="263"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will not take, directly or indirectly, any action designed to or that would constitute or that might</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stabilization or manipulation of the price of any securities of the Company to facilitate the sale or resale of the Securities.</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6" w:name="page17"/>
    <w:bookmarkEnd w:id="16"/>
    <w:p>
      <w:pPr>
        <w:ind w:left="420" w:right="20" w:firstLine="737"/>
        <w:spacing w:after="0" w:line="257" w:lineRule="auto"/>
        <w:tabs>
          <w:tab w:leader="none" w:pos="1415"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Restriction on Sale of Securities. </w:t>
      </w:r>
      <w:r>
        <w:rPr>
          <w:rFonts w:ascii="Arial" w:cs="Arial" w:eastAsia="Arial" w:hAnsi="Arial"/>
          <w:sz w:val="18"/>
          <w:szCs w:val="18"/>
          <w:color w:val="auto"/>
        </w:rPr>
        <w:t>The Company will not offer, sell, contract to sell, pledge or otherwise dispose of,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or file with the Commission a registration statement under the Act relating to United States dollar-denominated debt securities issued or guaranteed by the Company and having a maturity of more than one year from the date of issue, or publicly disclose the intention to make any such offer, sale, pledge, disposition or filing, without the prior written consent of the Representatives for a period beginning on the date hereof and ending on the Closing Date.</w:t>
      </w:r>
    </w:p>
    <w:p>
      <w:pPr>
        <w:spacing w:after="0" w:line="187" w:lineRule="exact"/>
        <w:rPr>
          <w:rFonts w:ascii="Arial" w:cs="Arial" w:eastAsia="Arial" w:hAnsi="Arial"/>
          <w:sz w:val="18"/>
          <w:szCs w:val="18"/>
          <w:color w:val="auto"/>
        </w:rPr>
      </w:pPr>
    </w:p>
    <w:p>
      <w:pPr>
        <w:ind w:left="-20" w:right="40" w:firstLine="436"/>
        <w:spacing w:after="0" w:line="271"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Free Writing Prospectuses</w:t>
      </w:r>
      <w:r>
        <w:rPr>
          <w:rFonts w:ascii="Arial" w:cs="Arial" w:eastAsia="Arial" w:hAnsi="Arial"/>
          <w:sz w:val="17"/>
          <w:szCs w:val="17"/>
          <w:color w:val="auto"/>
        </w:rPr>
        <w:t>. (a)</w:t>
      </w:r>
      <w:r>
        <w:rPr>
          <w:rFonts w:ascii="Arial" w:cs="Arial" w:eastAsia="Arial" w:hAnsi="Arial"/>
          <w:sz w:val="17"/>
          <w:szCs w:val="17"/>
          <w:i w:val="1"/>
          <w:iCs w:val="1"/>
          <w:color w:val="auto"/>
        </w:rPr>
        <w:t xml:space="preserve"> Issuer Free Writing Prospectuses</w:t>
      </w:r>
      <w:r>
        <w:rPr>
          <w:rFonts w:ascii="Arial" w:cs="Arial" w:eastAsia="Arial" w:hAnsi="Arial"/>
          <w:sz w:val="17"/>
          <w:szCs w:val="17"/>
          <w:color w:val="auto"/>
        </w:rPr>
        <w:t>. The Company represents and agrees that, unless it obtains the prior consent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Representatives, and each Underwriter represents and agrees that, unless it obtains the prior consent of the Company and the Representatives,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p>
      <w:pPr>
        <w:spacing w:after="0" w:line="70" w:lineRule="exact"/>
        <w:rPr>
          <w:rFonts w:ascii="Arial" w:cs="Arial" w:eastAsia="Arial" w:hAnsi="Arial"/>
          <w:sz w:val="17"/>
          <w:szCs w:val="17"/>
          <w:color w:val="auto"/>
        </w:rPr>
      </w:pPr>
    </w:p>
    <w:p>
      <w:pPr>
        <w:ind w:left="420" w:firstLine="737"/>
        <w:spacing w:after="0" w:line="270" w:lineRule="auto"/>
        <w:tabs>
          <w:tab w:leader="none" w:pos="1415"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Term Sheets</w:t>
      </w:r>
      <w:r>
        <w:rPr>
          <w:rFonts w:ascii="Arial" w:cs="Arial" w:eastAsia="Arial" w:hAnsi="Arial"/>
          <w:sz w:val="17"/>
          <w:szCs w:val="17"/>
          <w:color w:val="auto"/>
        </w:rPr>
        <w:t>. The Company will prepare a final term sheet relating to the Securities, containing only information that describes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final terms of the Securities and otherwise in a form consented to by the Representatives, and will file such final term sheet within the period required by Rule 433(d)(5)(ii) following the date such final terms have been established for the offering of the Securities. Any such final term sheet is an Issuer Free Writing Prospectus and a Permitted Free Writing Prospectus for purposes of this Agreement. The Company also consents to the use by any Underwriter of a free writing prospectus that contains only (i) (x) information describing the preliminary terms of the Securities or their offering or (y) information that describes the final terms of the Securities or their offering and that is included in the final term sheet of the Company contemplated in the first sentence of this subsection or (ii) other information that is not “issuer information,” as defined in Rule 433, it being understood that any such free writing prospectus referred to in clause (i) or (ii) above shall not be an Issuer Free Writing Prospectus for purposes of this Agreement.</w:t>
      </w:r>
    </w:p>
    <w:p>
      <w:pPr>
        <w:spacing w:after="0" w:line="180" w:lineRule="exact"/>
        <w:rPr>
          <w:rFonts w:ascii="Arial" w:cs="Arial" w:eastAsia="Arial" w:hAnsi="Arial"/>
          <w:sz w:val="17"/>
          <w:szCs w:val="17"/>
          <w:color w:val="auto"/>
        </w:rPr>
      </w:pPr>
    </w:p>
    <w:p>
      <w:pPr>
        <w:ind w:left="-20" w:right="20" w:firstLine="436"/>
        <w:spacing w:after="0" w:line="259"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Conditions of the Obligations of the Underwriters</w:t>
      </w:r>
      <w:r>
        <w:rPr>
          <w:rFonts w:ascii="Arial" w:cs="Arial" w:eastAsia="Arial" w:hAnsi="Arial"/>
          <w:sz w:val="18"/>
          <w:szCs w:val="18"/>
          <w:color w:val="auto"/>
        </w:rPr>
        <w:t>. The obligations of the several Underwriters to purchase and pay for the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will be subject to the accuracy of the representations and warranties of the Company herein (as though made on the Closing Date), to the accuracy of the statements of Company officers made pursuant to the provisions hereof, to the performance by the Company of its obligations hereunder and to the following additional conditions precedent:</w:t>
      </w:r>
    </w:p>
    <w:p>
      <w:pPr>
        <w:spacing w:after="0" w:line="78" w:lineRule="exact"/>
        <w:rPr>
          <w:rFonts w:ascii="Arial" w:cs="Arial" w:eastAsia="Arial" w:hAnsi="Arial"/>
          <w:sz w:val="18"/>
          <w:szCs w:val="18"/>
          <w:color w:val="auto"/>
        </w:rPr>
      </w:pPr>
    </w:p>
    <w:p>
      <w:pPr>
        <w:ind w:left="420" w:right="40" w:firstLine="737"/>
        <w:spacing w:after="0" w:line="255" w:lineRule="auto"/>
        <w:tabs>
          <w:tab w:leader="none" w:pos="1401"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Accountants’ Comfort Letters</w:t>
      </w:r>
      <w:r>
        <w:rPr>
          <w:rFonts w:ascii="Arial" w:cs="Arial" w:eastAsia="Arial" w:hAnsi="Arial"/>
          <w:sz w:val="18"/>
          <w:szCs w:val="18"/>
          <w:color w:val="auto"/>
        </w:rPr>
        <w:t>. The Representatives shall have received letters, dated, respectively, the date hereof and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Ernst &amp; Young LLP, Boston, Massachusetts, as independent registered public accountants for the Company, and PricewaterhouseCoopers LLP, San Jose, California, as independent registered public accountants for Maxim, in each case, confirming that they are a registered public accounting firm and independent public accountants within the meaning of the Securities Laws and substantially in the form of Exhibits A and B hereto (except that, in any letter dated the Closing Date, the specified date referred to in Exhibits A and B hereto shall be a date no more than five days prior to the Closing Date).</w:t>
      </w:r>
    </w:p>
    <w:p>
      <w:pPr>
        <w:spacing w:after="0" w:line="84" w:lineRule="exact"/>
        <w:rPr>
          <w:rFonts w:ascii="Arial" w:cs="Arial" w:eastAsia="Arial" w:hAnsi="Arial"/>
          <w:sz w:val="18"/>
          <w:szCs w:val="18"/>
          <w:color w:val="auto"/>
        </w:rPr>
      </w:pPr>
    </w:p>
    <w:p>
      <w:pPr>
        <w:jc w:val="both"/>
        <w:ind w:left="420" w:right="20" w:firstLine="737"/>
        <w:spacing w:after="0" w:line="259" w:lineRule="auto"/>
        <w:tabs>
          <w:tab w:leader="none" w:pos="1415"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Filing of Prospectus. </w:t>
      </w:r>
      <w:r>
        <w:rPr>
          <w:rFonts w:ascii="Arial" w:cs="Arial" w:eastAsia="Arial" w:hAnsi="Arial"/>
          <w:sz w:val="18"/>
          <w:szCs w:val="18"/>
          <w:color w:val="auto"/>
        </w:rPr>
        <w:t>The Final Prospectus shall have been filed with the Commission in accordance with the Rules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Section 5(a) hereof. No stop order suspending the effectiveness of the Registration Statement or of any part thereof shall have been issued and no proceedings for that purpose shall have been instituted or, to the knowledge of the Company or any Underwriter, shall be contemplated by the Commission.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17" w:name="page18"/>
    <w:bookmarkEnd w:id="17"/>
    <w:p>
      <w:pPr>
        <w:ind w:left="4" w:firstLine="737"/>
        <w:spacing w:after="0" w:line="283" w:lineRule="auto"/>
        <w:tabs>
          <w:tab w:leader="none" w:pos="988"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Adverse Change</w:t>
      </w:r>
      <w:r>
        <w:rPr>
          <w:rFonts w:ascii="Arial" w:cs="Arial" w:eastAsia="Arial" w:hAnsi="Arial"/>
          <w:sz w:val="16"/>
          <w:szCs w:val="16"/>
          <w:color w:val="auto"/>
        </w:rPr>
        <w:t>. Subsequent to the execution and delivery of this Agreement, there shall not have occurred (i) any</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or any development or event involving a prospective change, in the condition (financial or otherwise), results of operations, business or properties of the Company and its subsidiaries, taken as a whole, which, in the judgment of the Representatives, is material and adverse and makes it impractical or inadvisable to market the Securities; (ii) any downgrading in the rating of any debt securities of the Company by any “nationally recognized statistical rating organization” (as defined for purposes of Rule 3(a)(62) under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the effect of which is such as to make it, in the judgment of the Representatives, impractical to market or to enforce contracts for the sale of the Securities, whether in the primary market or in respect of dealings in the secondary market; (iv) any suspension or material limitation of trading in securities generally on the Nasdaq Global Select Market, or any setting of minimum or maximum prices for trading on such exchange; (v) any suspension of trading of any securities of the Company on any exchange or in the over-the-counter market; (vi) any banking moratorium declared by any U.S. federal or New York authorities;</w:t>
      </w:r>
    </w:p>
    <w:p>
      <w:pPr>
        <w:spacing w:after="0" w:line="2" w:lineRule="exact"/>
        <w:rPr>
          <w:rFonts w:ascii="Arial" w:cs="Arial" w:eastAsia="Arial" w:hAnsi="Arial"/>
          <w:sz w:val="16"/>
          <w:szCs w:val="16"/>
          <w:color w:val="auto"/>
        </w:rPr>
      </w:pPr>
    </w:p>
    <w:p>
      <w:pPr>
        <w:ind w:left="4" w:right="160" w:hanging="4"/>
        <w:spacing w:after="0" w:line="288" w:lineRule="auto"/>
        <w:tabs>
          <w:tab w:leader="none" w:pos="3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major disruption of settlements of securities, payment, or clearance services in the United States or any other country where such securities are listed; or (viii)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offer, sell or deliver the Securities (each event described in clauses (i) – (viii) being referred to as a “</w:t>
      </w:r>
      <w:r>
        <w:rPr>
          <w:rFonts w:ascii="Arial" w:cs="Arial" w:eastAsia="Arial" w:hAnsi="Arial"/>
          <w:sz w:val="16"/>
          <w:szCs w:val="16"/>
          <w:b w:val="1"/>
          <w:bCs w:val="1"/>
          <w:color w:val="auto"/>
        </w:rPr>
        <w:t>Disruptive Event</w:t>
      </w:r>
      <w:r>
        <w:rPr>
          <w:rFonts w:ascii="Arial" w:cs="Arial" w:eastAsia="Arial" w:hAnsi="Arial"/>
          <w:sz w:val="16"/>
          <w:szCs w:val="16"/>
          <w:color w:val="auto"/>
        </w:rPr>
        <w:t>”). For the avoidance of doubt, the occurrence of the COVID-19 outbreak, as it exists as of the execution and delivery of this Agreement, shall not constitute a Disruptive Event; provided, however, that a worsening of such outbreak subsequent to the execution and delivery of this Agreement may constitute a Disruptive Event.</w:t>
      </w:r>
    </w:p>
    <w:p>
      <w:pPr>
        <w:spacing w:after="0" w:line="60" w:lineRule="exact"/>
        <w:rPr>
          <w:rFonts w:ascii="Arial" w:cs="Arial" w:eastAsia="Arial" w:hAnsi="Arial"/>
          <w:sz w:val="16"/>
          <w:szCs w:val="16"/>
          <w:color w:val="auto"/>
        </w:rPr>
      </w:pPr>
    </w:p>
    <w:p>
      <w:pPr>
        <w:ind w:left="4" w:right="60" w:firstLine="737"/>
        <w:spacing w:after="0" w:line="277" w:lineRule="auto"/>
        <w:tabs>
          <w:tab w:leader="none" w:pos="998"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Opinion of Counsel for the Company</w:t>
      </w:r>
      <w:r>
        <w:rPr>
          <w:rFonts w:ascii="Arial" w:cs="Arial" w:eastAsia="Arial" w:hAnsi="Arial"/>
          <w:sz w:val="18"/>
          <w:szCs w:val="18"/>
          <w:color w:val="auto"/>
        </w:rPr>
        <w:t>. The Representatives shall have received an opinion, dated the Closing Date, of Wilmer Cutler</w:t>
      </w:r>
      <w:r>
        <w:rPr>
          <w:rFonts w:ascii="Arial" w:cs="Arial" w:eastAsia="Arial" w:hAnsi="Arial"/>
          <w:sz w:val="18"/>
          <w:szCs w:val="18"/>
          <w:i w:val="1"/>
          <w:iCs w:val="1"/>
          <w:color w:val="auto"/>
        </w:rPr>
        <w:t xml:space="preserve"> </w:t>
      </w:r>
      <w:r>
        <w:rPr>
          <w:rFonts w:ascii="Arial" w:cs="Arial" w:eastAsia="Arial" w:hAnsi="Arial"/>
          <w:sz w:val="18"/>
          <w:szCs w:val="18"/>
          <w:color w:val="auto"/>
        </w:rPr>
        <w:t>Pickering Hale and Dorr LLP, counsel for the Company, in the form of Exhibit C hereto.</w:t>
      </w:r>
    </w:p>
    <w:p>
      <w:pPr>
        <w:spacing w:after="0" w:line="62" w:lineRule="exact"/>
        <w:rPr>
          <w:rFonts w:ascii="Arial" w:cs="Arial" w:eastAsia="Arial" w:hAnsi="Arial"/>
          <w:sz w:val="18"/>
          <w:szCs w:val="18"/>
          <w:color w:val="auto"/>
        </w:rPr>
      </w:pPr>
    </w:p>
    <w:p>
      <w:pPr>
        <w:ind w:left="4" w:right="420" w:firstLine="737"/>
        <w:spacing w:after="0" w:line="277" w:lineRule="auto"/>
        <w:tabs>
          <w:tab w:leader="none" w:pos="988"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Opinion of Chief Legal Officer of the Company. </w:t>
      </w:r>
      <w:r>
        <w:rPr>
          <w:rFonts w:ascii="Arial" w:cs="Arial" w:eastAsia="Arial" w:hAnsi="Arial"/>
          <w:sz w:val="18"/>
          <w:szCs w:val="18"/>
          <w:color w:val="auto"/>
        </w:rPr>
        <w:t>The Representatives shall have received an opinion, dated the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Janene Asgeirsson, Chief Legal Officer of the Company, in the form of Exhibit D hereto.</w:t>
      </w:r>
    </w:p>
    <w:p>
      <w:pPr>
        <w:spacing w:after="0" w:line="62" w:lineRule="exact"/>
        <w:rPr>
          <w:rFonts w:ascii="Arial" w:cs="Arial" w:eastAsia="Arial" w:hAnsi="Arial"/>
          <w:sz w:val="18"/>
          <w:szCs w:val="18"/>
          <w:color w:val="auto"/>
        </w:rPr>
      </w:pPr>
    </w:p>
    <w:p>
      <w:pPr>
        <w:ind w:left="4" w:firstLine="737"/>
        <w:spacing w:after="0" w:line="311" w:lineRule="auto"/>
        <w:tabs>
          <w:tab w:leader="none" w:pos="969"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Opinion of Counsel for Underwriters. </w:t>
      </w:r>
      <w:r>
        <w:rPr>
          <w:rFonts w:ascii="Arial" w:cs="Arial" w:eastAsia="Arial" w:hAnsi="Arial"/>
          <w:sz w:val="16"/>
          <w:szCs w:val="16"/>
          <w:color w:val="auto"/>
        </w:rPr>
        <w:t>The Representatives shall have received from Cravath, Swaine &amp; Moore LLP,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such opinion or opinions, dated the Closing Date, with respect to such matters as the Representatives may require, and the Company shall have furnished to such counsel such documents as they request for the purpose of enabling them to pass upon such matters.</w:t>
      </w:r>
    </w:p>
    <w:p>
      <w:pPr>
        <w:spacing w:after="0" w:line="40" w:lineRule="exact"/>
        <w:rPr>
          <w:rFonts w:ascii="Arial" w:cs="Arial" w:eastAsia="Arial" w:hAnsi="Arial"/>
          <w:sz w:val="16"/>
          <w:szCs w:val="16"/>
          <w:color w:val="auto"/>
        </w:rPr>
      </w:pPr>
    </w:p>
    <w:p>
      <w:pPr>
        <w:ind w:left="4" w:right="60" w:firstLine="737"/>
        <w:spacing w:after="0" w:line="270" w:lineRule="auto"/>
        <w:tabs>
          <w:tab w:leader="none" w:pos="998"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The Representatives shall have received a certificate, dated the Closing Date, of an executive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the Closing Date; no stop order suspending the effectiveness of the Registration Statement has been issued and no proceedings for that purpose have been instituted or, to their knowledge, are contemplated by the Commission; and, subsequent to the date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11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18" w:name="page19"/>
    <w:bookmarkEnd w:id="18"/>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w:t>
      </w:r>
    </w:p>
    <w:p>
      <w:pPr>
        <w:spacing w:after="0" w:line="184" w:lineRule="exact"/>
        <w:rPr>
          <w:sz w:val="20"/>
          <w:szCs w:val="20"/>
          <w:color w:val="auto"/>
        </w:rPr>
      </w:pPr>
    </w:p>
    <w:p>
      <w:pPr>
        <w:ind w:left="4" w:firstLine="436"/>
        <w:spacing w:after="0" w:line="283" w:lineRule="auto"/>
        <w:tabs>
          <w:tab w:leader="none" w:pos="624"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r>
        <w:rPr>
          <w:rFonts w:ascii="Arial" w:cs="Arial" w:eastAsia="Arial" w:hAnsi="Arial"/>
          <w:sz w:val="16"/>
          <w:szCs w:val="16"/>
          <w:color w:val="auto"/>
        </w:rPr>
        <w:t>. (a)</w:t>
      </w:r>
      <w:r>
        <w:rPr>
          <w:rFonts w:ascii="Arial" w:cs="Arial" w:eastAsia="Arial" w:hAnsi="Arial"/>
          <w:sz w:val="16"/>
          <w:szCs w:val="16"/>
          <w:i w:val="1"/>
          <w:iCs w:val="1"/>
          <w:color w:val="auto"/>
        </w:rPr>
        <w:t xml:space="preserve"> Indemnification of Underwriters</w:t>
      </w:r>
      <w:r>
        <w:rPr>
          <w:rFonts w:ascii="Arial" w:cs="Arial" w:eastAsia="Arial" w:hAnsi="Arial"/>
          <w:sz w:val="16"/>
          <w:szCs w:val="16"/>
          <w:color w:val="auto"/>
        </w:rPr>
        <w:t>. The Company will indemnify and hold harmless each Underwriter, its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members, directors, officers, employees, agents, affiliates and each person, if any, who controls such Underwriter within the meaning of Section 15 of the Act or Section 20 of the Exchange Act (each, a “</w:t>
      </w:r>
      <w:r>
        <w:rPr>
          <w:rFonts w:ascii="Arial" w:cs="Arial" w:eastAsia="Arial" w:hAnsi="Arial"/>
          <w:sz w:val="16"/>
          <w:szCs w:val="16"/>
          <w:b w:val="1"/>
          <w:bCs w:val="1"/>
          <w:color w:val="auto"/>
        </w:rPr>
        <w:t>Company Indemnified Party</w:t>
      </w:r>
      <w:r>
        <w:rPr>
          <w:rFonts w:ascii="Arial" w:cs="Arial" w:eastAsia="Arial" w:hAnsi="Arial"/>
          <w:sz w:val="16"/>
          <w:szCs w:val="16"/>
          <w:color w:val="auto"/>
        </w:rPr>
        <w:t>”), against any and all losses, claims, damages or liabilities, joint or several, to which such Company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alleged omission of a material fact required to be stated therein or necessary to make the statements therein not misleading, and will reimburse each Company Indemnified Party for any legal or other expenses reasonably incurred by such Company Indemnified Party in connection with investigating or defending against any such loss, claim, damage, liability, action, litigation, investigation or proceeding whatsoever (whether or not such Company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w:t>
      </w:r>
    </w:p>
    <w:p>
      <w:pPr>
        <w:ind w:left="264" w:hanging="264"/>
        <w:spacing w:after="0"/>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below.</w:t>
      </w:r>
    </w:p>
    <w:p>
      <w:pPr>
        <w:spacing w:after="0" w:line="211" w:lineRule="exact"/>
        <w:rPr>
          <w:sz w:val="20"/>
          <w:szCs w:val="20"/>
          <w:color w:val="auto"/>
        </w:rPr>
      </w:pPr>
    </w:p>
    <w:p>
      <w:pPr>
        <w:ind w:left="4" w:right="40" w:firstLine="436"/>
        <w:spacing w:after="0" w:line="285" w:lineRule="auto"/>
        <w:tabs>
          <w:tab w:leader="none" w:pos="69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Indemnification of Company</w:t>
      </w:r>
      <w:r>
        <w:rPr>
          <w:rFonts w:ascii="Arial" w:cs="Arial" w:eastAsia="Arial" w:hAnsi="Arial"/>
          <w:sz w:val="16"/>
          <w:szCs w:val="16"/>
          <w:color w:val="auto"/>
        </w:rPr>
        <w:t>. Each Underwriter will severally and not jointly indemnify and hold harmless the Company, each of its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each Company Indemnified Party and Underwriter Indemnified Party being referred as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third paragraph under the caption “Underwriting”, the second sentence in the fifth paragraph under the caption “Underwriting”, and the information contained in the twelfth and thirteenth paragraphs under the caption “Underwriting”.</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9" w:name="page20"/>
    <w:bookmarkEnd w:id="19"/>
    <w:p>
      <w:pPr>
        <w:ind w:left="4" w:firstLine="436"/>
        <w:spacing w:after="0" w:line="285" w:lineRule="auto"/>
        <w:tabs>
          <w:tab w:leader="none" w:pos="689"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against Parties; Notification</w:t>
      </w:r>
      <w:r>
        <w:rPr>
          <w:rFonts w:ascii="Arial" w:cs="Arial" w:eastAsia="Arial" w:hAnsi="Arial"/>
          <w:sz w:val="16"/>
          <w:szCs w:val="16"/>
          <w:color w:val="auto"/>
        </w:rPr>
        <w:t>. Promptly after receipt by an Indemnified Party under this Section 8 of notice of the commencement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such Indemnified Party will, if a claim in respect thereof is to be made against the indemnifying party under subsection (a) or (b) above, notify the indemnifying party of the commencement thereof; but the failure to notify the indemnifying party shall not relieve such indemnifying party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such indemnifying party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8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394" w:lineRule="exact"/>
        <w:rPr>
          <w:rFonts w:ascii="Arial" w:cs="Arial" w:eastAsia="Arial" w:hAnsi="Arial"/>
          <w:sz w:val="16"/>
          <w:szCs w:val="16"/>
          <w:color w:val="auto"/>
        </w:rPr>
      </w:pPr>
    </w:p>
    <w:p>
      <w:pPr>
        <w:ind w:left="4" w:right="160" w:firstLine="436"/>
        <w:spacing w:after="0" w:line="285" w:lineRule="auto"/>
        <w:tabs>
          <w:tab w:leader="none" w:pos="699"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8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w:t>
      </w:r>
    </w:p>
    <w:p>
      <w:pPr>
        <w:spacing w:after="0" w:line="1" w:lineRule="exact"/>
        <w:rPr>
          <w:rFonts w:ascii="Arial" w:cs="Arial" w:eastAsia="Arial" w:hAnsi="Arial"/>
          <w:sz w:val="16"/>
          <w:szCs w:val="16"/>
          <w:color w:val="auto"/>
        </w:rPr>
      </w:pPr>
    </w:p>
    <w:p>
      <w:pPr>
        <w:ind w:left="4" w:hanging="4"/>
        <w:spacing w:after="0" w:line="284" w:lineRule="auto"/>
        <w:tabs>
          <w:tab w:leader="none" w:pos="21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0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20" w:name="page21"/>
    <w:bookmarkEnd w:id="20"/>
    <w:p>
      <w:pPr>
        <w:ind w:left="4" w:firstLine="436"/>
        <w:spacing w:after="0" w:line="268" w:lineRule="auto"/>
        <w:tabs>
          <w:tab w:leader="none" w:pos="624"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of Underwriters</w:t>
      </w:r>
      <w:r>
        <w:rPr>
          <w:rFonts w:ascii="Arial" w:cs="Arial" w:eastAsia="Arial" w:hAnsi="Arial"/>
          <w:sz w:val="17"/>
          <w:szCs w:val="17"/>
          <w:color w:val="auto"/>
        </w:rPr>
        <w:t>. If any Underwriter or Underwriters default in their obligations to purchase Securities of a series hereunder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and the aggregate principal amount of Securities of that series that such defaulting Underwriter or Underwriters agreed but failed to purchase does not exceed 10% of the total principal amount of Securities of that series that the Underwriters are obligated to purchase on the Closing Date, the Representatives may make arrangements satisfactory to the Company for the purchase of such Securities by other persons, including any of the Underwriters, but if no such arrangements are made by the Closing Date, the non-defaulting Underwriters of the relevant series of the Securities shall be obligated severally, in proportion to their respective commitments hereunder, to purchase the Securities of the relevant series that such defaulting Underwriters agreed but failed to purchase on the Closing Date. If any Underwriter or Underwriters so default and the aggregate principal amount of Securities of the relevant series with respect to which such default or defaults occur exceeds 10% of the total principal amount of Securities of that series that the Underwriters are obligated to purchase on the Closing Date and arrangements satisfactory to the Representatives and the Company for the purchase of such Securities by other persons are not made within 36 hours after such default, this Agreement will terminate without liability with respect to such Securities on the part of any non-defaulting Underwriter or the Company, except as provided in Section 10 hereof. As used in this Agreement, the term “Underwriter” includes any person substituted for an Underwriter under this Section 9. Nothing herein will relieve a defaulting Underwriter from liability for its default.</w:t>
      </w:r>
    </w:p>
    <w:p>
      <w:pPr>
        <w:spacing w:after="0" w:line="186" w:lineRule="exact"/>
        <w:rPr>
          <w:rFonts w:ascii="Arial" w:cs="Arial" w:eastAsia="Arial" w:hAnsi="Arial"/>
          <w:sz w:val="17"/>
          <w:szCs w:val="17"/>
          <w:color w:val="auto"/>
        </w:rPr>
      </w:pPr>
    </w:p>
    <w:p>
      <w:pPr>
        <w:ind w:left="4" w:right="20" w:firstLine="436"/>
        <w:spacing w:after="0" w:line="269" w:lineRule="auto"/>
        <w:tabs>
          <w:tab w:leader="none" w:pos="714"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Survival of Certain Representations and Obligations</w:t>
      </w:r>
      <w:r>
        <w:rPr>
          <w:rFonts w:ascii="Arial" w:cs="Arial" w:eastAsia="Arial" w:hAnsi="Arial"/>
          <w:sz w:val="17"/>
          <w:szCs w:val="17"/>
          <w:color w:val="auto"/>
        </w:rPr>
        <w:t>. The respective indemnities, agreements, representations, warranties and other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Securities. If the purchase of the Securities by the Underwriters is not consummated for any reason other than solely because of the termination of this Agreement pursuant to Section 9 hereof or the occurrence of any event specified in clause (iii), (iv), (vi), (vii) or (viii) of Section 7(c) hereof, the Company will reimburse the Underwriters for all out-of-pocket expenses (including fees and disbursements of counsel) reasonably incurred by them in connection with the offering of the Securities, and the respective obligations of the Company and the Underwriters pursuant to Section 8 hereof shall remain in effect. In addition, if any Securities have been purchased hereunder, the representations and warranties in Section 2 hereof and all obligations under Section 5 hereof shall also remain in effect.</w:t>
      </w:r>
    </w:p>
    <w:p>
      <w:pPr>
        <w:spacing w:after="0" w:line="185" w:lineRule="exact"/>
        <w:rPr>
          <w:rFonts w:ascii="Arial" w:cs="Arial" w:eastAsia="Arial" w:hAnsi="Arial"/>
          <w:sz w:val="17"/>
          <w:szCs w:val="17"/>
          <w:color w:val="auto"/>
        </w:rPr>
      </w:pPr>
    </w:p>
    <w:p>
      <w:pPr>
        <w:ind w:left="4" w:right="100" w:firstLine="436"/>
        <w:spacing w:after="0" w:line="291" w:lineRule="auto"/>
        <w:tabs>
          <w:tab w:leader="none" w:pos="707"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will be in writing and, if sent to the Underwriters, will be mailed, delivered or telegraphed and</w:t>
      </w:r>
      <w:r>
        <w:rPr>
          <w:rFonts w:ascii="Arial" w:cs="Arial" w:eastAsia="Arial" w:hAnsi="Arial"/>
          <w:sz w:val="16"/>
          <w:szCs w:val="16"/>
          <w:i w:val="1"/>
          <w:iCs w:val="1"/>
          <w:color w:val="auto"/>
        </w:rPr>
        <w:t xml:space="preserve"> </w:t>
      </w:r>
      <w:r>
        <w:rPr>
          <w:rFonts w:ascii="Arial" w:cs="Arial" w:eastAsia="Arial" w:hAnsi="Arial"/>
          <w:sz w:val="16"/>
          <w:szCs w:val="16"/>
          <w:color w:val="auto"/>
        </w:rPr>
        <w:t>confirmed to the Representatives at Morgan Stanley &amp; Co. LLC, 1585 Broadway, New York, NY 10036, Attention: Investment Banking Division, Fax:</w:t>
      </w:r>
    </w:p>
    <w:p>
      <w:pPr>
        <w:ind w:left="4" w:right="60" w:hanging="4"/>
        <w:spacing w:after="0" w:line="290" w:lineRule="auto"/>
        <w:tabs>
          <w:tab w:leader="none" w:pos="4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507-8999, Citigroup Global Markets Inc., 388 Greenwich Street, New York NY 10013, Attention: General Counsel, Fax: (646) 291-1469, BofA Securities, Inc., 1540 Broadway, NY8-540-26-02, New York, NY 10036, Attention: High Grade Debt Capital Markets/Legal, Fax: (212) 901-7881, J.P. Morgan Securities LLC, 383 Madison Avenue, New York, NY 10179, Attention: Syndicate Desk, Fax: (212) 270-1063 and BNP Paribas Securities Corp., 787 Seventh Avenue, New York, NY 10019, Attention: Syndicate Desk, Tel: (212) 841-2871 or, if sent to the Company, will be mailed, delivered or telegraphed and confirmed to it at One Analog Way, Wilmington, Massachusetts 01887, Attention: General Counsel; provided, however, that any notice to an Underwriter pursuant to Section 8 hereof will be mailed, delivered or telegraphed and confirmed to such Underwriter.</w:t>
      </w:r>
    </w:p>
    <w:p>
      <w:pPr>
        <w:spacing w:after="0" w:line="163" w:lineRule="exact"/>
        <w:rPr>
          <w:rFonts w:ascii="Arial" w:cs="Arial" w:eastAsia="Arial" w:hAnsi="Arial"/>
          <w:sz w:val="16"/>
          <w:szCs w:val="16"/>
          <w:color w:val="auto"/>
        </w:rPr>
      </w:pPr>
    </w:p>
    <w:p>
      <w:pPr>
        <w:ind w:left="4" w:right="60" w:firstLine="436"/>
        <w:spacing w:after="0" w:line="308" w:lineRule="auto"/>
        <w:tabs>
          <w:tab w:leader="none" w:pos="714"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Successors</w:t>
      </w:r>
      <w:r>
        <w:rPr>
          <w:rFonts w:ascii="Arial" w:cs="Arial" w:eastAsia="Arial" w:hAnsi="Arial"/>
          <w:sz w:val="17"/>
          <w:szCs w:val="17"/>
          <w:color w:val="auto"/>
        </w:rPr>
        <w:t>. This Agreement will inure to the benefit of and be binding upon the parties hereto and their respective successors and the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controlling persons referred to in Section 8 hereof, and no other person will have any right or obligation hereunder.</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1" w:name="page22"/>
    <w:bookmarkEnd w:id="21"/>
    <w:p>
      <w:pPr>
        <w:ind w:right="260" w:firstLine="436"/>
        <w:spacing w:after="0" w:line="277"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of Underwriters</w:t>
      </w:r>
      <w:r>
        <w:rPr>
          <w:rFonts w:ascii="Arial" w:cs="Arial" w:eastAsia="Arial" w:hAnsi="Arial"/>
          <w:sz w:val="18"/>
          <w:szCs w:val="18"/>
          <w:color w:val="auto"/>
        </w:rPr>
        <w:t>. The Representatives will act for the several Underwriters in connection with this financing, and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taken by the Representatives jointly will be binding upon all the Underwriters.</w:t>
      </w:r>
    </w:p>
    <w:p>
      <w:pPr>
        <w:spacing w:after="0" w:line="170" w:lineRule="exact"/>
        <w:rPr>
          <w:rFonts w:ascii="Arial" w:cs="Arial" w:eastAsia="Arial" w:hAnsi="Arial"/>
          <w:sz w:val="18"/>
          <w:szCs w:val="18"/>
          <w:color w:val="auto"/>
        </w:rPr>
      </w:pPr>
    </w:p>
    <w:p>
      <w:pPr>
        <w:ind w:right="20" w:firstLine="436"/>
        <w:spacing w:after="0" w:line="257"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Absence of Fiduciary Relationship. </w:t>
      </w:r>
      <w:r>
        <w:rPr>
          <w:rFonts w:ascii="Arial" w:cs="Arial" w:eastAsia="Arial" w:hAnsi="Arial"/>
          <w:sz w:val="18"/>
          <w:szCs w:val="18"/>
          <w:color w:val="auto"/>
        </w:rPr>
        <w:t>The Company acknowledges and agrees that:</w:t>
      </w:r>
    </w:p>
    <w:p>
      <w:pPr>
        <w:spacing w:after="0" w:line="225" w:lineRule="exact"/>
        <w:rPr>
          <w:rFonts w:ascii="Arial" w:cs="Arial" w:eastAsia="Arial" w:hAnsi="Arial"/>
          <w:sz w:val="18"/>
          <w:szCs w:val="18"/>
          <w:color w:val="auto"/>
        </w:rPr>
      </w:pPr>
    </w:p>
    <w:p>
      <w:pPr>
        <w:ind w:right="200" w:firstLine="987"/>
        <w:spacing w:after="0" w:line="259" w:lineRule="auto"/>
        <w:tabs>
          <w:tab w:leader="none" w:pos="1236"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No Other Relationship</w:t>
      </w:r>
      <w:r>
        <w:rPr>
          <w:rFonts w:ascii="Arial" w:cs="Arial" w:eastAsia="Arial" w:hAnsi="Arial"/>
          <w:sz w:val="18"/>
          <w:szCs w:val="18"/>
          <w:color w:val="auto"/>
        </w:rPr>
        <w:t>. The Representatives have been retained solely to act as underwriters in connection with the sale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that no fiduciary, advisory or agency relationship between the Company and the Representatives has been created in respect of any of the transactions contemplated by this Agreement or the Final Prospectus, irrespective of whether the Representatives have advised or are advising the Company on other matters;</w:t>
      </w:r>
    </w:p>
    <w:p>
      <w:pPr>
        <w:spacing w:after="0" w:line="186" w:lineRule="exact"/>
        <w:rPr>
          <w:rFonts w:ascii="Arial" w:cs="Arial" w:eastAsia="Arial" w:hAnsi="Arial"/>
          <w:sz w:val="18"/>
          <w:szCs w:val="18"/>
          <w:color w:val="auto"/>
        </w:rPr>
      </w:pPr>
    </w:p>
    <w:p>
      <w:pPr>
        <w:ind w:right="240" w:firstLine="987"/>
        <w:spacing w:after="0" w:line="263" w:lineRule="auto"/>
        <w:tabs>
          <w:tab w:leader="none" w:pos="1246"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Arm’s-Length Negotiations</w:t>
      </w:r>
      <w:r>
        <w:rPr>
          <w:rFonts w:ascii="Arial" w:cs="Arial" w:eastAsia="Arial" w:hAnsi="Arial"/>
          <w:sz w:val="18"/>
          <w:szCs w:val="18"/>
          <w:color w:val="auto"/>
        </w:rPr>
        <w:t>. The price of the Securities set forth in this Agreement was established by the Company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and arm’s-length negotiations with the Representatives and the Company is capable of evaluating and understanding and understands and accepts the terms, risks and conditions of the transactions contemplated by this Agreement;</w:t>
      </w:r>
    </w:p>
    <w:p>
      <w:pPr>
        <w:spacing w:after="0" w:line="183" w:lineRule="exact"/>
        <w:rPr>
          <w:rFonts w:ascii="Arial" w:cs="Arial" w:eastAsia="Arial" w:hAnsi="Arial"/>
          <w:sz w:val="18"/>
          <w:szCs w:val="18"/>
          <w:color w:val="auto"/>
        </w:rPr>
      </w:pPr>
    </w:p>
    <w:p>
      <w:pPr>
        <w:ind w:right="20" w:firstLine="987"/>
        <w:spacing w:after="0" w:line="286" w:lineRule="auto"/>
        <w:tabs>
          <w:tab w:leader="none" w:pos="1236"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Absence of Obligation to Disclose</w:t>
      </w:r>
      <w:r>
        <w:rPr>
          <w:rFonts w:ascii="Arial" w:cs="Arial" w:eastAsia="Arial" w:hAnsi="Arial"/>
          <w:sz w:val="17"/>
          <w:szCs w:val="17"/>
          <w:color w:val="auto"/>
        </w:rPr>
        <w:t>. The Company has been advised that the Representatives and their affiliates are engaged in a broad</w:t>
      </w:r>
      <w:r>
        <w:rPr>
          <w:rFonts w:ascii="Arial" w:cs="Arial" w:eastAsia="Arial" w:hAnsi="Arial"/>
          <w:sz w:val="17"/>
          <w:szCs w:val="17"/>
          <w:i w:val="1"/>
          <w:iCs w:val="1"/>
          <w:color w:val="auto"/>
        </w:rPr>
        <w:t xml:space="preserve"> </w:t>
      </w:r>
      <w:r>
        <w:rPr>
          <w:rFonts w:ascii="Arial" w:cs="Arial" w:eastAsia="Arial" w:hAnsi="Arial"/>
          <w:sz w:val="17"/>
          <w:szCs w:val="17"/>
          <w:color w:val="auto"/>
        </w:rPr>
        <w:t>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65" w:lineRule="exact"/>
        <w:rPr>
          <w:rFonts w:ascii="Arial" w:cs="Arial" w:eastAsia="Arial" w:hAnsi="Arial"/>
          <w:sz w:val="17"/>
          <w:szCs w:val="17"/>
          <w:color w:val="auto"/>
        </w:rPr>
      </w:pPr>
    </w:p>
    <w:p>
      <w:pPr>
        <w:jc w:val="both"/>
        <w:ind w:right="100" w:firstLine="987"/>
        <w:spacing w:after="0" w:line="259" w:lineRule="auto"/>
        <w:tabs>
          <w:tab w:leader="none" w:pos="1246"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The Company waives, to the fullest extent permitted by law, any claims it may have against the Representatives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6" w:lineRule="exact"/>
        <w:rPr>
          <w:rFonts w:ascii="Arial" w:cs="Arial" w:eastAsia="Arial" w:hAnsi="Arial"/>
          <w:sz w:val="18"/>
          <w:szCs w:val="18"/>
          <w:color w:val="auto"/>
        </w:rPr>
      </w:pPr>
    </w:p>
    <w:p>
      <w:pPr>
        <w:ind w:right="100" w:firstLine="436"/>
        <w:spacing w:after="0" w:line="259"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Patriot Act</w:t>
      </w:r>
      <w:r>
        <w:rPr>
          <w:rFonts w:ascii="Arial" w:cs="Arial" w:eastAsia="Arial" w:hAnsi="Arial"/>
          <w:sz w:val="18"/>
          <w:szCs w:val="18"/>
          <w:color w:val="auto"/>
        </w:rPr>
        <w:t>. In accordance with the requirements of the USA PATRIOT Act (Title III of Pub. L. 107-56 (signed into law October 26, 2001)),</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Applicable Law and Waiver of Jury Trial</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This Agreement shall be governed by, and construed in accordance with, the laws of the State of New York.</w:t>
      </w:r>
    </w:p>
    <w:p>
      <w:pPr>
        <w:spacing w:after="0" w:line="229" w:lineRule="exact"/>
        <w:rPr>
          <w:rFonts w:ascii="Arial" w:cs="Arial" w:eastAsia="Arial" w:hAnsi="Arial"/>
          <w:sz w:val="18"/>
          <w:szCs w:val="18"/>
          <w:color w:val="auto"/>
        </w:rPr>
      </w:pPr>
    </w:p>
    <w:p>
      <w:pPr>
        <w:ind w:firstLine="436"/>
        <w:spacing w:after="0" w:line="296"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ind w:firstLine="436"/>
        <w:spacing w:after="0" w:line="277"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70" w:lineRule="exact"/>
        <w:rPr>
          <w:sz w:val="20"/>
          <w:szCs w:val="20"/>
          <w:color w:val="auto"/>
        </w:rPr>
      </w:pPr>
    </w:p>
    <w:p>
      <w:pPr>
        <w:ind w:left="700" w:hanging="26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59"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680" w:hanging="24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used in this Section 18:</w:t>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1841(k).</w:t>
      </w:r>
    </w:p>
    <w:p>
      <w:pPr>
        <w:spacing w:after="0" w:line="9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1940" w:hanging="251"/>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940" w:hanging="251"/>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940" w:hanging="251"/>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1"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(x) the U.S. Federal Deposit Insurance Act and the regulations promulgated thereunder and (y) Title II of the U.S. Dodd-Frank Wall Street Reform and Consumer Protection Act and the regulations promulgated thereunder.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right="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ANALOG DEVICES, INC.,</w:t>
      </w:r>
    </w:p>
    <w:p>
      <w:pPr>
        <w:spacing w:after="0" w:line="23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Prashanth Mahendra-Rajah</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Prashanth Mahendra-Rajah</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Title: Senior Vice President, Finance and Chief</w:t>
      </w:r>
    </w:p>
    <w:p>
      <w:pPr>
        <w:spacing w:after="0" w:line="3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Financial Officer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760"/>
          </w:cols>
          <w:pgMar w:left="440" w:top="274" w:right="69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Underwriting Agreement is hereby confirmed and accepted as of the date first above written.</w:t>
      </w:r>
    </w:p>
    <w:p>
      <w:pPr>
        <w:sectPr>
          <w:pgSz w:w="11900" w:h="16838" w:orient="portrait"/>
          <w:cols w:equalWidth="0" w:num="1">
            <w:col w:w="10019"/>
          </w:cols>
          <w:pgMar w:left="440" w:top="274" w:right="1440" w:bottom="1440" w:gutter="0" w:footer="0" w:header="0"/>
        </w:sect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BNP PARIBAS SECURITIES CORP.,</w:t>
      </w:r>
    </w:p>
    <w:p>
      <w:pPr>
        <w:spacing w:after="0" w:line="225"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14605</wp:posOffset>
            </wp:positionV>
            <wp:extent cx="2322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 Rafael Ribeiro</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Acting on behalf of itself and as a Representative of the several Underwriters.</w:t>
      </w:r>
    </w:p>
    <w:p>
      <w:pPr>
        <w:spacing w:after="0" w:line="158"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019"/>
          </w:cols>
          <w:pgMar w:left="440" w:top="274"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Laurie Campbell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as a Representative of the several Underwriters.</w:t>
      </w:r>
    </w:p>
    <w:p>
      <w:pPr>
        <w:spacing w:after="0" w:line="158"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019"/>
          </w:cols>
          <w:pgMar w:left="440" w:top="274"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D. Bednarski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as a Representative of the several Underwriters.</w:t>
      </w:r>
    </w:p>
    <w:p>
      <w:pPr>
        <w:spacing w:after="0" w:line="158"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019"/>
          </w:cols>
          <w:pgMar w:left="440" w:top="274"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Robert Bottamedi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as a Representative of the several Underwriters.</w:t>
      </w:r>
    </w:p>
    <w:p>
      <w:pPr>
        <w:spacing w:after="0" w:line="158"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019"/>
          </w:cols>
          <w:pgMar w:left="440" w:top="274"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&amp; CO.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Yurij Slyz</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201" w:lineRule="exact"/>
              <w:rPr>
                <w:sz w:val="20"/>
                <w:szCs w:val="20"/>
                <w:color w:val="auto"/>
              </w:rPr>
            </w:pPr>
            <w:r>
              <w:rPr>
                <w:rFonts w:ascii="Arial" w:cs="Arial" w:eastAsia="Arial" w:hAnsi="Arial"/>
                <w:sz w:val="18"/>
                <w:szCs w:val="18"/>
                <w:color w:val="auto"/>
              </w:rPr>
              <w:t>Yurij Slyz</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as a Representative of the several Underwriters.</w:t>
      </w:r>
    </w:p>
    <w:p>
      <w:pPr>
        <w:spacing w:after="0" w:line="225"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019"/>
          </w:cols>
          <w:pgMar w:left="440" w:top="274" w:right="1440"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Underwriting Agreement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60" w:type="dxa"/>
            <w:vAlign w:val="bottom"/>
          </w:tcPr>
          <w:p>
            <w:pPr>
              <w:ind w:left="1420"/>
              <w:spacing w:after="0"/>
              <w:rPr>
                <w:sz w:val="20"/>
                <w:szCs w:val="20"/>
                <w:color w:val="auto"/>
              </w:rPr>
            </w:pPr>
            <w:r>
              <w:rPr>
                <w:rFonts w:ascii="Arial" w:cs="Arial" w:eastAsia="Arial" w:hAnsi="Arial"/>
                <w:sz w:val="14"/>
                <w:szCs w:val="14"/>
                <w:b w:val="1"/>
                <w:bCs w:val="1"/>
                <w:color w:val="auto"/>
              </w:rPr>
              <w:t>Principal</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Principal</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Principal</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Principal</w:t>
            </w:r>
          </w:p>
        </w:tc>
        <w:tc>
          <w:tcPr>
            <w:tcW w:w="1100" w:type="dxa"/>
            <w:vAlign w:val="bottom"/>
          </w:tcPr>
          <w:p>
            <w:pPr>
              <w:ind w:left="8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360" w:type="dxa"/>
            <w:vAlign w:val="bottom"/>
          </w:tcPr>
          <w:p>
            <w:pPr>
              <w:ind w:left="1420"/>
              <w:spacing w:after="0" w:line="149" w:lineRule="exact"/>
              <w:rPr>
                <w:sz w:val="20"/>
                <w:szCs w:val="20"/>
                <w:color w:val="auto"/>
              </w:rPr>
            </w:pPr>
            <w:r>
              <w:rPr>
                <w:rFonts w:ascii="Arial" w:cs="Arial" w:eastAsia="Arial" w:hAnsi="Arial"/>
                <w:sz w:val="14"/>
                <w:szCs w:val="14"/>
                <w:b w:val="1"/>
                <w:bCs w:val="1"/>
                <w:color w:val="auto"/>
              </w:rPr>
              <w:t>Amount of</w:t>
            </w:r>
          </w:p>
        </w:tc>
        <w:tc>
          <w:tcPr>
            <w:tcW w:w="11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Amount of</w:t>
            </w:r>
          </w:p>
        </w:tc>
        <w:tc>
          <w:tcPr>
            <w:tcW w:w="11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Amount of</w:t>
            </w:r>
          </w:p>
        </w:tc>
        <w:tc>
          <w:tcPr>
            <w:tcW w:w="11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Amount of</w:t>
            </w:r>
          </w:p>
        </w:tc>
        <w:tc>
          <w:tcPr>
            <w:tcW w:w="11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420" w:type="dxa"/>
            <w:vAlign w:val="bottom"/>
            <w:vMerge w:val="restart"/>
          </w:tcPr>
          <w:p>
            <w:pPr>
              <w:spacing w:after="0"/>
              <w:rPr>
                <w:sz w:val="12"/>
                <w:szCs w:val="12"/>
                <w:color w:val="auto"/>
              </w:rPr>
            </w:pPr>
          </w:p>
        </w:tc>
        <w:tc>
          <w:tcPr>
            <w:tcW w:w="2360" w:type="dxa"/>
            <w:vAlign w:val="bottom"/>
          </w:tcPr>
          <w:p>
            <w:pPr>
              <w:ind w:left="1420"/>
              <w:spacing w:after="0" w:line="149" w:lineRule="exact"/>
              <w:rPr>
                <w:sz w:val="20"/>
                <w:szCs w:val="20"/>
                <w:color w:val="auto"/>
              </w:rPr>
            </w:pPr>
            <w:r>
              <w:rPr>
                <w:rFonts w:ascii="Arial" w:cs="Arial" w:eastAsia="Arial" w:hAnsi="Arial"/>
                <w:sz w:val="14"/>
                <w:szCs w:val="14"/>
                <w:b w:val="1"/>
                <w:bCs w:val="1"/>
                <w:color w:val="auto"/>
              </w:rPr>
              <w:t>2024</w:t>
            </w:r>
          </w:p>
        </w:tc>
        <w:tc>
          <w:tcPr>
            <w:tcW w:w="11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2028</w:t>
            </w:r>
          </w:p>
        </w:tc>
        <w:tc>
          <w:tcPr>
            <w:tcW w:w="11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2031</w:t>
            </w:r>
          </w:p>
        </w:tc>
        <w:tc>
          <w:tcPr>
            <w:tcW w:w="11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2041</w:t>
            </w:r>
          </w:p>
        </w:tc>
        <w:tc>
          <w:tcPr>
            <w:tcW w:w="11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2051</w:t>
            </w: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2360" w:type="dxa"/>
            <w:vAlign w:val="bottom"/>
          </w:tcPr>
          <w:p>
            <w:pPr>
              <w:ind w:left="1420"/>
              <w:spacing w:after="0"/>
              <w:rPr>
                <w:sz w:val="20"/>
                <w:szCs w:val="20"/>
                <w:color w:val="auto"/>
              </w:rPr>
            </w:pPr>
            <w:r>
              <w:rPr>
                <w:rFonts w:ascii="Arial" w:cs="Arial" w:eastAsia="Arial" w:hAnsi="Arial"/>
                <w:sz w:val="14"/>
                <w:szCs w:val="14"/>
                <w:b w:val="1"/>
                <w:bCs w:val="1"/>
                <w:color w:val="auto"/>
              </w:rPr>
              <w:t>Securities ($)</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Securities ($)</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Securities ($)</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Securities ($)</w:t>
            </w:r>
          </w:p>
        </w:tc>
        <w:tc>
          <w:tcPr>
            <w:tcW w:w="1100" w:type="dxa"/>
            <w:vAlign w:val="bottom"/>
          </w:tcPr>
          <w:p>
            <w:pPr>
              <w:ind w:left="80"/>
              <w:spacing w:after="0"/>
              <w:rPr>
                <w:sz w:val="20"/>
                <w:szCs w:val="20"/>
                <w:color w:val="auto"/>
              </w:rPr>
            </w:pPr>
            <w:r>
              <w:rPr>
                <w:rFonts w:ascii="Arial" w:cs="Arial" w:eastAsia="Arial" w:hAnsi="Arial"/>
                <w:sz w:val="14"/>
                <w:szCs w:val="14"/>
                <w:b w:val="1"/>
                <w:bCs w:val="1"/>
                <w:color w:val="auto"/>
              </w:rPr>
              <w:t>Securities ($)</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360" w:type="dxa"/>
            <w:vAlign w:val="bottom"/>
          </w:tcPr>
          <w:p>
            <w:pPr>
              <w:jc w:val="right"/>
              <w:spacing w:after="0"/>
              <w:rPr>
                <w:sz w:val="20"/>
                <w:szCs w:val="20"/>
                <w:color w:val="auto"/>
              </w:rPr>
            </w:pPr>
            <w:r>
              <w:rPr>
                <w:rFonts w:ascii="Arial" w:cs="Arial" w:eastAsia="Arial" w:hAnsi="Arial"/>
                <w:sz w:val="18"/>
                <w:szCs w:val="18"/>
                <w:color w:val="auto"/>
              </w:rPr>
              <w:t>87,500,000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131,250,000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175,000,000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131,250,000</w:t>
            </w:r>
          </w:p>
        </w:tc>
        <w:tc>
          <w:tcPr>
            <w:tcW w:w="1100" w:type="dxa"/>
            <w:vAlign w:val="bottom"/>
          </w:tcPr>
          <w:p>
            <w:pPr>
              <w:jc w:val="right"/>
              <w:spacing w:after="0"/>
              <w:rPr>
                <w:sz w:val="20"/>
                <w:szCs w:val="20"/>
                <w:color w:val="auto"/>
              </w:rPr>
            </w:pPr>
            <w:r>
              <w:rPr>
                <w:rFonts w:ascii="Arial" w:cs="Arial" w:eastAsia="Arial" w:hAnsi="Arial"/>
                <w:sz w:val="18"/>
                <w:szCs w:val="18"/>
                <w:color w:val="auto"/>
              </w:rPr>
              <w:t>175,000,000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360" w:type="dxa"/>
            <w:vAlign w:val="bottom"/>
          </w:tcPr>
          <w:p>
            <w:pPr>
              <w:jc w:val="right"/>
              <w:spacing w:after="0"/>
              <w:rPr>
                <w:sz w:val="20"/>
                <w:szCs w:val="20"/>
                <w:color w:val="auto"/>
              </w:rPr>
            </w:pPr>
            <w:r>
              <w:rPr>
                <w:rFonts w:ascii="Arial" w:cs="Arial" w:eastAsia="Arial" w:hAnsi="Arial"/>
                <w:sz w:val="18"/>
                <w:szCs w:val="18"/>
                <w:color w:val="auto"/>
              </w:rPr>
              <w:t>87,500,000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131,250,000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175,000,000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131,250,000</w:t>
            </w:r>
          </w:p>
        </w:tc>
        <w:tc>
          <w:tcPr>
            <w:tcW w:w="1100" w:type="dxa"/>
            <w:vAlign w:val="bottom"/>
          </w:tcPr>
          <w:p>
            <w:pPr>
              <w:jc w:val="right"/>
              <w:spacing w:after="0"/>
              <w:rPr>
                <w:sz w:val="20"/>
                <w:szCs w:val="20"/>
                <w:color w:val="auto"/>
              </w:rPr>
            </w:pPr>
            <w:r>
              <w:rPr>
                <w:rFonts w:ascii="Arial" w:cs="Arial" w:eastAsia="Arial" w:hAnsi="Arial"/>
                <w:sz w:val="18"/>
                <w:szCs w:val="18"/>
                <w:color w:val="auto"/>
              </w:rPr>
              <w:t>175,000,000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36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236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236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36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26,250,000</w:t>
            </w:r>
          </w:p>
        </w:tc>
        <w:tc>
          <w:tcPr>
            <w:tcW w:w="11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36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23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120" w:type="dxa"/>
            <w:vAlign w:val="bottom"/>
          </w:tcPr>
          <w:p>
            <w:pPr>
              <w:jc w:val="right"/>
              <w:spacing w:after="0"/>
              <w:rPr>
                <w:sz w:val="20"/>
                <w:szCs w:val="20"/>
                <w:color w:val="auto"/>
              </w:rPr>
            </w:pPr>
            <w:r>
              <w:rPr>
                <w:rFonts w:ascii="Arial" w:cs="Arial" w:eastAsia="Arial" w:hAnsi="Arial"/>
                <w:sz w:val="18"/>
                <w:szCs w:val="18"/>
                <w:color w:val="auto"/>
              </w:rPr>
              <w:t>11,250,000</w:t>
            </w:r>
          </w:p>
        </w:tc>
        <w:tc>
          <w:tcPr>
            <w:tcW w:w="11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Roberts &amp; Ryan Investments,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Blaylock Van, LLC</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500,000,000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750,000,000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1,000,000,000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750,000,000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1,000,000,000</w:t>
            </w:r>
          </w:p>
        </w:tc>
      </w:tr>
      <w:tr>
        <w:trPr>
          <w:trHeight w:val="20"/>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31" w:name="page32"/>
    <w:bookmarkEnd w:id="31"/>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to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Use Free Writing Prospectuses (included in the General Disclosure Package)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Use Issuer Free Writing Prospectus” includes each of the following documents:</w:t>
      </w:r>
    </w:p>
    <w:p>
      <w:pPr>
        <w:spacing w:after="0" w:line="131" w:lineRule="exact"/>
        <w:rPr>
          <w:sz w:val="20"/>
          <w:szCs w:val="20"/>
          <w:color w:val="auto"/>
        </w:rPr>
      </w:pPr>
    </w:p>
    <w:p>
      <w:pPr>
        <w:ind w:left="960" w:hanging="532"/>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Pricing term sheet dated September 28, 2021 filed on the date hereof with the Commission pursuant to Rule 433.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Included in the General Disclosure Package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is also included in the General Disclosure Package: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Announces Public Offering of Senior Notes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WILMINGTON, Mass. — September 28, 2021 — Analog Devices, Inc. (Nasdaq: ADI) (the “Company”) today announced that it is commencing an underwritten public offering (the “offering”) of five tranches of senior notes, subject to market conditions. The notes will bear interest at rates to be determined at pricing. Morgan Stanley &amp; Co. LLC, Citigroup Global Markets Inc., BofA Securities, Inc., J.P. Morgan Securities LLC and BNP Paribas Securities Corp. will act as joint book-running managers for the offering.</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intends to use a portion of the net proceeds from the offering to pay the purchase price for, and accrued and unpaid interest on, any and all of the Company’s outstanding 2.500% Senior Notes due December 2021 (the “2021 notes”), 2.875% Senior Notes due June 2023 (the “June 2023 notes”), 3.125% Senior Notes due December 2023 (the “December 2023 notes”), 3.900% Senior Notes due December 2025 (the “2025 notes”), 4.500% Senior Notes due December 2036 (the “2036 notes”) and 5.300% Senior Notes due December 2045 (the “2045 notes”) validly tendered (and not validly withdrawn) and accepted for purchase pursuant to a cash tender offer announced separately today (the “tender offer”), and to pay related fees and expenses in connection with the tender offer. Completion of the offering is not contingent upon completion of the tender offer. Completion of the tender offer is contingent on completion of the offering. To the extent all of the 2021 notes, the June 2023 notes, the December 2023 notes and the 2025 notes are not tendered and purchased in the tender offer, the Company may, but is not obligated to, use a portion of the net proceeds from the offering to redeem all or a portion of the remaining 2021 notes, June 2023 notes, December 2023 notes and 2025 notes. Any remaining net proceeds not used for the tender offer or related redemption will be used for general corporate purposes, which may include repayment of some or all of the amounts outstanding under the Company’s other indebtedness.</w:t>
      </w:r>
    </w:p>
    <w:p>
      <w:pPr>
        <w:spacing w:after="0" w:line="182" w:lineRule="exact"/>
        <w:rPr>
          <w:sz w:val="20"/>
          <w:szCs w:val="20"/>
          <w:color w:val="auto"/>
        </w:rPr>
      </w:pPr>
    </w:p>
    <w:p>
      <w:pPr>
        <w:jc w:val="both"/>
        <w:ind w:right="440"/>
        <w:spacing w:after="0" w:line="301" w:lineRule="auto"/>
        <w:rPr>
          <w:sz w:val="20"/>
          <w:szCs w:val="20"/>
          <w:color w:val="auto"/>
        </w:rPr>
      </w:pPr>
      <w:r>
        <w:rPr>
          <w:rFonts w:ascii="Arial" w:cs="Arial" w:eastAsia="Arial" w:hAnsi="Arial"/>
          <w:sz w:val="16"/>
          <w:szCs w:val="16"/>
          <w:color w:val="auto"/>
        </w:rPr>
        <w:t>The notes are being offered pursuant to an effective registration statement on Form S-3 that was previously filed with the Securities and Exchange Commission. This press release does not constitute an offer to sell or the solicitation of an offer to buy any of the Company’s notes, nor shall there be any sale of the notes in any jurisdiction in which such offer, solicitation or sale would be unlawful prior to registration or qualification under the securities laws of such jurisdiction. The offering will be made only by means of a prospectus supplement and the accompanying base prospectus.</w:t>
      </w:r>
    </w:p>
    <w:p>
      <w:pPr>
        <w:spacing w:after="0" w:line="1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Before you invest, you should read the prospectus supplement and the accompanying base prospectus and other documents the Company has filed with the SEC for more complete information about the Company and this offering. Copies of the prospectus supplement relating to this offering, when available, may be obtained by contacting: Morgan Stanley &amp; Co. LLC, Attn: Prospectus Department, at 180 Varick Street, New York, New York 10014, telephone (866) 718-1649 or email prospectus@morganstanley.com; Citigroup Global Markets Inc., c/o Broadridge Financial Solutions, at 1155 Long Island Avenue, Edgewood, NY 11717, telephone (800) 831-9146 or email prospectus@citi.com; BofA Securities, Inc., Attn: Prospectus Department, at 200 North College Street, NC1-004-03-43, Charlotte NC 28255-0001, telephone 1-800-294-1322 or email dg.prospectus_requests@bofa.com; J.P. Morgan Securities LLC, Attn: Investment Grade Syndicate Desk, at 383 Madison Avenue, New York, NY 10179, telephone (212) 834-4533 or, BNP Paribas Securities Corp., Attn: Debt Syndicate Desk, at 787 Seventh Avenue, New York, NY 10019, telephone (800) 854-5674. An electronic copy of the prospectus supplement, together with the accompanying base prospectus, is also available on the United States Securities and Exchange Commission (SEC) website, www.sec.gov.</w:t>
      </w:r>
    </w:p>
    <w:p>
      <w:pPr>
        <w:spacing w:after="0" w:line="18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Forward-Looking Statements</w:t>
      </w:r>
      <w:r>
        <w:rPr>
          <w:rFonts w:ascii="Arial" w:cs="Arial" w:eastAsia="Arial" w:hAnsi="Arial"/>
          <w:sz w:val="17"/>
          <w:szCs w:val="17"/>
          <w:color w:val="auto"/>
        </w:rPr>
        <w:t>: This press release contains “forward-looking statements” within the meaning of the federal securities laws. Forward-looking statements address a variety of subjects, including, for example, whether the offering will be completed, the anticipated use of net proceeds from the offering and the outcome of the tender offer. Statements that are not historical facts, including statements about the Company’s beliefs, plans and expectations, are forward-looking statements. Such statements are based on the Company’s current expectations and are subject to a number of factors and uncertainties, which could cause actual results to differ materially from those described in the forward-looking statements. Forward-looking statements often contain words such as “expect,” “anticipate,”</w:t>
      </w:r>
    </w:p>
    <w:p>
      <w:pPr>
        <w:sectPr>
          <w:pgSz w:w="11900" w:h="16838" w:orient="portrait"/>
          <w:cols w:equalWidth="0" w:num="1">
            <w:col w:w="11020"/>
          </w:cols>
          <w:pgMar w:left="440" w:top="121" w:right="439" w:bottom="1440" w:gutter="0" w:footer="0" w:header="0"/>
        </w:sectPr>
      </w:pPr>
    </w:p>
    <w:bookmarkStart w:id="33" w:name="page34"/>
    <w:bookmarkEnd w:id="3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risks and uncertainties related to market conditions and the risks and uncertainties described in a registration statement on Form S-3 (File No. 333-259782) and a related prospectus and prospectus supplement filed with the Securities and Exchange Commission on September 28, 2021. For additional information about other factors that could cause actual results to differ materially from those described in the forward-looking statements, please refer to the Company’s periodic reports and other filings with the Securities and Exchange Commission, including the risk factors contained in the Company’s most recent Quarterly Reports on Form 10-Q and Annual Reports on Form 10-K. Forward-looking statements represent management’s current expectations and are inherently uncertain and are made only as of the date hereof. Except as required by law, the Company does not undertake or assume any obligation to update any forward-looking statements, whether as a result of new information or to reflect subsequent events or circumstances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 Inc.</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Analog Devices, Inc. (NASDAQ: ADI) operates at the center of the modern digital economy, converting real-world phenomena into actionable insight with its comprehensive suite of analog and mixed signal, power management, radio frequency (RF), and digital and sensor technologies. ADI serves 125,000 customers worldwide with more than 75,000 products in the industrial, communications, automotive, and consumer markets. ADI is headquartered in Wilmington, MA.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investor.relations@analog.com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Ms. Brittany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917-935-1456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Brittany.Stone@teneo.com</w:t>
      </w:r>
    </w:p>
    <w:p>
      <w:pPr>
        <w:sectPr>
          <w:pgSz w:w="11900" w:h="16838" w:orient="portrait"/>
          <w:cols w:equalWidth="0" w:num="1">
            <w:col w:w="11020"/>
          </w:cols>
          <w:pgMar w:left="440" w:top="274"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Announces Pricing of Public Offering of Senior Notes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WILMINGTON, Mass.— September 28, 2021 —Analog Devices, Inc. (Nasdaq: ADI) (the “Company”) today announced that it has priced an underwritten public offering (the “offering”) of $500,000,000 aggregate principal amount of Floating Rate Senior Notes due October 1, 2024 (the “2024 notes”), $750,000,000 aggregate principal amount of 1.700% Sustainability-Linked Senior Notes due October 1, 2028 (the “2028 sustainability-linked notes”), $1,000,000,000 aggregate principal amount of 2.100% Senior Notes due October 1, 2031 (the “2031 notes”), $750,000,000 aggregate principal amount of 2.800% senior notes due October 1, 2041 (the “2041 notes”) and $1,000,000,000 aggregate principal amount of 2.950% senior notes due October 1, 2051 (the “2051 notes” and, together with the 2024 notes, the 2028 sustainability-linked notes, the 2031 notes and the 2041 notes, the “notes”). Morgan Stanley &amp; Co. LLC, Citigroup Global Markets Inc., BofA Securities, Inc., J.P. Morgan Securities LLC and BNP Paribas Securities Corp. are acting as joint book-running managers in connection with the offering.</w:t>
      </w:r>
    </w:p>
    <w:p>
      <w:pPr>
        <w:spacing w:after="0" w:line="17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2024 notes were priced at 100.000% of their principal amount. The 2031 notes were priced at 99.428% of their principal amount. The 2041 notes were priced at 99.227% of their principal amount. The 2051 notes were priced at 99.173% of their principal amount. The 2028 sustainability-linked notes were initially priced at 99.405% of their principal amount, and are subject to a 30 basis point per annum increase in interest rate beginning April 15, 2026 unless the Company achieves a certain sustainability performance target by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or about October 5, 2021, subject to customary closing conditions.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intends to use a portion of the net proceeds from the offering to pay the purchase price for, and accrued and unpaid interest on, any and all of the Company’s outstanding 2.500% Senior Notes due December 2021 (the “2021 notes”), 2.875% Senior Notes due June 2023 (the “June 2023 notes”), 3.125% Senior Notes due December 2023 (the “December 2023 notes”), 3.900% Senior Notes due December 2025 (the “2025 notes”), 4.500% Senior Notes due December 2036 (the “2036 notes”) and 5.300% Senior Notes due December 2045 (the “2045 notes”) validly tendered (and not validly withdrawn) and accepted for purchase pursuant to a cash tender offer announced separately today (the “tender offer”), and to pay related fees and expenses in connection with the tender offer. Completion of the offering is not contingent upon completion of the tender offer. Completion of the tender offer is contingent on completion of the offering. To the extent all of the 2021 notes, the June 2023 notes, the December 2023 notes and the 2025 notes are not tendered and purchased in the tender offer, the Company may, but is not obligated to, use a portion of any remaining net proceeds from the offering to redeem all or a portion of the remaining 2021 notes, June 2023 notes, December 2023 notes and 2025 notes. The Company intends to use any remaining net proceeds not used for the tender offer or related redemption for general corporate purposes, which may include repayment of some or all of the amounts outstanding under the Company’s other indebtedness.</w:t>
      </w:r>
    </w:p>
    <w:p>
      <w:pPr>
        <w:spacing w:after="0" w:line="172"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notes are being offered pursuant to an effective registration statement on Form S-3 that was previously filed with the Securities and Exchange Commission. This press release does not constitute an offer to sell or the solicitation of an offer to buy any of the Company’s notes, nor shall there be any sale of the notes in any jurisdiction in which such offer, solicitation or sale would be unlawful prior to registration or qualification under the securities laws of such jurisdiction. The offering will be made only by means of a prospectus supplement and the accompanying base prospectus.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Before you invest, you should read the prospectus supplement and the accompanying base prospectus and other documents the Company has filed with the SEC for more complete information about the Company and this offering. Copies of the prospectus supplement relating to this offering may be obtained</w:t>
      </w:r>
    </w:p>
    <w:p>
      <w:pPr>
        <w:sectPr>
          <w:pgSz w:w="11900" w:h="16838" w:orient="portrait"/>
          <w:cols w:equalWidth="0" w:num="1">
            <w:col w:w="11020"/>
          </w:cols>
          <w:pgMar w:left="440" w:top="121" w:right="439" w:bottom="1440" w:gutter="0" w:footer="0" w:header="0"/>
        </w:sectPr>
      </w:pPr>
    </w:p>
    <w:bookmarkStart w:id="35" w:name="page36"/>
    <w:bookmarkEnd w:id="35"/>
    <w:p>
      <w:pPr>
        <w:jc w:val="both"/>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contacting: Morgan Stanley &amp; Co. LLC, Attn: Prospectus Department, at 180 Varick Street, New York, New York 10014, telephone (866) 718-1649 or email prospectus@morganstanley.com; Citigroup Global Markets Inc., c/o Broadridge Financial Solutions, at 1155 Long Island Avenue, Edgewood, NY 11717, telephone (800) 831-9146 or email prospectus@citi.com; BofA Securities, Inc., Attn: Prospectus Department, at 200 North College Street, NC1-004-03-43, Charlotte NC 28255-0001, telephone 1-800-294-1322 or email dg.prospectus_requests@bofa.com; J.P. Morgan Securities LLC, Attn: Investment Grade Syndicate Desk, at 383 Madison Avenue, New York, NY 10179, telephone (212) 834-4533 or, BNP Paribas Securities Corp., Attn:</w:t>
      </w:r>
    </w:p>
    <w:p>
      <w:pPr>
        <w:spacing w:after="0" w:line="2"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Debt Syndicate Desk, at 787 Seventh Avenue, New York, NY 10019, telephone (800) 854-5674. An electronic copy of the prospectus supplement, together with the accompanying base prospectus, is also available on the United States Securities and Exchange Commission (SEC) website, www.sec.gov.</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Forward-Looking Statements</w:t>
      </w:r>
      <w:r>
        <w:rPr>
          <w:rFonts w:ascii="Arial" w:cs="Arial" w:eastAsia="Arial" w:hAnsi="Arial"/>
          <w:sz w:val="16"/>
          <w:szCs w:val="16"/>
          <w:color w:val="auto"/>
        </w:rPr>
        <w:t>: This press release contains “forward-looking statements” within the meaning of the federal securities laws. Forward-looking statements address a variety of subjects, including, for example, whether the offering will be completed, the anticipated use of net proceeds from the offering and the outcome of the tender offer. Statements that are not historical facts, including statements about the Company’s beliefs, plans and expectations, are forward-looking statements. Such statements are based on the Company’s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risks and uncertainties related to market conditions and the risks and uncertainties described in a registration statement on Form S-3 (File No. 333-259782) and a related prospectus and prospectus supplement filed with the Securities and Exchange Commission on September 28, 2021. For additional information about other factors that could cause actual results to differ materially from those described in the forward-looking statements, please refer to the Company’s periodic reports and other filings with the Securities and Exchange Commission, including the risk factors contained in the Company’s most recent Quarterly Reports on Form 10-Q and Annual Reports on Form 10-K. Forward-looking statements represent management’s current expectations and are inherently uncertain and are made only as of the date hereof. Except as required by law, the Company does not undertake or assume any obligation to update any forward-looking statements, whether as a result of new information or to reflect subsequent events or circumstances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 Inc.</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Analog Devices, Inc. (NASDAQ: ADI) operates at the center of the modern digital economy, converting real-world phenomena into actionable insight with its comprehensive suite of analog and mixed signal, power management, radio frequency (RF), and digital and sensor technologies. ADI serves 125,000 customers worldwide with more than 75,000 products in the industrial, communications, automotive, and consumer markets. ADI is headquartered in Wilmington, MA.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investor.relations@analog.com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Ms. Brittany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917-935-1456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Brittany.Stone@teneo.com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4"/>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lvl w:ilvl="1">
      <w:lvlJc w:val="left"/>
      <w:lvlText w:val="(%2)"/>
      <w:numFmt w:val="lowerLetter"/>
      <w:start w:val="1"/>
    </w:lvl>
  </w:abstractNum>
  <w:abstractNum w:abstractNumId="4">
    <w:nsid w:val="721DA317"/>
    <w:multiLevelType w:val="hybridMultilevel"/>
    <w:lvl w:ilvl="0">
      <w:lvlJc w:val="left"/>
      <w:lvlText w:val="(%1)"/>
      <w:numFmt w:val="lowerLetter"/>
      <w:start w:val="2"/>
    </w:lvl>
    <w:lvl w:ilvl="1">
      <w:lvlJc w:val="left"/>
      <w:lvlText w:val="(%2)"/>
      <w:numFmt w:val="lowerRoman"/>
      <w:start w:val="2"/>
    </w:lvl>
  </w:abstractNum>
  <w:abstractNum w:abstractNumId="5">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6">
    <w:nsid w:val="2D1D5AE9"/>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
    <w:nsid w:val="6763845E"/>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8">
    <w:nsid w:val="75A2A8D4"/>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9">
    <w:nsid w:val="8EDBDAB"/>
    <w:multiLevelType w:val="hybridMultilevel"/>
    <w:lvl w:ilvl="0">
      <w:lvlJc w:val="left"/>
      <w:lvlText w:val="(%1)"/>
      <w:numFmt w:val="lowerLetter"/>
      <w:start w:val="8"/>
    </w:lvl>
  </w:abstractNum>
  <w:abstractNum w:abstractNumId="10">
    <w:nsid w:val="79838CB2"/>
    <w:multiLevelType w:val="hybridMultilevel"/>
    <w:lvl w:ilvl="0">
      <w:lvlJc w:val="left"/>
      <w:lvlText w:val="%1"/>
      <w:numFmt w:val="lowerLetter"/>
      <w:start w:val="1"/>
    </w:lvl>
    <w:lvl w:ilvl="1">
      <w:lvlJc w:val="left"/>
      <w:lvlText w:val="(%2)"/>
      <w:numFmt w:val="lowerLetter"/>
      <w:start w:val="12"/>
    </w:lvl>
  </w:abstractNum>
  <w:abstractNum w:abstractNumId="11">
    <w:nsid w:val="4353D0CD"/>
    <w:multiLevelType w:val="hybridMultilevel"/>
    <w:lvl w:ilvl="0">
      <w:lvlJc w:val="left"/>
      <w:lvlText w:val="(%1)"/>
      <w:numFmt w:val="lowerLetter"/>
      <w:start w:val="35"/>
    </w:lvl>
    <w:lvl w:ilvl="1">
      <w:lvlJc w:val="left"/>
      <w:lvlText w:val="(%2)"/>
      <w:numFmt w:val="lowerLetter"/>
      <w:start w:val="13"/>
    </w:lvl>
  </w:abstractNum>
  <w:abstractNum w:abstractNumId="12">
    <w:nsid w:val="B03E0C6"/>
    <w:multiLevelType w:val="hybridMultilevel"/>
    <w:lvl w:ilvl="0">
      <w:lvlJc w:val="left"/>
      <w:lvlText w:val="(%1)"/>
      <w:numFmt w:val="lowerLetter"/>
      <w:start w:val="18"/>
    </w:lvl>
  </w:abstractNum>
  <w:abstractNum w:abstractNumId="13">
    <w:nsid w:val="189A769B"/>
    <w:multiLevelType w:val="hybridMultilevel"/>
    <w:lvl w:ilvl="0">
      <w:lvlJc w:val="left"/>
      <w:lvlText w:val="(%1)"/>
      <w:numFmt w:val="lowerLetter"/>
      <w:start w:val="22"/>
    </w:lvl>
    <w:lvl w:ilvl="1">
      <w:lvlJc w:val="left"/>
      <w:lvlText w:val="(%2)"/>
      <w:numFmt w:val="lowerRoman"/>
      <w:start w:val="1"/>
    </w:lvl>
  </w:abstractNum>
  <w:abstractNum w:abstractNumId="14">
    <w:nsid w:val="54E49EB4"/>
    <w:multiLevelType w:val="hybridMultilevel"/>
    <w:lvl w:ilvl="0">
      <w:lvlJc w:val="left"/>
      <w:lvlText w:val="(%1)"/>
      <w:numFmt w:val="lowerLetter"/>
      <w:start w:val="24"/>
    </w:lvl>
  </w:abstractNum>
  <w:abstractNum w:abstractNumId="15">
    <w:nsid w:val="71F32454"/>
    <w:multiLevelType w:val="hybridMultilevel"/>
    <w:lvl w:ilvl="0">
      <w:lvlJc w:val="left"/>
      <w:lvlText w:val="(%1)"/>
      <w:numFmt w:val="lowerLetter"/>
      <w:start w:val="27"/>
    </w:lvl>
  </w:abstractNum>
  <w:abstractNum w:abstractNumId="16">
    <w:nsid w:val="2CA88611"/>
    <w:multiLevelType w:val="hybridMultilevel"/>
    <w:lvl w:ilvl="0">
      <w:lvlJc w:val="left"/>
      <w:lvlText w:val="%1"/>
      <w:numFmt w:val="decimal"/>
      <w:start w:val="1"/>
    </w:lvl>
    <w:lvl w:ilvl="1">
      <w:lvlJc w:val="left"/>
      <w:lvlText w:val="(%2)"/>
      <w:numFmt w:val="lowerLetter"/>
      <w:start w:val="29"/>
    </w:lvl>
  </w:abstractNum>
  <w:abstractNum w:abstractNumId="17">
    <w:nsid w:val="836C40E"/>
    <w:multiLevelType w:val="hybridMultilevel"/>
    <w:lvl w:ilvl="0">
      <w:lvlJc w:val="left"/>
      <w:lvlText w:val="%1."/>
      <w:numFmt w:val="decimal"/>
      <w:start w:val="3"/>
    </w:lvl>
    <w:lvl w:ilvl="1">
      <w:lvlJc w:val="left"/>
      <w:lvlText w:val="%2"/>
      <w:numFmt w:val="lowerLetter"/>
      <w:start w:val="1"/>
    </w:lvl>
  </w:abstractNum>
  <w:abstractNum w:abstractNumId="18">
    <w:nsid w:val="2901D82"/>
    <w:multiLevelType w:val="hybridMultilevel"/>
    <w:lvl w:ilvl="0">
      <w:lvlJc w:val="left"/>
      <w:lvlText w:val="%1."/>
      <w:numFmt w:val="decimal"/>
      <w:start w:val="4"/>
    </w:lvl>
    <w:lvl w:ilvl="1">
      <w:lvlJc w:val="left"/>
      <w:lvlText w:val="(%2)"/>
      <w:numFmt w:val="lowerLetter"/>
      <w:start w:val="1"/>
    </w:lvl>
  </w:abstractNum>
  <w:abstractNum w:abstractNumId="19">
    <w:nsid w:val="3A95F874"/>
    <w:multiLevelType w:val="hybridMultilevel"/>
    <w:lvl w:ilvl="0">
      <w:lvlJc w:val="left"/>
      <w:lvlText w:val="(%1)"/>
      <w:numFmt w:val="lowerLetter"/>
      <w:start w:val="5"/>
    </w:lvl>
  </w:abstractNum>
  <w:abstractNum w:abstractNumId="20">
    <w:nsid w:val="8138641"/>
    <w:multiLevelType w:val="hybridMultilevel"/>
    <w:lvl w:ilvl="0">
      <w:lvlJc w:val="left"/>
      <w:lvlText w:val="%1"/>
      <w:numFmt w:val="decimal"/>
      <w:start w:val="1"/>
    </w:lvl>
    <w:lvl w:ilvl="1">
      <w:lvlJc w:val="left"/>
      <w:lvlText w:val="(%2)"/>
      <w:numFmt w:val="lowerLetter"/>
      <w:start w:val="11"/>
    </w:lvl>
  </w:abstractNum>
  <w:abstractNum w:abstractNumId="21">
    <w:nsid w:val="1E7FF521"/>
    <w:multiLevelType w:val="hybridMultilevel"/>
    <w:lvl w:ilvl="0">
      <w:lvlJc w:val="left"/>
      <w:lvlText w:val="%1."/>
      <w:numFmt w:val="decimal"/>
      <w:start w:val="6"/>
    </w:lvl>
    <w:lvl w:ilvl="1">
      <w:lvlJc w:val="left"/>
      <w:lvlText w:val="(%2)"/>
      <w:numFmt w:val="lowerLetter"/>
      <w:start w:val="2"/>
    </w:lvl>
  </w:abstractNum>
  <w:abstractNum w:abstractNumId="22">
    <w:nsid w:val="7C3DBD3D"/>
    <w:multiLevelType w:val="hybridMultilevel"/>
    <w:lvl w:ilvl="0">
      <w:lvlJc w:val="left"/>
      <w:lvlText w:val="%1"/>
      <w:numFmt w:val="decimal"/>
      <w:start w:val="1"/>
    </w:lvl>
    <w:lvl w:ilvl="1">
      <w:lvlJc w:val="left"/>
      <w:lvlText w:val="(%2)"/>
      <w:numFmt w:val="lowerLetter"/>
      <w:start w:val="1"/>
    </w:lvl>
  </w:abstractNum>
  <w:abstractNum w:abstractNumId="23">
    <w:nsid w:val="737B8DDC"/>
    <w:multiLevelType w:val="hybridMultilevel"/>
    <w:lvl w:ilvl="0">
      <w:lvlJc w:val="left"/>
      <w:lvlText w:val="%1"/>
      <w:numFmt w:val="lowerRoman"/>
      <w:start w:val="1"/>
    </w:lvl>
    <w:lvl w:ilvl="1">
      <w:lvlJc w:val="left"/>
      <w:lvlText w:val="(%2)"/>
      <w:numFmt w:val="lowerLetter"/>
      <w:start w:val="3"/>
    </w:lvl>
  </w:abstractNum>
  <w:abstractNum w:abstractNumId="24">
    <w:nsid w:val="6CEAF087"/>
    <w:multiLevelType w:val="hybridMultilevel"/>
    <w:lvl w:ilvl="0">
      <w:lvlJc w:val="left"/>
      <w:lvlText w:val="(%1)"/>
      <w:numFmt w:val="lowerRoman"/>
      <w:start w:val="7"/>
    </w:lvl>
    <w:lvl w:ilvl="1">
      <w:lvlJc w:val="left"/>
      <w:lvlText w:val="(%2)"/>
      <w:numFmt w:val="lowerLetter"/>
      <w:start w:val="4"/>
    </w:lvl>
  </w:abstractNum>
  <w:abstractNum w:abstractNumId="25">
    <w:nsid w:val="22221A70"/>
    <w:multiLevelType w:val="hybridMultilevel"/>
    <w:lvl w:ilvl="0">
      <w:lvlJc w:val="left"/>
      <w:lvlText w:val="%1"/>
      <w:numFmt w:val="lowerLetter"/>
      <w:start w:val="1"/>
    </w:lvl>
    <w:lvl w:ilvl="1">
      <w:lvlJc w:val="left"/>
      <w:lvlText w:val="%2."/>
      <w:numFmt w:val="decimal"/>
      <w:start w:val="8"/>
    </w:lvl>
  </w:abstractNum>
  <w:abstractNum w:abstractNumId="26">
    <w:nsid w:val="4516DDE9"/>
    <w:multiLevelType w:val="hybridMultilevel"/>
    <w:lvl w:ilvl="0">
      <w:lvlJc w:val="left"/>
      <w:lvlText w:val="(%1)"/>
      <w:numFmt w:val="lowerLetter"/>
      <w:start w:val="2"/>
    </w:lvl>
    <w:lvl w:ilvl="1">
      <w:lvlJc w:val="left"/>
      <w:lvlText w:val="%2"/>
      <w:numFmt w:val="decimal"/>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Letter"/>
      <w:start w:val="1"/>
    </w:lvl>
    <w:lvl w:ilvl="1">
      <w:lvlJc w:val="left"/>
      <w:lvlText w:val="(%2)"/>
      <w:numFmt w:val="lowerLetter"/>
      <w:start w:val="3"/>
    </w:lvl>
  </w:abstractNum>
  <w:abstractNum w:abstractNumId="29">
    <w:nsid w:val="419AC241"/>
    <w:multiLevelType w:val="hybridMultilevel"/>
    <w:lvl w:ilvl="0">
      <w:lvlJc w:val="left"/>
      <w:lvlText w:val="(%1)"/>
      <w:numFmt w:val="lowerLetter"/>
      <w:start w:val="9"/>
    </w:lvl>
    <w:lvl w:ilvl="1">
      <w:lvlJc w:val="left"/>
      <w:lvlText w:val="%2"/>
      <w:numFmt w:val="lowerLetter"/>
      <w:start w:val="1"/>
    </w:lvl>
  </w:abstractNum>
  <w:abstractNum w:abstractNumId="30">
    <w:nsid w:val="5577F8E1"/>
    <w:multiLevelType w:val="hybridMultilevel"/>
    <w:lvl w:ilvl="0">
      <w:lvlJc w:val="left"/>
      <w:lvlText w:val="%1"/>
      <w:numFmt w:val="decimal"/>
      <w:start w:val="1"/>
    </w:lvl>
    <w:lvl w:ilvl="1">
      <w:lvlJc w:val="left"/>
      <w:lvlText w:val="%2."/>
      <w:numFmt w:val="decimal"/>
      <w:start w:val="9"/>
    </w:lvl>
  </w:abstractNum>
  <w:abstractNum w:abstractNumId="31">
    <w:nsid w:val="440BADFC"/>
    <w:multiLevelType w:val="hybridMultilevel"/>
    <w:lvl w:ilvl="0">
      <w:lvlJc w:val="left"/>
      <w:lvlText w:val="(%1)"/>
      <w:numFmt w:val="decimal"/>
      <w:start w:val="212"/>
    </w:lvl>
    <w:lvl w:ilvl="1">
      <w:lvlJc w:val="left"/>
      <w:lvlText w:val="%2."/>
      <w:numFmt w:val="decimal"/>
      <w:start w:val="12"/>
    </w:lvl>
  </w:abstractNum>
  <w:abstractNum w:abstractNumId="32">
    <w:nsid w:val="5072367"/>
    <w:multiLevelType w:val="hybridMultilevel"/>
    <w:lvl w:ilvl="0">
      <w:lvlJc w:val="left"/>
      <w:lvlText w:val="%1."/>
      <w:numFmt w:val="decimal"/>
      <w:start w:val="13"/>
    </w:lvl>
    <w:lvl w:ilvl="1">
      <w:lvlJc w:val="left"/>
      <w:lvlText w:val="(%2)"/>
      <w:numFmt w:val="lowerLetter"/>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decimal"/>
      <w:start w:val="18"/>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2021-09-29T15:18:32Z</dcterms:created>
  <dcterms:modified xsi:type="dcterms:W3CDTF">2021-09-29T15:18:32Z</dcterms:modified>
</cp:coreProperties>
</file>