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SCHEDULE TO</w:t>
      </w:r>
    </w:p>
    <w:p>
      <w:pPr>
        <w:spacing w:after="0" w:line="226" w:lineRule="exact"/>
        <w:rPr>
          <w:sz w:val="24"/>
          <w:szCs w:val="24"/>
          <w:color w:val="auto"/>
        </w:rPr>
      </w:pPr>
    </w:p>
    <w:p>
      <w:pPr>
        <w:jc w:val="center"/>
        <w:ind w:left="480" w:right="459"/>
        <w:spacing w:after="0" w:line="243" w:lineRule="auto"/>
        <w:rPr>
          <w:sz w:val="20"/>
          <w:szCs w:val="20"/>
          <w:color w:val="auto"/>
        </w:rPr>
      </w:pPr>
      <w:r>
        <w:rPr>
          <w:rFonts w:ascii="Arial" w:cs="Arial" w:eastAsia="Arial" w:hAnsi="Arial"/>
          <w:sz w:val="22"/>
          <w:szCs w:val="22"/>
          <w:b w:val="1"/>
          <w:bCs w:val="1"/>
          <w:color w:val="auto"/>
        </w:rPr>
        <w:t>TENDER OFFER STATEMENT UNDER SECTION 14(D)(1) OR 13(E)(1) OF THE SECURITIES EXCHANGE ACT OF 1934 (Amendment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224155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HITTITE MICROWAVE CORPORATION</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of Subject Company (Issuer))</w:t>
      </w:r>
    </w:p>
    <w:p>
      <w:pPr>
        <w:spacing w:after="0" w:line="167"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BBAC CORP.</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 direct wholly owned subsidiary of</w:t>
      </w:r>
    </w:p>
    <w:p>
      <w:pPr>
        <w:spacing w:after="0" w:line="167"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ANALOG DEVICES, INC.</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(Names of Filing Persons (Offerors))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43365Y104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 of Class of Securities)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Margaret K. Seif, Esq.</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Vice President, General Counsel and Secretary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Analog Devices,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One Technology Way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Norwood, Massachusetts 02062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(781) 329-4700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(Name, address, and telephone numbers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226695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With copies to:</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Mark G. Borden, Esq.</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Jay E. Bothwick, Esq.</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Wilmer Cutler Pickering Hale and Dorr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60 State Street</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Boston, Massachusetts 02109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(617) 526-6000</w:t>
      </w:r>
    </w:p>
    <w:p>
      <w:pPr>
        <w:sectPr>
          <w:pgSz w:w="11900" w:h="16838" w:orient="portrait"/>
          <w:cols w:equalWidth="0" w:num="1">
            <w:col w:w="9019"/>
          </w:cols>
          <w:pgMar w:left="1440" w:top="53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8200" w:type="dxa"/>
            <w:vAlign w:val="bottom"/>
            <w:gridSpan w:val="2"/>
          </w:tcPr>
          <w:p>
            <w:pPr>
              <w:ind w:left="1140"/>
              <w:spacing w:after="0"/>
              <w:rPr>
                <w:sz w:val="20"/>
                <w:szCs w:val="20"/>
                <w:color w:val="auto"/>
              </w:rPr>
            </w:pPr>
            <w:r>
              <w:rPr>
                <w:rFonts w:ascii="Arial" w:cs="Arial" w:eastAsia="Arial" w:hAnsi="Arial"/>
                <w:sz w:val="18"/>
                <w:szCs w:val="18"/>
                <w:b w:val="1"/>
                <w:bCs w:val="1"/>
                <w:color w:val="auto"/>
              </w:rPr>
              <w:t>CALCULATION OF FILING FEE</w:t>
            </w:r>
          </w:p>
        </w:tc>
      </w:tr>
      <w:tr>
        <w:trPr>
          <w:trHeight w:val="257"/>
        </w:trPr>
        <w:tc>
          <w:tcPr>
            <w:tcW w:w="322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tcPr>
          <w:p>
            <w:pPr>
              <w:spacing w:after="0"/>
              <w:rPr>
                <w:sz w:val="22"/>
                <w:szCs w:val="22"/>
                <w:color w:val="auto"/>
              </w:rPr>
            </w:pPr>
          </w:p>
        </w:tc>
        <w:tc>
          <w:tcPr>
            <w:tcW w:w="5620" w:type="dxa"/>
            <w:vAlign w:val="bottom"/>
            <w:tcBorders>
              <w:bottom w:val="single" w:sz="8" w:color="auto"/>
            </w:tcBorders>
          </w:tcPr>
          <w:p>
            <w:pPr>
              <w:spacing w:after="0"/>
              <w:rPr>
                <w:sz w:val="22"/>
                <w:szCs w:val="22"/>
                <w:color w:val="auto"/>
              </w:rPr>
            </w:pPr>
          </w:p>
        </w:tc>
      </w:tr>
      <w:tr>
        <w:trPr>
          <w:trHeight w:val="34"/>
        </w:trPr>
        <w:tc>
          <w:tcPr>
            <w:tcW w:w="32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10"/>
        </w:trPr>
        <w:tc>
          <w:tcPr>
            <w:tcW w:w="32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Transaction Valuation(1)</w:t>
            </w:r>
          </w:p>
        </w:tc>
        <w:tc>
          <w:tcPr>
            <w:tcW w:w="25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 Of Filing Fee(2)</w:t>
            </w:r>
          </w:p>
        </w:tc>
      </w:tr>
      <w:tr>
        <w:trPr>
          <w:trHeight w:val="210"/>
        </w:trPr>
        <w:tc>
          <w:tcPr>
            <w:tcW w:w="32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$2,470,564,631</w:t>
            </w:r>
          </w:p>
        </w:tc>
        <w:tc>
          <w:tcPr>
            <w:tcW w:w="25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$318,209</w:t>
            </w: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56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line="297"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transaction valuation is an estimate calculated solely for purposes of determining the amount of the filing fee. The transaction valuation was determined by multiplying (x) $78.00 (i.e., the per share tender offer price) by (y) the sum of (a) 31,390,468, the number of shares of common stock (including shares subject to restricted stock awards) issued and outstanding, plus (b) 10,777, the number of shares of common stock issuable pursuant to outstanding stock options, less the aggregate exercise price of such options, plus (c) 275,174, the number of shares of common stock subject to restricted stock units. The foregoing share figures have been provided by the issuer to the offerors and are as of June 19, 2014.</w:t>
      </w:r>
    </w:p>
    <w:p>
      <w:pPr>
        <w:spacing w:after="0" w:line="63" w:lineRule="exact"/>
        <w:rPr>
          <w:rFonts w:ascii="Arial" w:cs="Arial" w:eastAsia="Arial" w:hAnsi="Arial"/>
          <w:sz w:val="16"/>
          <w:szCs w:val="16"/>
          <w:color w:val="auto"/>
        </w:rPr>
      </w:pPr>
    </w:p>
    <w:p>
      <w:pPr>
        <w:ind w:left="460" w:right="4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filing fee was calculated in accordance with Rule 0-11 under the Securities Exchange Act of 1934, as amended, and Fee Rate Advisory #1 for Fiscal Year 2014, issued August 30, 2013, by multiplying the transaction value by 0.00012880.</w:t>
      </w:r>
    </w:p>
    <w:p>
      <w:pPr>
        <w:spacing w:after="0" w:line="76" w:lineRule="exact"/>
        <w:rPr>
          <w:sz w:val="20"/>
          <w:szCs w:val="20"/>
          <w:color w:val="auto"/>
        </w:rPr>
      </w:pPr>
    </w:p>
    <w:p>
      <w:pPr>
        <w:ind w:left="460" w:right="280" w:hanging="452"/>
        <w:spacing w:after="0" w:line="277"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270" w:right="239" w:bottom="1440" w:gutter="0" w:footer="0" w:header="0"/>
        </w:sectPr>
      </w:pPr>
    </w:p>
    <w:p>
      <w:pPr>
        <w:spacing w:after="0" w:line="7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Amount Previously Paid: $318,209</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Form or Registration No.: Schedule TO</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Filing Party: BBAC Corp.</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Date Filed: June 23, 2014</w:t>
      </w:r>
    </w:p>
    <w:p>
      <w:pPr>
        <w:spacing w:after="0" w:line="200" w:lineRule="exact"/>
        <w:rPr>
          <w:sz w:val="20"/>
          <w:szCs w:val="20"/>
          <w:color w:val="auto"/>
        </w:rPr>
      </w:pPr>
    </w:p>
    <w:p>
      <w:pPr>
        <w:sectPr>
          <w:pgSz w:w="11900" w:h="16838" w:orient="portrait"/>
          <w:cols w:equalWidth="0" w:num="2">
            <w:col w:w="5120" w:space="720"/>
            <w:col w:w="5580"/>
          </w:cols>
          <w:pgMar w:left="240" w:top="270" w:right="239" w:bottom="1440" w:gutter="0" w:footer="0" w:header="0"/>
          <w:type w:val="continuous"/>
        </w:sectPr>
      </w:pPr>
    </w:p>
    <w:p>
      <w:pPr>
        <w:spacing w:after="0" w:line="61" w:lineRule="exact"/>
        <w:rPr>
          <w:sz w:val="20"/>
          <w:szCs w:val="20"/>
          <w:color w:val="auto"/>
        </w:rPr>
      </w:pPr>
    </w:p>
    <w:p>
      <w:pPr>
        <w:ind w:left="460" w:hanging="452"/>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131" w:lineRule="exact"/>
        <w:rPr>
          <w:sz w:val="20"/>
          <w:szCs w:val="20"/>
          <w:color w:val="auto"/>
        </w:rPr>
      </w:pPr>
    </w:p>
    <w:p>
      <w:pPr>
        <w:ind w:left="900" w:hanging="446"/>
        <w:spacing w:after="0"/>
        <w:tabs>
          <w:tab w:leader="none" w:pos="9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third-party tender offer subject to Rule 14d-1.</w:t>
      </w:r>
    </w:p>
    <w:p>
      <w:pPr>
        <w:spacing w:after="0" w:line="131" w:lineRule="exact"/>
        <w:rPr>
          <w:sz w:val="20"/>
          <w:szCs w:val="20"/>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93" w:lineRule="exact"/>
        <w:rPr>
          <w:sz w:val="20"/>
          <w:szCs w:val="20"/>
          <w:color w:val="auto"/>
        </w:rPr>
      </w:pPr>
    </w:p>
    <w:p>
      <w:pPr>
        <w:ind w:left="460"/>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131" w:lineRule="exact"/>
        <w:rPr>
          <w:sz w:val="20"/>
          <w:szCs w:val="20"/>
          <w:color w:val="auto"/>
        </w:rPr>
      </w:pPr>
    </w:p>
    <w:p>
      <w:pPr>
        <w:ind w:left="900" w:hanging="446"/>
        <w:spacing w:after="0"/>
        <w:tabs>
          <w:tab w:leader="none" w:pos="9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Rule 13e-4(i) (Cross-Border Issuer Tender Offer)</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type w:val="continuous"/>
        </w:sectPr>
      </w:pPr>
    </w:p>
    <w:bookmarkStart w:id="2" w:name="page3"/>
    <w:bookmarkEnd w:id="2"/>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3 (this “</w:t>
      </w:r>
      <w:r>
        <w:rPr>
          <w:rFonts w:ascii="Arial" w:cs="Arial" w:eastAsia="Arial" w:hAnsi="Arial"/>
          <w:sz w:val="16"/>
          <w:szCs w:val="16"/>
          <w:b w:val="1"/>
          <w:bCs w:val="1"/>
          <w:color w:val="auto"/>
        </w:rPr>
        <w:t>Amendment</w:t>
      </w:r>
      <w:r>
        <w:rPr>
          <w:rFonts w:ascii="Arial" w:cs="Arial" w:eastAsia="Arial" w:hAnsi="Arial"/>
          <w:sz w:val="16"/>
          <w:szCs w:val="16"/>
          <w:color w:val="auto"/>
        </w:rPr>
        <w:t>”) amends and supplements the Tender Offer Statement on Schedule TO, originally filed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on June 23, 2014 (as amended by Amendment No. 1 filed with the SEC on June 27, 2014 (“</w:t>
      </w:r>
      <w:r>
        <w:rPr>
          <w:rFonts w:ascii="Arial" w:cs="Arial" w:eastAsia="Arial" w:hAnsi="Arial"/>
          <w:sz w:val="16"/>
          <w:szCs w:val="16"/>
          <w:b w:val="1"/>
          <w:bCs w:val="1"/>
          <w:color w:val="auto"/>
        </w:rPr>
        <w:t>Amendment No. 1</w:t>
      </w:r>
      <w:r>
        <w:rPr>
          <w:rFonts w:ascii="Arial" w:cs="Arial" w:eastAsia="Arial" w:hAnsi="Arial"/>
          <w:sz w:val="16"/>
          <w:szCs w:val="16"/>
          <w:color w:val="auto"/>
        </w:rPr>
        <w:t>”), Amendment No. 2 filed with the SEC on July 11, 2014 (“</w:t>
      </w:r>
      <w:r>
        <w:rPr>
          <w:rFonts w:ascii="Arial" w:cs="Arial" w:eastAsia="Arial" w:hAnsi="Arial"/>
          <w:sz w:val="16"/>
          <w:szCs w:val="16"/>
          <w:b w:val="1"/>
          <w:bCs w:val="1"/>
          <w:color w:val="auto"/>
        </w:rPr>
        <w:t>Amendment No. 2</w:t>
      </w:r>
      <w:r>
        <w:rPr>
          <w:rFonts w:ascii="Arial" w:cs="Arial" w:eastAsia="Arial" w:hAnsi="Arial"/>
          <w:sz w:val="16"/>
          <w:szCs w:val="16"/>
          <w:color w:val="auto"/>
        </w:rPr>
        <w:t>”) and this Amendment, the “</w:t>
      </w:r>
      <w:r>
        <w:rPr>
          <w:rFonts w:ascii="Arial" w:cs="Arial" w:eastAsia="Arial" w:hAnsi="Arial"/>
          <w:sz w:val="16"/>
          <w:szCs w:val="16"/>
          <w:b w:val="1"/>
          <w:bCs w:val="1"/>
          <w:color w:val="auto"/>
        </w:rPr>
        <w:t>Schedule TO</w:t>
      </w:r>
      <w:r>
        <w:rPr>
          <w:rFonts w:ascii="Arial" w:cs="Arial" w:eastAsia="Arial" w:hAnsi="Arial"/>
          <w:sz w:val="16"/>
          <w:szCs w:val="16"/>
          <w:color w:val="auto"/>
        </w:rPr>
        <w:t>”), which relates to the offer by BBAC Corp., a Delaware corporation (the “</w:t>
      </w:r>
      <w:r>
        <w:rPr>
          <w:rFonts w:ascii="Arial" w:cs="Arial" w:eastAsia="Arial" w:hAnsi="Arial"/>
          <w:sz w:val="16"/>
          <w:szCs w:val="16"/>
          <w:b w:val="1"/>
          <w:bCs w:val="1"/>
          <w:color w:val="auto"/>
        </w:rPr>
        <w:t>Purchaser</w:t>
      </w:r>
      <w:r>
        <w:rPr>
          <w:rFonts w:ascii="Arial" w:cs="Arial" w:eastAsia="Arial" w:hAnsi="Arial"/>
          <w:sz w:val="16"/>
          <w:szCs w:val="16"/>
          <w:color w:val="auto"/>
        </w:rPr>
        <w:t>”), a direct wholly owned subsidiary of Analog Devices, Inc., a Massachusetts corporation (“</w:t>
      </w:r>
      <w:r>
        <w:rPr>
          <w:rFonts w:ascii="Arial" w:cs="Arial" w:eastAsia="Arial" w:hAnsi="Arial"/>
          <w:sz w:val="16"/>
          <w:szCs w:val="16"/>
          <w:b w:val="1"/>
          <w:bCs w:val="1"/>
          <w:color w:val="auto"/>
        </w:rPr>
        <w:t>Analog</w:t>
      </w:r>
      <w:r>
        <w:rPr>
          <w:rFonts w:ascii="Arial" w:cs="Arial" w:eastAsia="Arial" w:hAnsi="Arial"/>
          <w:sz w:val="16"/>
          <w:szCs w:val="16"/>
          <w:color w:val="auto"/>
        </w:rPr>
        <w:t xml:space="preserve"> </w:t>
      </w:r>
      <w:r>
        <w:rPr>
          <w:rFonts w:ascii="Arial" w:cs="Arial" w:eastAsia="Arial" w:hAnsi="Arial"/>
          <w:sz w:val="16"/>
          <w:szCs w:val="16"/>
          <w:b w:val="1"/>
          <w:bCs w:val="1"/>
          <w:color w:val="auto"/>
        </w:rPr>
        <w:t>Devices</w:t>
      </w:r>
      <w:r>
        <w:rPr>
          <w:rFonts w:ascii="Arial" w:cs="Arial" w:eastAsia="Arial" w:hAnsi="Arial"/>
          <w:sz w:val="16"/>
          <w:szCs w:val="16"/>
          <w:color w:val="auto"/>
        </w:rPr>
        <w:t>”), to purchase all of the issued and outstanding shares of common stock, par value $0.01 per share (each, a “</w:t>
      </w:r>
      <w:r>
        <w:rPr>
          <w:rFonts w:ascii="Arial" w:cs="Arial" w:eastAsia="Arial" w:hAnsi="Arial"/>
          <w:sz w:val="16"/>
          <w:szCs w:val="16"/>
          <w:b w:val="1"/>
          <w:bCs w:val="1"/>
          <w:color w:val="auto"/>
        </w:rPr>
        <w:t>Share</w:t>
      </w:r>
      <w:r>
        <w:rPr>
          <w:rFonts w:ascii="Arial" w:cs="Arial" w:eastAsia="Arial" w:hAnsi="Arial"/>
          <w:sz w:val="16"/>
          <w:szCs w:val="16"/>
          <w:color w:val="auto"/>
        </w:rPr>
        <w:t>”), of Hittite Microwave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 Delaware corporation (“</w:t>
      </w:r>
      <w:r>
        <w:rPr>
          <w:rFonts w:ascii="Arial" w:cs="Arial" w:eastAsia="Arial" w:hAnsi="Arial"/>
          <w:sz w:val="16"/>
          <w:szCs w:val="16"/>
          <w:b w:val="1"/>
          <w:bCs w:val="1"/>
          <w:color w:val="auto"/>
        </w:rPr>
        <w:t>Hittite</w:t>
      </w:r>
      <w:r>
        <w:rPr>
          <w:rFonts w:ascii="Arial" w:cs="Arial" w:eastAsia="Arial" w:hAnsi="Arial"/>
          <w:sz w:val="16"/>
          <w:szCs w:val="16"/>
          <w:color w:val="auto"/>
        </w:rPr>
        <w:t>”), at a price of $78.00 per Share, net to the seller in cash, without interest and less any applicable withholding taxes, upon the terms and subject to the conditions set forth in the Offer to Purchase, dated June 23, 2014 (as amended by Amendment No. 1, Amendment No. 2 and this Amendment, the “</w:t>
      </w:r>
      <w:r>
        <w:rPr>
          <w:rFonts w:ascii="Arial" w:cs="Arial" w:eastAsia="Arial" w:hAnsi="Arial"/>
          <w:sz w:val="16"/>
          <w:szCs w:val="16"/>
          <w:b w:val="1"/>
          <w:bCs w:val="1"/>
          <w:color w:val="auto"/>
        </w:rPr>
        <w:t>Offer to Purchase</w:t>
      </w:r>
      <w:r>
        <w:rPr>
          <w:rFonts w:ascii="Arial" w:cs="Arial" w:eastAsia="Arial" w:hAnsi="Arial"/>
          <w:sz w:val="16"/>
          <w:szCs w:val="16"/>
          <w:color w:val="auto"/>
        </w:rPr>
        <w:t>”) and in the related Letter of Transmittal, copies of which are filed with the Schedule TO as Exhibits (a)</w:t>
      </w:r>
    </w:p>
    <w:p>
      <w:pPr>
        <w:spacing w:after="0" w:line="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(1)(A) and (a)(1)(B), respectively. This Amendment is being filed on behalf of Analog Devices and the Purchaser. Capitalized terms used and not otherwise defined in this Amendment shall have the respective meanings assigned to such terms in the Offer to Purchase.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Amendment to the Offer to Purchase</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information set forth in Section 16—“Certain Legal Matters; Regulatory Approvals—Antitrust—Germany” of the Offer to Purchase and Item 11 of the Schedule TO, to the extent such Item incorporates by reference the information contained in the Offer to Purchase, is hereby amended and supplemented by adding the following text to the end of the third paragraph under such heading, which paragraph begins on page 52 of the Offer to Purchase, as set forth below:</w:t>
      </w:r>
    </w:p>
    <w:p>
      <w:pPr>
        <w:spacing w:after="0" w:line="79" w:lineRule="exact"/>
        <w:rPr>
          <w:sz w:val="20"/>
          <w:szCs w:val="20"/>
          <w:color w:val="auto"/>
        </w:rPr>
      </w:pPr>
    </w:p>
    <w:p>
      <w:pPr>
        <w:jc w:val="both"/>
        <w:ind w:left="460" w:right="200" w:firstLine="438"/>
        <w:spacing w:after="0" w:line="264" w:lineRule="auto"/>
        <w:rPr>
          <w:sz w:val="20"/>
          <w:szCs w:val="20"/>
          <w:color w:val="auto"/>
        </w:rPr>
      </w:pPr>
      <w:r>
        <w:rPr>
          <w:rFonts w:ascii="Arial" w:cs="Arial" w:eastAsia="Arial" w:hAnsi="Arial"/>
          <w:sz w:val="18"/>
          <w:szCs w:val="18"/>
          <w:color w:val="auto"/>
        </w:rPr>
        <w:t>“On July 17, 2014, Analog Devices and the Purchaser received notice from the FCO under the German Act Against Restraints of Competition (</w:t>
      </w:r>
      <w:r>
        <w:rPr>
          <w:rFonts w:ascii="Arial" w:cs="Arial" w:eastAsia="Arial" w:hAnsi="Arial"/>
          <w:sz w:val="18"/>
          <w:szCs w:val="18"/>
          <w:i w:val="1"/>
          <w:iCs w:val="1"/>
          <w:color w:val="auto"/>
        </w:rPr>
        <w:t>Gesetz gegen Wettbewerbsbeschränkungen</w:t>
      </w:r>
      <w:r>
        <w:rPr>
          <w:rFonts w:ascii="Arial" w:cs="Arial" w:eastAsia="Arial" w:hAnsi="Arial"/>
          <w:sz w:val="18"/>
          <w:szCs w:val="18"/>
          <w:color w:val="auto"/>
        </w:rPr>
        <w:t>) that the Offer and the Merger may be consummated. Accordingly, the condition of the Offer relating to authorization under the German Act Against Restraints of Competition has been satisfied.”</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0" w:right="3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After due inquiry and to the best of my knowledge and belief, I certify that the information set forth in this statement is true, complete and correct.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Dated: July 17, 2014</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BBAC CORP.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Margaret K. Seif</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Margaret K. Seif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Secretary</w:t>
      </w:r>
    </w:p>
    <w:p>
      <w:pPr>
        <w:spacing w:after="0" w:line="200" w:lineRule="exact"/>
        <w:rPr>
          <w:sz w:val="20"/>
          <w:szCs w:val="20"/>
          <w:color w:val="auto"/>
        </w:rPr>
      </w:pPr>
    </w:p>
    <w:p>
      <w:pPr>
        <w:spacing w:after="0" w:line="3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ANALOG DEVICES,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A. Zinsner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Vice President, Finance and Chief Financial Officer</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2019-12-20T21:42:53Z</dcterms:created>
  <dcterms:modified xsi:type="dcterms:W3CDTF">2019-12-20T21:42:53Z</dcterms:modified>
</cp:coreProperties>
</file>