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Cotter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SVP, Vertical Business Units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66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01887</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10,717</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76,225.932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granted to the Reporting Person on April 8, 2025 vest in equal installments on the first, second, third and fourth anniversaries of March 15, 2025. Upon each vesting date, each vested RSU shall automatically convert into one (1) share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Shelly Shaw,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0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by Power of</w:t>
      </w:r>
      <w:r>
        <w:rPr>
          <w:sz w:val="20"/>
          <w:szCs w:val="20"/>
          <w:color w:val="auto"/>
        </w:rPr>
        <w:tab/>
      </w:r>
      <w:r>
        <w:rPr>
          <w:rFonts w:ascii="Times New Roman" w:cs="Times New Roman" w:eastAsia="Times New Roman" w:hAnsi="Times New Roman"/>
          <w:sz w:val="17"/>
          <w:szCs w:val="17"/>
          <w:color w:val="0000FF"/>
        </w:rPr>
        <w:t>04/10/2025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5760"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2025-04-10T15:19:52Z</dcterms:created>
  <dcterms:modified xsi:type="dcterms:W3CDTF">2025-04-10T15:19:52Z</dcterms:modified>
</cp:coreProperties>
</file>