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24" w:type="dxa"/>
        <w:tblCellMar>
          <w:top w:w="0" w:type="dxa"/>
          <w:left w:w="0" w:type="dxa"/>
          <w:bottom w:w="0" w:type="dxa"/>
          <w:right w:w="0" w:type="dxa"/>
        </w:tblCellMar>
      </w:tblPr>
      <w:tr>
        <w:trPr>
          <w:trHeight w:val="214"/>
        </w:trPr>
        <w:tc>
          <w:tcPr>
            <w:tcW w:w="4460" w:type="dxa"/>
            <w:vAlign w:val="bottom"/>
          </w:tcPr>
          <w:p>
            <w:pPr>
              <w:jc w:val="center"/>
              <w:ind w:right="1659"/>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8"/>
                <w:szCs w:val="18"/>
                <w:b w:val="1"/>
                <w:bCs w:val="1"/>
                <w:color w:val="auto"/>
              </w:rPr>
              <w:t>1-7819</w:t>
            </w:r>
          </w:p>
        </w:tc>
      </w:tr>
      <w:tr>
        <w:trPr>
          <w:trHeight w:val="148"/>
        </w:trPr>
        <w:tc>
          <w:tcPr>
            <w:tcW w:w="4460" w:type="dxa"/>
            <w:vAlign w:val="bottom"/>
          </w:tcPr>
          <w:p>
            <w:pPr>
              <w:jc w:val="center"/>
              <w:ind w:right="16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697"/>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No.)</w:t>
            </w:r>
          </w:p>
        </w:tc>
      </w:tr>
      <w:tr>
        <w:trPr>
          <w:trHeight w:val="190"/>
        </w:trPr>
        <w:tc>
          <w:tcPr>
            <w:tcW w:w="4460" w:type="dxa"/>
            <w:vAlign w:val="bottom"/>
          </w:tcPr>
          <w:p>
            <w:pPr>
              <w:jc w:val="center"/>
              <w:ind w:right="16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spacing w:after="0"/>
              <w:rPr>
                <w:sz w:val="16"/>
                <w:szCs w:val="16"/>
                <w:color w:val="auto"/>
              </w:rPr>
            </w:pPr>
          </w:p>
        </w:tc>
      </w:tr>
      <w:tr>
        <w:trPr>
          <w:trHeight w:val="431"/>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9"/>
              </w:rPr>
              <w:t>One Analog Way, Wilmington, MA</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8"/>
                <w:szCs w:val="18"/>
                <w:b w:val="1"/>
                <w:bCs w:val="1"/>
                <w:color w:val="auto"/>
                <w:w w:val="97"/>
              </w:rPr>
              <w:t>01887</w:t>
            </w:r>
          </w:p>
        </w:tc>
      </w:tr>
      <w:tr>
        <w:trPr>
          <w:trHeight w:val="190"/>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42"/>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rPr>
              <w:t>Janene Asgeirsson</w:t>
            </w:r>
          </w:p>
        </w:tc>
        <w:tc>
          <w:tcPr>
            <w:tcW w:w="3140" w:type="dxa"/>
            <w:vAlign w:val="bottom"/>
          </w:tcPr>
          <w:p>
            <w:pPr>
              <w:jc w:val="center"/>
              <w:ind w:left="1677"/>
              <w:spacing w:after="0"/>
              <w:rPr>
                <w:sz w:val="20"/>
                <w:szCs w:val="20"/>
                <w:color w:val="auto"/>
              </w:rPr>
            </w:pPr>
            <w:r>
              <w:rPr>
                <w:rFonts w:ascii="Times New Roman" w:cs="Times New Roman" w:eastAsia="Times New Roman" w:hAnsi="Times New Roman"/>
                <w:sz w:val="18"/>
                <w:szCs w:val="18"/>
                <w:b w:val="1"/>
                <w:bCs w:val="1"/>
                <w:color w:val="auto"/>
                <w:w w:val="99"/>
              </w:rPr>
              <w:t>781-329-4700</w:t>
            </w:r>
          </w:p>
        </w:tc>
      </w:tr>
    </w:tbl>
    <w:p>
      <w:pPr>
        <w:ind w:left="1064"/>
        <w:spacing w:after="0"/>
        <w:rPr>
          <w:sz w:val="20"/>
          <w:szCs w:val="20"/>
          <w:color w:val="auto"/>
        </w:rPr>
      </w:pPr>
      <w:r>
        <w:rPr>
          <w:rFonts w:ascii="Times New Roman" w:cs="Times New Roman" w:eastAsia="Times New Roman" w:hAnsi="Times New Roman"/>
          <w:sz w:val="18"/>
          <w:szCs w:val="18"/>
          <w:b w:val="1"/>
          <w:bCs w:val="1"/>
          <w:color w:val="auto"/>
        </w:rPr>
        <w:t>Chief Legal Officer and Corporate Secretary</w:t>
      </w:r>
    </w:p>
    <w:p>
      <w:pPr>
        <w:spacing w:after="0" w:line="200"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239395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Analog Devices, Inc. has filed a Conflict Minerals Report (the Report) as Exhibit 1.01 hereto. The Report is publicly available at www.analog.com under the heading “Investor Relations.” The content of any website referred to in this Form SD and/or the Report is included for general information only and is not incorporated by reference in this Form SD and/or the Report.</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for the reporting period from January 1 to December 31, 2023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auto"/>
        </w:rPr>
        <w:t>Conflict Minerals Report</w:t>
      </w:r>
      <w:r>
        <w:rPr>
          <w:rFonts w:ascii="Times New Roman" w:cs="Times New Roman" w:eastAsia="Times New Roman" w:hAnsi="Times New Roman"/>
          <w:sz w:val="18"/>
          <w:szCs w:val="18"/>
          <w:color w:val="auto"/>
        </w:rPr>
        <w:t xml:space="preserve"> as required by Items 1.01 and 1.02 of this Form SD.</w:t>
      </w:r>
    </w:p>
    <w:p>
      <w:pPr>
        <w:sectPr>
          <w:pgSz w:w="11900" w:h="16838" w:orient="portrait"/>
          <w:cols w:equalWidth="0" w:num="1">
            <w:col w:w="10700"/>
          </w:cols>
          <w:pgMar w:left="440" w:top="266" w:right="7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57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9460" w:val="left"/>
        </w:tabs>
        <w:rPr>
          <w:sz w:val="20"/>
          <w:szCs w:val="20"/>
          <w:color w:val="auto"/>
        </w:rPr>
      </w:pPr>
      <w:r>
        <w:rPr>
          <w:rFonts w:ascii="Times New Roman" w:cs="Times New Roman" w:eastAsia="Times New Roman" w:hAnsi="Times New Roman"/>
          <w:sz w:val="18"/>
          <w:szCs w:val="18"/>
          <w:color w:val="auto"/>
        </w:rPr>
        <w:t>/s/ Richard C. Puccio, Jr.</w:t>
      </w:r>
      <w:r>
        <w:rPr>
          <w:sz w:val="20"/>
          <w:szCs w:val="20"/>
          <w:color w:val="auto"/>
        </w:rPr>
        <w:tab/>
      </w:r>
      <w:r>
        <w:rPr>
          <w:rFonts w:ascii="Times New Roman" w:cs="Times New Roman" w:eastAsia="Times New Roman" w:hAnsi="Times New Roman"/>
          <w:sz w:val="18"/>
          <w:szCs w:val="18"/>
          <w:color w:val="auto"/>
        </w:rPr>
        <w:t>Dated: 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574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020"/>
          </w:cols>
          <w:pgMar w:left="440" w:top="270"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CONFLICT MINERALS REPORT OF ANALOG DEVICES, INC. IN ACCORDANCE WITH RULE 13P-1 UNDER THE SECURITIES EXCHANGE ACT OF 1934 (UNAUDITED)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Introduction</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This is the Conflict Minerals Report of Analog Devices, Inc. (Analog Devices, ADI, we, our) for calendar year 2023 in accordance with Rule 13p-1 under the Securities Exchange Act of 1934 (Rule 13p-1). Numerous terms in this report are defined in Rule 13p-1 and Form SD and the reader is referred to those sources for such definitions and explanations thereof.</w:t>
      </w:r>
    </w:p>
    <w:p>
      <w:pPr>
        <w:spacing w:after="0" w:line="17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Products manufactured or contracted to be manufactured by Analog Devices may contain tantalum, tin, tungsten and/or gold (collectively, conflict minerals) that are necessary to the functionality or production of our products. Based on the reasonable country of origin inquiry (RCOI)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on the source and chain of custody of the necessary conflict minerals in our products, as described below. Analog Devices is many steps removed from the mining of the conflict minerals; we do not purchase raw ore or unrefined conflict minerals, and we do no purchasing in the Covered Countries. We either purchase conflict minerals indirectly from a smelter or refiner (SOR)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 mineral-containing derivatives.</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Analog Devices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Product Scope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design, manufacture, test, and market a broad portfolio of solutions, including ICs, software and subsystems that leverage high-performance analog, mixed-signal and digital signal processing technologies. Our comprehensive solution portfolio, deep domain expertise and advanced manufacturing capabilities extend across high-performance precision and high-speed mixed-signal, power management and processing technologies – including data converters, amplifiers, power management, RF ICs, edge processors and other sensors. The scope of this report applies to semiconductor ICs, monolithic and multi-chip ICs, multi-component ICs, system-in-package modules/hybrid ICs, and other modules and assembled products. Our ICs are designed to address a wide range of real-world signal processing applications. We sell our products to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target markets. By using readily available, high-performance, general-purpose products in their systems, we help our customers to reduce complexity and accelerate their time to market. Given the high cost of developing more customized ICs, our standard products often provide a cost-effective solution for many low to medium volume applications. More specifically, our analog ICs monitor, condition, amplify or transform continuous analog signals associated with physical forces. By sensing and analyzing signals near their source, we enable processing, decision making and action at the Intelligent Edge, helping us better translate physical forces like temperature, light, and sound into actionable insights, and enabling the innovations that improve quality of life and solve the world’s most pressing challenges. Our analog ICs also provide voltage regulation and power control to electronic systems. We collaborate with customers to design application-specific solutions and help them to solve their toughest technology challenges. We begin with our existing core technologies, which leverage our analog and mixed signal, power management, RF and microwave, edge processors and other sensors, and devise solutions that more closely meet the needs of a specific customer or group of customers. In certain cases, because we have already developed the core technology platform for our general-purpose products, we can create trusted, application-specific solutions quickly and efficiently.</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produce and market a broad range of ICs and products and operate in one reportable segment based on the aggregation of our operating segments. The ICs sold by each of our operating segments are manufactured using similar semiconductor processes, package manufacturing processes and raw materials in either our own production facilities or by third-party wafer fabricators and package manufacturers.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Reasonable Country of Origin Inquiry</w:t>
      </w:r>
    </w:p>
    <w:p>
      <w:pPr>
        <w:spacing w:after="0" w:line="12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Analog Devices engaged with our relevant suppliers to identify SORs in our supply chain. We define relevant suppliers as those who supply materials to Analog Devices that are known to contain any or all of the conflict minerals, where such conflict minerals are necessary to the functionality and/or production of our products. We reach out to our relevant suppliers to request conflict minerals sourcing information using the Responsible Minerals Initiative (RMI)’s Conflict Minerals Reporting Template (RMI CMRT). Information provided by our relevant suppliers is reviewed for completeness and reasonableness, based on our knowledge of the supplier. Further supplier engagement, as necessary, is undertaken for any additional actions regarding their submission, including but not limited to follow-up and escalation on the identified SORs.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 Due Diligence Framework</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Analog Devices’ due diligence measures are designed to conform, in all material respects, with the internationally recognized due diligence framework set forth in the Organisation for Economic Co-operation and Development (the OECD) Due Diligence Guidance for Responsible Supply Chains of Minerals from Conflict-Affected and High-Risk Areas: Third Edition (OECD 2016) (the OECD Framework), including related supplements for each of the conflict minerals. Below is a description of our due diligence measures pursuant to the OECD Framework:</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31" w:lineRule="exact"/>
        <w:rPr>
          <w:sz w:val="20"/>
          <w:szCs w:val="20"/>
          <w:color w:val="auto"/>
        </w:rPr>
      </w:pPr>
    </w:p>
    <w:p>
      <w:pPr>
        <w:ind w:left="1424" w:right="300" w:hanging="331"/>
        <w:spacing w:after="0" w:line="266"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has adopted a policy regarding conflict minerals (Conflict Minerals Policy). The Conflict Minerals Policy is publicly available on our website and is a key component of our conflict minerals program. The Conflict Minerals Policy reflects ADI’s commitment to ethical practices and compliance with applicable laws and regulations.</w:t>
      </w:r>
    </w:p>
    <w:p>
      <w:pPr>
        <w:spacing w:after="0" w:line="81" w:lineRule="exact"/>
        <w:rPr>
          <w:rFonts w:ascii="Times New Roman" w:cs="Times New Roman" w:eastAsia="Times New Roman" w:hAnsi="Times New Roman"/>
          <w:sz w:val="18"/>
          <w:szCs w:val="18"/>
          <w:color w:val="auto"/>
        </w:rPr>
      </w:pPr>
    </w:p>
    <w:p>
      <w:pPr>
        <w:ind w:left="1424" w:hanging="331"/>
        <w:spacing w:after="0" w:line="261"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team supported by representatives from different internal groups is tasked to implement our Conflict Minerals Policy and oversee ADI’s conflict minerals program (Conflict Minerals Oversight Committee). The Director of Quality, Environmental Product Compliance, is the assigned team leader who reports through the quality organization to the Vice President, Global Quality and Product Engineering. The Conflict Minerals Oversight Committee reviews our conflict minerals program on a semiannual basis.</w:t>
      </w:r>
    </w:p>
    <w:p>
      <w:pPr>
        <w:spacing w:after="0" w:line="85" w:lineRule="exact"/>
        <w:rPr>
          <w:rFonts w:ascii="Times New Roman" w:cs="Times New Roman" w:eastAsia="Times New Roman" w:hAnsi="Times New Roman"/>
          <w:sz w:val="18"/>
          <w:szCs w:val="18"/>
          <w:color w:val="auto"/>
        </w:rPr>
      </w:pPr>
    </w:p>
    <w:p>
      <w:pPr>
        <w:ind w:left="1424" w:right="140" w:hanging="331"/>
        <w:spacing w:after="0" w:line="260"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process for identifying suppliers, SORs, or recyclers and scrap supplier sources of conflict minerals within the supply chain. ADI leverages the RMI CMRT to gather information regarding SORs from our first-tier suppliers. We also utilize the RMI and its Responsible Minerals Assurance Process (RMAP) to trace the mine of origin of the conflict minerals when such information is available. The RMI conducts independent audits of smelters and refineries to ensure that all certified smelters and refineries are Conformant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or actively engaged in the RMAP identification of upstream actors in the supply chain.</w:t>
      </w:r>
    </w:p>
    <w:p>
      <w:pPr>
        <w:ind w:left="1424" w:right="180" w:hanging="331"/>
        <w:spacing w:after="0" w:line="258"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direct suppliers to have policies and procedures in place that are in compliance with our Conflict Minerals Policy to enable transparency and facilitate our compliance with applicable programs and rules.</w:t>
      </w:r>
    </w:p>
    <w:p>
      <w:pPr>
        <w:spacing w:after="0" w:line="88" w:lineRule="exact"/>
        <w:rPr>
          <w:rFonts w:ascii="Times New Roman" w:cs="Times New Roman" w:eastAsia="Times New Roman" w:hAnsi="Times New Roman"/>
          <w:sz w:val="18"/>
          <w:szCs w:val="18"/>
          <w:color w:val="auto"/>
        </w:rPr>
      </w:pPr>
    </w:p>
    <w:p>
      <w:pPr>
        <w:ind w:left="1424" w:right="80" w:hanging="331"/>
        <w:spacing w:after="0" w:line="282" w:lineRule="auto"/>
        <w:tabs>
          <w:tab w:leader="none" w:pos="1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participating member of the Responsible Business Alliance and the RMI, ADI utilizes these industry resources to support early risk awareness of issues that may impact SOR status.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2. Identify and assess risk in the supply chain</w:t>
      </w:r>
    </w:p>
    <w:p>
      <w:pPr>
        <w:spacing w:after="0" w:line="117" w:lineRule="exact"/>
        <w:rPr>
          <w:sz w:val="20"/>
          <w:szCs w:val="20"/>
          <w:color w:val="auto"/>
        </w:rPr>
      </w:pPr>
    </w:p>
    <w:p>
      <w:pPr>
        <w:ind w:left="984" w:right="20"/>
        <w:spacing w:after="0" w:line="256" w:lineRule="auto"/>
        <w:rPr>
          <w:sz w:val="20"/>
          <w:szCs w:val="20"/>
          <w:color w:val="auto"/>
        </w:rPr>
      </w:pPr>
      <w:r>
        <w:rPr>
          <w:rFonts w:ascii="Times New Roman" w:cs="Times New Roman" w:eastAsia="Times New Roman" w:hAnsi="Times New Roman"/>
          <w:sz w:val="18"/>
          <w:szCs w:val="18"/>
          <w:color w:val="auto"/>
        </w:rPr>
        <w:t>The OECD Framework for managing risk is largely directed towards the upstream portion of the supply chain (SORs and mines of origin). As a downstream company in the supply chain, ADI participates in the RMAP under the RMI to identify and review the due diligence process of SORs in our supply chain. The RMI assesses and audits whether SORs adhere to RMAP standards, which meet the requirements of the OECD Framework. Compliant SORs are then designated as Conformant and listed as such on the RMI website. We request suppliers provide information regarding SORs in our supply chain by using the RMI CMRT. We review supplier responses to identify areas for further follow-up and key risks in our supply chain.</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117" w:lineRule="exact"/>
        <w:rPr>
          <w:sz w:val="20"/>
          <w:szCs w:val="20"/>
          <w:color w:val="auto"/>
        </w:rPr>
      </w:pPr>
    </w:p>
    <w:p>
      <w:pPr>
        <w:ind w:left="984" w:right="220"/>
        <w:spacing w:after="0" w:line="256" w:lineRule="auto"/>
        <w:rPr>
          <w:sz w:val="20"/>
          <w:szCs w:val="20"/>
          <w:color w:val="auto"/>
        </w:rPr>
      </w:pPr>
      <w:r>
        <w:rPr>
          <w:rFonts w:ascii="Times New Roman" w:cs="Times New Roman" w:eastAsia="Times New Roman" w:hAnsi="Times New Roman"/>
          <w:sz w:val="18"/>
          <w:szCs w:val="18"/>
          <w:color w:val="auto"/>
        </w:rPr>
        <w:t>We encourage suppliers who are sourcing from non-Conformant SORs to move towards using Conformant SORs (as identified via the RMI and other industry-developed third-party audit mechanisms). We contact SORs directly to support participation in the RMI and respond to the RMI’s requests for information as they relate to SOR operational changes, audit requirements or SOR status. If a supplier fails to remedy the risks identified by review of SORs reported to ADI, and subsequent supplier or SOR engagement cannot yield resolution, the supplier status will be escalated for review by the Conflict Minerals Oversight Committee to take measures up to and including termination of our relationship with the supplier, if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460" w:hanging="424"/>
        <w:spacing w:after="0" w:line="22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“Conformant” means that a smelter has successfully completed an assessment against the applicable RMAP standard or an equivalent cross-recognized assessment. Included smelters and refiners were not necessarily Conformant for all or part of 2023 and may not continue to be Conformant for any future period.</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5" w:name="page6"/>
    <w:bookmarkEnd w:id="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 4. Carry out independent third-party audit of supply chain due diligence at identified points in the supply chain</w:t>
      </w:r>
    </w:p>
    <w:p>
      <w:pPr>
        <w:spacing w:after="0" w:line="117" w:lineRule="exact"/>
        <w:rPr>
          <w:sz w:val="20"/>
          <w:szCs w:val="20"/>
          <w:color w:val="auto"/>
        </w:rPr>
      </w:pPr>
    </w:p>
    <w:p>
      <w:pPr>
        <w:ind w:left="984"/>
        <w:spacing w:after="0" w:line="266" w:lineRule="auto"/>
        <w:rPr>
          <w:sz w:val="20"/>
          <w:szCs w:val="20"/>
          <w:color w:val="auto"/>
        </w:rPr>
      </w:pPr>
      <w:r>
        <w:rPr>
          <w:rFonts w:ascii="Times New Roman" w:cs="Times New Roman" w:eastAsia="Times New Roman" w:hAnsi="Times New Roman"/>
          <w:sz w:val="18"/>
          <w:szCs w:val="18"/>
          <w:color w:val="auto"/>
        </w:rPr>
        <w:t>We rely on industry efforts, including the RMI, to conduct third-party audits of eligible SORs against the RMAP standards, which meet the OECD Framework for due diligence practices. As a member of the RMI, we utilize information from these RMAP audits as well as other recognized industry audits of SORs to validate SOR conformance.</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5. Report on supply chain due diligence</w:t>
      </w:r>
    </w:p>
    <w:p>
      <w:pPr>
        <w:spacing w:after="0" w:line="117" w:lineRule="exact"/>
        <w:rPr>
          <w:sz w:val="20"/>
          <w:szCs w:val="20"/>
          <w:color w:val="auto"/>
        </w:rPr>
      </w:pPr>
    </w:p>
    <w:p>
      <w:pPr>
        <w:ind w:left="444" w:right="100" w:firstLine="423"/>
        <w:spacing w:after="0" w:line="282" w:lineRule="auto"/>
        <w:rPr>
          <w:sz w:val="20"/>
          <w:szCs w:val="20"/>
          <w:color w:val="auto"/>
        </w:rPr>
      </w:pPr>
      <w:r>
        <w:rPr>
          <w:rFonts w:ascii="Times New Roman" w:cs="Times New Roman" w:eastAsia="Times New Roman" w:hAnsi="Times New Roman"/>
          <w:sz w:val="18"/>
          <w:szCs w:val="18"/>
          <w:color w:val="auto"/>
        </w:rPr>
        <w:t>This report and the associated Form SD have been filed with the U.S. Securities and Exchange Commission (SEC) and are available on our website.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 Due Diligence Results</w:t>
      </w:r>
    </w:p>
    <w:p>
      <w:pPr>
        <w:spacing w:after="0" w:line="121"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Tracing the conflict minerals we use in our SORs and country of origin of each such mineral is a complex endeavor, but an important aspect of responsible sourcing. To help establish and maintain our supply chain compliance sourcing program, we have followed currently established industry guidelines such as those developed by the RMI under the OECD Framework, which enables companies to source minerals from SORs that have been subjected to a rigorous, independent third-party audit.</w:t>
      </w:r>
    </w:p>
    <w:p>
      <w:pPr>
        <w:spacing w:after="0" w:line="180"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To implement our RCOI survey process, we adopted the RMI’s industry approach and leveraged the RMI CMRT to gather information from our first-tier suppliers to help us trace the origin of necessary conflict minerals used in our products by identifying SORs, recyclers and scrap supplier sources of conflict minerals. We also utilized the RMI and its RMAP to trace the mine of origin of conflict minerals when such information was available. The RMI conducts independent audits of SORs to ensure that all certified SORs are Conformant or actively engaged in the RMAP.</w:t>
      </w:r>
    </w:p>
    <w:p>
      <w:pPr>
        <w:spacing w:after="0" w:line="180"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The responses from our suppliers listed 248 entities as SORs of conflict minerals in their supply chains. A recognized responsible minerals assurance process verified 240 of these entities as Conformant by the RMI. The following is a summary as of April 3, 2024 of SORs used by our suppliers by mineral type:</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4300" w:type="dxa"/>
            <w:vAlign w:val="bottom"/>
          </w:tcPr>
          <w:p>
            <w:pPr>
              <w:spacing w:after="0"/>
              <w:rPr>
                <w:sz w:val="16"/>
                <w:szCs w:val="16"/>
                <w:color w:val="auto"/>
              </w:rPr>
            </w:pP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Total SORs Identified</w:t>
            </w:r>
            <w:r>
              <w:rPr>
                <w:rFonts w:ascii="Times New Roman" w:cs="Times New Roman" w:eastAsia="Times New Roman" w:hAnsi="Times New Roman"/>
                <w:sz w:val="10"/>
                <w:szCs w:val="10"/>
                <w:b w:val="1"/>
                <w:bCs w:val="1"/>
                <w:color w:val="auto"/>
              </w:rPr>
              <w:t>(1)</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Conformant SORs</w:t>
            </w: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10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25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73</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248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bl>
    <w:p>
      <w:pPr>
        <w:spacing w:after="0" w:line="225" w:lineRule="exact"/>
        <w:rPr>
          <w:sz w:val="20"/>
          <w:szCs w:val="20"/>
          <w:color w:val="auto"/>
        </w:rPr>
      </w:pPr>
    </w:p>
    <w:p>
      <w:pPr>
        <w:ind w:left="424" w:right="140" w:hanging="424"/>
        <w:spacing w:after="0" w:line="25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SORs included in this table were identified to us by the suppliers. However, not all of the included SORs may have processed necessary conflict minerals contained in our products. Some suppliers may have reported to us SORs that were not in our supply chain due to over-inclusiveness in the information received from their suppliers as a result of reporting to us at a “company level,” meaning that they reported to us the conflict minerals content contained in all of their products, not just the products they sold to us, or for other reasons. Additionally, not all of our suppliers responded to our inquiries.</w:t>
      </w:r>
    </w:p>
    <w:p>
      <w:pPr>
        <w:spacing w:after="0" w:line="183"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any armed group(s) in the Covered Countries.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 Other Matters</w:t>
      </w:r>
    </w:p>
    <w:p>
      <w:pPr>
        <w:spacing w:after="0" w:line="121"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Based on the information provided by our suppliers through December 31, 2023, we believe that the facilities that may have been used to process conflict minerals in our products include the SORs listed in Annex I below.</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Based on information provided by our suppliers and from the RCOI data from the RMI, we believe that the origin of the conflict minerals contained in our products may include the countries listed in Annex II below as well as recycled and scrap sources.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Analog Devices will undertake the following steps during the next compliance period to continue to improve the due diligence conducted and to further mitigate the risk that our necessary conflict minerals benefit armed groups in the Covered Countries:</w:t>
      </w:r>
    </w:p>
    <w:p>
      <w:pPr>
        <w:spacing w:after="0" w:line="67" w:lineRule="exact"/>
        <w:rPr>
          <w:sz w:val="20"/>
          <w:szCs w:val="20"/>
          <w:color w:val="auto"/>
        </w:rPr>
      </w:pPr>
    </w:p>
    <w:p>
      <w:pPr>
        <w:ind w:left="1420" w:hanging="33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in industry initiatives, such as the RMI. We participate actively in the RMI’s plenary sessions.</w:t>
      </w:r>
    </w:p>
    <w:p>
      <w:pPr>
        <w:spacing w:after="0" w:line="130" w:lineRule="exact"/>
        <w:rPr>
          <w:rFonts w:ascii="Times New Roman" w:cs="Times New Roman" w:eastAsia="Times New Roman" w:hAnsi="Times New Roman"/>
          <w:sz w:val="18"/>
          <w:szCs w:val="18"/>
          <w:color w:val="auto"/>
        </w:rPr>
      </w:pPr>
    </w:p>
    <w:p>
      <w:pPr>
        <w:ind w:left="1420" w:right="340" w:hanging="331"/>
        <w:spacing w:after="0" w:line="312" w:lineRule="auto"/>
        <w:tabs>
          <w:tab w:leader="none" w:pos="1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contact SORs identified as a result of the RCOI process and request their participation in obtaining a “conformant” designation from an industry program such as the RMAP program or equivalent if they have not already done so.</w:t>
      </w:r>
    </w:p>
    <w:p>
      <w:pPr>
        <w:spacing w:after="0" w:line="45" w:lineRule="exact"/>
        <w:rPr>
          <w:rFonts w:ascii="Times New Roman" w:cs="Times New Roman" w:eastAsia="Times New Roman" w:hAnsi="Times New Roman"/>
          <w:sz w:val="17"/>
          <w:szCs w:val="17"/>
          <w:color w:val="auto"/>
        </w:rPr>
      </w:pPr>
    </w:p>
    <w:p>
      <w:pPr>
        <w:ind w:left="1420" w:hanging="33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our alternate sourcing strategy to transition out suppliers who fail to comply with our conflict minerals requirements.</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our procurement team by providing them with resources that will guide them in choosing the material suppliers containing any or all of the conflict minerals.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the use of an automated system for our conflict minerals program.</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Private Securities Litigation Reform Act of 1995, which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actions or performance. Analog Devices assumes no obligation to revise or update any forward-looking statements for any reason, except as required by law.</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I </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6"/>
          <w:szCs w:val="26"/>
          <w:color w:val="auto"/>
          <w:vertAlign w:val="superscript"/>
        </w:rPr>
        <w:t>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6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26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Smelter Country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Agosi AG*</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Argor-Heraeus S.A.*</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Pretec Corp.*</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Asaka Riken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Aurubis AG*</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Boliden Ronnskar*</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 Hafner GmbH + Co. KG*</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Chimet S.p.A.*</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Chugai Mining*</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DSC (Do Sung Corporation)*</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Dowa*</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LT Metal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Heimerle + Meule GmbH*</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Istanbul Gold Refinery*</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Japan Mint*</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Copper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Refining USA Inc.*</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Kazzinc*</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Kojima Chemicals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LS MnM Inc.*</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Materion*</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Matsuda Sangyo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S.A.*</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Turkey</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Uzbekistan</w:t>
            </w:r>
          </w:p>
        </w:tc>
      </w:tr>
      <w:tr>
        <w:trPr>
          <w:trHeight w:val="365"/>
        </w:trPr>
        <w:tc>
          <w:tcPr>
            <w:tcW w:w="740" w:type="dxa"/>
            <w:vAlign w:val="bottom"/>
          </w:tcPr>
          <w:p>
            <w:pPr>
              <w:spacing w:after="0"/>
              <w:rPr>
                <w:sz w:val="24"/>
                <w:szCs w:val="24"/>
                <w:color w:val="auto"/>
              </w:rPr>
            </w:pPr>
          </w:p>
        </w:tc>
        <w:tc>
          <w:tcPr>
            <w:tcW w:w="60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5</w:t>
            </w:r>
          </w:p>
        </w:tc>
        <w:tc>
          <w:tcPr>
            <w:tcW w:w="2640" w:type="dxa"/>
            <w:vAlign w:val="bottom"/>
          </w:tcPr>
          <w:p>
            <w:pPr>
              <w:spacing w:after="0"/>
              <w:rPr>
                <w:sz w:val="24"/>
                <w:szCs w:val="24"/>
                <w:color w:val="auto"/>
              </w:rPr>
            </w:pPr>
          </w:p>
        </w:tc>
      </w:tr>
    </w:tbl>
    <w:p>
      <w:pPr>
        <w:sectPr>
          <w:pgSz w:w="11900" w:h="16838" w:orient="portrait"/>
          <w:cols w:equalWidth="0" w:num="1">
            <w:col w:w="10019"/>
          </w:cols>
          <w:pgMar w:left="440" w:top="266" w:right="144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Nihon Material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MKS PAMP SA*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PX Precinox S.A.*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Rand Refinery (Pty)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Royal Canadian Mint*</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7"/>
              </w:rPr>
              <w:t>Taiwan, Province of 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Tokuriki Honten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Torecom*</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Valcambi S.A.*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Yamakin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Yokohama Metal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SAFINA A.S.*</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MMTC-PAMP India Pvt.,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T.C.A S.p.A*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Remondis PMR B.V.*</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Korea Zinc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TOO Tau-Ken-Altyn*</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L’Orfebre S.A.*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Italpreziosi*</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SungEel HiMetal Co.,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NH Recytech Company*</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Weeerefining*</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by Gold Colombia*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Colombia</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Coimpa Industrial LTDA*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Brazil</w:t>
            </w:r>
          </w:p>
        </w:tc>
      </w:tr>
      <w:tr>
        <w:trPr>
          <w:trHeight w:val="365"/>
        </w:trPr>
        <w:tc>
          <w:tcPr>
            <w:tcW w:w="740" w:type="dxa"/>
            <w:vAlign w:val="bottom"/>
          </w:tcPr>
          <w:p>
            <w:pPr>
              <w:spacing w:after="0"/>
              <w:rPr>
                <w:sz w:val="24"/>
                <w:szCs w:val="24"/>
                <w:color w:val="auto"/>
              </w:rPr>
            </w:pPr>
          </w:p>
        </w:tc>
        <w:tc>
          <w:tcPr>
            <w:tcW w:w="59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6</w:t>
            </w:r>
          </w:p>
        </w:tc>
        <w:tc>
          <w:tcPr>
            <w:tcW w:w="2840" w:type="dxa"/>
            <w:vAlign w:val="bottom"/>
          </w:tcPr>
          <w:p>
            <w:pPr>
              <w:spacing w:after="0"/>
              <w:rPr>
                <w:sz w:val="24"/>
                <w:szCs w:val="24"/>
                <w:color w:val="auto"/>
              </w:rPr>
            </w:pPr>
          </w:p>
        </w:tc>
      </w:tr>
    </w:tbl>
    <w:p>
      <w:pPr>
        <w:sectPr>
          <w:pgSz w:w="11900" w:h="16838" w:orient="portrait"/>
          <w:cols w:equalWidth="0" w:num="1">
            <w:col w:w="10019"/>
          </w:cols>
          <w:pgMar w:left="440" w:top="270"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Bangalore Refinery**</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KP Sanghvi International Pvt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GG Refinery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Tanbre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AMG Brasil*</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Mineracao Taboca S.A.*</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NPM Silmet AS*</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QuantumClean*</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Taki Chemical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Telex Metals*</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 Block Metals, LLC*</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KEMET de Mexico*</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GmbH*</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Materion Newton Inc.*</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Japan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RFH Yancheng Jinye New Material Technology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Ximei Resources (Guizhou) Technology Co.,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PowerX Ltd.*</w:t>
            </w:r>
          </w:p>
        </w:tc>
        <w:tc>
          <w:tcPr>
            <w:tcW w:w="4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Rwanda</w:t>
            </w:r>
          </w:p>
        </w:tc>
      </w:tr>
      <w:tr>
        <w:trPr>
          <w:trHeight w:val="365"/>
        </w:trPr>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0019"/>
          </w:cols>
          <w:pgMar w:left="440" w:top="270"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8"/>
              </w:rPr>
              <w:t>United Kingdom of Great Britain</w:t>
            </w:r>
          </w:p>
        </w:tc>
      </w:tr>
      <w:tr>
        <w:trPr>
          <w:trHeight w:val="229"/>
        </w:trPr>
        <w:tc>
          <w:tcPr>
            <w:tcW w:w="9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and Northern Ireland</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Alpha*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Dowa*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 Vinto*</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Estanho de Rondonia S.A.*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Fenix Metals*</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 Tin Group Co.,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Metallic Resources, Inc.*</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Mineracao Taboca S.A.*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Minsur*</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Artha Cipta Langgeng*</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Babel Inti Perkasa*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Bukit Timah*</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Mitra Stania Prima*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Prima Timah Utama*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Refined Bangka Tin*</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Timah Tbk Kundur*</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Timah Tbk Mentok*</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Timah Nusantara*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Tinindo Inter Nusa*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Tommy Utama*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Rui Da Hung*</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 Metais Ltda.*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Thaisarco*</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CV Venus Inti Perkasa*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CV Ayi Jaya*</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Rajehan Ariq*</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Indonesia</w:t>
            </w:r>
          </w:p>
        </w:tc>
      </w:tr>
      <w:tr>
        <w:trPr>
          <w:trHeight w:val="365"/>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0019"/>
          </w:cols>
          <w:pgMar w:left="440" w:top="270" w:right="1440"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Cipta Persada Mulia*</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Super Ligas*</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Aurubis Beerse*</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Aurubis Berango*</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Bangka Prima Tin*</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Menara Cipta Mulia*</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Bangka Serumpun*</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Luna Smelter,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TRATHO Metal Quimica*</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CRM Synergies*</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Rian Resources SDN. BHD.*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DS Myanmar*</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Myanmar</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Congo, Democratic Republic of</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A.L.M.T. Corp.*</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Kennametal Huntsville*</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 New Metals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Kennametal Fallon*</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Xiamen Tungsten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Vietnam</w:t>
            </w:r>
          </w:p>
        </w:tc>
      </w:tr>
      <w:tr>
        <w:trPr>
          <w:trHeight w:val="365"/>
        </w:trPr>
        <w:tc>
          <w:tcPr>
            <w:tcW w:w="880" w:type="dxa"/>
            <w:vAlign w:val="bottom"/>
          </w:tcPr>
          <w:p>
            <w:pPr>
              <w:spacing w:after="0"/>
              <w:rPr>
                <w:sz w:val="24"/>
                <w:szCs w:val="24"/>
                <w:color w:val="auto"/>
              </w:rPr>
            </w:pPr>
          </w:p>
        </w:tc>
        <w:tc>
          <w:tcPr>
            <w:tcW w:w="65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9</w:t>
            </w:r>
          </w:p>
        </w:tc>
        <w:tc>
          <w:tcPr>
            <w:tcW w:w="2440" w:type="dxa"/>
            <w:vAlign w:val="bottom"/>
          </w:tcPr>
          <w:p>
            <w:pPr>
              <w:spacing w:after="0"/>
              <w:rPr>
                <w:sz w:val="24"/>
                <w:szCs w:val="24"/>
                <w:color w:val="auto"/>
              </w:rPr>
            </w:pPr>
          </w:p>
        </w:tc>
      </w:tr>
    </w:tbl>
    <w:p>
      <w:pPr>
        <w:sectPr>
          <w:pgSz w:w="11900" w:h="16838" w:orient="portrait"/>
          <w:cols w:equalWidth="0" w:num="1">
            <w:col w:w="10019"/>
          </w:cols>
          <w:pgMar w:left="440" w:top="270" w:right="1440"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H.C. Starck Tungsten GmbH*</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Niagara Refining LLC*</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United Kingdom of Great Britain and Northern</w:t>
            </w:r>
          </w:p>
        </w:tc>
      </w:tr>
      <w:tr>
        <w:trPr>
          <w:trHeight w:val="216"/>
        </w:trPr>
        <w:tc>
          <w:tcPr>
            <w:tcW w:w="8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Lianyou Metals Co.,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Cronimet Brasil Ltda*</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Vietnam</w:t>
            </w:r>
          </w:p>
        </w:tc>
      </w:tr>
    </w:tbl>
    <w:p>
      <w:pPr>
        <w:spacing w:after="0" w:line="225" w:lineRule="exact"/>
        <w:rPr>
          <w:sz w:val="20"/>
          <w:szCs w:val="20"/>
          <w:color w:val="auto"/>
        </w:rPr>
      </w:pPr>
    </w:p>
    <w:p>
      <w:pPr>
        <w:ind w:left="4" w:right="3920" w:hanging="4"/>
        <w:spacing w:after="0" w:line="276" w:lineRule="auto"/>
        <w:tabs>
          <w:tab w:leader="none" w:pos="4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Smelter name included in the RMAP Conformant Smelters and Refiners as of April 3, 2024. ** Smelter name included in the RMI Active Smelters and Refiners List as of April 3, 2024.</w:t>
      </w:r>
    </w:p>
    <w:p>
      <w:pPr>
        <w:spacing w:after="0" w:line="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note the following in connection with the information contained in the foregoing list:</w:t>
      </w:r>
    </w:p>
    <w:p>
      <w:pPr>
        <w:spacing w:after="0" w:line="233" w:lineRule="exact"/>
        <w:rPr>
          <w:rFonts w:ascii="Times New Roman" w:cs="Times New Roman" w:eastAsia="Times New Roman" w:hAnsi="Times New Roman"/>
          <w:sz w:val="18"/>
          <w:szCs w:val="18"/>
          <w:color w:val="auto"/>
        </w:rPr>
      </w:pPr>
    </w:p>
    <w:p>
      <w:pPr>
        <w:ind w:left="964" w:right="300" w:hanging="532"/>
        <w:spacing w:after="0" w:line="258"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SORs listed above were identified to us by the suppliers. However, not all of the included SORs may have processed necessary conflict minerals contained in our products. Some suppliers may have reported to us SORs that were not in our supply chain due to over-inclusiveness in the information received from their suppliers as a result of reporting to us at a “company level,” meaning that they reported to us the conflict minerals content contained in all of their products, not just the products they sold to us, or for other reasons. Additionally, not all of our suppliers responded to our inquiries.</w:t>
      </w:r>
    </w:p>
    <w:p>
      <w:pPr>
        <w:spacing w:after="0" w:line="210"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status and country location reflected in the list is based solely on information made available by the RMI to its members, without independent verification by us.</w:t>
      </w:r>
    </w:p>
    <w:p>
      <w:pPr>
        <w:spacing w:after="0" w:line="188"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Location is the location of the smelter or refiner and is based solely on information made publicly available by RMI, without independent verification by us.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Algeria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Andorra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Antigua and Barbuda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Argentina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Austria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Azerbaijan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Bahamas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Barbados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Bangladesh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Belgium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Benin</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Belarus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Bosnia and Herzegovina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Botswana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Bulgaria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Burkina Faso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Burundi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Cambodia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Cameroon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Chinese Taipei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Côte D’ivoire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Congo, Democratic Republic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Croatia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Curacao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Dominican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Salvador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Fiji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French Guiana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Guatemala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Honduras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19"/>
          </w:cols>
          <w:pgMar w:left="440" w:top="27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Indonesia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Jamaica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Kuwait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Kyrgyzstan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Lao People’s Democratic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Latvia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Lebanon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Liechtenstein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Lithuania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Monaco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Nicaragua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Papua New 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19"/>
          </w:cols>
          <w:pgMar w:left="440" w:top="27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Romania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Kitts and Nevis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Maarten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Slovenia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Vincent and Grenadines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Tajikistan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Trinidad and Tobago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Tunisia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Turks and Caicos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of Great Britain and Northern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2024-05-24T06:32:38Z</dcterms:created>
  <dcterms:modified xsi:type="dcterms:W3CDTF">2024-05-24T06:32:38Z</dcterms:modified>
</cp:coreProperties>
</file>