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20"/>
        <w:spacing w:after="0"/>
        <w:rPr>
          <w:sz w:val="20"/>
          <w:szCs w:val="20"/>
          <w:color w:val="auto"/>
        </w:rPr>
      </w:pPr>
      <w:r>
        <w:rPr>
          <w:rFonts w:ascii="Times New Roman" w:cs="Times New Roman" w:eastAsia="Times New Roman" w:hAnsi="Times New Roman"/>
          <w:sz w:val="25"/>
          <w:szCs w:val="25"/>
          <w:b w:val="1"/>
          <w:bCs w:val="1"/>
          <w:color w:val="auto"/>
        </w:rPr>
        <w:t>_________________________________________________________________________</w:t>
      </w:r>
    </w:p>
    <w:p>
      <w:pPr>
        <w:spacing w:after="0" w:line="2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26, 2024</w:t>
      </w:r>
    </w:p>
    <w:p>
      <w:pPr>
        <w:spacing w:after="0" w:line="31" w:lineRule="exact"/>
        <w:rPr>
          <w:sz w:val="24"/>
          <w:szCs w:val="24"/>
          <w:color w:val="auto"/>
        </w:rPr>
      </w:pPr>
    </w:p>
    <w:p>
      <w:pPr>
        <w:ind w:left="108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Analog Devices, Inc.</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6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ectPr>
          <w:pgSz w:w="11900" w:h="16838" w:orient="portrait"/>
          <w:cols w:equalWidth="0" w:num="1">
            <w:col w:w="11240"/>
          </w:cols>
          <w:pgMar w:left="320" w:top="1029" w:right="339" w:bottom="1440" w:gutter="0" w:footer="0" w:header="0"/>
        </w:sectPr>
      </w:pPr>
    </w:p>
    <w:p>
      <w:pPr>
        <w:spacing w:after="0" w:line="50" w:lineRule="exact"/>
        <w:rPr>
          <w:sz w:val="24"/>
          <w:szCs w:val="24"/>
          <w:color w:val="auto"/>
        </w:rPr>
      </w:pPr>
    </w:p>
    <w:p>
      <w:pPr>
        <w:ind w:left="1200"/>
        <w:spacing w:after="0"/>
        <w:rPr>
          <w:sz w:val="20"/>
          <w:szCs w:val="20"/>
          <w:color w:val="auto"/>
        </w:rPr>
      </w:pPr>
      <w:r>
        <w:rPr>
          <w:rFonts w:ascii="Times New Roman" w:cs="Times New Roman" w:eastAsia="Times New Roman" w:hAnsi="Times New Roman"/>
          <w:sz w:val="18"/>
          <w:szCs w:val="18"/>
          <w:b w:val="1"/>
          <w:bCs w:val="1"/>
          <w:color w:val="auto"/>
        </w:rPr>
        <w:t>Massachusetts</w:t>
      </w:r>
    </w:p>
    <w:p>
      <w:pPr>
        <w:spacing w:after="0" w:line="29"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w:t>
      </w:r>
    </w:p>
    <w:p>
      <w:pPr>
        <w:ind w:left="1140"/>
        <w:spacing w:after="0"/>
        <w:rPr>
          <w:sz w:val="20"/>
          <w:szCs w:val="20"/>
          <w:color w:val="auto"/>
        </w:rPr>
      </w:pPr>
      <w:r>
        <w:rPr>
          <w:rFonts w:ascii="Times New Roman" w:cs="Times New Roman" w:eastAsia="Times New Roman" w:hAnsi="Times New Roman"/>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1-7819</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(Commission</w:t>
      </w:r>
    </w:p>
    <w:p>
      <w:pPr>
        <w:ind w:left="20"/>
        <w:spacing w:after="0"/>
        <w:rPr>
          <w:sz w:val="20"/>
          <w:szCs w:val="20"/>
          <w:color w:val="auto"/>
        </w:rPr>
      </w:pPr>
      <w:r>
        <w:rPr>
          <w:rFonts w:ascii="Times New Roman" w:cs="Times New Roman" w:eastAsia="Times New Roman" w:hAnsi="Times New Roman"/>
          <w:sz w:val="17"/>
          <w:szCs w:val="17"/>
          <w:color w:val="auto"/>
        </w:rPr>
        <w:t>File Number)</w:t>
      </w:r>
    </w:p>
    <w:p>
      <w:pPr>
        <w:spacing w:after="0" w:line="20" w:lineRule="exact"/>
        <w:rPr>
          <w:sz w:val="24"/>
          <w:szCs w:val="24"/>
          <w:color w:val="auto"/>
        </w:rPr>
      </w:pPr>
      <w:r>
        <w:rPr>
          <w:sz w:val="24"/>
          <w:szCs w:val="24"/>
          <w:color w:val="auto"/>
        </w:rPr>
        <w:br w:type="column"/>
      </w:r>
    </w:p>
    <w:p>
      <w:pPr>
        <w:spacing w:after="0" w:line="30"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04-2348234</w:t>
      </w:r>
    </w:p>
    <w:p>
      <w:pPr>
        <w:spacing w:after="0" w:line="29"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31" w:lineRule="exact"/>
        <w:rPr>
          <w:sz w:val="24"/>
          <w:szCs w:val="24"/>
          <w:color w:val="auto"/>
        </w:rPr>
      </w:pPr>
    </w:p>
    <w:p>
      <w:pPr>
        <w:sectPr>
          <w:pgSz w:w="11900" w:h="16838" w:orient="portrait"/>
          <w:cols w:equalWidth="0" w:num="3">
            <w:col w:w="4400" w:space="720"/>
            <w:col w:w="2960" w:space="720"/>
            <w:col w:w="2440"/>
          </w:cols>
          <w:pgMar w:left="320" w:top="1029" w:right="339" w:bottom="1440" w:gutter="0" w:footer="0" w:header="0"/>
          <w:type w:val="continuous"/>
        </w:sectPr>
      </w:pPr>
    </w:p>
    <w:p>
      <w:pPr>
        <w:ind w:left="1160"/>
        <w:spacing w:after="0"/>
        <w:rPr>
          <w:sz w:val="20"/>
          <w:szCs w:val="20"/>
          <w:color w:val="auto"/>
        </w:rPr>
      </w:pPr>
      <w:r>
        <w:rPr>
          <w:rFonts w:ascii="Times New Roman" w:cs="Times New Roman" w:eastAsia="Times New Roman" w:hAnsi="Times New Roman"/>
          <w:sz w:val="18"/>
          <w:szCs w:val="18"/>
          <w:b w:val="1"/>
          <w:bCs w:val="1"/>
          <w:color w:val="auto"/>
        </w:rPr>
        <w:t>One Analog Way</w:t>
      </w:r>
    </w:p>
    <w:p>
      <w:pPr>
        <w:spacing w:after="0" w:line="31" w:lineRule="exact"/>
        <w:rPr>
          <w:sz w:val="24"/>
          <w:szCs w:val="24"/>
          <w:color w:val="auto"/>
        </w:rPr>
      </w:pPr>
    </w:p>
    <w:p>
      <w:pPr>
        <w:ind w:left="1160"/>
        <w:spacing w:after="0"/>
        <w:tabs>
          <w:tab w:leader="none" w:pos="2680" w:val="left"/>
        </w:tabs>
        <w:rPr>
          <w:sz w:val="20"/>
          <w:szCs w:val="20"/>
          <w:color w:val="auto"/>
        </w:rPr>
      </w:pPr>
      <w:r>
        <w:rPr>
          <w:rFonts w:ascii="Times New Roman" w:cs="Times New Roman" w:eastAsia="Times New Roman" w:hAnsi="Times New Roman"/>
          <w:sz w:val="18"/>
          <w:szCs w:val="18"/>
          <w:b w:val="1"/>
          <w:bCs w:val="1"/>
          <w:color w:val="auto"/>
        </w:rPr>
        <w:t>Wilmington,</w:t>
      </w:r>
      <w:r>
        <w:rPr>
          <w:sz w:val="20"/>
          <w:szCs w:val="20"/>
          <w:color w:val="auto"/>
        </w:rPr>
        <w:tab/>
      </w:r>
      <w:r>
        <w:rPr>
          <w:rFonts w:ascii="Times New Roman" w:cs="Times New Roman" w:eastAsia="Times New Roman" w:hAnsi="Times New Roman"/>
          <w:sz w:val="18"/>
          <w:szCs w:val="18"/>
          <w:b w:val="1"/>
          <w:bCs w:val="1"/>
          <w:color w:val="auto"/>
        </w:rPr>
        <w:t>MA</w:t>
      </w:r>
    </w:p>
    <w:p>
      <w:pPr>
        <w:spacing w:after="0" w:line="2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b w:val="1"/>
          <w:bCs w:val="1"/>
          <w:color w:val="auto"/>
        </w:rPr>
        <w:t>01887</w:t>
      </w:r>
    </w:p>
    <w:p>
      <w:pPr>
        <w:spacing w:after="0" w:line="31" w:lineRule="exact"/>
        <w:rPr>
          <w:sz w:val="24"/>
          <w:szCs w:val="24"/>
          <w:color w:val="auto"/>
        </w:rPr>
      </w:pPr>
    </w:p>
    <w:p>
      <w:pPr>
        <w:jc w:val="center"/>
        <w:ind w:right="2420"/>
        <w:spacing w:after="0"/>
        <w:rPr>
          <w:sz w:val="20"/>
          <w:szCs w:val="20"/>
          <w:color w:val="auto"/>
        </w:rPr>
      </w:pPr>
      <w:r>
        <w:rPr>
          <w:rFonts w:ascii="Times New Roman" w:cs="Times New Roman" w:eastAsia="Times New Roman" w:hAnsi="Times New Roman"/>
          <w:sz w:val="18"/>
          <w:szCs w:val="18"/>
          <w:color w:val="auto"/>
        </w:rPr>
        <w:t>(Zip Code)</w:t>
      </w:r>
    </w:p>
    <w:p>
      <w:pPr>
        <w:spacing w:after="0" w:line="95" w:lineRule="exact"/>
        <w:rPr>
          <w:sz w:val="24"/>
          <w:szCs w:val="24"/>
          <w:color w:val="auto"/>
        </w:rPr>
      </w:pPr>
    </w:p>
    <w:p>
      <w:pPr>
        <w:sectPr>
          <w:pgSz w:w="11900" w:h="16838" w:orient="portrait"/>
          <w:cols w:equalWidth="0" w:num="2">
            <w:col w:w="7300" w:space="720"/>
            <w:col w:w="3220"/>
          </w:cols>
          <w:pgMar w:left="320" w:top="1029" w:right="339" w:bottom="1440" w:gutter="0" w:footer="0" w:header="0"/>
          <w:type w:val="continuous"/>
        </w:sect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(781) 935-5565</w:t>
      </w:r>
    </w:p>
    <w:p>
      <w:pPr>
        <w:spacing w:after="0" w:line="2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86" w:lineRule="exact"/>
        <w:rPr>
          <w:sz w:val="24"/>
          <w:szCs w:val="24"/>
          <w:color w:val="auto"/>
        </w:rPr>
      </w:pPr>
    </w:p>
    <w:p>
      <w:pPr>
        <w:ind w:left="1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______________________________________________________________________________________________________</w:t>
      </w:r>
    </w:p>
    <w:p>
      <w:pPr>
        <w:spacing w:after="0" w:line="256" w:lineRule="exact"/>
        <w:rPr>
          <w:sz w:val="24"/>
          <w:szCs w:val="24"/>
          <w:color w:val="auto"/>
        </w:rPr>
      </w:pPr>
    </w:p>
    <w:p>
      <w:pPr>
        <w:ind w:right="680"/>
        <w:spacing w:after="0" w:line="26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rPr>
      </w:pPr>
    </w:p>
    <w:p>
      <w:pPr>
        <w:ind w:left="380" w:hanging="372"/>
        <w:spacing w:after="0" w:line="237"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43"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42" w:lineRule="exact"/>
        <w:rPr>
          <w:rFonts w:ascii="MS PGothic" w:cs="MS PGothic" w:eastAsia="MS PGothic" w:hAnsi="MS PGothic"/>
          <w:sz w:val="22"/>
          <w:szCs w:val="22"/>
          <w:color w:val="auto"/>
        </w:rPr>
      </w:pPr>
    </w:p>
    <w:p>
      <w:pPr>
        <w:ind w:left="380" w:hanging="372"/>
        <w:spacing w:after="0" w:line="225" w:lineRule="auto"/>
        <w:tabs>
          <w:tab w:leader="none" w:pos="38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40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5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c>
          <w:tcPr>
            <w:tcW w:w="0" w:type="dxa"/>
            <w:vAlign w:val="bottom"/>
          </w:tcPr>
          <w:p>
            <w:pPr>
              <w:spacing w:after="0"/>
              <w:rPr>
                <w:sz w:val="1"/>
                <w:szCs w:val="1"/>
                <w:color w:val="auto"/>
              </w:rPr>
            </w:pPr>
          </w:p>
        </w:tc>
      </w:tr>
      <w:tr>
        <w:trPr>
          <w:trHeight w:val="238"/>
        </w:trPr>
        <w:tc>
          <w:tcPr>
            <w:tcW w:w="4400" w:type="dxa"/>
            <w:vAlign w:val="bottom"/>
            <w:gridSpan w:val="2"/>
            <w:vMerge w:val="continue"/>
          </w:tcPr>
          <w:p>
            <w:pPr>
              <w:spacing w:after="0"/>
              <w:rPr>
                <w:sz w:val="20"/>
                <w:szCs w:val="20"/>
                <w:color w:val="auto"/>
              </w:rPr>
            </w:pPr>
          </w:p>
        </w:tc>
        <w:tc>
          <w:tcPr>
            <w:tcW w:w="25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43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c>
          <w:tcPr>
            <w:tcW w:w="0" w:type="dxa"/>
            <w:vAlign w:val="bottom"/>
          </w:tcPr>
          <w:p>
            <w:pPr>
              <w:spacing w:after="0"/>
              <w:rPr>
                <w:sz w:val="1"/>
                <w:szCs w:val="1"/>
                <w:color w:val="auto"/>
              </w:rPr>
            </w:pPr>
          </w:p>
        </w:tc>
      </w:tr>
      <w:tr>
        <w:trPr>
          <w:trHeight w:val="228"/>
        </w:trPr>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$0.16 2/3 par value per share</w:t>
            </w:r>
          </w:p>
        </w:tc>
        <w:tc>
          <w:tcPr>
            <w:tcW w:w="100" w:type="dxa"/>
            <w:vAlign w:val="bottom"/>
          </w:tcPr>
          <w:p>
            <w:pPr>
              <w:spacing w:after="0"/>
              <w:rPr>
                <w:sz w:val="19"/>
                <w:szCs w:val="19"/>
                <w:color w:val="auto"/>
              </w:rPr>
            </w:pPr>
          </w:p>
        </w:tc>
        <w:tc>
          <w:tcPr>
            <w:tcW w:w="24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ADI</w:t>
            </w:r>
          </w:p>
        </w:tc>
        <w:tc>
          <w:tcPr>
            <w:tcW w:w="100" w:type="dxa"/>
            <w:vAlign w:val="bottom"/>
          </w:tcPr>
          <w:p>
            <w:pPr>
              <w:spacing w:after="0"/>
              <w:rPr>
                <w:sz w:val="19"/>
                <w:szCs w:val="19"/>
                <w:color w:val="auto"/>
              </w:rPr>
            </w:pPr>
          </w:p>
        </w:tc>
        <w:tc>
          <w:tcPr>
            <w:tcW w:w="43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314" w:lineRule="exact"/>
        <w:rPr>
          <w:sz w:val="24"/>
          <w:szCs w:val="24"/>
          <w:color w:val="auto"/>
        </w:rPr>
      </w:pPr>
    </w:p>
    <w:p>
      <w:pPr>
        <w:ind w:right="520"/>
        <w:spacing w:after="0" w:line="26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40"/>
        <w:spacing w:after="0" w:line="230"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20"/>
          <w:szCs w:val="20"/>
          <w:color w:val="auto"/>
        </w:rPr>
        <w:t>☐</w:t>
      </w:r>
    </w:p>
    <w:p>
      <w:pPr>
        <w:spacing w:after="0" w:line="251" w:lineRule="exact"/>
        <w:rPr>
          <w:sz w:val="24"/>
          <w:szCs w:val="24"/>
          <w:color w:val="auto"/>
        </w:rPr>
      </w:pPr>
    </w:p>
    <w:p>
      <w:pPr>
        <w:ind w:right="160"/>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765175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0205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wp:posOffset>
            </wp:positionV>
            <wp:extent cx="70205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029" w:right="339" w:bottom="1440" w:gutter="0" w:footer="0" w:header="0"/>
          <w:type w:val="continuous"/>
        </w:sectPr>
      </w:pPr>
    </w:p>
    <w:bookmarkStart w:id="1" w:name="page2"/>
    <w:bookmarkEnd w:id="1"/>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2.02.</w:t>
        <w:tab/>
        <w:t>Results of Operations and Financial Condition</w:t>
      </w:r>
    </w:p>
    <w:p>
      <w:pPr>
        <w:spacing w:after="0" w:line="94" w:lineRule="exact"/>
        <w:rPr>
          <w:sz w:val="20"/>
          <w:szCs w:val="20"/>
          <w:color w:val="auto"/>
        </w:rPr>
      </w:pPr>
    </w:p>
    <w:p>
      <w:pPr>
        <w:ind w:right="620" w:firstLine="405"/>
        <w:spacing w:after="0" w:line="312" w:lineRule="auto"/>
        <w:rPr>
          <w:sz w:val="20"/>
          <w:szCs w:val="20"/>
          <w:color w:val="auto"/>
        </w:rPr>
      </w:pPr>
      <w:r>
        <w:rPr>
          <w:rFonts w:ascii="Times New Roman" w:cs="Times New Roman" w:eastAsia="Times New Roman" w:hAnsi="Times New Roman"/>
          <w:sz w:val="17"/>
          <w:szCs w:val="17"/>
          <w:color w:val="auto"/>
        </w:rPr>
        <w:t>On November 26, 2024, Analog Devices, Inc. (the “Registrant”) announced its financial results for its fourth quarter and fiscal year ended November 2, 2024. The full text of the press release issued by the Registrant concerning the foregoing results is furnished herewith as Exhibit 99.1.</w:t>
      </w:r>
    </w:p>
    <w:p>
      <w:pPr>
        <w:spacing w:after="0" w:line="59" w:lineRule="exact"/>
        <w:rPr>
          <w:sz w:val="20"/>
          <w:szCs w:val="20"/>
          <w:color w:val="auto"/>
        </w:rPr>
      </w:pPr>
    </w:p>
    <w:p>
      <w:pPr>
        <w:ind w:right="60" w:firstLine="405"/>
        <w:spacing w:after="0" w:line="261" w:lineRule="auto"/>
        <w:rPr>
          <w:sz w:val="20"/>
          <w:szCs w:val="20"/>
          <w:color w:val="auto"/>
        </w:rPr>
      </w:pPr>
      <w:r>
        <w:rPr>
          <w:rFonts w:ascii="Times New Roman" w:cs="Times New Roman" w:eastAsia="Times New Roman" w:hAnsi="Times New Roman"/>
          <w:sz w:val="18"/>
          <w:szCs w:val="18"/>
          <w:color w:val="auto"/>
        </w:rPr>
        <w:t>The information contained herein and in Exhibit 99.1 shall not be incorporated by reference into any filing of the Registrant, whether made before or after the date hereof, regardless of any general incorporation language in such filing, unless expressly incorporated by specific reference to such filing. The information in this report, including Exhibit 99.1, shall not be deemed to be “filed” for purposes of Section 18 of the Securities Exchange Act of 1934, as amended, or otherwise subject to the liabilities of that section or Sections 11 and 12(a)(2) of the Securities Act of 1933, as amended.</w:t>
      </w:r>
    </w:p>
    <w:p>
      <w:pPr>
        <w:spacing w:after="0" w:line="200" w:lineRule="exact"/>
        <w:rPr>
          <w:sz w:val="20"/>
          <w:szCs w:val="20"/>
          <w:color w:val="auto"/>
        </w:rPr>
      </w:pPr>
    </w:p>
    <w:p>
      <w:pPr>
        <w:spacing w:after="0" w:line="246"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2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 No.</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186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color w:val="auto"/>
              </w:rPr>
              <w:t>99.1</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 xml:space="preserve">Press release </w:t>
            </w:r>
            <w:r>
              <w:rPr>
                <w:rFonts w:ascii="Times New Roman" w:cs="Times New Roman" w:eastAsia="Times New Roman" w:hAnsi="Times New Roman"/>
                <w:sz w:val="18"/>
                <w:szCs w:val="18"/>
                <w:color w:val="000000"/>
              </w:rPr>
              <w:t>dated November 26, 2024.</w:t>
            </w:r>
          </w:p>
        </w:tc>
      </w:tr>
      <w:tr>
        <w:trPr>
          <w:trHeight w:val="20"/>
        </w:trPr>
        <w:tc>
          <w:tcPr>
            <w:tcW w:w="1880" w:type="dxa"/>
            <w:vAlign w:val="bottom"/>
            <w:gridSpan w:val="3"/>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8420" w:type="dxa"/>
            <w:vAlign w:val="bottom"/>
          </w:tcPr>
          <w:p>
            <w:pPr>
              <w:spacing w:after="0" w:line="20" w:lineRule="exact"/>
              <w:rPr>
                <w:sz w:val="1"/>
                <w:szCs w:val="1"/>
                <w:color w:val="auto"/>
              </w:rPr>
            </w:pPr>
          </w:p>
        </w:tc>
      </w:tr>
      <w:tr>
        <w:trPr>
          <w:trHeight w:val="250"/>
        </w:trPr>
        <w:tc>
          <w:tcPr>
            <w:tcW w:w="1880" w:type="dxa"/>
            <w:vAlign w:val="bottom"/>
            <w:gridSpan w:val="3"/>
          </w:tcPr>
          <w:p>
            <w:pPr>
              <w:jc w:val="right"/>
              <w:ind w:right="900"/>
              <w:spacing w:after="0"/>
              <w:rPr>
                <w:sz w:val="20"/>
                <w:szCs w:val="20"/>
                <w:color w:val="auto"/>
              </w:rPr>
            </w:pPr>
            <w:r>
              <w:rPr>
                <w:rFonts w:ascii="Times New Roman" w:cs="Times New Roman" w:eastAsia="Times New Roman" w:hAnsi="Times New Roman"/>
                <w:sz w:val="18"/>
                <w:szCs w:val="18"/>
                <w:color w:val="auto"/>
              </w:rPr>
              <w:t>104</w:t>
            </w:r>
          </w:p>
        </w:tc>
        <w:tc>
          <w:tcPr>
            <w:tcW w:w="9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w:t>
            </w:r>
          </w:p>
        </w:tc>
      </w:tr>
      <w:tr>
        <w:trPr>
          <w:trHeight w:val="1208"/>
        </w:trPr>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w:t>
      </w:r>
    </w:p>
    <w:p>
      <w:pPr>
        <w:spacing w:after="0" w:line="90"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26, 2024</w:t>
            </w:r>
          </w:p>
        </w:tc>
        <w:tc>
          <w:tcPr>
            <w:tcW w:w="7220" w:type="dxa"/>
            <w:vAlign w:val="bottom"/>
            <w:gridSpan w:val="2"/>
          </w:tcPr>
          <w:p>
            <w:pPr>
              <w:ind w:left="1940"/>
              <w:spacing w:after="0"/>
              <w:rPr>
                <w:sz w:val="20"/>
                <w:szCs w:val="20"/>
                <w:color w:val="auto"/>
              </w:rPr>
            </w:pPr>
            <w:r>
              <w:rPr>
                <w:rFonts w:ascii="Times New Roman" w:cs="Times New Roman" w:eastAsia="Times New Roman" w:hAnsi="Times New Roman"/>
                <w:sz w:val="18"/>
                <w:szCs w:val="18"/>
                <w:color w:val="auto"/>
              </w:rPr>
              <w:t>ANALOG DEVICES, INC.</w:t>
            </w:r>
          </w:p>
        </w:tc>
      </w:tr>
      <w:tr>
        <w:trPr>
          <w:trHeight w:val="234"/>
        </w:trPr>
        <w:tc>
          <w:tcPr>
            <w:tcW w:w="3960" w:type="dxa"/>
            <w:vAlign w:val="bottom"/>
          </w:tcPr>
          <w:p>
            <w:pPr>
              <w:spacing w:after="0"/>
              <w:rPr>
                <w:sz w:val="20"/>
                <w:szCs w:val="20"/>
                <w:color w:val="auto"/>
              </w:rPr>
            </w:pPr>
          </w:p>
        </w:tc>
        <w:tc>
          <w:tcPr>
            <w:tcW w:w="250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4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Janene I. Asgeirsson</w:t>
            </w:r>
          </w:p>
        </w:tc>
      </w:tr>
      <w:tr>
        <w:trPr>
          <w:trHeight w:val="228"/>
        </w:trPr>
        <w:tc>
          <w:tcPr>
            <w:tcW w:w="396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Janene I. Asgeirsson</w:t>
            </w:r>
          </w:p>
        </w:tc>
      </w:tr>
    </w:tbl>
    <w:p>
      <w:pPr>
        <w:ind w:left="6500"/>
        <w:spacing w:after="0" w:line="231" w:lineRule="auto"/>
        <w:rPr>
          <w:sz w:val="20"/>
          <w:szCs w:val="20"/>
          <w:color w:val="auto"/>
        </w:rPr>
      </w:pPr>
      <w:r>
        <w:rPr>
          <w:rFonts w:ascii="Times New Roman" w:cs="Times New Roman" w:eastAsia="Times New Roman" w:hAnsi="Times New Roman"/>
          <w:sz w:val="18"/>
          <w:szCs w:val="18"/>
          <w:color w:val="auto"/>
        </w:rPr>
        <w:t>Senior Vice President, Chief Legal Officer and Corporate</w:t>
      </w:r>
    </w:p>
    <w:p>
      <w:pPr>
        <w:ind w:left="6500"/>
        <w:spacing w:after="0"/>
        <w:rPr>
          <w:sz w:val="20"/>
          <w:szCs w:val="20"/>
          <w:color w:val="auto"/>
        </w:rPr>
      </w:pPr>
      <w:r>
        <w:rPr>
          <w:rFonts w:ascii="Times New Roman" w:cs="Times New Roman" w:eastAsia="Times New Roman" w:hAnsi="Times New Roman"/>
          <w:sz w:val="18"/>
          <w:szCs w:val="18"/>
          <w:color w:val="auto"/>
        </w:rPr>
        <w:t>Secretary</w:t>
      </w:r>
    </w:p>
    <w:p>
      <w:pPr>
        <w:sectPr>
          <w:pgSz w:w="11900" w:h="16838" w:orient="portrait"/>
          <w:cols w:equalWidth="0" w:num="1">
            <w:col w:w="11200"/>
          </w:cols>
          <w:pgMar w:left="320" w:top="98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Analog Devices Reports Fourth Quarter and Fiscal 2024 Financial Results</w:t>
      </w:r>
    </w:p>
    <w:p>
      <w:pPr>
        <w:spacing w:after="0" w:line="89" w:lineRule="exact"/>
        <w:rPr>
          <w:sz w:val="20"/>
          <w:szCs w:val="20"/>
          <w:color w:val="auto"/>
        </w:rPr>
      </w:pPr>
    </w:p>
    <w:p>
      <w:pPr>
        <w:ind w:left="660" w:right="300" w:hanging="328"/>
        <w:spacing w:after="0" w:line="271"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Fourth quarter revenue of more than $2.4 billion, above the midpoint of guidance with sequential growth across all end markets</w:t>
      </w:r>
    </w:p>
    <w:p>
      <w:pPr>
        <w:spacing w:after="0" w:line="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2024 revenue of more than $9.4 billion</w:t>
      </w:r>
    </w:p>
    <w:p>
      <w:pPr>
        <w:spacing w:after="0" w:line="84"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Fiscal 2024 operating cash flow of $3.9 billion and free cash flow of $3.1 billion</w:t>
      </w:r>
    </w:p>
    <w:p>
      <w:pPr>
        <w:spacing w:after="0" w:line="71" w:lineRule="exact"/>
        <w:rPr>
          <w:rFonts w:ascii="Times New Roman" w:cs="Times New Roman" w:eastAsia="Times New Roman" w:hAnsi="Times New Roman"/>
          <w:sz w:val="22"/>
          <w:szCs w:val="22"/>
          <w:color w:val="auto"/>
        </w:rPr>
      </w:pPr>
    </w:p>
    <w:p>
      <w:pPr>
        <w:ind w:left="660" w:right="20" w:hanging="328"/>
        <w:spacing w:after="0" w:line="284" w:lineRule="auto"/>
        <w:tabs>
          <w:tab w:leader="none" w:pos="655"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Returned more than $2.4 billion to shareholders in fiscal 2024, including $0.6 billion of share repurchases and $1.8 billion of dividends</w:t>
      </w:r>
    </w:p>
    <w:p>
      <w:pPr>
        <w:spacing w:after="0" w:line="45" w:lineRule="exact"/>
        <w:rPr>
          <w:sz w:val="20"/>
          <w:szCs w:val="20"/>
          <w:color w:val="auto"/>
        </w:rPr>
      </w:pPr>
    </w:p>
    <w:p>
      <w:pPr>
        <w:ind w:right="560"/>
        <w:spacing w:after="0" w:line="275" w:lineRule="auto"/>
        <w:rPr>
          <w:sz w:val="20"/>
          <w:szCs w:val="20"/>
          <w:color w:val="auto"/>
        </w:rPr>
      </w:pPr>
      <w:r>
        <w:rPr>
          <w:rFonts w:ascii="Times New Roman" w:cs="Times New Roman" w:eastAsia="Times New Roman" w:hAnsi="Times New Roman"/>
          <w:sz w:val="22"/>
          <w:szCs w:val="22"/>
          <w:b w:val="1"/>
          <w:bCs w:val="1"/>
          <w:color w:val="auto"/>
        </w:rPr>
        <w:t>WILMINGTON, Mass.--November 26, 2024--</w:t>
      </w:r>
      <w:r>
        <w:rPr>
          <w:rFonts w:ascii="Times New Roman" w:cs="Times New Roman" w:eastAsia="Times New Roman" w:hAnsi="Times New Roman"/>
          <w:sz w:val="22"/>
          <w:szCs w:val="22"/>
          <w:color w:val="auto"/>
        </w:rPr>
        <w:t>Analog Devices, Inc. (Nasdaq: ADI), a global semiconductor leader, today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announced financial results for its fiscal fourth quarter and fiscal year 2024, which ended November 2, 2024.</w:t>
      </w:r>
    </w:p>
    <w:p>
      <w:pPr>
        <w:spacing w:after="0" w:line="72" w:lineRule="exact"/>
        <w:rPr>
          <w:sz w:val="20"/>
          <w:szCs w:val="20"/>
          <w:color w:val="auto"/>
        </w:rPr>
      </w:pPr>
    </w:p>
    <w:p>
      <w:pPr>
        <w:ind w:right="160"/>
        <w:spacing w:after="0" w:line="251" w:lineRule="auto"/>
        <w:rPr>
          <w:sz w:val="20"/>
          <w:szCs w:val="20"/>
          <w:color w:val="auto"/>
        </w:rPr>
      </w:pPr>
      <w:r>
        <w:rPr>
          <w:rFonts w:ascii="Times New Roman" w:cs="Times New Roman" w:eastAsia="Times New Roman" w:hAnsi="Times New Roman"/>
          <w:sz w:val="22"/>
          <w:szCs w:val="22"/>
          <w:color w:val="auto"/>
        </w:rPr>
        <w:t>“ADI’s revenue, profitability, and earnings per share all finished above our guided midpoint, underscoring continued business momentum and solid execution,” said Vincent Roche, CEO and Chair. “While unprecedented customer inventory headwinds drove a historic revenue decline during fiscal 2024, we maintained operating margins north of 40%, which is a testament to our business model’s resilience. We also continued to make strategic, long-term investments across engineering, manufacturing, and the end-to-end customer experience. As such, we enter 2025 as an even stronger enterprise, giving me the utmost confidence in our ability to drive increased value for customers and shareholders over the long term.”</w:t>
      </w:r>
    </w:p>
    <w:p>
      <w:pPr>
        <w:spacing w:after="0" w:line="87" w:lineRule="exact"/>
        <w:rPr>
          <w:sz w:val="20"/>
          <w:szCs w:val="20"/>
          <w:color w:val="auto"/>
        </w:rPr>
      </w:pPr>
    </w:p>
    <w:p>
      <w:pPr>
        <w:jc w:val="both"/>
        <w:ind w:right="620"/>
        <w:spacing w:after="0" w:line="263" w:lineRule="auto"/>
        <w:rPr>
          <w:sz w:val="20"/>
          <w:szCs w:val="20"/>
          <w:color w:val="auto"/>
        </w:rPr>
      </w:pPr>
      <w:r>
        <w:rPr>
          <w:rFonts w:ascii="Times New Roman" w:cs="Times New Roman" w:eastAsia="Times New Roman" w:hAnsi="Times New Roman"/>
          <w:sz w:val="22"/>
          <w:szCs w:val="22"/>
          <w:color w:val="auto"/>
        </w:rPr>
        <w:t>“After a brief decline in overall bookings during our third quarter, orders picked up steadily throughout the fourth quarter, particularly in the Automotive end market. While macro uncertainty continues to limit the pace of our recovery, we remain cautiously optimistic for a strong growth year in fiscal 2025,” said Richard Puccio, CFO.</w:t>
      </w:r>
    </w:p>
    <w:p>
      <w:pPr>
        <w:sectPr>
          <w:pgSz w:w="11900" w:h="16838" w:orient="portrait"/>
          <w:cols w:equalWidth="0" w:num="1">
            <w:col w:w="11240"/>
          </w:cols>
          <w:pgMar w:left="320" w:top="891" w:right="339" w:bottom="1440" w:gutter="0" w:footer="0" w:header="0"/>
        </w:sectPr>
      </w:pPr>
    </w:p>
    <w:bookmarkStart w:id="4" w:name="page5"/>
    <w:bookmarkEnd w:id="4"/>
    <w:p>
      <w:pPr>
        <w:ind w:left="20"/>
        <w:spacing w:after="0"/>
        <w:rPr>
          <w:sz w:val="20"/>
          <w:szCs w:val="20"/>
          <w:color w:val="auto"/>
        </w:rPr>
      </w:pPr>
      <w:r>
        <w:rPr>
          <w:rFonts w:ascii="Times New Roman" w:cs="Times New Roman" w:eastAsia="Times New Roman" w:hAnsi="Times New Roman"/>
          <w:sz w:val="21"/>
          <w:szCs w:val="21"/>
          <w:b w:val="1"/>
          <w:bCs w:val="1"/>
          <w:u w:val="single" w:color="auto"/>
          <w:color w:val="auto"/>
        </w:rPr>
        <w:t>Performance for the Fourth Quarter and Fiscal Year 2024</w:t>
      </w:r>
    </w:p>
    <w:p>
      <w:pPr>
        <w:spacing w:after="0" w:line="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Results Summary</w:t>
      </w:r>
      <w:r>
        <w:rPr>
          <w:rFonts w:ascii="Times New Roman" w:cs="Times New Roman" w:eastAsia="Times New Roman" w:hAnsi="Times New Roman"/>
          <w:sz w:val="28"/>
          <w:szCs w:val="28"/>
          <w:b w:val="1"/>
          <w:bCs w:val="1"/>
          <w:color w:val="auto"/>
          <w:vertAlign w:val="superscript"/>
        </w:rPr>
        <w:t>(1)</w:t>
      </w:r>
    </w:p>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(in millions, except per-share amounts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167640</wp:posOffset>
            </wp:positionV>
            <wp:extent cx="48863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886325" cy="8255"/>
                    </a:xfrm>
                    <a:prstGeom prst="rect">
                      <a:avLst/>
                    </a:prstGeom>
                    <a:noFill/>
                  </pic:spPr>
                </pic:pic>
              </a:graphicData>
            </a:graphic>
          </wp:anchor>
        </w:drawing>
      </w:r>
    </w:p>
    <w:p>
      <w:pPr>
        <w:sectPr>
          <w:pgSz w:w="11900" w:h="16838" w:orient="portrait"/>
          <w:cols w:equalWidth="0" w:num="1">
            <w:col w:w="11140"/>
          </w:cols>
          <w:pgMar w:left="380" w:top="891" w:right="379" w:bottom="1440" w:gutter="0" w:footer="0" w:header="0"/>
        </w:sectPr>
      </w:pPr>
    </w:p>
    <w:p>
      <w:pPr>
        <w:spacing w:after="0" w:line="269"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2186940</wp:posOffset>
            </wp:positionH>
            <wp:positionV relativeFrom="paragraph">
              <wp:posOffset>19685</wp:posOffset>
            </wp:positionV>
            <wp:extent cx="2366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16" w:lineRule="exact"/>
        <w:rPr>
          <w:sz w:val="20"/>
          <w:szCs w:val="20"/>
          <w:color w:val="auto"/>
        </w:rPr>
      </w:pPr>
    </w:p>
    <w:p>
      <w:pPr>
        <w:ind w:left="3560"/>
        <w:spacing w:after="0"/>
        <w:tabs>
          <w:tab w:leader="none" w:pos="4840" w:val="left"/>
          <w:tab w:leader="none" w:pos="6300" w:val="left"/>
        </w:tabs>
        <w:rPr>
          <w:sz w:val="20"/>
          <w:szCs w:val="20"/>
          <w:color w:val="auto"/>
        </w:rPr>
      </w:pPr>
      <w:r>
        <w:rPr>
          <w:rFonts w:ascii="Times New Roman" w:cs="Times New Roman" w:eastAsia="Times New Roman" w:hAnsi="Times New Roman"/>
          <w:sz w:val="18"/>
          <w:szCs w:val="18"/>
          <w:b w:val="1"/>
          <w:bCs w:val="1"/>
          <w:color w:val="auto"/>
        </w:rPr>
        <w:t>Nov. 2, 2024</w:t>
      </w:r>
      <w:r>
        <w:rPr>
          <w:sz w:val="20"/>
          <w:szCs w:val="20"/>
          <w:color w:val="auto"/>
        </w:rPr>
        <w:tab/>
      </w:r>
      <w:r>
        <w:rPr>
          <w:rFonts w:ascii="Times New Roman" w:cs="Times New Roman" w:eastAsia="Times New Roman" w:hAnsi="Times New Roman"/>
          <w:sz w:val="18"/>
          <w:szCs w:val="18"/>
          <w:b w:val="1"/>
          <w:bCs w:val="1"/>
          <w:color w:val="auto"/>
        </w:rPr>
        <w:t>Oct. 28, 2023</w:t>
      </w:r>
      <w:r>
        <w:rPr>
          <w:sz w:val="20"/>
          <w:szCs w:val="20"/>
          <w:color w:val="auto"/>
        </w:rPr>
        <w:tab/>
      </w:r>
      <w:r>
        <w:rPr>
          <w:rFonts w:ascii="Times New Roman" w:cs="Times New Roman" w:eastAsia="Times New Roman" w:hAnsi="Times New Roman"/>
          <w:sz w:val="18"/>
          <w:szCs w:val="18"/>
          <w:b w:val="1"/>
          <w:bCs w:val="1"/>
          <w:color w:val="auto"/>
        </w:rPr>
        <w:t>Change</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19685</wp:posOffset>
            </wp:positionV>
            <wp:extent cx="24345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spacing w:after="0"/>
        <w:tabs>
          <w:tab w:leader="none" w:pos="1280" w:val="left"/>
          <w:tab w:leader="none" w:pos="2820" w:val="left"/>
        </w:tabs>
        <w:rPr>
          <w:sz w:val="20"/>
          <w:szCs w:val="20"/>
          <w:color w:val="auto"/>
        </w:rPr>
      </w:pPr>
      <w:r>
        <w:rPr>
          <w:rFonts w:ascii="Times New Roman" w:cs="Times New Roman" w:eastAsia="Times New Roman" w:hAnsi="Times New Roman"/>
          <w:sz w:val="18"/>
          <w:szCs w:val="18"/>
          <w:b w:val="1"/>
          <w:bCs w:val="1"/>
          <w:color w:val="auto"/>
        </w:rPr>
        <w:t>Nov. 2, 2024</w:t>
      </w:r>
      <w:r>
        <w:rPr>
          <w:sz w:val="20"/>
          <w:szCs w:val="20"/>
          <w:color w:val="auto"/>
        </w:rPr>
        <w:tab/>
      </w:r>
      <w:r>
        <w:rPr>
          <w:rFonts w:ascii="Times New Roman" w:cs="Times New Roman" w:eastAsia="Times New Roman" w:hAnsi="Times New Roman"/>
          <w:sz w:val="18"/>
          <w:szCs w:val="18"/>
          <w:b w:val="1"/>
          <w:bCs w:val="1"/>
          <w:color w:val="auto"/>
        </w:rPr>
        <w:t>Oct. 28, 2023</w:t>
      </w:r>
      <w:r>
        <w:rPr>
          <w:sz w:val="20"/>
          <w:szCs w:val="20"/>
          <w:color w:val="auto"/>
        </w:rPr>
        <w:tab/>
      </w:r>
      <w:r>
        <w:rPr>
          <w:rFonts w:ascii="Times New Roman" w:cs="Times New Roman" w:eastAsia="Times New Roman" w:hAnsi="Times New Roman"/>
          <w:sz w:val="17"/>
          <w:szCs w:val="17"/>
          <w:b w:val="1"/>
          <w:bCs w:val="1"/>
          <w:color w:val="auto"/>
        </w:rPr>
        <w:t>Change</w:t>
      </w:r>
    </w:p>
    <w:p>
      <w:pPr>
        <w:spacing w:after="0" w:line="31" w:lineRule="exact"/>
        <w:rPr>
          <w:sz w:val="20"/>
          <w:szCs w:val="20"/>
          <w:color w:val="auto"/>
        </w:rPr>
      </w:pPr>
    </w:p>
    <w:p>
      <w:pPr>
        <w:sectPr>
          <w:pgSz w:w="11900" w:h="16838" w:orient="portrait"/>
          <w:cols w:equalWidth="0" w:num="2">
            <w:col w:w="6920" w:space="500"/>
            <w:col w:w="3720"/>
          </w:cols>
          <w:pgMar w:left="380" w:top="891" w:right="37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4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2,443</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2,716</w:t>
            </w:r>
          </w:p>
        </w:tc>
        <w:tc>
          <w:tcPr>
            <w:tcW w:w="14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9,427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12,306</w:t>
            </w:r>
          </w:p>
        </w:tc>
        <w:tc>
          <w:tcPr>
            <w:tcW w:w="14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1,416</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1,647</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5,381</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7,877</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 percentage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(260 bps)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 bps)</w:t>
            </w:r>
          </w:p>
        </w:tc>
      </w:tr>
      <w:tr>
        <w:trPr>
          <w:trHeight w:val="230"/>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569</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634</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2,033</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3,823</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 bps)</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31.1 %</w:t>
            </w: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(950 bps)</w:t>
            </w:r>
          </w:p>
        </w:tc>
      </w:tr>
      <w:tr>
        <w:trPr>
          <w:trHeight w:val="234"/>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b w:val="1"/>
          <w:bCs w:val="1"/>
          <w:u w:val="single" w:color="auto"/>
          <w:color w:val="auto"/>
        </w:rPr>
        <w:t>Adjusted Results</w:t>
      </w:r>
      <w:r>
        <w:rPr>
          <w:rFonts w:ascii="Times New Roman" w:cs="Times New Roman" w:eastAsia="Times New Roman" w:hAnsi="Times New Roman"/>
          <w:sz w:val="28"/>
          <w:szCs w:val="28"/>
          <w:b w:val="1"/>
          <w:bCs w:val="1"/>
          <w:color w:val="auto"/>
          <w:vertAlign w:val="superscript"/>
        </w:rPr>
        <w:t>(2)</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shd w:val="clear" w:color="auto" w:fill="CCEEFF"/>
          </w:tcPr>
          <w:p>
            <w:pPr>
              <w:spacing w:after="0"/>
              <w:rPr>
                <w:sz w:val="18"/>
                <w:szCs w:val="18"/>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1,660</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1,907</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6,404</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8,925</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5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67.9 %</w:t>
            </w:r>
          </w:p>
        </w:tc>
        <w:tc>
          <w:tcPr>
            <w:tcW w:w="4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70.2 %</w:t>
            </w: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(230 bps)</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72.5 %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operating income</w:t>
            </w: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1,005</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1,215</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6,014</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Adjusted operating margin</w:t>
            </w:r>
          </w:p>
        </w:tc>
        <w:tc>
          <w:tcPr>
            <w:tcW w:w="56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41.1 %</w:t>
            </w:r>
          </w:p>
        </w:tc>
        <w:tc>
          <w:tcPr>
            <w:tcW w:w="400" w:type="dxa"/>
            <w:vAlign w:val="bottom"/>
          </w:tcPr>
          <w:p>
            <w:pPr>
              <w:spacing w:after="0"/>
              <w:rPr>
                <w:sz w:val="19"/>
                <w:szCs w:val="19"/>
                <w:color w:val="auto"/>
              </w:rPr>
            </w:pPr>
          </w:p>
        </w:tc>
        <w:tc>
          <w:tcPr>
            <w:tcW w:w="100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44.7 %</w:t>
            </w:r>
          </w:p>
        </w:tc>
        <w:tc>
          <w:tcPr>
            <w:tcW w:w="220" w:type="dxa"/>
            <w:vAlign w:val="bottom"/>
          </w:tcPr>
          <w:p>
            <w:pPr>
              <w:spacing w:after="0"/>
              <w:rPr>
                <w:sz w:val="19"/>
                <w:szCs w:val="19"/>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(360 bps)</w:t>
            </w: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48.9 %</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 bps)</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Adjusted diluted earnings per share</w:t>
            </w:r>
          </w:p>
        </w:tc>
        <w:tc>
          <w:tcPr>
            <w:tcW w:w="5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1.67</w:t>
            </w:r>
          </w:p>
        </w:tc>
        <w:tc>
          <w:tcPr>
            <w:tcW w:w="4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2.01</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56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10.09</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00" w:type="dxa"/>
            <w:vAlign w:val="bottom"/>
            <w:gridSpan w:val="4"/>
          </w:tcPr>
          <w:p>
            <w:pPr>
              <w:spacing w:after="0"/>
              <w:rPr>
                <w:sz w:val="23"/>
                <w:szCs w:val="23"/>
                <w:color w:val="auto"/>
              </w:rPr>
            </w:pPr>
          </w:p>
        </w:tc>
        <w:tc>
          <w:tcPr>
            <w:tcW w:w="220" w:type="dxa"/>
            <w:vAlign w:val="bottom"/>
          </w:tcPr>
          <w:p>
            <w:pPr>
              <w:spacing w:after="0"/>
              <w:rPr>
                <w:sz w:val="23"/>
                <w:szCs w:val="23"/>
                <w:color w:val="auto"/>
              </w:rPr>
            </w:pPr>
          </w:p>
        </w:tc>
        <w:tc>
          <w:tcPr>
            <w:tcW w:w="2300" w:type="dxa"/>
            <w:vAlign w:val="bottom"/>
            <w:gridSpan w:val="2"/>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200" w:type="dxa"/>
            <w:vAlign w:val="bottom"/>
            <w:gridSpan w:val="3"/>
            <w:vMerge w:val="restart"/>
          </w:tcPr>
          <w:p>
            <w:pPr>
              <w:spacing w:after="0"/>
              <w:rPr>
                <w:sz w:val="20"/>
                <w:szCs w:val="20"/>
                <w:color w:val="auto"/>
              </w:rPr>
            </w:pPr>
            <w:r>
              <w:rPr>
                <w:rFonts w:ascii="Times New Roman" w:cs="Times New Roman" w:eastAsia="Times New Roman" w:hAnsi="Times New Roman"/>
                <w:sz w:val="22"/>
                <w:szCs w:val="22"/>
                <w:b w:val="1"/>
                <w:bCs w:val="1"/>
                <w:color w:val="auto"/>
              </w:rPr>
              <w:t>Cash Generation</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200" w:type="dxa"/>
            <w:vAlign w:val="bottom"/>
            <w:gridSpan w:val="3"/>
            <w:vMerge w:val="continue"/>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tcPr>
          <w:p>
            <w:pPr>
              <w:jc w:val="center"/>
              <w:ind w:left="370"/>
              <w:spacing w:after="0" w:line="182" w:lineRule="exact"/>
              <w:rPr>
                <w:sz w:val="20"/>
                <w:szCs w:val="20"/>
                <w:color w:val="auto"/>
              </w:rPr>
            </w:pPr>
            <w:r>
              <w:rPr>
                <w:rFonts w:ascii="Times New Roman" w:cs="Times New Roman" w:eastAsia="Times New Roman" w:hAnsi="Times New Roman"/>
                <w:sz w:val="18"/>
                <w:szCs w:val="18"/>
                <w:b w:val="1"/>
                <w:bCs w:val="1"/>
                <w:color w:val="auto"/>
                <w:w w:val="99"/>
              </w:rPr>
              <w:t>Nov. 2, 2024</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tcPr>
          <w:p>
            <w:pPr>
              <w:jc w:val="center"/>
              <w:ind w:left="450"/>
              <w:spacing w:after="0" w:line="182" w:lineRule="exact"/>
              <w:rPr>
                <w:sz w:val="20"/>
                <w:szCs w:val="20"/>
                <w:color w:val="auto"/>
              </w:rPr>
            </w:pPr>
            <w:r>
              <w:rPr>
                <w:rFonts w:ascii="Times New Roman" w:cs="Times New Roman" w:eastAsia="Times New Roman" w:hAnsi="Times New Roman"/>
                <w:sz w:val="18"/>
                <w:szCs w:val="18"/>
                <w:b w:val="1"/>
                <w:bCs w:val="1"/>
                <w:color w:val="auto"/>
                <w:w w:val="97"/>
              </w:rPr>
              <w:t>Nov. 2, 2024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1180" w:type="dxa"/>
            <w:vAlign w:val="bottom"/>
            <w:tcBorders>
              <w:top w:val="single" w:sz="8" w:color="auto"/>
              <w:bottom w:val="single" w:sz="8" w:color="CCEEFF"/>
            </w:tcBorders>
          </w:tcPr>
          <w:p>
            <w:pPr>
              <w:spacing w:after="0"/>
              <w:rPr>
                <w:sz w:val="2"/>
                <w:szCs w:val="2"/>
                <w:color w:val="auto"/>
              </w:rPr>
            </w:pPr>
          </w:p>
        </w:tc>
        <w:tc>
          <w:tcPr>
            <w:tcW w:w="380" w:type="dxa"/>
            <w:vAlign w:val="bottom"/>
            <w:tcBorders>
              <w:top w:val="single" w:sz="8" w:color="auto"/>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1,051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of revenue</w:t>
            </w: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(730)</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Free cash flow</w:t>
            </w:r>
            <w:r>
              <w:rPr>
                <w:rFonts w:ascii="Times New Roman" w:cs="Times New Roman" w:eastAsia="Times New Roman" w:hAnsi="Times New Roman"/>
                <w:sz w:val="23"/>
                <w:szCs w:val="23"/>
                <w:color w:val="auto"/>
                <w:vertAlign w:val="superscript"/>
              </w:rPr>
              <w:t>(2)</w:t>
            </w:r>
          </w:p>
        </w:tc>
        <w:tc>
          <w:tcPr>
            <w:tcW w:w="5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885</w:t>
            </w:r>
          </w:p>
        </w:tc>
        <w:tc>
          <w:tcPr>
            <w:tcW w:w="120" w:type="dxa"/>
            <w:vAlign w:val="bottom"/>
          </w:tcPr>
          <w:p>
            <w:pPr>
              <w:spacing w:after="0"/>
              <w:rPr>
                <w:sz w:val="23"/>
                <w:szCs w:val="23"/>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spacing w:after="0"/>
              <w:rPr>
                <w:sz w:val="23"/>
                <w:szCs w:val="23"/>
                <w:color w:val="auto"/>
              </w:rPr>
            </w:pPr>
          </w:p>
        </w:tc>
        <w:tc>
          <w:tcPr>
            <w:tcW w:w="7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3,122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 of revenue</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4"/>
          </w:tcPr>
          <w:p>
            <w:pPr>
              <w:spacing w:after="0"/>
              <w:rPr>
                <w:sz w:val="22"/>
                <w:szCs w:val="22"/>
                <w:color w:val="auto"/>
              </w:rPr>
            </w:pPr>
          </w:p>
        </w:tc>
        <w:tc>
          <w:tcPr>
            <w:tcW w:w="220" w:type="dxa"/>
            <w:vAlign w:val="bottom"/>
          </w:tcPr>
          <w:p>
            <w:pPr>
              <w:spacing w:after="0"/>
              <w:rPr>
                <w:sz w:val="22"/>
                <w:szCs w:val="22"/>
                <w:color w:val="auto"/>
              </w:rPr>
            </w:pPr>
          </w:p>
        </w:tc>
        <w:tc>
          <w:tcPr>
            <w:tcW w:w="2300" w:type="dxa"/>
            <w:vAlign w:val="bottom"/>
            <w:gridSpan w:val="2"/>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180" w:type="dxa"/>
            <w:vAlign w:val="bottom"/>
            <w:vMerge w:val="restart"/>
          </w:tcPr>
          <w:p>
            <w:pPr>
              <w:spacing w:after="0"/>
              <w:rPr>
                <w:sz w:val="20"/>
                <w:szCs w:val="20"/>
                <w:color w:val="auto"/>
              </w:rPr>
            </w:pPr>
            <w:r>
              <w:rPr>
                <w:rFonts w:ascii="Times New Roman" w:cs="Times New Roman" w:eastAsia="Times New Roman" w:hAnsi="Times New Roman"/>
                <w:sz w:val="22"/>
                <w:szCs w:val="22"/>
                <w:b w:val="1"/>
                <w:bCs w:val="1"/>
                <w:color w:val="auto"/>
                <w:w w:val="96"/>
              </w:rPr>
              <w:t>Cash Return</w:t>
            </w:r>
          </w:p>
        </w:tc>
        <w:tc>
          <w:tcPr>
            <w:tcW w:w="3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180" w:type="dxa"/>
            <w:vAlign w:val="bottom"/>
            <w:tcBorders>
              <w:top w:val="single" w:sz="8" w:color="auto"/>
              <w:bottom w:val="single" w:sz="8" w:color="auto"/>
            </w:tcBorders>
            <w:gridSpan w:val="3"/>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300" w:type="dxa"/>
            <w:vAlign w:val="bottom"/>
            <w:tcBorders>
              <w:top w:val="single" w:sz="8" w:color="auto"/>
              <w:bottom w:val="single" w:sz="8" w:color="auto"/>
            </w:tcBorders>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8"/>
              </w:rPr>
              <w:t>Trailing Twelve Months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180" w:type="dxa"/>
            <w:vAlign w:val="bottom"/>
            <w:tcBorders>
              <w:bottom w:val="single" w:sz="8" w:color="auto"/>
            </w:tcBorders>
            <w:vMerge w:val="continue"/>
          </w:tcPr>
          <w:p>
            <w:pPr>
              <w:spacing w:after="0"/>
              <w:rPr>
                <w:sz w:val="17"/>
                <w:szCs w:val="17"/>
                <w:color w:val="auto"/>
              </w:rPr>
            </w:pPr>
          </w:p>
        </w:tc>
        <w:tc>
          <w:tcPr>
            <w:tcW w:w="2020" w:type="dxa"/>
            <w:vAlign w:val="bottom"/>
            <w:gridSpan w:val="2"/>
            <w:vMerge w:val="restart"/>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gridSpan w:val="2"/>
            <w:vMerge w:val="restart"/>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Nov. 2, 2024</w:t>
            </w: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vMerge w:val="restart"/>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7"/>
              </w:rPr>
              <w:t>Nov. 2, 2024</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
        </w:trPr>
        <w:tc>
          <w:tcPr>
            <w:tcW w:w="20" w:type="dxa"/>
            <w:vAlign w:val="bottom"/>
            <w:tcBorders>
              <w:bottom w:val="single" w:sz="8" w:color="CCEEFF"/>
            </w:tcBorders>
          </w:tcPr>
          <w:p>
            <w:pPr>
              <w:spacing w:after="0"/>
              <w:rPr>
                <w:sz w:val="6"/>
                <w:szCs w:val="6"/>
                <w:color w:val="auto"/>
              </w:rPr>
            </w:pPr>
          </w:p>
        </w:tc>
        <w:tc>
          <w:tcPr>
            <w:tcW w:w="1180" w:type="dxa"/>
            <w:vAlign w:val="bottom"/>
            <w:tcBorders>
              <w:bottom w:val="single" w:sz="8" w:color="CCEEFF"/>
            </w:tcBorders>
          </w:tcPr>
          <w:p>
            <w:pPr>
              <w:spacing w:after="0"/>
              <w:rPr>
                <w:sz w:val="6"/>
                <w:szCs w:val="6"/>
                <w:color w:val="auto"/>
              </w:rPr>
            </w:pPr>
          </w:p>
        </w:tc>
        <w:tc>
          <w:tcPr>
            <w:tcW w:w="2020" w:type="dxa"/>
            <w:vAlign w:val="bottom"/>
            <w:tcBorders>
              <w:bottom w:val="single" w:sz="8" w:color="CCEEFF"/>
            </w:tcBorders>
            <w:gridSpan w:val="2"/>
            <w:vMerge w:val="continue"/>
          </w:tcPr>
          <w:p>
            <w:pPr>
              <w:spacing w:after="0"/>
              <w:rPr>
                <w:sz w:val="6"/>
                <w:szCs w:val="6"/>
                <w:color w:val="auto"/>
              </w:rPr>
            </w:pPr>
          </w:p>
        </w:tc>
        <w:tc>
          <w:tcPr>
            <w:tcW w:w="56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100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480" w:type="dxa"/>
            <w:vAlign w:val="bottom"/>
            <w:tcBorders>
              <w:bottom w:val="single" w:sz="8" w:color="auto"/>
            </w:tcBorders>
            <w:gridSpan w:val="2"/>
            <w:vMerge w:val="continue"/>
          </w:tcPr>
          <w:p>
            <w:pPr>
              <w:spacing w:after="0"/>
              <w:rPr>
                <w:sz w:val="6"/>
                <w:szCs w:val="6"/>
                <w:color w:val="auto"/>
              </w:rPr>
            </w:pPr>
          </w:p>
        </w:tc>
        <w:tc>
          <w:tcPr>
            <w:tcW w:w="70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1540" w:type="dxa"/>
            <w:vAlign w:val="bottom"/>
            <w:tcBorders>
              <w:bottom w:val="single" w:sz="8" w:color="auto"/>
            </w:tcBorders>
            <w:vMerge w:val="continue"/>
          </w:tcPr>
          <w:p>
            <w:pPr>
              <w:spacing w:after="0"/>
              <w:rPr>
                <w:sz w:val="6"/>
                <w:szCs w:val="6"/>
                <w:color w:val="auto"/>
              </w:rPr>
            </w:pPr>
          </w:p>
        </w:tc>
        <w:tc>
          <w:tcPr>
            <w:tcW w:w="7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paid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(457)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(1,795)</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200" w:type="dxa"/>
            <w:vAlign w:val="bottom"/>
            <w:tcBorders>
              <w:bottom w:val="single" w:sz="8" w:color="CCEEFF"/>
            </w:tcBorders>
            <w:gridSpan w:val="3"/>
          </w:tcPr>
          <w:p>
            <w:pPr>
              <w:spacing w:after="0"/>
              <w:rPr>
                <w:sz w:val="20"/>
                <w:szCs w:val="20"/>
                <w:color w:val="auto"/>
              </w:rPr>
            </w:pPr>
            <w:r>
              <w:rPr>
                <w:rFonts w:ascii="Times New Roman" w:cs="Times New Roman" w:eastAsia="Times New Roman" w:hAnsi="Times New Roman"/>
                <w:sz w:val="18"/>
                <w:szCs w:val="18"/>
                <w:color w:val="auto"/>
              </w:rPr>
              <w:t>Stock repurchases</w:t>
            </w:r>
          </w:p>
        </w:tc>
        <w:tc>
          <w:tcPr>
            <w:tcW w:w="56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(616)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returned</w:t>
            </w:r>
          </w:p>
        </w:tc>
        <w:tc>
          <w:tcPr>
            <w:tcW w:w="5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(2,411)</w:t>
            </w:r>
          </w:p>
        </w:tc>
        <w:tc>
          <w:tcPr>
            <w:tcW w:w="0" w:type="dxa"/>
            <w:vAlign w:val="bottom"/>
          </w:tcPr>
          <w:p>
            <w:pPr>
              <w:spacing w:after="0"/>
              <w:rPr>
                <w:sz w:val="1"/>
                <w:szCs w:val="1"/>
                <w:color w:val="auto"/>
              </w:rPr>
            </w:pPr>
          </w:p>
        </w:tc>
      </w:tr>
    </w:tbl>
    <w:p>
      <w:pPr>
        <w:spacing w:after="0" w:line="265" w:lineRule="exact"/>
        <w:rPr>
          <w:sz w:val="20"/>
          <w:szCs w:val="20"/>
          <w:color w:val="auto"/>
        </w:rPr>
      </w:pPr>
    </w:p>
    <w:p>
      <w:pPr>
        <w:ind w:left="260" w:hanging="247"/>
        <w:spacing w:after="0"/>
        <w:tabs>
          <w:tab w:leader="none" w:pos="2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and/or computation of the individual amounts may not equal the total due to rounding.</w:t>
      </w:r>
    </w:p>
    <w:p>
      <w:pPr>
        <w:spacing w:after="0" w:line="49" w:lineRule="exact"/>
        <w:rPr>
          <w:rFonts w:ascii="Times New Roman" w:cs="Times New Roman" w:eastAsia="Times New Roman" w:hAnsi="Times New Roman"/>
          <w:sz w:val="18"/>
          <w:szCs w:val="18"/>
          <w:color w:val="auto"/>
        </w:rPr>
      </w:pPr>
    </w:p>
    <w:p>
      <w:pPr>
        <w:ind w:left="20" w:right="400" w:hanging="7"/>
        <w:spacing w:after="0" w:line="282" w:lineRule="auto"/>
        <w:tabs>
          <w:tab w:leader="none" w:pos="2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Reconciliations of non-GAAP financial measures to their most directly comparable GAAP financial measures are provided in the financial tables included in this press release. See also the "Non-GAAP Financial Information" section for additional information.</w:t>
      </w:r>
    </w:p>
    <w:p>
      <w:pPr>
        <w:sectPr>
          <w:pgSz w:w="11900" w:h="16838" w:orient="portrait"/>
          <w:cols w:equalWidth="0" w:num="1">
            <w:col w:w="11140"/>
          </w:cols>
          <w:pgMar w:left="380" w:top="891"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u w:val="single" w:color="auto"/>
          <w:color w:val="auto"/>
        </w:rPr>
        <w:t>Outlook for the First Quarter of Fiscal Year 2025</w:t>
      </w:r>
    </w:p>
    <w:p>
      <w:pPr>
        <w:spacing w:after="0" w:line="251"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22"/>
          <w:szCs w:val="22"/>
          <w:color w:val="auto"/>
        </w:rPr>
        <w:t>For the first quarter of fiscal 2025, we are forecasting revenue of $2.35 billion, +/- $100 million. At the midpoint of this revenue outlook, we expect reported operating margin of approximately 22.0%, +/- 130 bps, and adjusted operating margin of approximately 40.0%, +/- 100 bps. We are planning for reported EPS to be $0.80, +/- $0.10, and adjusted EPS to be $1.53, +/-$0.10.</w:t>
      </w:r>
    </w:p>
    <w:p>
      <w:pPr>
        <w:spacing w:after="0" w:line="5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2"/>
          <w:szCs w:val="22"/>
          <w:color w:val="auto"/>
        </w:rPr>
        <w:t>Our first quarter fiscal 2025 outlook is based on current expectations and actual results may differ materially as a result of, among other things, the important factors discussed at the end of this release. These statements supersede all prior statements regarding our business outlook set forth in prior ADI news releases, and ADI disclaims any obligation to update these forward-looking statements.</w:t>
      </w:r>
    </w:p>
    <w:p>
      <w:pPr>
        <w:spacing w:after="0" w:line="58"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22"/>
          <w:szCs w:val="22"/>
          <w:color w:val="auto"/>
        </w:rPr>
        <w:t>The adjusted results and adjusted anticipated results above are financial measures presented on a non-GAAP basis. Reconciliations of these non-GAAP financial measures to their most directly comparable GAAP financial measures are provided in the financial tables included in this release. See also the “Non-GAAP Financial Information” section for additional information.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Dividend Payment</w:t>
      </w:r>
    </w:p>
    <w:p>
      <w:pPr>
        <w:spacing w:after="0" w:line="251" w:lineRule="exact"/>
        <w:rPr>
          <w:sz w:val="20"/>
          <w:szCs w:val="20"/>
          <w:color w:val="auto"/>
        </w:rPr>
      </w:pPr>
    </w:p>
    <w:p>
      <w:pPr>
        <w:ind w:right="760"/>
        <w:spacing w:after="0" w:line="295" w:lineRule="auto"/>
        <w:rPr>
          <w:sz w:val="20"/>
          <w:szCs w:val="20"/>
          <w:color w:val="auto"/>
        </w:rPr>
      </w:pPr>
      <w:r>
        <w:rPr>
          <w:rFonts w:ascii="Times New Roman" w:cs="Times New Roman" w:eastAsia="Times New Roman" w:hAnsi="Times New Roman"/>
          <w:sz w:val="21"/>
          <w:szCs w:val="21"/>
          <w:color w:val="auto"/>
        </w:rPr>
        <w:t>The ADI Board of Directors has declared a quarterly cash divide</w:t>
      </w:r>
      <w:r>
        <w:rPr>
          <w:rFonts w:ascii="Times New Roman" w:cs="Times New Roman" w:eastAsia="Times New Roman" w:hAnsi="Times New Roman"/>
          <w:sz w:val="21"/>
          <w:szCs w:val="21"/>
          <w:color w:val="242424"/>
        </w:rPr>
        <w:t>nd of $0.92 per o</w:t>
      </w:r>
      <w:r>
        <w:rPr>
          <w:rFonts w:ascii="Times New Roman" w:cs="Times New Roman" w:eastAsia="Times New Roman" w:hAnsi="Times New Roman"/>
          <w:sz w:val="21"/>
          <w:szCs w:val="21"/>
          <w:color w:val="auto"/>
        </w:rPr>
        <w:t xml:space="preserve">utstanding share of common stock. The dividend </w:t>
      </w:r>
      <w:r>
        <w:rPr>
          <w:rFonts w:ascii="Times New Roman" w:cs="Times New Roman" w:eastAsia="Times New Roman" w:hAnsi="Times New Roman"/>
          <w:sz w:val="21"/>
          <w:szCs w:val="21"/>
          <w:color w:val="242424"/>
        </w:rPr>
        <w:t>will be paid on December 20, 2024 to all shareholders of record at the close of business on December 9, 2024.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Conference Call Scheduled for Today, Tuesday, November 26, 2024 at 10:00 am ET</w:t>
      </w:r>
    </w:p>
    <w:p>
      <w:pPr>
        <w:spacing w:after="0" w:line="264" w:lineRule="exact"/>
        <w:rPr>
          <w:sz w:val="20"/>
          <w:szCs w:val="20"/>
          <w:color w:val="auto"/>
        </w:rPr>
      </w:pPr>
    </w:p>
    <w:p>
      <w:pPr>
        <w:ind w:right="320"/>
        <w:spacing w:after="0" w:line="271" w:lineRule="auto"/>
        <w:rPr>
          <w:sz w:val="20"/>
          <w:szCs w:val="20"/>
          <w:color w:val="auto"/>
        </w:rPr>
      </w:pPr>
      <w:r>
        <w:rPr>
          <w:rFonts w:ascii="Times New Roman" w:cs="Times New Roman" w:eastAsia="Times New Roman" w:hAnsi="Times New Roman"/>
          <w:sz w:val="22"/>
          <w:szCs w:val="22"/>
          <w:color w:val="auto"/>
        </w:rPr>
        <w:t>ADI will host a conference call to discuss our fourth quarter and fiscal 2024 results and short-term outlook today, beginning at 10:00 am ET. Investors may join via webcast, accessible at investor.analog.com.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Non-GAAP Financial Information</w:t>
      </w:r>
    </w:p>
    <w:p>
      <w:pPr>
        <w:spacing w:after="0" w:line="251" w:lineRule="exact"/>
        <w:rPr>
          <w:sz w:val="20"/>
          <w:szCs w:val="20"/>
          <w:color w:val="auto"/>
        </w:rPr>
      </w:pPr>
    </w:p>
    <w:p>
      <w:pPr>
        <w:spacing w:after="0" w:line="249" w:lineRule="auto"/>
        <w:rPr>
          <w:sz w:val="20"/>
          <w:szCs w:val="20"/>
          <w:color w:val="auto"/>
        </w:rPr>
      </w:pPr>
      <w:r>
        <w:rPr>
          <w:rFonts w:ascii="Times New Roman" w:cs="Times New Roman" w:eastAsia="Times New Roman" w:hAnsi="Times New Roman"/>
          <w:sz w:val="22"/>
          <w:szCs w:val="22"/>
          <w:color w:val="auto"/>
        </w:rPr>
        <w:t>This release includes non-GAAP financial measures that are not in accordance with, nor an alternative to, U.S. generally accepted accounting principles (GAAP) and may be different from non-GAAP measures presented by other companies. In addition, these non-GAAP measures are not based on any comprehensive set of accounting rules or principles. These non-GAAP measures have material limitations in that they do not reflect all of the amounts associated with the Company’s results of operations as determined in accordance with GAAP and should not be considered in isolation from, or as a substitute for, the Company’s financial results presented in accordance with GAAP. The Company’s use of non-GAAP measures, and the underlying methodology when including or excluding certain items, is not necessarily an indication of the results of operations that may be expected in the future, or that the Company will not, in fact, record such items in future periods. You are cautioned not to place undue reliance on these non-GAAP measures. Reconciliations of these non-GAAP financial measures to their most directly comparable GAAP financial measures are provided in the financial tables included in this release.</w:t>
      </w:r>
    </w:p>
    <w:p>
      <w:pPr>
        <w:spacing w:after="0" w:line="62"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2"/>
          <w:szCs w:val="22"/>
          <w:color w:val="auto"/>
        </w:rPr>
        <w:t>Management uses non-GAAP measures internally to evaluate the Company’s operating performance from continuing operations against past periods and to budget and allocate resources in future periods. These non-GAAP measures also assist management in evaluating the Company’s core business and trends across different reporting periods on a consistent basis. Management also uses these non-GAAP measures as primary performance measurements when communicating with analysts and investors regarding the Company’s earnings results and outlook and believes that the presentation of these non-GAAP measures is useful to investors because it provides investors with the operating results that management uses to manage the Company and enables investors and analysts to evaluate the Company’s core business.</w:t>
      </w:r>
    </w:p>
    <w:p>
      <w:pPr>
        <w:sectPr>
          <w:pgSz w:w="11900" w:h="16838" w:orient="portrait"/>
          <w:cols w:equalWidth="0" w:num="1">
            <w:col w:w="11240"/>
          </w:cols>
          <w:pgMar w:left="320" w:top="891" w:right="339" w:bottom="1440" w:gutter="0" w:footer="0" w:header="0"/>
        </w:sectPr>
      </w:pPr>
    </w:p>
    <w:bookmarkStart w:id="6" w:name="page7"/>
    <w:bookmarkEnd w:id="6"/>
    <w:p>
      <w:pPr>
        <w:spacing w:after="0" w:line="257" w:lineRule="auto"/>
        <w:rPr>
          <w:sz w:val="20"/>
          <w:szCs w:val="20"/>
          <w:color w:val="auto"/>
        </w:rPr>
      </w:pPr>
      <w:r>
        <w:rPr>
          <w:rFonts w:ascii="Times New Roman" w:cs="Times New Roman" w:eastAsia="Times New Roman" w:hAnsi="Times New Roman"/>
          <w:sz w:val="22"/>
          <w:szCs w:val="22"/>
          <w:color w:val="auto"/>
        </w:rPr>
        <w:t>Management also believes that free cash flow, a non-GAAP liquidity measure, is useful both internally and to investors because it provides information about the amount of cash generated after capital expenditures that is then available to repay debt obligations, make investments and fund acquisitions, and for certain other activities.</w:t>
      </w:r>
    </w:p>
    <w:p>
      <w:pPr>
        <w:spacing w:after="0" w:line="51" w:lineRule="exact"/>
        <w:rPr>
          <w:sz w:val="20"/>
          <w:szCs w:val="20"/>
          <w:color w:val="auto"/>
        </w:rPr>
      </w:pPr>
    </w:p>
    <w:p>
      <w:pPr>
        <w:ind w:right="140"/>
        <w:spacing w:after="0" w:line="268" w:lineRule="auto"/>
        <w:rPr>
          <w:sz w:val="20"/>
          <w:szCs w:val="20"/>
          <w:color w:val="auto"/>
        </w:rPr>
      </w:pPr>
      <w:r>
        <w:rPr>
          <w:rFonts w:ascii="Times New Roman" w:cs="Times New Roman" w:eastAsia="Times New Roman" w:hAnsi="Times New Roman"/>
          <w:sz w:val="21"/>
          <w:szCs w:val="21"/>
          <w:color w:val="auto"/>
        </w:rPr>
        <w:t>The non-GAAP financial measures referenced by ADI in this release include: adjusted gross margin, adjusted gross margin percentage, adjusted operating expenses, adjusted operating expenses percentage, adjusted operating income, adjusted operating margin, adjusted nonoperating expense (income), adjusted income before income taxes, adjusted provision for income taxes, adjusted tax rate, adjusted diluted earnings per share (EPS), free cash flow, and free cash flow revenue percentage.</w:t>
      </w:r>
    </w:p>
    <w:p>
      <w:pPr>
        <w:spacing w:after="0" w:line="38" w:lineRule="exact"/>
        <w:rPr>
          <w:sz w:val="20"/>
          <w:szCs w:val="20"/>
          <w:color w:val="auto"/>
        </w:rPr>
      </w:pPr>
    </w:p>
    <w:p>
      <w:pPr>
        <w:ind w:right="240"/>
        <w:spacing w:after="0" w:line="235" w:lineRule="auto"/>
        <w:rPr>
          <w:sz w:val="20"/>
          <w:szCs w:val="20"/>
          <w:color w:val="auto"/>
        </w:rPr>
      </w:pPr>
      <w:r>
        <w:rPr>
          <w:rFonts w:ascii="Times New Roman" w:cs="Times New Roman" w:eastAsia="Times New Roman" w:hAnsi="Times New Roman"/>
          <w:sz w:val="22"/>
          <w:szCs w:val="22"/>
          <w:color w:val="auto"/>
        </w:rPr>
        <w:t xml:space="preserve">Adjusted gross margin is defined as gross margin, determined in accordance with GAAP, excluding: certain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are described further below. Adjusted gross margin percentage represents adjusted gross margin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revenue.</w:t>
      </w:r>
    </w:p>
    <w:p>
      <w:pPr>
        <w:spacing w:after="0" w:line="71" w:lineRule="exact"/>
        <w:rPr>
          <w:sz w:val="20"/>
          <w:szCs w:val="20"/>
          <w:color w:val="auto"/>
        </w:rPr>
      </w:pPr>
    </w:p>
    <w:p>
      <w:pPr>
        <w:ind w:right="40"/>
        <w:spacing w:after="0" w:line="230" w:lineRule="auto"/>
        <w:rPr>
          <w:sz w:val="20"/>
          <w:szCs w:val="20"/>
          <w:color w:val="auto"/>
        </w:rPr>
      </w:pPr>
      <w:r>
        <w:rPr>
          <w:rFonts w:ascii="Times New Roman" w:cs="Times New Roman" w:eastAsia="Times New Roman" w:hAnsi="Times New Roman"/>
          <w:sz w:val="22"/>
          <w:szCs w:val="22"/>
          <w:color w:val="auto"/>
        </w:rPr>
        <w:t xml:space="preserve">Adjusted operating expenses is defined as operating expenses,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operating expenses percentage represents adjusted operating expenses divided by revenue.</w:t>
      </w:r>
    </w:p>
    <w:p>
      <w:pPr>
        <w:spacing w:after="0" w:line="67"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color w:val="auto"/>
        </w:rPr>
        <w:t xml:space="preserve">Adjusted operating income is defined as operating income, determined in accordance with GAAP, excluding: </w:t>
      </w:r>
      <w:r>
        <w:rPr>
          <w:rFonts w:ascii="Times New Roman" w:cs="Times New Roman" w:eastAsia="Times New Roman" w:hAnsi="Times New Roman"/>
          <w:sz w:val="22"/>
          <w:szCs w:val="22"/>
          <w:i w:val="1"/>
          <w:iCs w:val="1"/>
          <w:color w:val="auto"/>
        </w:rPr>
        <w:t>acquisition related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w:t>
      </w:r>
      <w:r>
        <w:rPr>
          <w:rFonts w:ascii="Times New Roman" w:cs="Times New Roman" w:eastAsia="Times New Roman" w:hAnsi="Times New Roman"/>
          <w:sz w:val="22"/>
          <w:szCs w:val="22"/>
          <w:i w:val="1"/>
          <w:iCs w:val="1"/>
          <w:color w:val="auto"/>
        </w:rPr>
        <w:t xml:space="preserve"> special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 Adjusted operating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margin represents adjusted operating income divided by revenue.</w:t>
      </w:r>
    </w:p>
    <w:p>
      <w:pPr>
        <w:spacing w:after="0" w:line="71" w:lineRule="exact"/>
        <w:rPr>
          <w:sz w:val="20"/>
          <w:szCs w:val="20"/>
          <w:color w:val="auto"/>
        </w:rPr>
      </w:pPr>
    </w:p>
    <w:p>
      <w:pPr>
        <w:ind w:right="300"/>
        <w:spacing w:after="0" w:line="263" w:lineRule="auto"/>
        <w:rPr>
          <w:sz w:val="20"/>
          <w:szCs w:val="20"/>
          <w:color w:val="auto"/>
        </w:rPr>
      </w:pPr>
      <w:r>
        <w:rPr>
          <w:rFonts w:ascii="Times New Roman" w:cs="Times New Roman" w:eastAsia="Times New Roman" w:hAnsi="Times New Roman"/>
          <w:sz w:val="22"/>
          <w:szCs w:val="22"/>
          <w:color w:val="auto"/>
        </w:rPr>
        <w:t xml:space="preserve">Adjusted nonoperating expense (income) is defined as nonoperating expense (income), determined in accordance with GAAP, excluding: certain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which is described further below.</w:t>
      </w:r>
    </w:p>
    <w:p>
      <w:pPr>
        <w:spacing w:after="0" w:line="1" w:lineRule="exact"/>
        <w:rPr>
          <w:sz w:val="20"/>
          <w:szCs w:val="20"/>
          <w:color w:val="auto"/>
        </w:rPr>
      </w:pPr>
    </w:p>
    <w:p>
      <w:pPr>
        <w:ind w:right="320"/>
        <w:spacing w:after="0" w:line="223" w:lineRule="auto"/>
        <w:rPr>
          <w:sz w:val="20"/>
          <w:szCs w:val="20"/>
          <w:color w:val="auto"/>
        </w:rPr>
      </w:pPr>
      <w:r>
        <w:rPr>
          <w:rFonts w:ascii="Times New Roman" w:cs="Times New Roman" w:eastAsia="Times New Roman" w:hAnsi="Times New Roman"/>
          <w:sz w:val="22"/>
          <w:szCs w:val="22"/>
          <w:color w:val="auto"/>
        </w:rPr>
        <w:t xml:space="preserve">Adjusted income before income taxes is defined as income before income taxes, determined in accordance with GAAP, excluding: </w:t>
      </w:r>
      <w:r>
        <w:rPr>
          <w:rFonts w:ascii="Times New Roman" w:cs="Times New Roman" w:eastAsia="Times New Roman" w:hAnsi="Times New Roman"/>
          <w:sz w:val="22"/>
          <w:szCs w:val="22"/>
          <w:i w:val="1"/>
          <w:iCs w:val="1"/>
          <w:color w:val="auto"/>
        </w:rPr>
        <w:t>acquisition related expenses</w:t>
      </w:r>
      <w:r>
        <w:rPr>
          <w:rFonts w:ascii="Times New Roman" w:cs="Times New Roman" w:eastAsia="Times New Roman" w:hAnsi="Times New Roman"/>
          <w:sz w:val="28"/>
          <w:szCs w:val="28"/>
          <w:i w:val="1"/>
          <w:iCs w:val="1"/>
          <w:color w:val="auto"/>
          <w:vertAlign w:val="superscript"/>
        </w:rPr>
        <w:t>1</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color w:val="auto"/>
        </w:rPr>
        <w:t>, and s</w:t>
      </w:r>
      <w:r>
        <w:rPr>
          <w:rFonts w:ascii="Times New Roman" w:cs="Times New Roman" w:eastAsia="Times New Roman" w:hAnsi="Times New Roman"/>
          <w:sz w:val="22"/>
          <w:szCs w:val="22"/>
          <w:i w:val="1"/>
          <w:iCs w:val="1"/>
          <w:color w:val="auto"/>
        </w:rPr>
        <w:t>pecial charges, net</w:t>
      </w: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color w:val="auto"/>
        </w:rPr>
        <w:t>, which are described further below.</w:t>
      </w:r>
    </w:p>
    <w:p>
      <w:pPr>
        <w:spacing w:after="0" w:line="71" w:lineRule="exact"/>
        <w:rPr>
          <w:sz w:val="20"/>
          <w:szCs w:val="20"/>
          <w:color w:val="auto"/>
        </w:rPr>
      </w:pPr>
    </w:p>
    <w:p>
      <w:pPr>
        <w:ind w:right="40"/>
        <w:spacing w:after="0" w:line="234" w:lineRule="auto"/>
        <w:rPr>
          <w:sz w:val="20"/>
          <w:szCs w:val="20"/>
          <w:color w:val="auto"/>
        </w:rPr>
      </w:pPr>
      <w:r>
        <w:rPr>
          <w:rFonts w:ascii="Times New Roman" w:cs="Times New Roman" w:eastAsia="Times New Roman" w:hAnsi="Times New Roman"/>
          <w:sz w:val="22"/>
          <w:szCs w:val="22"/>
          <w:color w:val="auto"/>
        </w:rPr>
        <w:t xml:space="preserve">Adjusted provision for income taxes is defined as provision for income taxes, determined in accordance with GAAP, excluding </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color w:val="auto"/>
        </w:rPr>
        <w:t>, which are described further below. Adjusted tax rate represents adjusted provision for income taxes divided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adjusted income before income taxes.</w:t>
      </w:r>
    </w:p>
    <w:p>
      <w:pPr>
        <w:spacing w:after="0" w:line="53" w:lineRule="exact"/>
        <w:rPr>
          <w:sz w:val="20"/>
          <w:szCs w:val="20"/>
          <w:color w:val="auto"/>
        </w:rPr>
      </w:pPr>
    </w:p>
    <w:p>
      <w:pPr>
        <w:ind w:right="120"/>
        <w:spacing w:after="0" w:line="245" w:lineRule="auto"/>
        <w:rPr>
          <w:sz w:val="20"/>
          <w:szCs w:val="20"/>
          <w:color w:val="auto"/>
        </w:rPr>
      </w:pPr>
      <w:r>
        <w:rPr>
          <w:rFonts w:ascii="Times New Roman" w:cs="Times New Roman" w:eastAsia="Times New Roman" w:hAnsi="Times New Roman"/>
          <w:sz w:val="21"/>
          <w:szCs w:val="21"/>
          <w:color w:val="auto"/>
        </w:rPr>
        <w:t xml:space="preserve">Adjusted diluted EPS is defined as diluted EPS, determined in accordance with GAAP, excluding: </w:t>
      </w:r>
      <w:r>
        <w:rPr>
          <w:rFonts w:ascii="Times New Roman" w:cs="Times New Roman" w:eastAsia="Times New Roman" w:hAnsi="Times New Roman"/>
          <w:sz w:val="21"/>
          <w:szCs w:val="21"/>
          <w:i w:val="1"/>
          <w:iCs w:val="1"/>
          <w:color w:val="auto"/>
        </w:rPr>
        <w:t>acquisition related expenses</w:t>
      </w: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acquisition related transaction costs</w:t>
      </w:r>
      <w:r>
        <w:rPr>
          <w:rFonts w:ascii="Times New Roman" w:cs="Times New Roman" w:eastAsia="Times New Roman" w:hAnsi="Times New Roman"/>
          <w:sz w:val="27"/>
          <w:szCs w:val="27"/>
          <w:i w:val="1"/>
          <w:iCs w:val="1"/>
          <w:color w:val="auto"/>
          <w:vertAlign w:val="superscript"/>
        </w:rPr>
        <w:t>2</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special charges, net</w:t>
      </w:r>
      <w:r>
        <w:rPr>
          <w:rFonts w:ascii="Times New Roman" w:cs="Times New Roman" w:eastAsia="Times New Roman" w:hAnsi="Times New Roman"/>
          <w:sz w:val="27"/>
          <w:szCs w:val="27"/>
          <w:i w:val="1"/>
          <w:iCs w:val="1"/>
          <w:color w:val="auto"/>
          <w:vertAlign w:val="superscript"/>
        </w:rPr>
        <w:t>3</w:t>
      </w:r>
      <w:r>
        <w:rPr>
          <w:rFonts w:ascii="Times New Roman" w:cs="Times New Roman" w:eastAsia="Times New Roman" w:hAnsi="Times New Roman"/>
          <w:sz w:val="21"/>
          <w:szCs w:val="21"/>
          <w:color w:val="auto"/>
        </w:rPr>
        <w:t>, and</w:t>
      </w:r>
      <w:r>
        <w:rPr>
          <w:rFonts w:ascii="Times New Roman" w:cs="Times New Roman" w:eastAsia="Times New Roman" w:hAnsi="Times New Roman"/>
          <w:sz w:val="21"/>
          <w:szCs w:val="21"/>
          <w:i w:val="1"/>
          <w:iCs w:val="1"/>
          <w:color w:val="auto"/>
        </w:rPr>
        <w:t xml:space="preserve"> tax related items</w:t>
      </w:r>
      <w:r>
        <w:rPr>
          <w:rFonts w:ascii="Times New Roman" w:cs="Times New Roman" w:eastAsia="Times New Roman" w:hAnsi="Times New Roman"/>
          <w:sz w:val="27"/>
          <w:szCs w:val="27"/>
          <w:i w:val="1"/>
          <w:iCs w:val="1"/>
          <w:color w:val="auto"/>
          <w:vertAlign w:val="superscript"/>
        </w:rPr>
        <w:t>4</w:t>
      </w:r>
      <w:r>
        <w:rPr>
          <w:rFonts w:ascii="Times New Roman" w:cs="Times New Roman" w:eastAsia="Times New Roman" w:hAnsi="Times New Roman"/>
          <w:sz w:val="21"/>
          <w:szCs w:val="21"/>
          <w:color w:val="auto"/>
        </w:rPr>
        <w:t>, which are described further below.</w:t>
      </w:r>
    </w:p>
    <w:p>
      <w:pPr>
        <w:spacing w:after="0" w:line="2"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22"/>
          <w:szCs w:val="22"/>
          <w:color w:val="auto"/>
        </w:rPr>
        <w:t>Free cash flow is defined as net cash provided by operating activities, determined in accordance with GAAP, less additions to property, plant and equipment, net. Free cash flow revenue percentage represents free cash flow divided by revenue.</w:t>
      </w:r>
    </w:p>
    <w:p>
      <w:pPr>
        <w:spacing w:after="0" w:line="29" w:lineRule="exact"/>
        <w:rPr>
          <w:sz w:val="20"/>
          <w:szCs w:val="20"/>
          <w:color w:val="auto"/>
        </w:rPr>
      </w:pPr>
    </w:p>
    <w:p>
      <w:pPr>
        <w:ind w:left="660" w:right="20"/>
        <w:spacing w:after="0" w:line="252" w:lineRule="auto"/>
        <w:rPr>
          <w:sz w:val="20"/>
          <w:szCs w:val="20"/>
          <w:color w:val="auto"/>
        </w:rPr>
      </w:pPr>
      <w:r>
        <w:rPr>
          <w:rFonts w:ascii="Times New Roman" w:cs="Times New Roman" w:eastAsia="Times New Roman" w:hAnsi="Times New Roman"/>
          <w:sz w:val="27"/>
          <w:szCs w:val="27"/>
          <w:i w:val="1"/>
          <w:iCs w:val="1"/>
          <w:color w:val="auto"/>
          <w:vertAlign w:val="superscript"/>
        </w:rPr>
        <w:t>1</w:t>
      </w:r>
      <w:r>
        <w:rPr>
          <w:rFonts w:ascii="Times New Roman" w:cs="Times New Roman" w:eastAsia="Times New Roman" w:hAnsi="Times New Roman"/>
          <w:sz w:val="21"/>
          <w:szCs w:val="21"/>
          <w:i w:val="1"/>
          <w:iCs w:val="1"/>
          <w:color w:val="auto"/>
        </w:rPr>
        <w:t>Acquisition Related Expenses</w:t>
      </w:r>
      <w:r>
        <w:rPr>
          <w:rFonts w:ascii="Times New Roman" w:cs="Times New Roman" w:eastAsia="Times New Roman" w:hAnsi="Times New Roman"/>
          <w:sz w:val="21"/>
          <w:szCs w:val="21"/>
          <w:color w:val="auto"/>
        </w:rPr>
        <w:t>: Expenses incurred as a result of current and prior period acquisitions and primarily</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include expenses associated with the fair value adjustments to debt, inventory, property, plant and equipment and amortization of acquisition related intangibles, which include acquired intangibles such as purchased technology and customer relationships. Expenses also include fair value adjustments associated with the replacement of share-based awards related to the Maxim Integrated Products, Inc. (Maxim) acquisition. We excluded these costs from our non-GAAP measures because they relate to specific transactions and are not reflective of our ongoing financial performance.</w:t>
      </w:r>
    </w:p>
    <w:p>
      <w:pPr>
        <w:spacing w:after="0" w:line="53" w:lineRule="exact"/>
        <w:rPr>
          <w:sz w:val="20"/>
          <w:szCs w:val="20"/>
          <w:color w:val="auto"/>
        </w:rPr>
      </w:pPr>
    </w:p>
    <w:p>
      <w:pPr>
        <w:ind w:left="660" w:right="180"/>
        <w:spacing w:after="0" w:line="226" w:lineRule="auto"/>
        <w:rPr>
          <w:sz w:val="20"/>
          <w:szCs w:val="20"/>
          <w:color w:val="auto"/>
        </w:rPr>
      </w:pPr>
      <w:r>
        <w:rPr>
          <w:rFonts w:ascii="Times New Roman" w:cs="Times New Roman" w:eastAsia="Times New Roman" w:hAnsi="Times New Roman"/>
          <w:sz w:val="28"/>
          <w:szCs w:val="28"/>
          <w:i w:val="1"/>
          <w:iCs w:val="1"/>
          <w:color w:val="auto"/>
          <w:vertAlign w:val="superscript"/>
        </w:rPr>
        <w:t>2</w:t>
      </w:r>
      <w:r>
        <w:rPr>
          <w:rFonts w:ascii="Times New Roman" w:cs="Times New Roman" w:eastAsia="Times New Roman" w:hAnsi="Times New Roman"/>
          <w:sz w:val="22"/>
          <w:szCs w:val="22"/>
          <w:i w:val="1"/>
          <w:iCs w:val="1"/>
          <w:color w:val="auto"/>
        </w:rPr>
        <w:t>Acquisition Related Transaction Costs</w:t>
      </w:r>
      <w:r>
        <w:rPr>
          <w:rFonts w:ascii="Times New Roman" w:cs="Times New Roman" w:eastAsia="Times New Roman" w:hAnsi="Times New Roman"/>
          <w:sz w:val="22"/>
          <w:szCs w:val="22"/>
          <w:color w:val="auto"/>
        </w:rPr>
        <w:t>: Costs directly related to the Maxim acquisition, including legal, accounting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other professional fees as well as integration-related costs. We excluded</w:t>
      </w:r>
    </w:p>
    <w:p>
      <w:pPr>
        <w:sectPr>
          <w:pgSz w:w="11900" w:h="16838" w:orient="portrait"/>
          <w:cols w:equalWidth="0" w:num="1">
            <w:col w:w="11220"/>
          </w:cols>
          <w:pgMar w:left="320" w:top="990" w:right="359" w:bottom="1440" w:gutter="0" w:footer="0" w:header="0"/>
        </w:sectPr>
      </w:pPr>
    </w:p>
    <w:bookmarkStart w:id="7" w:name="page8"/>
    <w:bookmarkEnd w:id="7"/>
    <w:p>
      <w:pPr>
        <w:ind w:left="660" w:right="660"/>
        <w:spacing w:after="0" w:line="271" w:lineRule="auto"/>
        <w:rPr>
          <w:sz w:val="20"/>
          <w:szCs w:val="20"/>
          <w:color w:val="auto"/>
        </w:rPr>
      </w:pPr>
      <w:r>
        <w:rPr>
          <w:rFonts w:ascii="Times New Roman" w:cs="Times New Roman" w:eastAsia="Times New Roman" w:hAnsi="Times New Roman"/>
          <w:sz w:val="22"/>
          <w:szCs w:val="22"/>
          <w:color w:val="auto"/>
        </w:rPr>
        <w:t>these costs from our non-GAAP measures because they relate to a specific transaction and are not reflective of our ongoing financial performance.</w:t>
      </w:r>
    </w:p>
    <w:p>
      <w:pPr>
        <w:spacing w:after="0" w:line="29" w:lineRule="exact"/>
        <w:rPr>
          <w:sz w:val="20"/>
          <w:szCs w:val="20"/>
          <w:color w:val="auto"/>
        </w:rPr>
      </w:pPr>
    </w:p>
    <w:p>
      <w:pPr>
        <w:ind w:left="660" w:right="60"/>
        <w:spacing w:after="0" w:line="236" w:lineRule="auto"/>
        <w:rPr>
          <w:sz w:val="20"/>
          <w:szCs w:val="20"/>
          <w:color w:val="auto"/>
        </w:rPr>
      </w:pPr>
      <w:r>
        <w:rPr>
          <w:rFonts w:ascii="Times New Roman" w:cs="Times New Roman" w:eastAsia="Times New Roman" w:hAnsi="Times New Roman"/>
          <w:sz w:val="28"/>
          <w:szCs w:val="28"/>
          <w:i w:val="1"/>
          <w:iCs w:val="1"/>
          <w:color w:val="auto"/>
          <w:vertAlign w:val="superscript"/>
        </w:rPr>
        <w:t>3</w:t>
      </w:r>
      <w:r>
        <w:rPr>
          <w:rFonts w:ascii="Times New Roman" w:cs="Times New Roman" w:eastAsia="Times New Roman" w:hAnsi="Times New Roman"/>
          <w:sz w:val="22"/>
          <w:szCs w:val="22"/>
          <w:i w:val="1"/>
          <w:iCs w:val="1"/>
          <w:color w:val="auto"/>
        </w:rPr>
        <w:t>Special Charges, net</w:t>
      </w:r>
      <w:r>
        <w:rPr>
          <w:rFonts w:ascii="Times New Roman" w:cs="Times New Roman" w:eastAsia="Times New Roman" w:hAnsi="Times New Roman"/>
          <w:sz w:val="22"/>
          <w:szCs w:val="22"/>
          <w:color w:val="auto"/>
        </w:rPr>
        <w:t>: Expenses, net, incurred as part of the integration of Maxim, in connection with facility closures,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consolidation of manufacturing facilities, severance, other accelerated stock-based compensation expense and other cost reduction efforts or reorganizational initiatives. We excluded these expenses from our non-GAAP measures because apart from ongoing expense savings as a result of such items, these expenses have no direct correlation to the operation of our business in the future.</w:t>
      </w:r>
    </w:p>
    <w:p>
      <w:pPr>
        <w:spacing w:after="0" w:line="69" w:lineRule="exact"/>
        <w:rPr>
          <w:sz w:val="20"/>
          <w:szCs w:val="20"/>
          <w:color w:val="auto"/>
        </w:rPr>
      </w:pPr>
    </w:p>
    <w:p>
      <w:pPr>
        <w:ind w:left="660" w:right="100"/>
        <w:spacing w:after="0" w:line="237" w:lineRule="auto"/>
        <w:rPr>
          <w:sz w:val="20"/>
          <w:szCs w:val="20"/>
          <w:color w:val="auto"/>
        </w:rPr>
      </w:pPr>
      <w:r>
        <w:rPr>
          <w:rFonts w:ascii="Times New Roman" w:cs="Times New Roman" w:eastAsia="Times New Roman" w:hAnsi="Times New Roman"/>
          <w:sz w:val="28"/>
          <w:szCs w:val="28"/>
          <w:i w:val="1"/>
          <w:iCs w:val="1"/>
          <w:color w:val="auto"/>
          <w:vertAlign w:val="superscript"/>
        </w:rPr>
        <w:t>4</w:t>
      </w:r>
      <w:r>
        <w:rPr>
          <w:rFonts w:ascii="Times New Roman" w:cs="Times New Roman" w:eastAsia="Times New Roman" w:hAnsi="Times New Roman"/>
          <w:sz w:val="22"/>
          <w:szCs w:val="22"/>
          <w:i w:val="1"/>
          <w:iCs w:val="1"/>
          <w:color w:val="auto"/>
        </w:rPr>
        <w:t>Tax Related Items</w:t>
      </w:r>
      <w:r>
        <w:rPr>
          <w:rFonts w:ascii="Times New Roman" w:cs="Times New Roman" w:eastAsia="Times New Roman" w:hAnsi="Times New Roman"/>
          <w:sz w:val="22"/>
          <w:szCs w:val="22"/>
          <w:color w:val="auto"/>
        </w:rPr>
        <w:t>: Income tax effect of the non-GAAP items discussed above, an income tax benefit from a discrete tax</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item related to a federal corporate income tax relief claim and certain other income tax benefits associated with prior periods. We excluded the income tax effect of these tax related items from our non-GAAP measures because they are not associated with the tax expense on our current operating results.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About Analog Devices, Inc.</w:t>
      </w:r>
    </w:p>
    <w:p>
      <w:pPr>
        <w:spacing w:after="0" w:line="25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2"/>
          <w:szCs w:val="22"/>
          <w:color w:val="auto"/>
        </w:rPr>
        <w:t>Analog Devices, Inc. (NASDAQ: ADI) is a global semiconductor leader that bridges the physical and digital worlds to enable breakthroughs at the Intelligent Edge. ADI combines analog, digital, and software technologies into solutions that help drive advancements in digitized factories, mobility, and digital healthcare, combat climate change, and reliably connect humans and the world. With revenue of more than $9 billion in FY24 and approximately 24,000 people globally, ADI ensures today’s innovators stay Ahead of What’s Possible. Learn more at www.analog.com and on LinkedIn and Twitter (X).</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 Looking Statements</w:t>
      </w:r>
    </w:p>
    <w:p>
      <w:pPr>
        <w:spacing w:after="0" w:line="24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21"/>
          <w:szCs w:val="21"/>
          <w:i w:val="1"/>
          <w:iCs w:val="1"/>
          <w:color w:val="auto"/>
        </w:rPr>
        <w:t>This press release contains forward-looking statements, which address a variety of subjects including, for example, our statements regarding our 2025 financial performance; expected revenue, operating margin, nonoperating expenses, tax rate, earnings per share, free cash flow returns, and other financial results; customer inventory rationalization; economic uncertainty, geopolitical conditions, demand, and other market conditions, business cycles, and supply chains; capital expenditures and investments, including those related to digital, software, cybersecurity, and artificial intelligence; expected market and technology trends; market size, market share gains, market position, and growth opportunities; our opportunity pipeline; expected product solutions, offerings, technologies, capabilities, and applications, including those that may incorporate, or be based upon, software or artificial intelligence technology; the value and importance of, and other benefits related to, our product solutions, offerings, and technologies to our customers, including those that may incorporate, or be based upon, software or artificial intelligence technology; our manufacturing capacity and investments to enhance resiliency; expected tax credits; future dividends and share repurchases; expected revenue synergies; and other future events. Statements that are not historical facts, including statements about our beliefs, plans and expectations, are forward-looking statements. Such statements are based on our current expectations and are subject to a number of factors and uncertainties, which could cause actual results to differ materially from those described in the forward-looking statements. The following important factors and uncertainties, among others, could cause actual results to differ materially from those described in these forward-looking statements: economic, political, legal and regulatory uncertainty or conflicts; changes in demand for semiconductor products; manufacturing delays, product and raw materials availability and supply chain disruptions; products that may be diverted from our authorized distribution channels; changes in export classifications, import and export regulations or duties and tariffs; our development of technologies and research and development investments; our future liquidity, capital needs and capital expenditures; our</w:t>
      </w:r>
    </w:p>
    <w:p>
      <w:pPr>
        <w:sectPr>
          <w:pgSz w:w="11900" w:h="16838" w:orient="portrait"/>
          <w:cols w:equalWidth="0" w:num="1">
            <w:col w:w="11220"/>
          </w:cols>
          <w:pgMar w:left="320" w:top="990" w:right="359" w:bottom="1440" w:gutter="0" w:footer="0" w:header="0"/>
        </w:sectPr>
      </w:pPr>
    </w:p>
    <w:bookmarkStart w:id="8" w:name="page9"/>
    <w:bookmarkEnd w:id="8"/>
    <w:p>
      <w:pPr>
        <w:spacing w:after="0" w:line="260" w:lineRule="auto"/>
        <w:rPr>
          <w:sz w:val="20"/>
          <w:szCs w:val="20"/>
          <w:color w:val="auto"/>
        </w:rPr>
      </w:pPr>
      <w:r>
        <w:rPr>
          <w:rFonts w:ascii="Times New Roman" w:cs="Times New Roman" w:eastAsia="Times New Roman" w:hAnsi="Times New Roman"/>
          <w:sz w:val="21"/>
          <w:szCs w:val="21"/>
          <w:i w:val="1"/>
          <w:iCs w:val="1"/>
          <w:color w:val="auto"/>
        </w:rPr>
        <w:t>ability to compete successfully in the markets in which we operate; our ability to recruit and retain key personnel; risks related to acquisitions or other strategic transactions; security breaches or other cyber incidents; risks related to the use of artificial intelligence in our business operations, products, and services; adverse results in litigation matters; reputational damage; changes in our estimates of our expected tax rates based on current tax law; risks related to our indebtedness; the discretion of our Board of Directors to declare dividends and our ability to pay dividends in the future; factors impacting our ability to repurchase shares; and uncertainty as to the long-term value of our common stock. For additional information about factors that could cause actual results to differ materially from those described in the forward-looking statements, please refer to our filings with the Securities and Exchange Commission, including the risk factors contained in our most recent Annual Report on Form</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22"/>
          <w:szCs w:val="22"/>
          <w:i w:val="1"/>
          <w:iCs w:val="1"/>
          <w:color w:val="auto"/>
        </w:rPr>
        <w:t>10-K. Forward-looking statements represent management’s current expectations and are inherently uncertain. Except as required by law, we do not undertake any obligation to update forward-looking statements made by us to reflect subsequent events or circumstances.</w:t>
      </w:r>
    </w:p>
    <w:p>
      <w:pPr>
        <w:spacing w:after="0" w:line="206" w:lineRule="exact"/>
        <w:rPr>
          <w:sz w:val="20"/>
          <w:szCs w:val="20"/>
          <w:color w:val="auto"/>
        </w:rPr>
      </w:pPr>
    </w:p>
    <w:p>
      <w:pPr>
        <w:ind w:right="820"/>
        <w:spacing w:after="0" w:line="271" w:lineRule="auto"/>
        <w:rPr>
          <w:sz w:val="20"/>
          <w:szCs w:val="20"/>
          <w:color w:val="auto"/>
        </w:rPr>
      </w:pPr>
      <w:r>
        <w:rPr>
          <w:rFonts w:ascii="Times New Roman" w:cs="Times New Roman" w:eastAsia="Times New Roman" w:hAnsi="Times New Roman"/>
          <w:sz w:val="22"/>
          <w:szCs w:val="22"/>
          <w:color w:val="auto"/>
        </w:rPr>
        <w:t>Analog Devices and the Analog Devices logo are registered trademarks or trademarks of Analog Devices, Inc. All other trademarks mentioned in this document are the property of their respective owners.</w:t>
      </w:r>
    </w:p>
    <w:p>
      <w:pPr>
        <w:sectPr>
          <w:pgSz w:w="11900" w:h="16838" w:orient="portrait"/>
          <w:cols w:equalWidth="0" w:num="1">
            <w:col w:w="11200"/>
          </w:cols>
          <w:pgMar w:left="320" w:top="891" w:right="37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06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760" w:type="dxa"/>
            <w:vAlign w:val="bottom"/>
            <w:tcBorders>
              <w:top w:val="single" w:sz="8" w:color="auto"/>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780" w:type="dxa"/>
            <w:vAlign w:val="bottom"/>
            <w:tcBorders>
              <w:top w:val="single" w:sz="8" w:color="auto"/>
              <w:bottom w:val="single" w:sz="8" w:color="auto"/>
            </w:tcBorders>
            <w:gridSpan w:val="4"/>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5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140" w:type="dxa"/>
            <w:vAlign w:val="bottom"/>
          </w:tcPr>
          <w:p>
            <w:pPr>
              <w:spacing w:after="0"/>
              <w:rPr>
                <w:sz w:val="19"/>
                <w:szCs w:val="19"/>
                <w:color w:val="auto"/>
              </w:rPr>
            </w:pPr>
          </w:p>
        </w:tc>
        <w:tc>
          <w:tcPr>
            <w:tcW w:w="12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Oct. 28, 2023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160" w:type="dxa"/>
            <w:vAlign w:val="bottom"/>
          </w:tcPr>
          <w:p>
            <w:pPr>
              <w:spacing w:after="0"/>
              <w:rPr>
                <w:sz w:val="19"/>
                <w:szCs w:val="19"/>
                <w:color w:val="auto"/>
              </w:rPr>
            </w:pP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223"/>
        </w:trPr>
        <w:tc>
          <w:tcPr>
            <w:tcW w:w="5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2,443,205</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2,716,484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9,427,157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12,305,539</w:t>
            </w:r>
          </w:p>
        </w:tc>
      </w:tr>
      <w:tr>
        <w:trPr>
          <w:trHeight w:val="229"/>
        </w:trPr>
        <w:tc>
          <w:tcPr>
            <w:tcW w:w="5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1,027,077</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1,069,768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4,045,814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4,428,321</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1,416,128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1,646,716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5,381,343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7,877,218</w:t>
            </w:r>
          </w:p>
        </w:tc>
      </w:tr>
      <w:tr>
        <w:trPr>
          <w:trHeight w:val="229"/>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378,903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406,594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1,487,863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1,660,194</w:t>
            </w: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Selling, marketing, general and administrative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288,936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1,068,640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1,273,584</w:t>
            </w:r>
          </w:p>
        </w:tc>
      </w:tr>
      <w:tr>
        <w:trPr>
          <w:trHeight w:val="229"/>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187,754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202,736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754,784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959,618</w:t>
            </w:r>
          </w:p>
        </w:tc>
      </w:tr>
      <w:tr>
        <w:trPr>
          <w:trHeight w:val="230"/>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Special charges,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114,035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160,710</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846,736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1,012,301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3,348,545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4,054,106</w:t>
            </w: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569,392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634,415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2,032,798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3,823,112</w:t>
            </w:r>
          </w:p>
        </w:tc>
      </w:tr>
      <w:tr>
        <w:trPr>
          <w:trHeight w:val="229"/>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expense</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71,590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322,227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264,641</w:t>
            </w:r>
          </w:p>
        </w:tc>
      </w:tr>
      <w:tr>
        <w:trPr>
          <w:trHeight w:val="230"/>
        </w:trPr>
        <w:tc>
          <w:tcPr>
            <w:tcW w:w="5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Interest income</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(78,817)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(41,287)</w:t>
            </w:r>
          </w:p>
        </w:tc>
      </w:tr>
      <w:tr>
        <w:trPr>
          <w:trHeight w:val="229"/>
        </w:trPr>
        <w:tc>
          <w:tcPr>
            <w:tcW w:w="5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net</w:t>
            </w:r>
          </w:p>
        </w:tc>
        <w:tc>
          <w:tcPr>
            <w:tcW w:w="1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(8,245)</w:t>
            </w:r>
          </w:p>
        </w:tc>
      </w:tr>
      <w:tr>
        <w:trPr>
          <w:trHeight w:val="223"/>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 expense (income)</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53,064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62,629</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255,458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215,109</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571,786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1,777,340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3,608,003</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8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38,256</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73,356</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142,067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293,424</w:t>
            </w:r>
          </w:p>
        </w:tc>
      </w:tr>
      <w:tr>
        <w:trPr>
          <w:trHeight w:val="223"/>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478,072</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498,430</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1,635,273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3,314,579</w:t>
            </w: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23"/>
        </w:trPr>
        <w:tc>
          <w:tcPr>
            <w:tcW w:w="50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basic</w:t>
            </w:r>
          </w:p>
        </w:tc>
        <w:tc>
          <w:tcPr>
            <w:tcW w:w="1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496,432</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497,073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502,232</w:t>
            </w: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to compute earnings per share - diluted</w:t>
            </w:r>
          </w:p>
        </w:tc>
        <w:tc>
          <w:tcPr>
            <w:tcW w:w="18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498,722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500,424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505,959</w:t>
            </w:r>
          </w:p>
        </w:tc>
      </w:tr>
      <w:tr>
        <w:trPr>
          <w:trHeight w:val="256"/>
        </w:trPr>
        <w:tc>
          <w:tcPr>
            <w:tcW w:w="5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60" w:type="dxa"/>
            <w:vAlign w:val="bottom"/>
          </w:tcPr>
          <w:p>
            <w:pPr>
              <w:spacing w:after="0"/>
              <w:rPr>
                <w:sz w:val="22"/>
                <w:szCs w:val="22"/>
                <w:color w:val="auto"/>
              </w:rPr>
            </w:pPr>
          </w:p>
        </w:tc>
      </w:tr>
      <w:tr>
        <w:trPr>
          <w:trHeight w:val="230"/>
        </w:trPr>
        <w:tc>
          <w:tcPr>
            <w:tcW w:w="5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earnings per common share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w:t>
            </w:r>
          </w:p>
        </w:tc>
      </w:tr>
      <w:tr>
        <w:trPr>
          <w:trHeight w:val="234"/>
        </w:trPr>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r>
    </w:tbl>
    <w:p>
      <w:pPr>
        <w:sectPr>
          <w:pgSz w:w="11900" w:h="16838" w:orient="portrait"/>
          <w:cols w:equalWidth="0" w:num="1">
            <w:col w:w="11060"/>
          </w:cols>
          <w:pgMar w:left="420" w:top="887" w:right="41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(thousands, except per share amounts)</w:t>
            </w:r>
          </w:p>
        </w:tc>
        <w:tc>
          <w:tcPr>
            <w:tcW w:w="160" w:type="dxa"/>
            <w:vAlign w:val="bottom"/>
            <w:tcBorders>
              <w:top w:val="single" w:sz="8" w:color="auto"/>
            </w:tcBorders>
          </w:tcPr>
          <w:p>
            <w:pPr>
              <w:spacing w:after="0"/>
              <w:rPr>
                <w:sz w:val="21"/>
                <w:szCs w:val="21"/>
                <w:color w:val="auto"/>
              </w:rPr>
            </w:pPr>
          </w:p>
        </w:tc>
        <w:tc>
          <w:tcPr>
            <w:tcW w:w="1380" w:type="dxa"/>
            <w:vAlign w:val="bottom"/>
            <w:tcBorders>
              <w:top w:val="single" w:sz="8" w:color="auto"/>
            </w:tcBorders>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140" w:type="dxa"/>
            <w:vAlign w:val="bottom"/>
            <w:tcBorders>
              <w:top w:val="single" w:sz="8" w:color="auto"/>
            </w:tcBorders>
          </w:tcPr>
          <w:p>
            <w:pPr>
              <w:spacing w:after="0"/>
              <w:rPr>
                <w:sz w:val="21"/>
                <w:szCs w:val="21"/>
                <w:color w:val="auto"/>
              </w:rPr>
            </w:pPr>
          </w:p>
        </w:tc>
        <w:tc>
          <w:tcPr>
            <w:tcW w:w="1280" w:type="dxa"/>
            <w:vAlign w:val="bottom"/>
            <w:tcBorders>
              <w:top w:val="single" w:sz="8" w:color="auto"/>
            </w:tcBorders>
          </w:tcPr>
          <w:p>
            <w:pPr>
              <w:jc w:val="right"/>
              <w:ind w:right="127"/>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183"/>
        </w:trPr>
        <w:tc>
          <w:tcPr>
            <w:tcW w:w="8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1,991,342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958,061</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Short-term investments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371,822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1,336,331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1,469,734</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Inventories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1,447,687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1,642,214</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337,472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314,013</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assets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5,484,654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4,384,022</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property, plant and equipment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3,415,550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3,219,157</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Goodwill</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26,909,775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26,913,134</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Intangible assets, net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9,585,464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11,311,957</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tax assets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2,083,752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2,223,272</w:t>
            </w: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assets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749,082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742,936</w:t>
            </w:r>
          </w:p>
        </w:tc>
      </w:tr>
      <w:tr>
        <w:trPr>
          <w:trHeight w:val="19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non-current assets</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42,743,623</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44,410,456</w:t>
            </w:r>
          </w:p>
        </w:tc>
      </w:tr>
      <w:tr>
        <w:trPr>
          <w:trHeight w:val="203"/>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48,228,277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48,794,478</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9"/>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96"/>
        </w:trPr>
        <w:tc>
          <w:tcPr>
            <w:tcW w:w="8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9"/>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487,457</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493,041</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447,379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309,046</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Debt, current</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399,636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499,052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Commercial paper notes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547,738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547,224</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Accrued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1,106,070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1,352,608</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2,988,280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3,200,971</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Non-current Liabilities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Long-term debt</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6,634,313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5,902,457</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2,624,392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3,127,852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Income taxes payable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260,486</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417,076</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non-current liabilities</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544,489</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581,000</w:t>
            </w:r>
          </w:p>
        </w:tc>
      </w:tr>
      <w:tr>
        <w:trPr>
          <w:trHeight w:val="189"/>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Total non-current liabilities</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10,063,680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10,028,385</w:t>
            </w:r>
          </w:p>
        </w:tc>
      </w:tr>
      <w:tr>
        <w:trPr>
          <w:trHeight w:val="210"/>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 $1.00 par value, 471,934 shares authorized, none outstanding</w:t>
            </w:r>
          </w:p>
        </w:tc>
        <w:tc>
          <w:tcPr>
            <w:tcW w:w="160" w:type="dxa"/>
            <w:vAlign w:val="bottom"/>
          </w:tcPr>
          <w:p>
            <w:pPr>
              <w:spacing w:after="0"/>
              <w:rPr>
                <w:sz w:val="16"/>
                <w:szCs w:val="16"/>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Common stock, $0.16 2/3 par value, 1,200,000,000 shares authorized, 496,296,854 shares outstanding (496,261,678 on October 28, 2023)</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82,712</w:t>
            </w:r>
          </w:p>
        </w:tc>
      </w:tr>
      <w:tr>
        <w:trPr>
          <w:trHeight w:val="195"/>
        </w:trPr>
        <w:tc>
          <w:tcPr>
            <w:tcW w:w="82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Capital in excess of par value</w:t>
            </w: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25,082,243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25,313,914</w:t>
            </w:r>
          </w:p>
        </w:tc>
      </w:tr>
      <w:tr>
        <w:trPr>
          <w:trHeight w:val="210"/>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Retained earnings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10,196,612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10,356,798</w:t>
            </w:r>
          </w:p>
        </w:tc>
      </w:tr>
      <w:tr>
        <w:trPr>
          <w:trHeight w:val="196"/>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(185,256)</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(188,302)</w:t>
            </w:r>
          </w:p>
        </w:tc>
      </w:tr>
      <w:tr>
        <w:trPr>
          <w:trHeight w:val="196"/>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shareholders’ equity</w:t>
            </w:r>
          </w:p>
        </w:tc>
        <w:tc>
          <w:tcPr>
            <w:tcW w:w="16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35,176,317</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35,565,122</w:t>
            </w:r>
          </w:p>
        </w:tc>
      </w:tr>
      <w:tr>
        <w:trPr>
          <w:trHeight w:val="203"/>
        </w:trPr>
        <w:tc>
          <w:tcPr>
            <w:tcW w:w="824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48,228,277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48,794,478</w:t>
            </w:r>
          </w:p>
        </w:tc>
      </w:tr>
      <w:tr>
        <w:trPr>
          <w:trHeight w:val="20"/>
        </w:trPr>
        <w:tc>
          <w:tcPr>
            <w:tcW w:w="8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00"/>
          </w:cols>
          <w:pgMar w:left="340" w:top="887" w:right="359" w:bottom="1440" w:gutter="0" w:footer="0" w:header="0"/>
        </w:sectPr>
      </w:pPr>
    </w:p>
    <w:bookmarkStart w:id="11" w:name="page12"/>
    <w:bookmarkEnd w:id="1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177165</wp:posOffset>
            </wp:positionV>
            <wp:extent cx="3711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ectPr>
          <w:pgSz w:w="11900" w:h="16838" w:orient="portrait"/>
          <w:cols w:equalWidth="0" w:num="1">
            <w:col w:w="11180"/>
          </w:cols>
          <w:pgMar w:left="360" w:top="887" w:right="359" w:bottom="1440" w:gutter="0" w:footer="0" w:header="0"/>
        </w:sectPr>
      </w:pPr>
    </w:p>
    <w:p>
      <w:pPr>
        <w:spacing w:after="0" w:line="284" w:lineRule="exact"/>
        <w:rPr>
          <w:sz w:val="20"/>
          <w:szCs w:val="20"/>
          <w:color w:val="auto"/>
        </w:rPr>
      </w:pPr>
    </w:p>
    <w:p>
      <w:pPr>
        <w:jc w:val="center"/>
        <w:ind w:left="554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3391535</wp:posOffset>
            </wp:positionH>
            <wp:positionV relativeFrom="paragraph">
              <wp:posOffset>19685</wp:posOffset>
            </wp:positionV>
            <wp:extent cx="18173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8255"/>
                    </a:xfrm>
                    <a:prstGeom prst="rect">
                      <a:avLst/>
                    </a:prstGeom>
                    <a:noFill/>
                  </pic:spPr>
                </pic:pic>
              </a:graphicData>
            </a:graphic>
          </wp:anchor>
        </w:drawing>
      </w:r>
    </w:p>
    <w:p>
      <w:pPr>
        <w:spacing w:after="0" w:line="16" w:lineRule="exact"/>
        <w:rPr>
          <w:sz w:val="20"/>
          <w:szCs w:val="20"/>
          <w:color w:val="auto"/>
        </w:rPr>
      </w:pPr>
    </w:p>
    <w:p>
      <w:pPr>
        <w:ind w:left="5560"/>
        <w:spacing w:after="0"/>
        <w:tabs>
          <w:tab w:leader="none" w:pos="6980" w:val="left"/>
        </w:tabs>
        <w:rPr>
          <w:sz w:val="20"/>
          <w:szCs w:val="20"/>
          <w:color w:val="auto"/>
        </w:rPr>
      </w:pPr>
      <w:r>
        <w:rPr>
          <w:rFonts w:ascii="Times New Roman" w:cs="Times New Roman" w:eastAsia="Times New Roman" w:hAnsi="Times New Roman"/>
          <w:sz w:val="18"/>
          <w:szCs w:val="18"/>
          <w:b w:val="1"/>
          <w:bCs w:val="1"/>
          <w:color w:val="auto"/>
        </w:rPr>
        <w:t>Nov. 2, 2024</w:t>
      </w:r>
      <w:r>
        <w:rPr>
          <w:sz w:val="20"/>
          <w:szCs w:val="20"/>
          <w:color w:val="auto"/>
        </w:rPr>
        <w:tab/>
      </w:r>
      <w:r>
        <w:rPr>
          <w:rFonts w:ascii="Times New Roman" w:cs="Times New Roman" w:eastAsia="Times New Roman" w:hAnsi="Times New Roman"/>
          <w:sz w:val="17"/>
          <w:szCs w:val="17"/>
          <w:b w:val="1"/>
          <w:bCs w:val="1"/>
          <w:color w:val="auto"/>
        </w:rPr>
        <w:t>Oct. 28, 2023</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Twelve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19685</wp:posOffset>
            </wp:positionV>
            <wp:extent cx="18256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16"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Nov. 2, 2024</w:t>
      </w:r>
      <w:r>
        <w:rPr>
          <w:sz w:val="20"/>
          <w:szCs w:val="20"/>
          <w:color w:val="auto"/>
        </w:rPr>
        <w:tab/>
      </w:r>
      <w:r>
        <w:rPr>
          <w:rFonts w:ascii="Times New Roman" w:cs="Times New Roman" w:eastAsia="Times New Roman" w:hAnsi="Times New Roman"/>
          <w:sz w:val="17"/>
          <w:szCs w:val="17"/>
          <w:b w:val="1"/>
          <w:bCs w:val="1"/>
          <w:color w:val="auto"/>
        </w:rPr>
        <w:t>Oct. 28, 2023</w:t>
      </w:r>
    </w:p>
    <w:p>
      <w:pPr>
        <w:spacing w:after="0" w:line="31" w:lineRule="exact"/>
        <w:rPr>
          <w:sz w:val="20"/>
          <w:szCs w:val="20"/>
          <w:color w:val="auto"/>
        </w:rPr>
      </w:pPr>
    </w:p>
    <w:p>
      <w:pPr>
        <w:sectPr>
          <w:pgSz w:w="11900" w:h="16838" w:orient="portrait"/>
          <w:cols w:equalWidth="0" w:num="2">
            <w:col w:w="8000" w:space="520"/>
            <w:col w:w="2660"/>
          </w:cols>
          <w:pgMar w:left="360" w:top="887" w:right="35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53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478,072</w:t>
            </w:r>
          </w:p>
        </w:tc>
        <w:tc>
          <w:tcPr>
            <w:tcW w:w="10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498,430</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1,635,273</w:t>
            </w:r>
          </w:p>
        </w:tc>
        <w:tc>
          <w:tcPr>
            <w:tcW w:w="12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3,314,579</w:t>
            </w:r>
          </w:p>
        </w:tc>
      </w:tr>
      <w:tr>
        <w:trPr>
          <w:trHeight w:val="176"/>
        </w:trPr>
        <w:tc>
          <w:tcPr>
            <w:tcW w:w="5340" w:type="dxa"/>
            <w:vAlign w:val="bottom"/>
            <w:shd w:val="clear" w:color="auto" w:fill="CCEEFF"/>
          </w:tcPr>
          <w:p>
            <w:pPr>
              <w:ind w:left="160"/>
              <w:spacing w:after="0" w:line="176" w:lineRule="exact"/>
              <w:rPr>
                <w:sz w:val="20"/>
                <w:szCs w:val="20"/>
                <w:color w:val="auto"/>
              </w:rPr>
            </w:pPr>
            <w:r>
              <w:rPr>
                <w:rFonts w:ascii="Times New Roman" w:cs="Times New Roman" w:eastAsia="Times New Roman" w:hAnsi="Times New Roman"/>
                <w:sz w:val="18"/>
                <w:szCs w:val="18"/>
                <w:color w:val="auto"/>
              </w:rPr>
              <w:t>Adjustments to reconcile net income to net cash provided by</w:t>
            </w: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43"/>
        </w:trPr>
        <w:tc>
          <w:tcPr>
            <w:tcW w:w="5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w:t>
            </w: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r>
      <w:tr>
        <w:trPr>
          <w:trHeight w:val="230"/>
        </w:trPr>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97,241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82,919</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362,771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334,704</w:t>
            </w:r>
          </w:p>
        </w:tc>
      </w:tr>
      <w:tr>
        <w:trPr>
          <w:trHeight w:val="22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423,220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453,198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1,741,545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1,958,399</w:t>
            </w:r>
          </w:p>
        </w:tc>
      </w:tr>
      <w:tr>
        <w:trPr>
          <w:trHeight w:val="230"/>
        </w:trPr>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70,448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72,710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262,710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299,823</w:t>
            </w:r>
          </w:p>
        </w:tc>
      </w:tr>
      <w:tr>
        <w:trPr>
          <w:trHeight w:val="229"/>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(97,997)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(452,946)</w:t>
            </w:r>
          </w:p>
        </w:tc>
      </w:tr>
      <w:tr>
        <w:trPr>
          <w:trHeight w:val="229"/>
        </w:trPr>
        <w:tc>
          <w:tcPr>
            <w:tcW w:w="5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(776)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(10,465)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23,050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8,665</w:t>
            </w:r>
          </w:p>
        </w:tc>
      </w:tr>
      <w:tr>
        <w:trPr>
          <w:trHeight w:val="230"/>
        </w:trPr>
        <w:tc>
          <w:tcPr>
            <w:tcW w:w="5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80,609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112,055</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194,743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(645,590)</w:t>
            </w:r>
          </w:p>
        </w:tc>
      </w:tr>
      <w:tr>
        <w:trPr>
          <w:trHeight w:val="223"/>
        </w:trPr>
        <w:tc>
          <w:tcPr>
            <w:tcW w:w="53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adjustments</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572,745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688,864</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2,217,256</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1,503,055</w:t>
            </w: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1,050,817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1,187,294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3,852,529</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4,817,634</w:t>
            </w:r>
          </w:p>
        </w:tc>
      </w:tr>
      <w:tr>
        <w:trPr>
          <w:trHeight w:val="223"/>
        </w:trPr>
        <w:tc>
          <w:tcPr>
            <w:tcW w:w="53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Percent of revenue</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(438,901)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69,279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69,279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5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Additions to property, plant and equipment, net</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(165,410)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(476,393)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(730,463)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(1,261,463)</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(15,483)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(2,668)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(4,773)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(4,922)</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for investing activities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(111,614)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(479,061)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(1,104,858)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(1,266,385)</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debt</w:t>
            </w:r>
          </w:p>
        </w:tc>
        <w:tc>
          <w:tcPr>
            <w:tcW w:w="260" w:type="dxa"/>
            <w:vAlign w:val="bottom"/>
          </w:tcPr>
          <w:p>
            <w:pPr>
              <w:spacing w:after="0"/>
              <w:rPr>
                <w:sz w:val="19"/>
                <w:szCs w:val="19"/>
                <w:color w:val="auto"/>
              </w:rPr>
            </w:pP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1,087,856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Early termination of debt</w:t>
            </w:r>
          </w:p>
        </w:tc>
        <w:tc>
          <w:tcPr>
            <w:tcW w:w="2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(65,688)</w:t>
            </w:r>
          </w:p>
        </w:tc>
      </w:tr>
      <w:tr>
        <w:trPr>
          <w:trHeight w:val="23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Debt repayments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(499,966)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(499,966)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commercial paper notes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2,474,948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2,640,615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10,184,439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5,287,124</w:t>
            </w:r>
          </w:p>
        </w:tc>
      </w:tr>
      <w:tr>
        <w:trPr>
          <w:trHeight w:val="229"/>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Payments of commercial paper notes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(2,474,652)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(2,638,101)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(10,183,925)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(4,739,900)</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Dividend payments to shareholders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(456,756)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(427,974)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(1,795,459)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(1,679,106)</w:t>
            </w:r>
          </w:p>
        </w:tc>
      </w:tr>
      <w:tr>
        <w:trPr>
          <w:trHeight w:val="230"/>
        </w:trPr>
        <w:tc>
          <w:tcPr>
            <w:tcW w:w="5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(94,878)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(469,937)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(615,590)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(2,963,955)</w:t>
            </w:r>
          </w:p>
        </w:tc>
      </w:tr>
      <w:tr>
        <w:trPr>
          <w:trHeight w:val="230"/>
        </w:trPr>
        <w:tc>
          <w:tcPr>
            <w:tcW w:w="5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Proceeds from employee stock plans</w:t>
            </w: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4,860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121,215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118,608</w:t>
            </w:r>
          </w:p>
        </w:tc>
      </w:tr>
      <w:tr>
        <w:trPr>
          <w:trHeight w:val="230"/>
        </w:trPr>
        <w:tc>
          <w:tcPr>
            <w:tcW w:w="53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(7,449)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(9,627)</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(12,960)</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(20,843)</w:t>
            </w:r>
          </w:p>
        </w:tc>
      </w:tr>
      <w:tr>
        <w:trPr>
          <w:trHeight w:val="223"/>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for financing activities</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(1,053,893)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(899,418)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(1,714,390)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(4,063,760)</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Pr>
          <w:p>
            <w:pPr>
              <w:spacing w:after="0"/>
              <w:rPr>
                <w:sz w:val="19"/>
                <w:szCs w:val="19"/>
                <w:color w:val="auto"/>
              </w:rPr>
            </w:pPr>
          </w:p>
        </w:tc>
        <w:tc>
          <w:tcPr>
            <w:tcW w:w="11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(114,690)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(191,185)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1,033,281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(512,511)</w:t>
            </w:r>
          </w:p>
        </w:tc>
      </w:tr>
      <w:tr>
        <w:trPr>
          <w:trHeight w:val="230"/>
        </w:trPr>
        <w:tc>
          <w:tcPr>
            <w:tcW w:w="5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2,106,032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1,149,246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958,061</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1,470,572</w:t>
            </w:r>
          </w:p>
        </w:tc>
      </w:tr>
      <w:tr>
        <w:trPr>
          <w:trHeight w:val="22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1,991,342</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958,061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1,991,342</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958,061</w:t>
            </w:r>
          </w:p>
        </w:tc>
      </w:tr>
      <w:tr>
        <w:trPr>
          <w:trHeight w:val="20"/>
        </w:trPr>
        <w:tc>
          <w:tcPr>
            <w:tcW w:w="5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180"/>
          </w:cols>
          <w:pgMar w:left="360" w:top="887" w:right="359" w:bottom="1440" w:gutter="0" w:footer="0" w:header="0"/>
          <w:type w:val="continuous"/>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REVENUE TRENDS BY END MARKET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and our methodology evolves and improves, the categorization of products by end market can vary over time. When this occurs, we reclassify revenue by end market for prior periods. Such reclassifications typically do not materially change the sizing of, or the underlying trends of results within, each end market.</w:t>
      </w:r>
    </w:p>
    <w:tbl>
      <w:tblPr>
        <w:tblLayout w:type="fixed"/>
        <w:tblInd w:w="40" w:type="dxa"/>
        <w:tblCellMar>
          <w:top w:w="0" w:type="dxa"/>
          <w:left w:w="0" w:type="dxa"/>
          <w:bottom w:w="0" w:type="dxa"/>
          <w:right w:w="0" w:type="dxa"/>
        </w:tblCellMar>
      </w:tblPr>
      <w:tr>
        <w:trPr>
          <w:trHeight w:val="236"/>
        </w:trPr>
        <w:tc>
          <w:tcPr>
            <w:tcW w:w="2700" w:type="dxa"/>
            <w:vAlign w:val="bottom"/>
          </w:tcPr>
          <w:p>
            <w:pPr>
              <w:spacing w:after="0"/>
              <w:rPr>
                <w:sz w:val="20"/>
                <w:szCs w:val="20"/>
                <w:color w:val="auto"/>
              </w:rPr>
            </w:pPr>
          </w:p>
        </w:tc>
        <w:tc>
          <w:tcPr>
            <w:tcW w:w="30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580" w:type="dxa"/>
            <w:vAlign w:val="bottom"/>
            <w:tcBorders>
              <w:top w:val="single" w:sz="8" w:color="auto"/>
              <w:bottom w:val="single" w:sz="8" w:color="auto"/>
            </w:tcBorders>
          </w:tcPr>
          <w:p>
            <w:pPr>
              <w:spacing w:after="0"/>
              <w:rPr>
                <w:sz w:val="20"/>
                <w:szCs w:val="20"/>
                <w:color w:val="auto"/>
              </w:rPr>
            </w:pPr>
          </w:p>
        </w:tc>
        <w:tc>
          <w:tcPr>
            <w:tcW w:w="1820" w:type="dxa"/>
            <w:vAlign w:val="bottom"/>
            <w:tcBorders>
              <w:top w:val="single" w:sz="8" w:color="auto"/>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8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620" w:type="dxa"/>
            <w:vAlign w:val="bottom"/>
            <w:tcBorders>
              <w:top w:val="single" w:sz="8" w:color="auto"/>
              <w:bottom w:val="single" w:sz="8" w:color="auto"/>
            </w:tcBorders>
          </w:tcPr>
          <w:p>
            <w:pPr>
              <w:spacing w:after="0"/>
              <w:rPr>
                <w:sz w:val="20"/>
                <w:szCs w:val="20"/>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 2, 2024</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1,070,978</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1,356,884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w:t>
            </w:r>
          </w:p>
        </w:tc>
      </w:tr>
      <w:tr>
        <w:trPr>
          <w:trHeight w:val="22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716,964</w:t>
            </w:r>
          </w:p>
        </w:tc>
        <w:tc>
          <w:tcPr>
            <w:tcW w:w="120" w:type="dxa"/>
            <w:vAlign w:val="bottom"/>
          </w:tcPr>
          <w:p>
            <w:pPr>
              <w:spacing w:after="0"/>
              <w:rPr>
                <w:sz w:val="19"/>
                <w:szCs w:val="19"/>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29%</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733,014</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27%</w:t>
            </w:r>
          </w:p>
        </w:tc>
      </w:tr>
      <w:tr>
        <w:trPr>
          <w:trHeight w:val="229"/>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275,573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(18)%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336,238</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379,690</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w:t>
            </w:r>
          </w:p>
        </w:tc>
        <w:tc>
          <w:tcPr>
            <w:tcW w:w="17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6"/>
              </w:rPr>
              <w:t>31%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290,348</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11%</w:t>
            </w:r>
          </w:p>
        </w:tc>
      </w:tr>
      <w:tr>
        <w:trPr>
          <w:trHeight w:val="248"/>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2,443,205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2,716,484</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tcBorders>
            <w:gridSpan w:val="3"/>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27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Twelve Months Ended</w:t>
            </w: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r>
      <w:tr>
        <w:trPr>
          <w:trHeight w:val="223"/>
        </w:trPr>
        <w:tc>
          <w:tcPr>
            <w:tcW w:w="27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Nov. 2, 2024</w:t>
            </w: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60" w:type="dxa"/>
            <w:vAlign w:val="bottom"/>
            <w:tcBorders>
              <w:bottom w:val="single" w:sz="8" w:color="auto"/>
            </w:tcBorders>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223"/>
        </w:trPr>
        <w:tc>
          <w:tcPr>
            <w:tcW w:w="2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revenue*</w:t>
            </w:r>
          </w:p>
        </w:tc>
        <w:tc>
          <w:tcPr>
            <w:tcW w:w="100" w:type="dxa"/>
            <w:vAlign w:val="bottom"/>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Y/Y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2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 of revenue*</w:t>
            </w:r>
          </w:p>
        </w:tc>
      </w:tr>
      <w:tr>
        <w:trPr>
          <w:trHeight w:val="223"/>
        </w:trPr>
        <w:tc>
          <w:tcPr>
            <w:tcW w:w="2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Industrial</w:t>
            </w: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4,314,280</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46%</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6,611,794</w:t>
            </w:r>
          </w:p>
        </w:tc>
        <w:tc>
          <w:tcPr>
            <w:tcW w:w="100" w:type="dxa"/>
            <w:vAlign w:val="bottom"/>
            <w:tcBorders>
              <w:top w:val="single" w:sz="8" w:color="CCEEFF"/>
            </w:tcBorders>
            <w:shd w:val="clear" w:color="auto" w:fill="CCEEFF"/>
          </w:tcPr>
          <w:p>
            <w:pPr>
              <w:spacing w:after="0"/>
              <w:rPr>
                <w:sz w:val="19"/>
                <w:szCs w:val="19"/>
                <w:color w:val="auto"/>
              </w:rPr>
            </w:pPr>
          </w:p>
        </w:tc>
        <w:tc>
          <w:tcPr>
            <w:tcW w:w="1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w:t>
            </w:r>
          </w:p>
        </w:tc>
      </w:tr>
      <w:tr>
        <w:trPr>
          <w:trHeight w:val="27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Automotive</w:t>
            </w:r>
          </w:p>
        </w:tc>
        <w:tc>
          <w:tcPr>
            <w:tcW w:w="3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2,827,439</w:t>
            </w:r>
          </w:p>
        </w:tc>
        <w:tc>
          <w:tcPr>
            <w:tcW w:w="120" w:type="dxa"/>
            <w:vAlign w:val="bottom"/>
          </w:tcPr>
          <w:p>
            <w:pPr>
              <w:spacing w:after="0"/>
              <w:rPr>
                <w:sz w:val="23"/>
                <w:szCs w:val="23"/>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30%</w:t>
            </w:r>
          </w:p>
        </w:tc>
        <w:tc>
          <w:tcPr>
            <w:tcW w:w="17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2,876,140</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3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1,080,496</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11%</w:t>
            </w:r>
          </w:p>
        </w:tc>
        <w:tc>
          <w:tcPr>
            <w:tcW w:w="172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1,606,426</w:t>
            </w: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2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Consumer</w:t>
            </w: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1,204,942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13%</w:t>
            </w:r>
          </w:p>
        </w:tc>
        <w:tc>
          <w:tcPr>
            <w:tcW w:w="1720" w:type="dxa"/>
            <w:vAlign w:val="bottom"/>
            <w:tcBorders>
              <w:bottom w:val="single" w:sz="8" w:color="CCEEFF"/>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1,211,179</w:t>
            </w:r>
          </w:p>
        </w:tc>
        <w:tc>
          <w:tcPr>
            <w:tcW w:w="10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w:t>
            </w:r>
          </w:p>
        </w:tc>
      </w:tr>
      <w:tr>
        <w:trPr>
          <w:trHeight w:val="248"/>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9,427,157</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100%</w:t>
            </w:r>
          </w:p>
        </w:tc>
        <w:tc>
          <w:tcPr>
            <w:tcW w:w="172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12,305,539</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100%</w:t>
            </w: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sum of the individual percentages may not equal the total due to rounding.</w:t>
      </w:r>
    </w:p>
    <w:p>
      <w:pPr>
        <w:sectPr>
          <w:pgSz w:w="11900" w:h="16838" w:orient="portrait"/>
          <w:cols w:equalWidth="0" w:num="1">
            <w:col w:w="11240"/>
          </w:cols>
          <w:pgMar w:left="320" w:top="887" w:right="3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43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3100" w:type="dxa"/>
            <w:vAlign w:val="bottom"/>
            <w:tcBorders>
              <w:top w:val="single" w:sz="8" w:color="auto"/>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3160" w:type="dxa"/>
            <w:vAlign w:val="bottom"/>
            <w:tcBorders>
              <w:top w:val="single" w:sz="8" w:color="auto"/>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Twelve Months Ended</w:t>
            </w:r>
          </w:p>
        </w:tc>
      </w:tr>
      <w:tr>
        <w:trPr>
          <w:trHeight w:val="223"/>
        </w:trPr>
        <w:tc>
          <w:tcPr>
            <w:tcW w:w="4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200" w:type="dxa"/>
            <w:vAlign w:val="bottom"/>
          </w:tcPr>
          <w:p>
            <w:pPr>
              <w:spacing w:after="0"/>
              <w:rPr>
                <w:sz w:val="19"/>
                <w:szCs w:val="19"/>
                <w:color w:val="auto"/>
              </w:rPr>
            </w:pPr>
          </w:p>
        </w:tc>
        <w:tc>
          <w:tcPr>
            <w:tcW w:w="14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Oct. 28, 2023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220" w:type="dxa"/>
            <w:vAlign w:val="bottom"/>
          </w:tcPr>
          <w:p>
            <w:pPr>
              <w:spacing w:after="0"/>
              <w:rPr>
                <w:sz w:val="19"/>
                <w:szCs w:val="19"/>
                <w:color w:val="auto"/>
              </w:rPr>
            </w:pPr>
          </w:p>
        </w:tc>
        <w:tc>
          <w:tcPr>
            <w:tcW w:w="142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Oct. 28, 2023</w:t>
            </w:r>
          </w:p>
        </w:tc>
      </w:tr>
      <w:tr>
        <w:trPr>
          <w:trHeight w:val="223"/>
        </w:trPr>
        <w:tc>
          <w:tcPr>
            <w:tcW w:w="4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1,416,128</w:t>
            </w: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1,646,716</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5,381,343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7,877,218</w:t>
            </w:r>
          </w:p>
        </w:tc>
      </w:tr>
      <w:tr>
        <w:trPr>
          <w:trHeight w:val="229"/>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Gross margin percentage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58.0 %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60.6 %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64.0 %</w:t>
            </w: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243,667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259,925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1,022,488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1,047,309</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gross margin</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1,659,795</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1,906,641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6,403,831</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8,924,527</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gross margin percentage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72.5 %</w:t>
            </w: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846,736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1,012,301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3,348,545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4,054,106</w:t>
            </w:r>
          </w:p>
        </w:tc>
      </w:tr>
      <w:tr>
        <w:trPr>
          <w:trHeight w:val="229"/>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Percent of revenue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35.5 %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32.9 %</w:t>
            </w: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(188,821)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(206,151)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(760,325)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(976,223)</w:t>
            </w:r>
          </w:p>
        </w:tc>
      </w:tr>
      <w:tr>
        <w:trPr>
          <w:trHeight w:val="23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related transaction costs</w:t>
            </w:r>
          </w:p>
        </w:tc>
        <w:tc>
          <w:tcPr>
            <w:tcW w:w="2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(7,069)</w:t>
            </w: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(114,035)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(160,710)</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expenses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655,056</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692,115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2,550,962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2,910,104</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operating expenses percentage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23.6 %</w:t>
            </w: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2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569,392</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634,415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2,032,798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3,823,112</w:t>
            </w:r>
          </w:p>
        </w:tc>
      </w:tr>
      <w:tr>
        <w:trPr>
          <w:trHeight w:val="230"/>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31.1 %</w:t>
            </w:r>
          </w:p>
        </w:tc>
      </w:tr>
      <w:tr>
        <w:trPr>
          <w:trHeight w:val="229"/>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432,488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466,076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1,782,813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2,023,532</w:t>
            </w:r>
          </w:p>
        </w:tc>
      </w:tr>
      <w:tr>
        <w:trPr>
          <w:trHeight w:val="22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related transaction costs</w:t>
            </w:r>
          </w:p>
        </w:tc>
        <w:tc>
          <w:tcPr>
            <w:tcW w:w="24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7,069</w:t>
            </w: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114,035</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160,710</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operating income</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1,004,739</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1,214,526</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3,852,869</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6,014,423</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4"/>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operating margin</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48.9 %</w:t>
            </w: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Nonoperating expense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53,064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62,629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255,458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215,109</w:t>
            </w:r>
          </w:p>
        </w:tc>
      </w:tr>
      <w:tr>
        <w:trPr>
          <w:trHeight w:val="229"/>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2,150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8,600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13,743</w:t>
            </w:r>
          </w:p>
        </w:tc>
      </w:tr>
      <w:tr>
        <w:trPr>
          <w:trHeight w:val="221"/>
        </w:trPr>
        <w:tc>
          <w:tcPr>
            <w:tcW w:w="434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Adjusted nonoperating expense (income)</w:t>
            </w:r>
          </w:p>
        </w:tc>
        <w:tc>
          <w:tcPr>
            <w:tcW w:w="24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55,214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64,779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264,058</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rPr>
              <w:t>228,852</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516,328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571,786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1,777,340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3,608,003</w:t>
            </w:r>
          </w:p>
        </w:tc>
      </w:tr>
      <w:tr>
        <w:trPr>
          <w:trHeight w:val="230"/>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430,338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463,926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1,774,213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2,009,789</w:t>
            </w: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transaction costs</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7,069</w:t>
            </w:r>
          </w:p>
        </w:tc>
      </w:tr>
      <w:tr>
        <w:trPr>
          <w:trHeight w:val="229"/>
        </w:trPr>
        <w:tc>
          <w:tcPr>
            <w:tcW w:w="434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2,859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114,035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37,258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160,710</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income before income taxes</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949,525</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1,149,747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3,588,811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5,785,571</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38,256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73,356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142,067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293,424</w:t>
            </w:r>
          </w:p>
        </w:tc>
      </w:tr>
      <w:tr>
        <w:trPr>
          <w:trHeight w:val="230"/>
        </w:trPr>
        <w:tc>
          <w:tcPr>
            <w:tcW w:w="43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12.8 %</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8.1 %</w:t>
            </w: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related items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76,702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70,503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265,697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388,093</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provision for income taxes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114,958</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143,859</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407,764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681,517</w:t>
            </w:r>
          </w:p>
        </w:tc>
      </w:tr>
      <w:tr>
        <w:trPr>
          <w:trHeight w:val="20"/>
        </w:trPr>
        <w:tc>
          <w:tcPr>
            <w:tcW w:w="43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43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Adjusted tax rate</w:t>
            </w:r>
          </w:p>
        </w:tc>
        <w:tc>
          <w:tcPr>
            <w:tcW w:w="2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12.1 %</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12.5 %</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11.8 %</w:t>
            </w:r>
          </w:p>
        </w:tc>
      </w:tr>
      <w:tr>
        <w:trPr>
          <w:trHeight w:val="270"/>
        </w:trPr>
        <w:tc>
          <w:tcPr>
            <w:tcW w:w="43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EPS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0.96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6.55</w:t>
            </w:r>
          </w:p>
        </w:tc>
      </w:tr>
      <w:tr>
        <w:trPr>
          <w:trHeight w:val="22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Acquisition related expenses</w:t>
            </w: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0.86</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0.93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3.56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3.97</w:t>
            </w: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Acquisition related transaction costs</w:t>
            </w:r>
          </w:p>
        </w:tc>
        <w:tc>
          <w:tcPr>
            <w:tcW w:w="2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r>
      <w:tr>
        <w:trPr>
          <w:trHeight w:val="229"/>
        </w:trPr>
        <w:tc>
          <w:tcPr>
            <w:tcW w:w="4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Special charges, net</w:t>
            </w:r>
          </w:p>
        </w:tc>
        <w:tc>
          <w:tcPr>
            <w:tcW w:w="240" w:type="dxa"/>
            <w:vAlign w:val="bottom"/>
          </w:tcPr>
          <w:p>
            <w:pPr>
              <w:spacing w:after="0"/>
              <w:rPr>
                <w:sz w:val="19"/>
                <w:szCs w:val="19"/>
                <w:color w:val="auto"/>
              </w:rPr>
            </w:pPr>
          </w:p>
        </w:tc>
        <w:tc>
          <w:tcPr>
            <w:tcW w:w="14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0.23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0.07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0.32</w:t>
            </w:r>
          </w:p>
        </w:tc>
      </w:tr>
      <w:tr>
        <w:trPr>
          <w:trHeight w:val="230"/>
        </w:trPr>
        <w:tc>
          <w:tcPr>
            <w:tcW w:w="4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Tax related items</w:t>
            </w:r>
          </w:p>
        </w:tc>
        <w:tc>
          <w:tcPr>
            <w:tcW w:w="2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(0.15)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(0.14)</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(0.53)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(0.77)</w:t>
            </w:r>
          </w:p>
        </w:tc>
      </w:tr>
      <w:tr>
        <w:trPr>
          <w:trHeight w:val="223"/>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diluted EPS*</w:t>
            </w: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1.67</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10.09</w:t>
            </w: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sum of the individual per share amounts may not equal the total due to rounding.</w:t>
      </w:r>
    </w:p>
    <w:p>
      <w:pPr>
        <w:sectPr>
          <w:pgSz w:w="11900" w:h="16838" w:orient="portrait"/>
          <w:cols w:equalWidth="0" w:num="1">
            <w:col w:w="11220"/>
          </w:cols>
          <w:pgMar w:left="320" w:top="684" w:right="359" w:bottom="1440" w:gutter="0" w:footer="0" w:header="0"/>
        </w:sectPr>
      </w:pPr>
    </w:p>
    <w:bookmarkStart w:id="14" w:name="page15"/>
    <w:bookmarkEnd w:id="1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RECONCILIATION OF NET CASH PROVIDED BY OPERATING ACTIVITIES TO FREE CASH FLOW</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Trailing Twelve</w:t>
            </w:r>
          </w:p>
        </w:tc>
        <w:tc>
          <w:tcPr>
            <w:tcW w:w="10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5"/>
            <w:vMerge w:val="restart"/>
          </w:tcPr>
          <w:p>
            <w:pPr>
              <w:ind w:left="5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Months</w:t>
            </w: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40" w:type="dxa"/>
            <w:vAlign w:val="bottom"/>
            <w:gridSpan w:val="5"/>
            <w:vMerge w:val="continue"/>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Nov. 2, 2024</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Nov. 2, 2024</w:t>
            </w: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Aug. 3, 2024</w:t>
            </w:r>
          </w:p>
        </w:tc>
        <w:tc>
          <w:tcPr>
            <w:tcW w:w="20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May. 4, 2024</w:t>
            </w: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 3, 2024</w:t>
            </w:r>
          </w:p>
        </w:tc>
        <w:tc>
          <w:tcPr>
            <w:tcW w:w="0" w:type="dxa"/>
            <w:vAlign w:val="bottom"/>
          </w:tcPr>
          <w:p>
            <w:pPr>
              <w:spacing w:after="0"/>
              <w:rPr>
                <w:sz w:val="1"/>
                <w:szCs w:val="1"/>
                <w:color w:val="auto"/>
              </w:rPr>
            </w:pPr>
          </w:p>
        </w:tc>
      </w:tr>
      <w:tr>
        <w:trPr>
          <w:trHeight w:val="223"/>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9,427,157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2,443,205</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2,312,209</w:t>
            </w: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2,159,039</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2,512,704</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3,852,529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1,050,817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855,027</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807,853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1,138,832</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Capital expenditures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(730,463)</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(165,410)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(153,886)</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(188,189)</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(222,978)</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3,122,066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885,407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701,141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619,664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915,854</w:t>
            </w:r>
          </w:p>
        </w:tc>
        <w:tc>
          <w:tcPr>
            <w:tcW w:w="0" w:type="dxa"/>
            <w:vAlign w:val="bottom"/>
          </w:tcPr>
          <w:p>
            <w:pPr>
              <w:spacing w:after="0"/>
              <w:rPr>
                <w:sz w:val="1"/>
                <w:szCs w:val="1"/>
                <w:color w:val="auto"/>
              </w:rPr>
            </w:pPr>
          </w:p>
        </w:tc>
      </w:tr>
      <w:tr>
        <w:trPr>
          <w:trHeight w:val="234"/>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of Revenue</w:t>
            </w:r>
          </w:p>
        </w:tc>
        <w:tc>
          <w:tcPr>
            <w:tcW w:w="1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0" w:type="dxa"/>
            <w:vAlign w:val="bottom"/>
          </w:tcPr>
          <w:p>
            <w:pPr>
              <w:spacing w:after="0"/>
              <w:rPr>
                <w:sz w:val="1"/>
                <w:szCs w:val="1"/>
                <w:color w:val="auto"/>
              </w:rPr>
            </w:pPr>
          </w:p>
        </w:tc>
      </w:tr>
    </w:tbl>
    <w:p>
      <w:pPr>
        <w:sectPr>
          <w:pgSz w:w="11900" w:h="16838" w:orient="portrait"/>
          <w:cols w:equalWidth="0" w:num="1">
            <w:col w:w="11100"/>
          </w:cols>
          <w:pgMar w:left="400" w:top="887" w:right="39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ANALOG DEVICES,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RECONCILIATION OF PROJECTED GAAP TO NON-GAAP RESULTS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580" w:type="dxa"/>
            <w:vAlign w:val="bottom"/>
          </w:tcPr>
          <w:p>
            <w:pPr>
              <w:spacing w:after="0"/>
              <w:rPr>
                <w:sz w:val="21"/>
                <w:szCs w:val="21"/>
                <w:color w:val="auto"/>
              </w:rPr>
            </w:pPr>
          </w:p>
        </w:tc>
        <w:tc>
          <w:tcPr>
            <w:tcW w:w="6620" w:type="dxa"/>
            <w:vAlign w:val="bottom"/>
            <w:tcBorders>
              <w:top w:val="single" w:sz="8" w:color="auto"/>
              <w:bottom w:val="single" w:sz="8" w:color="auto"/>
            </w:tcBorders>
            <w:gridSpan w:val="3"/>
          </w:tcPr>
          <w:p>
            <w:pPr>
              <w:ind w:left="1780"/>
              <w:spacing w:after="0"/>
              <w:rPr>
                <w:sz w:val="20"/>
                <w:szCs w:val="20"/>
                <w:color w:val="auto"/>
              </w:rPr>
            </w:pPr>
            <w:r>
              <w:rPr>
                <w:rFonts w:ascii="Times New Roman" w:cs="Times New Roman" w:eastAsia="Times New Roman" w:hAnsi="Times New Roman"/>
                <w:sz w:val="18"/>
                <w:szCs w:val="18"/>
                <w:b w:val="1"/>
                <w:bCs w:val="1"/>
                <w:color w:val="242424"/>
              </w:rPr>
              <w:t>Three Months Ending February 1, 2025</w:t>
            </w:r>
          </w:p>
        </w:tc>
      </w:tr>
      <w:tr>
        <w:trPr>
          <w:trHeight w:val="223"/>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242424"/>
                <w:w w:val="99"/>
              </w:rPr>
              <w:t>Reported</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242424"/>
                <w:w w:val="99"/>
              </w:rPr>
              <w:t>Adjusted</w:t>
            </w:r>
          </w:p>
        </w:tc>
      </w:tr>
      <w:tr>
        <w:trPr>
          <w:trHeight w:val="223"/>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Revenue</w:t>
            </w: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 Billion</w:t>
            </w:r>
          </w:p>
        </w:tc>
        <w:tc>
          <w:tcPr>
            <w:tcW w:w="100" w:type="dxa"/>
            <w:vAlign w:val="bottom"/>
            <w:tcBorders>
              <w:top w:val="single" w:sz="8" w:color="CCEEFF"/>
            </w:tcBorders>
            <w:shd w:val="clear" w:color="auto" w:fill="CCEEFF"/>
          </w:tcPr>
          <w:p>
            <w:pPr>
              <w:spacing w:after="0"/>
              <w:rPr>
                <w:sz w:val="19"/>
                <w:szCs w:val="19"/>
                <w:color w:val="auto"/>
              </w:rPr>
            </w:pPr>
          </w:p>
        </w:tc>
        <w:tc>
          <w:tcPr>
            <w:tcW w:w="32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$2.35 Billion</w:t>
            </w:r>
          </w:p>
        </w:tc>
      </w:tr>
      <w:tr>
        <w:trPr>
          <w:trHeight w:val="229"/>
        </w:trPr>
        <w:tc>
          <w:tcPr>
            <w:tcW w:w="4580" w:type="dxa"/>
            <w:vAlign w:val="bottom"/>
          </w:tcPr>
          <w:p>
            <w:pPr>
              <w:spacing w:after="0"/>
              <w:rPr>
                <w:sz w:val="19"/>
                <w:szCs w:val="19"/>
                <w:color w:val="auto"/>
              </w:rPr>
            </w:pPr>
          </w:p>
        </w:tc>
        <w:tc>
          <w:tcPr>
            <w:tcW w:w="33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 $100 Million)</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$100 Million)</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Operating margin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22.0%</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40.0% (1)</w:t>
            </w:r>
          </w:p>
        </w:tc>
      </w:tr>
      <w:tr>
        <w:trPr>
          <w:trHeight w:val="230"/>
        </w:trPr>
        <w:tc>
          <w:tcPr>
            <w:tcW w:w="4580" w:type="dxa"/>
            <w:vAlign w:val="bottom"/>
          </w:tcPr>
          <w:p>
            <w:pPr>
              <w:spacing w:after="0"/>
              <w:rPr>
                <w:sz w:val="19"/>
                <w:szCs w:val="19"/>
                <w:color w:val="auto"/>
              </w:rPr>
            </w:pPr>
          </w:p>
        </w:tc>
        <w:tc>
          <w:tcPr>
            <w:tcW w:w="33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(+/-130 bps)</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bps)</w:t>
            </w:r>
          </w:p>
        </w:tc>
      </w:tr>
      <w:tr>
        <w:trPr>
          <w:trHeight w:val="229"/>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Nonoperating expenses</w:t>
            </w:r>
          </w:p>
        </w:tc>
        <w:tc>
          <w:tcPr>
            <w:tcW w:w="3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 $60 Million</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 $60 Million</w:t>
            </w:r>
          </w:p>
        </w:tc>
      </w:tr>
      <w:tr>
        <w:trPr>
          <w:trHeight w:val="229"/>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242424"/>
              </w:rPr>
              <w:t>Tax rate</w:t>
            </w: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 - 14%</w:t>
            </w:r>
          </w:p>
        </w:tc>
        <w:tc>
          <w:tcPr>
            <w:tcW w:w="100" w:type="dxa"/>
            <w:vAlign w:val="bottom"/>
          </w:tcPr>
          <w:p>
            <w:pPr>
              <w:spacing w:after="0"/>
              <w:rPr>
                <w:sz w:val="19"/>
                <w:szCs w:val="19"/>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 - 14% (2)</w:t>
            </w:r>
          </w:p>
        </w:tc>
      </w:tr>
      <w:tr>
        <w:trPr>
          <w:trHeight w:val="230"/>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242424"/>
              </w:rPr>
              <w:t>Earnings per share</w:t>
            </w: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$0.80</w:t>
            </w:r>
          </w:p>
        </w:tc>
        <w:tc>
          <w:tcPr>
            <w:tcW w:w="100" w:type="dxa"/>
            <w:vAlign w:val="bottom"/>
            <w:shd w:val="clear" w:color="auto" w:fill="CCEEFF"/>
          </w:tcPr>
          <w:p>
            <w:pPr>
              <w:spacing w:after="0"/>
              <w:rPr>
                <w:sz w:val="19"/>
                <w:szCs w:val="19"/>
                <w:color w:val="auto"/>
              </w:rPr>
            </w:pPr>
          </w:p>
        </w:tc>
        <w:tc>
          <w:tcPr>
            <w:tcW w:w="3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$1.53 (3)</w:t>
            </w:r>
          </w:p>
        </w:tc>
      </w:tr>
      <w:tr>
        <w:trPr>
          <w:trHeight w:val="234"/>
        </w:trPr>
        <w:tc>
          <w:tcPr>
            <w:tcW w:w="458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c>
          <w:tcPr>
            <w:tcW w:w="100" w:type="dxa"/>
            <w:vAlign w:val="bottom"/>
          </w:tcPr>
          <w:p>
            <w:pPr>
              <w:spacing w:after="0"/>
              <w:rPr>
                <w:sz w:val="20"/>
                <w:szCs w:val="20"/>
                <w:color w:val="auto"/>
              </w:rPr>
            </w:pPr>
          </w:p>
        </w:tc>
        <w:tc>
          <w:tcPr>
            <w:tcW w:w="3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 $0.10)</w:t>
            </w:r>
          </w:p>
        </w:tc>
      </w:tr>
    </w:tbl>
    <w:p>
      <w:pPr>
        <w:spacing w:after="0" w:line="314" w:lineRule="exact"/>
        <w:rPr>
          <w:sz w:val="20"/>
          <w:szCs w:val="20"/>
          <w:color w:val="auto"/>
        </w:rPr>
      </w:pPr>
    </w:p>
    <w:p>
      <w:pPr>
        <w:ind w:right="220" w:firstLine="8"/>
        <w:spacing w:after="0" w:line="261" w:lineRule="auto"/>
        <w:tabs>
          <w:tab w:leader="none" w:pos="2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$424 million of adjustments related to acquisition related expenses, as defined in the Non-GAAP Financial Information section of this press release.</w:t>
      </w: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$55 million of tax effects associated with the adjustments for acquisition related expenses noted above.</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$0.73 of adjustments related to the net impact of acquisition related expenses and the tax effects on those items.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more information, please contact:</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Contact: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Mr. Michael Lucarelli</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Vice President, Investor Relations and FP&amp;A</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781-461-3282</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investor.relations@analog.com</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Contacts: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Analog Devices, Inc.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Ms. Ferda Millan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Global PR &amp; External Communications</w:t>
      </w:r>
    </w:p>
    <w:p>
      <w:pPr>
        <w:spacing w:after="0" w:line="1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Ferda.Millan@analog.com</w:t>
      </w:r>
    </w:p>
    <w:sectPr>
      <w:pgSz w:w="11900" w:h="16838" w:orient="portrait"/>
      <w:cols w:equalWidth="0" w:num="1">
        <w:col w:w="11220"/>
      </w:cols>
      <w:pgMar w:left="320" w:top="88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2024-11-26T06:06:54Z</dcterms:created>
  <dcterms:modified xsi:type="dcterms:W3CDTF">2024-11-26T06:06:54Z</dcterms:modified>
</cp:coreProperties>
</file>