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333-281670</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June 12,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$850,000,000 4.250% Senior Notes due 2028</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$650,000,000 4.500% Senior Notes due 2030</w:t>
      </w:r>
    </w:p>
    <w:p>
      <w:pPr>
        <w:spacing w:after="0" w:line="205"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pricing term sheet, dated June 12, 2025 (this “Pricing Term Sheet”), should be read together with the preliminary prospectus supplement, dated June 12, 2025 (the “Preliminary Prospectus Supplement”), of Analog Devices, Inc. (the “Issuer”). The information in this Pricing Term Sheet supplements the Preliminary Prospectus Supplement. Capitalized terms used but not defined in this Pricing Term Sheet shall have the meanings ascribed to them in the Preliminary Prospectus Supplement.</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4.250% Senior Notes due 2028 (the “2028 Notes”)</w:t>
            </w:r>
          </w:p>
        </w:tc>
      </w:tr>
      <w:tr>
        <w:trPr>
          <w:trHeight w:val="216"/>
        </w:trPr>
        <w:tc>
          <w:tcPr>
            <w:tcW w:w="3560" w:type="dxa"/>
            <w:vAlign w:val="bottom"/>
          </w:tcPr>
          <w:p>
            <w:pPr>
              <w:spacing w:after="0"/>
              <w:rPr>
                <w:sz w:val="18"/>
                <w:szCs w:val="18"/>
                <w:color w:val="auto"/>
              </w:rPr>
            </w:pP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4.500% Senior Notes due 2030 (the “2030 Notes” and, together with the 2028 Notes, the</w:t>
            </w:r>
          </w:p>
        </w:tc>
      </w:tr>
      <w:tr>
        <w:trPr>
          <w:trHeight w:val="234"/>
        </w:trPr>
        <w:tc>
          <w:tcPr>
            <w:tcW w:w="3560" w:type="dxa"/>
            <w:vAlign w:val="bottom"/>
          </w:tcPr>
          <w:p>
            <w:pPr>
              <w:spacing w:after="0"/>
              <w:rPr>
                <w:sz w:val="20"/>
                <w:szCs w:val="20"/>
                <w:color w:val="auto"/>
              </w:rPr>
            </w:pP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“Notes”)</w:t>
            </w:r>
          </w:p>
        </w:tc>
      </w:tr>
      <w:tr>
        <w:trPr>
          <w:trHeight w:val="32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Format:</w:t>
            </w: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2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June 12, 2025</w:t>
            </w:r>
          </w:p>
        </w:tc>
      </w:tr>
      <w:tr>
        <w:trPr>
          <w:trHeight w:val="32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 (T+2):*</w:t>
            </w: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June 16, 2025</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2028</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June 15, 2028</w:t>
            </w:r>
          </w:p>
        </w:tc>
      </w:tr>
      <w:tr>
        <w:trPr>
          <w:trHeight w:val="234"/>
        </w:trPr>
        <w:tc>
          <w:tcPr>
            <w:tcW w:w="356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2030</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June 15, 2030</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2028</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$850,000,000</w:t>
            </w:r>
          </w:p>
        </w:tc>
      </w:tr>
      <w:tr>
        <w:trPr>
          <w:trHeight w:val="234"/>
        </w:trPr>
        <w:tc>
          <w:tcPr>
            <w:tcW w:w="356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2030</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$650,000,000</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2028</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4.250%</w:t>
            </w:r>
          </w:p>
        </w:tc>
      </w:tr>
      <w:tr>
        <w:trPr>
          <w:trHeight w:val="234"/>
        </w:trPr>
        <w:tc>
          <w:tcPr>
            <w:tcW w:w="356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2030</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4.500%</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to Public (Issue Price):</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2028</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99.892% of the principal amount</w:t>
            </w:r>
          </w:p>
        </w:tc>
      </w:tr>
      <w:tr>
        <w:trPr>
          <w:trHeight w:val="234"/>
        </w:trPr>
        <w:tc>
          <w:tcPr>
            <w:tcW w:w="356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2030</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99.912% of the principal amount</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2028 Notes: UST 3.750% due May 15, 2028</w:t>
            </w:r>
          </w:p>
        </w:tc>
      </w:tr>
      <w:tr>
        <w:trPr>
          <w:trHeight w:val="234"/>
        </w:trPr>
        <w:tc>
          <w:tcPr>
            <w:tcW w:w="3560" w:type="dxa"/>
            <w:vAlign w:val="bottom"/>
          </w:tcPr>
          <w:p>
            <w:pPr>
              <w:spacing w:after="0"/>
              <w:rPr>
                <w:sz w:val="20"/>
                <w:szCs w:val="20"/>
                <w:color w:val="auto"/>
              </w:rPr>
            </w:pPr>
          </w:p>
        </w:tc>
        <w:tc>
          <w:tcPr>
            <w:tcW w:w="7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2030 Notes: UST 4.000% due May 31, 2030</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and Yield:</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2028</w:t>
            </w:r>
          </w:p>
        </w:tc>
        <w:tc>
          <w:tcPr>
            <w:tcW w:w="6000" w:type="dxa"/>
            <w:vAlign w:val="bottom"/>
          </w:tcPr>
          <w:p>
            <w:pPr>
              <w:ind w:left="20"/>
              <w:spacing w:after="0" w:line="305" w:lineRule="exact"/>
              <w:rPr>
                <w:sz w:val="20"/>
                <w:szCs w:val="20"/>
                <w:color w:val="auto"/>
              </w:rPr>
            </w:pPr>
            <w:r>
              <w:rPr>
                <w:rFonts w:ascii="Times New Roman" w:cs="Times New Roman" w:eastAsia="Times New Roman" w:hAnsi="Times New Roman"/>
                <w:sz w:val="18"/>
                <w:szCs w:val="18"/>
                <w:color w:val="auto"/>
              </w:rPr>
              <w:t xml:space="preserve">Notes: 99-19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3.889%</w:t>
            </w:r>
          </w:p>
        </w:tc>
      </w:tr>
      <w:tr>
        <w:trPr>
          <w:trHeight w:val="320"/>
        </w:trPr>
        <w:tc>
          <w:tcPr>
            <w:tcW w:w="356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2030</w:t>
            </w:r>
          </w:p>
        </w:tc>
        <w:tc>
          <w:tcPr>
            <w:tcW w:w="6000" w:type="dxa"/>
            <w:vAlign w:val="bottom"/>
          </w:tcPr>
          <w:p>
            <w:pPr>
              <w:ind w:left="20"/>
              <w:spacing w:after="0" w:line="320" w:lineRule="exact"/>
              <w:rPr>
                <w:sz w:val="20"/>
                <w:szCs w:val="20"/>
                <w:color w:val="auto"/>
              </w:rPr>
            </w:pPr>
            <w:r>
              <w:rPr>
                <w:rFonts w:ascii="Times New Roman" w:cs="Times New Roman" w:eastAsia="Times New Roman" w:hAnsi="Times New Roman"/>
                <w:sz w:val="18"/>
                <w:szCs w:val="18"/>
                <w:color w:val="auto"/>
              </w:rPr>
              <w:t xml:space="preserve">Notes: 100-04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3.970%</w:t>
            </w:r>
          </w:p>
        </w:tc>
      </w:tr>
      <w:tr>
        <w:trPr>
          <w:trHeight w:val="220"/>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2028</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40 basis points</w:t>
            </w:r>
          </w:p>
        </w:tc>
      </w:tr>
      <w:tr>
        <w:trPr>
          <w:trHeight w:val="234"/>
        </w:trPr>
        <w:tc>
          <w:tcPr>
            <w:tcW w:w="356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2030</w:t>
            </w: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55 basis points</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Re-offer Yield:</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Notes: 4.289%</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Notes: 4.520%</w:t>
            </w:r>
          </w:p>
        </w:tc>
      </w:tr>
      <w:tr>
        <w:trPr>
          <w:trHeight w:val="30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Notes: Semi-annual in arrears on June 15 and December 15 of each year, beginning on</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15, 2025</w:t>
            </w:r>
          </w:p>
        </w:tc>
      </w:tr>
      <w:tr>
        <w:trPr>
          <w:trHeight w:val="319"/>
        </w:trPr>
        <w:tc>
          <w:tcPr>
            <w:tcW w:w="420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Notes: Semi-annual in arrears on June 15 and December 15 of each year, beginning on</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15, 2025</w:t>
            </w:r>
          </w:p>
        </w:tc>
      </w:tr>
      <w:tr>
        <w:trPr>
          <w:trHeight w:val="31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to May 15, 2028 with respect to the 2028 Notes (the date that is one month prior to the</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date of the 2028 Notes) and May 15, 2030 with respect to the 2030 Notes (the date</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is one month prior to the maturity date of the 2030 Notes) (each, a “Par Call Date”), the</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 may redeem the applicable series of Notes at the Issuer’s option, in whole or in part, at</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principal</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and rounded to three decimal places) equal to the greater of: (1) (a) the sum of the</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values of the remaining scheduled payments of principal and interest thereon</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to the redemption date (assuming the Notes of such series matured on the</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Par Call Date) on a semi-annual basis (assuming a 360-day year consisting of</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twelve 30-day months) at the Treasury Rate plus 10 basis points (in the case of the 2028</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or 10 basis points (in the case of the 2030 Notes), in each case less (b) interest accrued</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date of redemption, and (2) 100% of the principal amount of the Notes of such series to</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redeemed, plus, in either case, accrued and unpaid interest thereon to the redemption date.</w:t>
            </w:r>
          </w:p>
        </w:tc>
      </w:tr>
      <w:tr>
        <w:trPr>
          <w:trHeight w:val="319"/>
        </w:trPr>
        <w:tc>
          <w:tcPr>
            <w:tcW w:w="420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the Preliminary Prospectus Supplement for the definition of “Treasury Rate” and for</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further terms and provisions applicable to optional redemption.</w:t>
            </w:r>
          </w:p>
        </w:tc>
      </w:tr>
      <w:tr>
        <w:trPr>
          <w:trHeight w:val="319"/>
        </w:trPr>
        <w:tc>
          <w:tcPr>
            <w:tcW w:w="420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 addition, on or after the applicable Par Call Date, the Issuer will have the right, at its option,</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redeem the applicable series of Notes, in whole or in part, at any time and from time to</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at a redemption price equal to 100% of the principal amount of the Notes of such series</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being redeemed plus accrued and unpaid interest thereon to the redemption date.</w:t>
            </w:r>
          </w:p>
        </w:tc>
      </w:tr>
      <w:tr>
        <w:trPr>
          <w:trHeight w:val="31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Notes: 032654 BD6 / US032654BD63</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Notes: 032654 BE4 / US032654BE47</w:t>
            </w:r>
          </w:p>
        </w:tc>
      </w:tr>
      <w:tr>
        <w:trPr>
          <w:trHeight w:val="30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Ratings:**</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A2 (Stable)</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A- (Positive)</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Fitch: A (Stable)</w:t>
            </w:r>
          </w:p>
        </w:tc>
      </w:tr>
      <w:tr>
        <w:trPr>
          <w:trHeight w:val="324"/>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 x $1,000</w:t>
            </w:r>
          </w:p>
        </w:tc>
      </w:tr>
      <w:tr>
        <w:trPr>
          <w:trHeight w:val="28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Notes:</w:t>
            </w:r>
          </w:p>
        </w:tc>
      </w:tr>
      <w:tr>
        <w:trPr>
          <w:trHeight w:val="20"/>
        </w:trPr>
        <w:tc>
          <w:tcPr>
            <w:tcW w:w="4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18"/>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420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34"/>
        </w:trPr>
        <w:tc>
          <w:tcPr>
            <w:tcW w:w="420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r>
    </w:tbl>
    <w:p>
      <w:pPr>
        <w:sectPr>
          <w:pgSz w:w="11900" w:h="16838" w:orient="portrait"/>
          <w:cols w:equalWidth="0" w:num="1">
            <w:col w:w="11020"/>
          </w:cols>
          <w:pgMar w:left="440" w:top="374"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Notes:</w:t>
            </w:r>
          </w:p>
        </w:tc>
      </w:tr>
      <w:tr>
        <w:trPr>
          <w:trHeight w:val="20"/>
        </w:trPr>
        <w:tc>
          <w:tcPr>
            <w:tcW w:w="4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8"/>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34"/>
        </w:trPr>
        <w:tc>
          <w:tcPr>
            <w:tcW w:w="42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97"/>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Notes:</w:t>
            </w:r>
          </w:p>
        </w:tc>
      </w:tr>
      <w:tr>
        <w:trPr>
          <w:trHeight w:val="20"/>
        </w:trPr>
        <w:tc>
          <w:tcPr>
            <w:tcW w:w="4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8"/>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SMBC Nikko Securities America,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234"/>
        </w:trPr>
        <w:tc>
          <w:tcPr>
            <w:tcW w:w="42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Drexel Hamilton, LLC</w:t>
            </w:r>
          </w:p>
        </w:tc>
      </w:tr>
      <w:tr>
        <w:trPr>
          <w:trHeight w:val="297"/>
        </w:trPr>
        <w:tc>
          <w:tcPr>
            <w:tcW w:w="42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Notes:</w:t>
            </w:r>
          </w:p>
        </w:tc>
      </w:tr>
      <w:tr>
        <w:trPr>
          <w:trHeight w:val="20"/>
        </w:trPr>
        <w:tc>
          <w:tcPr>
            <w:tcW w:w="4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8"/>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SMBC Nikko Securities America,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Roberts &amp; Ryan, Inc.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r>
      <w:tr>
        <w:trPr>
          <w:trHeight w:val="216"/>
        </w:trPr>
        <w:tc>
          <w:tcPr>
            <w:tcW w:w="42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r>
      <w:tr>
        <w:trPr>
          <w:trHeight w:val="234"/>
        </w:trPr>
        <w:tc>
          <w:tcPr>
            <w:tcW w:w="42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Drexel Hamilton, LLC</w:t>
            </w:r>
          </w:p>
        </w:tc>
      </w:tr>
    </w:tbl>
    <w:p>
      <w:pPr>
        <w:spacing w:after="0" w:line="238" w:lineRule="exact"/>
        <w:rPr>
          <w:sz w:val="20"/>
          <w:szCs w:val="20"/>
          <w:color w:val="auto"/>
        </w:rPr>
      </w:pPr>
    </w:p>
    <w:p>
      <w:pPr>
        <w:ind w:left="424" w:right="80" w:hanging="424"/>
        <w:spacing w:after="0" w:line="257"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delivery of the Notes to investors will be made on or about June 16, 2025, which will be the second business day following the date hereof (this settlement cycle being referred to as “T+2”). Under Rule 15c6-1 of the Securities Exchange Act of 1934, as amended, trades in the secondary market are generally required to settle in one business day unless the parties to any such trade expressly agree otherwise.</w:t>
      </w:r>
    </w:p>
    <w:p>
      <w:pPr>
        <w:spacing w:after="0" w:line="1" w:lineRule="exact"/>
        <w:rPr>
          <w:sz w:val="20"/>
          <w:szCs w:val="20"/>
          <w:color w:val="auto"/>
        </w:rPr>
      </w:pPr>
    </w:p>
    <w:p>
      <w:pPr>
        <w:ind w:left="424" w:right="120"/>
        <w:spacing w:after="0" w:line="250" w:lineRule="auto"/>
        <w:rPr>
          <w:sz w:val="20"/>
          <w:szCs w:val="20"/>
          <w:color w:val="auto"/>
        </w:rPr>
      </w:pPr>
      <w:r>
        <w:rPr>
          <w:rFonts w:ascii="Times New Roman" w:cs="Times New Roman" w:eastAsia="Times New Roman" w:hAnsi="Times New Roman"/>
          <w:sz w:val="18"/>
          <w:szCs w:val="18"/>
          <w:color w:val="auto"/>
        </w:rPr>
        <w:t>Accordingly, purchasers who wish to trade the Notes prior to one business day before delivery of the Notes will be required, by virtue of the fact that the Notes initially will settle in T+2, to specify alternative settlement arrangements to prevent a failed settlement, and should consult their advisors.</w:t>
      </w:r>
    </w:p>
    <w:p>
      <w:pPr>
        <w:spacing w:after="0" w:line="1" w:lineRule="exact"/>
        <w:rPr>
          <w:sz w:val="20"/>
          <w:szCs w:val="20"/>
          <w:color w:val="auto"/>
        </w:rPr>
      </w:pPr>
    </w:p>
    <w:p>
      <w:pPr>
        <w:ind w:left="424"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significance of ratings may be obtained from the rating agencies. Generally, rating agencies base their ratings on such material and information, and such of their own investigations, studies and assumptions, as they deem appropriate. Each rating of the notes should be evaluated independently of any other rating and of similar ratings of other securities. A credit rating of a security is not a recommendation to buy, sell or hold securities and may be subject to review, revision, suspension, reduction or withdrawal at any time by the assigning rating agency.</w:t>
      </w:r>
    </w:p>
    <w:p>
      <w:pPr>
        <w:sectPr>
          <w:pgSz w:w="11900" w:h="16838" w:orient="portrait"/>
          <w:cols w:equalWidth="0" w:num="1">
            <w:col w:w="10964"/>
          </w:cols>
          <w:pgMar w:left="436" w:top="365" w:right="49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has filed a Registration Statement (including a prospectus) and the Preliminary Prospectus Supplement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Preliminary Prospectus Supplement and the accompanying prospectus if you request it by calling BofA Securities, Inc. toll-free at 1-800-294-1322, Barclays Capital Inc. toll-free at 1-888-603-5847, BNP Paribas Securities Corp. toll-free at 1-800-854-5674, Citigroup Global Markets Inc. toll-free at 1-800-831-9146, J.P. Morgan Securities LLC collect at 1-212-834-4533, or Morgan Stanley &amp; Co. LLC toll-free at 1-866-718-1649.</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2025-06-12T15:54:01Z</dcterms:created>
  <dcterms:modified xsi:type="dcterms:W3CDTF">2025-06-12T15:54:01Z</dcterms:modified>
</cp:coreProperties>
</file>